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2BDA2" w14:textId="1A97A6D5" w:rsidR="00F02A4B" w:rsidRPr="007C747A" w:rsidRDefault="00E9493A" w:rsidP="00A21E0D">
      <w:pPr>
        <w:pStyle w:val="AddressBlock"/>
      </w:pPr>
      <w:r w:rsidRPr="007C747A">
        <w:rPr>
          <w:noProof/>
        </w:rPr>
        <w:drawing>
          <wp:inline distT="0" distB="0" distL="0" distR="0" wp14:anchorId="46E7EC7B" wp14:editId="4F61E71C">
            <wp:extent cx="2849526" cy="829310"/>
            <wp:effectExtent l="0" t="0" r="8255" b="8890"/>
            <wp:docPr id="1" name="Picture 1" descr="NDIS, delivered by the National Disability Insurance Agenc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delivered by the National Disability Insurance Agency">
                      <a:extLst>
                        <a:ext uri="{C183D7F6-B498-43B3-948B-1728B52AA6E4}">
                          <adec:decorative xmlns:adec="http://schemas.microsoft.com/office/drawing/2017/decorative" val="0"/>
                        </a:ext>
                      </a:extLst>
                    </pic:cNvPr>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2849526" cy="829310"/>
                    </a:xfrm>
                    <a:prstGeom prst="rect">
                      <a:avLst/>
                    </a:prstGeom>
                    <a:ln>
                      <a:noFill/>
                    </a:ln>
                    <a:extLst>
                      <a:ext uri="{53640926-AAD7-44D8-BBD7-CCE9431645EC}">
                        <a14:shadowObscured xmlns:a14="http://schemas.microsoft.com/office/drawing/2010/main"/>
                      </a:ext>
                    </a:extLst>
                  </pic:spPr>
                </pic:pic>
              </a:graphicData>
            </a:graphic>
          </wp:inline>
        </w:drawing>
      </w:r>
    </w:p>
    <w:p w14:paraId="7339C835" w14:textId="2B706E43" w:rsidR="00084AF8" w:rsidRPr="007C747A" w:rsidRDefault="00084AF8" w:rsidP="00F02A4B">
      <w:pPr>
        <w:pStyle w:val="Heading1"/>
      </w:pPr>
      <w:bookmarkStart w:id="0" w:name="_Toc148020759"/>
      <w:bookmarkStart w:id="1" w:name="_Toc148108378"/>
      <w:r w:rsidRPr="007C747A">
        <w:t>Annual Report</w:t>
      </w:r>
      <w:r w:rsidRPr="007C747A">
        <w:br/>
        <w:t>2022–2023</w:t>
      </w:r>
      <w:bookmarkEnd w:id="0"/>
      <w:bookmarkEnd w:id="1"/>
    </w:p>
    <w:p w14:paraId="0AC2969D" w14:textId="049D73EE" w:rsidR="00084AF8" w:rsidRPr="007C747A" w:rsidRDefault="00084AF8" w:rsidP="009421AA">
      <w:pPr>
        <w:rPr>
          <w:color w:val="6B2876" w:themeColor="text2"/>
          <w:sz w:val="32"/>
          <w:szCs w:val="32"/>
          <w:lang w:val="en-AU"/>
        </w:rPr>
      </w:pPr>
      <w:r w:rsidRPr="007C747A">
        <w:rPr>
          <w:color w:val="6B2876" w:themeColor="text2"/>
          <w:sz w:val="32"/>
          <w:szCs w:val="32"/>
          <w:lang w:val="en-AU"/>
        </w:rPr>
        <w:t xml:space="preserve">Looking back on our plan to put people </w:t>
      </w:r>
      <w:r w:rsidRPr="007C747A">
        <w:rPr>
          <w:color w:val="6B2876" w:themeColor="text2"/>
          <w:sz w:val="32"/>
          <w:szCs w:val="32"/>
          <w:lang w:val="en-AU"/>
        </w:rPr>
        <w:br/>
        <w:t>with disability at the centre of the Scheme</w:t>
      </w:r>
    </w:p>
    <w:p w14:paraId="772B2FDC" w14:textId="617E56D3" w:rsidR="008301A6" w:rsidRPr="007C747A" w:rsidRDefault="008301A6">
      <w:pPr>
        <w:spacing w:after="0" w:line="240" w:lineRule="auto"/>
        <w:rPr>
          <w:rFonts w:eastAsia="Times New Roman"/>
          <w:lang w:val="en-AU"/>
        </w:rPr>
      </w:pPr>
      <w:r w:rsidRPr="007C747A">
        <w:rPr>
          <w:rFonts w:eastAsia="Times New Roman"/>
          <w:lang w:val="en-AU"/>
        </w:rPr>
        <w:br w:type="page"/>
      </w:r>
    </w:p>
    <w:p w14:paraId="6ACDC92A" w14:textId="77777777" w:rsidR="00DA2EA0" w:rsidRPr="007C747A" w:rsidRDefault="00DA2EA0" w:rsidP="00DA2EA0">
      <w:pPr>
        <w:pStyle w:val="Heading1"/>
        <w:rPr>
          <w:color w:val="auto"/>
          <w:sz w:val="32"/>
          <w:szCs w:val="32"/>
          <w:lang w:eastAsia="en-US"/>
        </w:rPr>
      </w:pPr>
      <w:bookmarkStart w:id="2" w:name="_Toc147991999"/>
      <w:bookmarkStart w:id="3" w:name="_Toc148020760"/>
      <w:bookmarkStart w:id="4" w:name="_Toc148108379"/>
      <w:r w:rsidRPr="007C747A">
        <w:rPr>
          <w:color w:val="auto"/>
          <w:sz w:val="32"/>
          <w:szCs w:val="32"/>
        </w:rPr>
        <w:lastRenderedPageBreak/>
        <w:t>Fortunate to be born in the right pocket of time</w:t>
      </w:r>
      <w:bookmarkEnd w:id="2"/>
      <w:bookmarkEnd w:id="3"/>
      <w:bookmarkEnd w:id="4"/>
    </w:p>
    <w:p w14:paraId="73AB42F8" w14:textId="77777777" w:rsidR="00DA2EA0" w:rsidRPr="007C747A" w:rsidRDefault="00DA2EA0" w:rsidP="00DA2EA0">
      <w:pPr>
        <w:rPr>
          <w:lang w:val="en-AU"/>
        </w:rPr>
      </w:pPr>
      <w:r w:rsidRPr="007C747A">
        <w:rPr>
          <w:lang w:val="en-AU"/>
        </w:rPr>
        <w:t>Julie Penfold says her son Adam ‘was fortunate to be born in the right pocket of time.’</w:t>
      </w:r>
    </w:p>
    <w:p w14:paraId="0C3527E5" w14:textId="554C91B4" w:rsidR="00DA2EA0" w:rsidRPr="007C747A" w:rsidRDefault="00DA2EA0" w:rsidP="00DA2EA0">
      <w:pPr>
        <w:rPr>
          <w:lang w:val="en-AU"/>
        </w:rPr>
      </w:pPr>
      <w:r w:rsidRPr="007C747A">
        <w:rPr>
          <w:lang w:val="en-AU"/>
        </w:rPr>
        <w:t xml:space="preserve">The 12-year-old, who has Down syndrome, transitioned to the Scheme in 2013 when it first </w:t>
      </w:r>
      <w:r w:rsidR="00EA07BD" w:rsidRPr="007C747A">
        <w:rPr>
          <w:lang w:val="en-AU"/>
        </w:rPr>
        <w:t>trialed</w:t>
      </w:r>
      <w:r w:rsidRPr="007C747A">
        <w:rPr>
          <w:lang w:val="en-AU"/>
        </w:rPr>
        <w:t xml:space="preserve"> in Victoria.</w:t>
      </w:r>
    </w:p>
    <w:p w14:paraId="6E484325" w14:textId="25796729" w:rsidR="00DA2EA0" w:rsidRPr="007C747A" w:rsidRDefault="00DA2EA0" w:rsidP="00DA2EA0">
      <w:pPr>
        <w:rPr>
          <w:lang w:val="en-AU"/>
        </w:rPr>
      </w:pPr>
      <w:r w:rsidRPr="007C747A">
        <w:rPr>
          <w:lang w:val="en-AU"/>
        </w:rPr>
        <w:t xml:space="preserve">Julie said Adam’s first plan had a good mix of supports. ‘We could use them </w:t>
      </w:r>
      <w:r w:rsidR="00AC6105" w:rsidRPr="007C747A">
        <w:rPr>
          <w:lang w:val="en-AU"/>
        </w:rPr>
        <w:t>flexibly</w:t>
      </w:r>
      <w:r w:rsidRPr="007C747A">
        <w:rPr>
          <w:lang w:val="en-AU"/>
        </w:rPr>
        <w:t xml:space="preserve"> as Adam’s needs changed,’ she said.</w:t>
      </w:r>
    </w:p>
    <w:p w14:paraId="6544E32B" w14:textId="77777777" w:rsidR="00DA2EA0" w:rsidRPr="007C747A" w:rsidRDefault="00DA2EA0" w:rsidP="00DA2EA0">
      <w:pPr>
        <w:rPr>
          <w:lang w:val="en-AU"/>
        </w:rPr>
      </w:pPr>
      <w:r w:rsidRPr="007C747A">
        <w:rPr>
          <w:lang w:val="en-AU"/>
        </w:rPr>
        <w:t>Non-speaking, speech therapy soon had Adam communicating.</w:t>
      </w:r>
    </w:p>
    <w:p w14:paraId="1ECBC4DC" w14:textId="77777777" w:rsidR="00DA2EA0" w:rsidRPr="007C747A" w:rsidRDefault="00DA2EA0" w:rsidP="00DA2EA0">
      <w:pPr>
        <w:rPr>
          <w:lang w:val="en-AU"/>
        </w:rPr>
      </w:pPr>
      <w:r w:rsidRPr="007C747A">
        <w:rPr>
          <w:lang w:val="en-AU"/>
        </w:rPr>
        <w:t>Then with low muscle tone and challenges with fine motor skills, occupational therapy had Adam running around climbing play equipment and confidently using pencils and scissors.</w:t>
      </w:r>
    </w:p>
    <w:p w14:paraId="0A4BF667" w14:textId="77777777" w:rsidR="00DA2EA0" w:rsidRPr="007C747A" w:rsidRDefault="00DA2EA0" w:rsidP="00DA2EA0">
      <w:pPr>
        <w:rPr>
          <w:lang w:val="en-AU"/>
        </w:rPr>
      </w:pPr>
      <w:r w:rsidRPr="007C747A">
        <w:rPr>
          <w:lang w:val="en-AU"/>
        </w:rPr>
        <w:t>‘We feel fortunate Adam was born in this pocket of time where all these supports have been available to nurture him. They’ve been priceless,’ Julie said.</w:t>
      </w:r>
    </w:p>
    <w:p w14:paraId="1F389607" w14:textId="77777777" w:rsidR="00DA2EA0" w:rsidRPr="007C747A" w:rsidRDefault="00DA2EA0" w:rsidP="00DA2EA0">
      <w:pPr>
        <w:rPr>
          <w:lang w:val="en-AU"/>
        </w:rPr>
      </w:pPr>
      <w:r w:rsidRPr="007C747A">
        <w:rPr>
          <w:lang w:val="en-AU"/>
        </w:rPr>
        <w:t>‘Now Adam’s gone from strength to strength. It’s incredible how far he’s come.</w:t>
      </w:r>
    </w:p>
    <w:p w14:paraId="58E03E64" w14:textId="77777777" w:rsidR="00DA2EA0" w:rsidRPr="007C747A" w:rsidRDefault="00DA2EA0" w:rsidP="00DA2EA0">
      <w:pPr>
        <w:rPr>
          <w:lang w:val="en-AU"/>
        </w:rPr>
      </w:pPr>
      <w:r w:rsidRPr="007C747A">
        <w:rPr>
          <w:lang w:val="en-AU"/>
        </w:rPr>
        <w:t>‘We are forever grateful for the impact the NDIS has had and continues to have on enriching Adams’ life.</w:t>
      </w:r>
    </w:p>
    <w:p w14:paraId="2DC676D8" w14:textId="77777777" w:rsidR="00DA2EA0" w:rsidRPr="007C747A" w:rsidRDefault="00DA2EA0" w:rsidP="00DA2EA0">
      <w:pPr>
        <w:rPr>
          <w:lang w:val="en-AU"/>
        </w:rPr>
      </w:pPr>
      <w:r w:rsidRPr="007C747A">
        <w:rPr>
          <w:lang w:val="en-AU"/>
        </w:rPr>
        <w:t>‘As parents, it’s comforting to know he has support for life, especially when we’re no longer around. It means he can lead his own life and be who he wants to be.’</w:t>
      </w:r>
    </w:p>
    <w:p w14:paraId="33B933D0" w14:textId="1C0A0F6A" w:rsidR="008301A6" w:rsidRPr="007C747A" w:rsidRDefault="008301A6">
      <w:pPr>
        <w:spacing w:after="0" w:line="240" w:lineRule="auto"/>
        <w:rPr>
          <w:rFonts w:eastAsiaTheme="minorEastAsia" w:cs="Arial"/>
          <w:lang w:val="en-AU"/>
        </w:rPr>
      </w:pPr>
      <w:r w:rsidRPr="007C747A">
        <w:rPr>
          <w:lang w:val="en-AU"/>
        </w:rPr>
        <w:br w:type="page"/>
      </w:r>
    </w:p>
    <w:p w14:paraId="530522A1" w14:textId="277533ED" w:rsidR="006A59DD" w:rsidRPr="007C747A" w:rsidRDefault="007219F1">
      <w:pPr>
        <w:pStyle w:val="TOCHeading"/>
        <w:rPr>
          <w:lang w:val="en-AU"/>
        </w:rPr>
      </w:pPr>
      <w:r w:rsidRPr="007C747A">
        <w:rPr>
          <w:lang w:val="en-AU"/>
        </w:rPr>
        <w:lastRenderedPageBreak/>
        <w:t>Contents</w:t>
      </w:r>
    </w:p>
    <w:sdt>
      <w:sdtPr>
        <w:rPr>
          <w:rFonts w:cs="Times New Roman"/>
          <w:b w:val="0"/>
          <w:bCs w:val="0"/>
          <w:noProof w:val="0"/>
          <w:sz w:val="24"/>
          <w:szCs w:val="24"/>
          <w:lang w:val="en-AU"/>
        </w:rPr>
        <w:id w:val="598524929"/>
        <w:docPartObj>
          <w:docPartGallery w:val="Table of Contents"/>
          <w:docPartUnique/>
        </w:docPartObj>
      </w:sdtPr>
      <w:sdtEndPr/>
      <w:sdtContent>
        <w:p w14:paraId="42695358" w14:textId="6AF4DAB7" w:rsidR="00D63146" w:rsidRPr="007C747A" w:rsidRDefault="00CF5CF7" w:rsidP="00D63146">
          <w:pPr>
            <w:pStyle w:val="TOC1"/>
            <w:rPr>
              <w:rFonts w:asciiTheme="minorHAnsi" w:eastAsiaTheme="minorEastAsia" w:hAnsiTheme="minorHAnsi" w:cstheme="minorBidi"/>
              <w:b w:val="0"/>
              <w:bCs w:val="0"/>
              <w:kern w:val="2"/>
              <w:lang w:val="en-AU" w:eastAsia="en-AU"/>
              <w14:ligatures w14:val="standardContextual"/>
            </w:rPr>
          </w:pPr>
          <w:r w:rsidRPr="007C747A">
            <w:rPr>
              <w:rFonts w:eastAsiaTheme="minorEastAsia"/>
              <w:noProof w:val="0"/>
              <w:color w:val="000000" w:themeColor="accent6"/>
              <w:lang w:val="en-AU"/>
            </w:rPr>
            <w:fldChar w:fldCharType="begin"/>
          </w:r>
          <w:r w:rsidRPr="007C747A">
            <w:rPr>
              <w:color w:val="000000" w:themeColor="accent6"/>
              <w:lang w:val="en-AU"/>
            </w:rPr>
            <w:instrText xml:space="preserve"> TOC \o "1-2" \h \z \u </w:instrText>
          </w:r>
          <w:r w:rsidRPr="007C747A">
            <w:rPr>
              <w:rFonts w:eastAsiaTheme="minorEastAsia"/>
              <w:noProof w:val="0"/>
              <w:color w:val="000000" w:themeColor="accent6"/>
              <w:lang w:val="en-AU"/>
            </w:rPr>
            <w:fldChar w:fldCharType="separate"/>
          </w:r>
        </w:p>
        <w:p w14:paraId="5DAF25CB" w14:textId="5A62FAC9" w:rsidR="00D63146" w:rsidRPr="007C747A" w:rsidRDefault="00D63146">
          <w:pPr>
            <w:pStyle w:val="TOC1"/>
            <w:rPr>
              <w:rFonts w:asciiTheme="minorHAnsi" w:eastAsiaTheme="minorEastAsia" w:hAnsiTheme="minorHAnsi" w:cstheme="minorBidi"/>
              <w:b w:val="0"/>
              <w:bCs w:val="0"/>
              <w:kern w:val="2"/>
              <w:lang w:val="en-AU" w:eastAsia="en-AU"/>
              <w14:ligatures w14:val="standardContextual"/>
            </w:rPr>
          </w:pPr>
        </w:p>
        <w:p w14:paraId="2349B9E2" w14:textId="556F0B1E"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380" w:history="1">
            <w:r w:rsidR="00D63146" w:rsidRPr="007C747A">
              <w:rPr>
                <w:rStyle w:val="Hyperlink"/>
                <w:lang w:val="en-AU"/>
              </w:rPr>
              <w:t>Letter of transmittal</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_Toc148108380 \h </w:instrText>
            </w:r>
            <w:r w:rsidR="00D63146" w:rsidRPr="007C747A">
              <w:rPr>
                <w:webHidden/>
                <w:lang w:val="en-AU"/>
              </w:rPr>
            </w:r>
            <w:r w:rsidR="00D63146" w:rsidRPr="007C747A">
              <w:rPr>
                <w:webHidden/>
                <w:lang w:val="en-AU"/>
              </w:rPr>
              <w:fldChar w:fldCharType="separate"/>
            </w:r>
            <w:r w:rsidR="0069789E">
              <w:rPr>
                <w:webHidden/>
                <w:lang w:val="en-AU"/>
              </w:rPr>
              <w:t>4</w:t>
            </w:r>
            <w:r w:rsidR="00D63146" w:rsidRPr="007C747A">
              <w:rPr>
                <w:webHidden/>
                <w:lang w:val="en-AU"/>
              </w:rPr>
              <w:fldChar w:fldCharType="end"/>
            </w:r>
          </w:hyperlink>
        </w:p>
        <w:p w14:paraId="5E6CE479" w14:textId="1496381D"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381" w:history="1">
            <w:r w:rsidR="00D63146" w:rsidRPr="007C747A">
              <w:rPr>
                <w:rStyle w:val="Hyperlink"/>
                <w:lang w:val="en-AU"/>
              </w:rPr>
              <w:t>1</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Introduction</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_Toc148108381 \h </w:instrText>
            </w:r>
            <w:r w:rsidR="00D63146" w:rsidRPr="007C747A">
              <w:rPr>
                <w:webHidden/>
                <w:lang w:val="en-AU"/>
              </w:rPr>
            </w:r>
            <w:r w:rsidR="00D63146" w:rsidRPr="007C747A">
              <w:rPr>
                <w:webHidden/>
                <w:lang w:val="en-AU"/>
              </w:rPr>
              <w:fldChar w:fldCharType="separate"/>
            </w:r>
            <w:r w:rsidR="0069789E">
              <w:rPr>
                <w:webHidden/>
                <w:lang w:val="en-AU"/>
              </w:rPr>
              <w:t>5</w:t>
            </w:r>
            <w:r w:rsidR="00D63146" w:rsidRPr="007C747A">
              <w:rPr>
                <w:webHidden/>
                <w:lang w:val="en-AU"/>
              </w:rPr>
              <w:fldChar w:fldCharType="end"/>
            </w:r>
          </w:hyperlink>
        </w:p>
        <w:p w14:paraId="1285D9D7" w14:textId="64712F68"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2" w:history="1">
            <w:r w:rsidR="00D63146" w:rsidRPr="007C747A">
              <w:rPr>
                <w:rStyle w:val="Hyperlink"/>
                <w:lang w:val="en-AU"/>
              </w:rPr>
              <w:t>About this report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_Toc148108382 \h </w:instrText>
            </w:r>
            <w:r w:rsidR="00D63146" w:rsidRPr="007C747A">
              <w:rPr>
                <w:webHidden/>
                <w:lang w:val="en-AU"/>
              </w:rPr>
            </w:r>
            <w:r w:rsidR="00D63146" w:rsidRPr="007C747A">
              <w:rPr>
                <w:webHidden/>
                <w:lang w:val="en-AU"/>
              </w:rPr>
              <w:fldChar w:fldCharType="separate"/>
            </w:r>
            <w:r w:rsidR="0069789E">
              <w:rPr>
                <w:webHidden/>
                <w:lang w:val="en-AU"/>
              </w:rPr>
              <w:t>5</w:t>
            </w:r>
            <w:r w:rsidR="00D63146" w:rsidRPr="007C747A">
              <w:rPr>
                <w:webHidden/>
                <w:lang w:val="en-AU"/>
              </w:rPr>
              <w:fldChar w:fldCharType="end"/>
            </w:r>
          </w:hyperlink>
        </w:p>
        <w:p w14:paraId="3402C574" w14:textId="38D9138B"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3" w:history="1">
            <w:r w:rsidR="00D63146" w:rsidRPr="007C747A">
              <w:rPr>
                <w:rStyle w:val="Hyperlink"/>
                <w:lang w:val="en-AU"/>
              </w:rPr>
              <w:t>Acknowledgement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_Toc148108383 \h </w:instrText>
            </w:r>
            <w:r w:rsidR="00D63146" w:rsidRPr="007C747A">
              <w:rPr>
                <w:webHidden/>
                <w:lang w:val="en-AU"/>
              </w:rPr>
            </w:r>
            <w:r w:rsidR="00D63146" w:rsidRPr="007C747A">
              <w:rPr>
                <w:webHidden/>
                <w:lang w:val="en-AU"/>
              </w:rPr>
              <w:fldChar w:fldCharType="separate"/>
            </w:r>
            <w:r w:rsidR="0069789E">
              <w:rPr>
                <w:webHidden/>
                <w:lang w:val="en-AU"/>
              </w:rPr>
              <w:t>5</w:t>
            </w:r>
            <w:r w:rsidR="00D63146" w:rsidRPr="007C747A">
              <w:rPr>
                <w:webHidden/>
                <w:lang w:val="en-AU"/>
              </w:rPr>
              <w:fldChar w:fldCharType="end"/>
            </w:r>
          </w:hyperlink>
        </w:p>
        <w:p w14:paraId="695DBD64" w14:textId="20E9F67F"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4" w:history="1">
            <w:r w:rsidR="00D63146" w:rsidRPr="007C747A">
              <w:rPr>
                <w:rStyle w:val="Hyperlink"/>
                <w:lang w:val="en-AU"/>
              </w:rPr>
              <w:t>1.1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Chair’s review</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_Toc148108384 \h </w:instrText>
            </w:r>
            <w:r w:rsidR="00D63146" w:rsidRPr="007C747A">
              <w:rPr>
                <w:webHidden/>
                <w:lang w:val="en-AU"/>
              </w:rPr>
            </w:r>
            <w:r w:rsidR="00D63146" w:rsidRPr="007C747A">
              <w:rPr>
                <w:webHidden/>
                <w:lang w:val="en-AU"/>
              </w:rPr>
              <w:fldChar w:fldCharType="separate"/>
            </w:r>
            <w:r w:rsidR="0069789E">
              <w:rPr>
                <w:webHidden/>
                <w:lang w:val="en-AU"/>
              </w:rPr>
              <w:t>6</w:t>
            </w:r>
            <w:r w:rsidR="00D63146" w:rsidRPr="007C747A">
              <w:rPr>
                <w:webHidden/>
                <w:lang w:val="en-AU"/>
              </w:rPr>
              <w:fldChar w:fldCharType="end"/>
            </w:r>
          </w:hyperlink>
        </w:p>
        <w:p w14:paraId="4C37A5C1" w14:textId="19AE7C02"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5" w:history="1">
            <w:r w:rsidR="00D63146" w:rsidRPr="007C747A">
              <w:rPr>
                <w:rStyle w:val="Hyperlink"/>
                <w:lang w:val="en-AU"/>
              </w:rPr>
              <w:t>1.2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Chief Executive Officer’s review</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_Toc148108385 \h </w:instrText>
            </w:r>
            <w:r w:rsidR="00D63146" w:rsidRPr="007C747A">
              <w:rPr>
                <w:webHidden/>
                <w:lang w:val="en-AU"/>
              </w:rPr>
            </w:r>
            <w:r w:rsidR="00D63146" w:rsidRPr="007C747A">
              <w:rPr>
                <w:webHidden/>
                <w:lang w:val="en-AU"/>
              </w:rPr>
              <w:fldChar w:fldCharType="separate"/>
            </w:r>
            <w:r w:rsidR="0069789E">
              <w:rPr>
                <w:webHidden/>
                <w:lang w:val="en-AU"/>
              </w:rPr>
              <w:t>7</w:t>
            </w:r>
            <w:r w:rsidR="00D63146" w:rsidRPr="007C747A">
              <w:rPr>
                <w:webHidden/>
                <w:lang w:val="en-AU"/>
              </w:rPr>
              <w:fldChar w:fldCharType="end"/>
            </w:r>
          </w:hyperlink>
        </w:p>
        <w:p w14:paraId="0DDEC3B2" w14:textId="2A49F9F8"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6" w:history="1">
            <w:r w:rsidR="00D63146" w:rsidRPr="007C747A">
              <w:rPr>
                <w:rStyle w:val="Hyperlink"/>
                <w:lang w:val="en-AU"/>
              </w:rPr>
              <w:t>1.3</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The National Disability Insurance Scheme</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_Toc148108386 \h </w:instrText>
            </w:r>
            <w:r w:rsidR="00D63146" w:rsidRPr="007C747A">
              <w:rPr>
                <w:webHidden/>
                <w:lang w:val="en-AU"/>
              </w:rPr>
            </w:r>
            <w:r w:rsidR="00D63146" w:rsidRPr="007C747A">
              <w:rPr>
                <w:webHidden/>
                <w:lang w:val="en-AU"/>
              </w:rPr>
              <w:fldChar w:fldCharType="separate"/>
            </w:r>
            <w:r w:rsidR="0069789E">
              <w:rPr>
                <w:webHidden/>
                <w:lang w:val="en-AU"/>
              </w:rPr>
              <w:t>8</w:t>
            </w:r>
            <w:r w:rsidR="00D63146" w:rsidRPr="007C747A">
              <w:rPr>
                <w:webHidden/>
                <w:lang w:val="en-AU"/>
              </w:rPr>
              <w:fldChar w:fldCharType="end"/>
            </w:r>
          </w:hyperlink>
        </w:p>
        <w:p w14:paraId="36062A54" w14:textId="1E75FBCD"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7" w:history="1">
            <w:r w:rsidR="00D63146" w:rsidRPr="007C747A">
              <w:rPr>
                <w:rStyle w:val="Hyperlink"/>
                <w:lang w:val="en-AU"/>
              </w:rPr>
              <w:t>1.4</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The National Disability Insurance Agency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_Toc148108387 \h </w:instrText>
            </w:r>
            <w:r w:rsidR="00D63146" w:rsidRPr="007C747A">
              <w:rPr>
                <w:webHidden/>
                <w:lang w:val="en-AU"/>
              </w:rPr>
            </w:r>
            <w:r w:rsidR="00D63146" w:rsidRPr="007C747A">
              <w:rPr>
                <w:webHidden/>
                <w:lang w:val="en-AU"/>
              </w:rPr>
              <w:fldChar w:fldCharType="separate"/>
            </w:r>
            <w:r w:rsidR="0069789E">
              <w:rPr>
                <w:webHidden/>
                <w:lang w:val="en-AU"/>
              </w:rPr>
              <w:t>8</w:t>
            </w:r>
            <w:r w:rsidR="00D63146" w:rsidRPr="007C747A">
              <w:rPr>
                <w:webHidden/>
                <w:lang w:val="en-AU"/>
              </w:rPr>
              <w:fldChar w:fldCharType="end"/>
            </w:r>
          </w:hyperlink>
        </w:p>
        <w:p w14:paraId="2592A7DE" w14:textId="42041A5A"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8" w:history="1">
            <w:r w:rsidR="00D63146" w:rsidRPr="007C747A">
              <w:rPr>
                <w:rStyle w:val="Hyperlink"/>
                <w:lang w:val="en-AU"/>
              </w:rPr>
              <w:t>1.5</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Our values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_Toc148108388 \h </w:instrText>
            </w:r>
            <w:r w:rsidR="00D63146" w:rsidRPr="007C747A">
              <w:rPr>
                <w:webHidden/>
                <w:lang w:val="en-AU"/>
              </w:rPr>
            </w:r>
            <w:r w:rsidR="00D63146" w:rsidRPr="007C747A">
              <w:rPr>
                <w:webHidden/>
                <w:lang w:val="en-AU"/>
              </w:rPr>
              <w:fldChar w:fldCharType="separate"/>
            </w:r>
            <w:r w:rsidR="0069789E">
              <w:rPr>
                <w:webHidden/>
                <w:lang w:val="en-AU"/>
              </w:rPr>
              <w:t>9</w:t>
            </w:r>
            <w:r w:rsidR="00D63146" w:rsidRPr="007C747A">
              <w:rPr>
                <w:webHidden/>
                <w:lang w:val="en-AU"/>
              </w:rPr>
              <w:fldChar w:fldCharType="end"/>
            </w:r>
          </w:hyperlink>
        </w:p>
        <w:p w14:paraId="063EB0D7" w14:textId="01AF44D7"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89" w:history="1">
            <w:r w:rsidR="00D63146" w:rsidRPr="007C747A">
              <w:rPr>
                <w:rStyle w:val="Hyperlink"/>
                <w:lang w:val="en-AU"/>
              </w:rPr>
              <w:t>1.6</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Our aspirations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_Toc148108389 \h </w:instrText>
            </w:r>
            <w:r w:rsidR="00D63146" w:rsidRPr="007C747A">
              <w:rPr>
                <w:webHidden/>
                <w:lang w:val="en-AU"/>
              </w:rPr>
            </w:r>
            <w:r w:rsidR="00D63146" w:rsidRPr="007C747A">
              <w:rPr>
                <w:webHidden/>
                <w:lang w:val="en-AU"/>
              </w:rPr>
              <w:fldChar w:fldCharType="separate"/>
            </w:r>
            <w:r w:rsidR="0069789E">
              <w:rPr>
                <w:webHidden/>
                <w:lang w:val="en-AU"/>
              </w:rPr>
              <w:t>10</w:t>
            </w:r>
            <w:r w:rsidR="00D63146" w:rsidRPr="007C747A">
              <w:rPr>
                <w:webHidden/>
                <w:lang w:val="en-AU"/>
              </w:rPr>
              <w:fldChar w:fldCharType="end"/>
            </w:r>
          </w:hyperlink>
        </w:p>
        <w:p w14:paraId="2E12DCA2" w14:textId="1EAEA8C4"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390" w:history="1">
            <w:r w:rsidR="00D63146" w:rsidRPr="007C747A">
              <w:rPr>
                <w:rStyle w:val="Hyperlink"/>
                <w:lang w:val="en-AU"/>
              </w:rPr>
              <w:t>2</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Annual Performance Statements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_Toc148108390 \h </w:instrText>
            </w:r>
            <w:r w:rsidR="00D63146" w:rsidRPr="007C747A">
              <w:rPr>
                <w:webHidden/>
                <w:lang w:val="en-AU"/>
              </w:rPr>
            </w:r>
            <w:r w:rsidR="00D63146" w:rsidRPr="007C747A">
              <w:rPr>
                <w:webHidden/>
                <w:lang w:val="en-AU"/>
              </w:rPr>
              <w:fldChar w:fldCharType="separate"/>
            </w:r>
            <w:r w:rsidR="0069789E">
              <w:rPr>
                <w:webHidden/>
                <w:lang w:val="en-AU"/>
              </w:rPr>
              <w:t>11</w:t>
            </w:r>
            <w:r w:rsidR="00D63146" w:rsidRPr="007C747A">
              <w:rPr>
                <w:webHidden/>
                <w:lang w:val="en-AU"/>
              </w:rPr>
              <w:fldChar w:fldCharType="end"/>
            </w:r>
          </w:hyperlink>
        </w:p>
        <w:p w14:paraId="24A6F2FE" w14:textId="5867BB39"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91" w:history="1">
            <w:r w:rsidR="00D63146" w:rsidRPr="007C747A">
              <w:rPr>
                <w:rStyle w:val="Hyperlink"/>
                <w:lang w:val="en-AU"/>
              </w:rPr>
              <w:t>2.1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Introduction</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_Toc148108391 \h </w:instrText>
            </w:r>
            <w:r w:rsidR="00D63146" w:rsidRPr="007C747A">
              <w:rPr>
                <w:webHidden/>
                <w:lang w:val="en-AU"/>
              </w:rPr>
            </w:r>
            <w:r w:rsidR="00D63146" w:rsidRPr="007C747A">
              <w:rPr>
                <w:webHidden/>
                <w:lang w:val="en-AU"/>
              </w:rPr>
              <w:fldChar w:fldCharType="separate"/>
            </w:r>
            <w:r w:rsidR="0069789E">
              <w:rPr>
                <w:webHidden/>
                <w:lang w:val="en-AU"/>
              </w:rPr>
              <w:t>12</w:t>
            </w:r>
            <w:r w:rsidR="00D63146" w:rsidRPr="007C747A">
              <w:rPr>
                <w:webHidden/>
                <w:lang w:val="en-AU"/>
              </w:rPr>
              <w:fldChar w:fldCharType="end"/>
            </w:r>
          </w:hyperlink>
        </w:p>
        <w:p w14:paraId="33C4C055" w14:textId="74A8E958"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92" w:history="1">
            <w:r w:rsidR="00D63146" w:rsidRPr="007C747A">
              <w:rPr>
                <w:rStyle w:val="Hyperlink"/>
                <w:lang w:val="en-AU"/>
              </w:rPr>
              <w:t>2.2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Key activity performance</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_Toc148108392 \h </w:instrText>
            </w:r>
            <w:r w:rsidR="00D63146" w:rsidRPr="007C747A">
              <w:rPr>
                <w:webHidden/>
                <w:lang w:val="en-AU"/>
              </w:rPr>
            </w:r>
            <w:r w:rsidR="00D63146" w:rsidRPr="007C747A">
              <w:rPr>
                <w:webHidden/>
                <w:lang w:val="en-AU"/>
              </w:rPr>
              <w:fldChar w:fldCharType="separate"/>
            </w:r>
            <w:r w:rsidR="0069789E">
              <w:rPr>
                <w:webHidden/>
                <w:lang w:val="en-AU"/>
              </w:rPr>
              <w:t>14</w:t>
            </w:r>
            <w:r w:rsidR="00D63146" w:rsidRPr="007C747A">
              <w:rPr>
                <w:webHidden/>
                <w:lang w:val="en-AU"/>
              </w:rPr>
              <w:fldChar w:fldCharType="end"/>
            </w:r>
          </w:hyperlink>
        </w:p>
        <w:p w14:paraId="1E13505A" w14:textId="49CE68F7"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393" w:history="1">
            <w:r w:rsidR="00D63146" w:rsidRPr="007C747A">
              <w:rPr>
                <w:rStyle w:val="Hyperlink"/>
                <w:lang w:val="en-AU"/>
              </w:rPr>
              <w:t>3</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Financials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_Toc148108393 \h </w:instrText>
            </w:r>
            <w:r w:rsidR="00D63146" w:rsidRPr="007C747A">
              <w:rPr>
                <w:webHidden/>
                <w:lang w:val="en-AU"/>
              </w:rPr>
            </w:r>
            <w:r w:rsidR="00D63146" w:rsidRPr="007C747A">
              <w:rPr>
                <w:webHidden/>
                <w:lang w:val="en-AU"/>
              </w:rPr>
              <w:fldChar w:fldCharType="separate"/>
            </w:r>
            <w:r w:rsidR="0069789E">
              <w:rPr>
                <w:webHidden/>
                <w:lang w:val="en-AU"/>
              </w:rPr>
              <w:t>22</w:t>
            </w:r>
            <w:r w:rsidR="00D63146" w:rsidRPr="007C747A">
              <w:rPr>
                <w:webHidden/>
                <w:lang w:val="en-AU"/>
              </w:rPr>
              <w:fldChar w:fldCharType="end"/>
            </w:r>
          </w:hyperlink>
        </w:p>
        <w:p w14:paraId="65FE4D82" w14:textId="774610B1"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94" w:history="1">
            <w:r w:rsidR="00D63146" w:rsidRPr="007C747A">
              <w:rPr>
                <w:rStyle w:val="Hyperlink"/>
                <w:lang w:val="en-AU"/>
              </w:rPr>
              <w:t>3.1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Independent audit report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_Toc148108394 \h </w:instrText>
            </w:r>
            <w:r w:rsidR="00D63146" w:rsidRPr="007C747A">
              <w:rPr>
                <w:webHidden/>
                <w:lang w:val="en-AU"/>
              </w:rPr>
            </w:r>
            <w:r w:rsidR="00D63146" w:rsidRPr="007C747A">
              <w:rPr>
                <w:webHidden/>
                <w:lang w:val="en-AU"/>
              </w:rPr>
              <w:fldChar w:fldCharType="separate"/>
            </w:r>
            <w:r w:rsidR="0069789E">
              <w:rPr>
                <w:webHidden/>
                <w:lang w:val="en-AU"/>
              </w:rPr>
              <w:t>22</w:t>
            </w:r>
            <w:r w:rsidR="00D63146" w:rsidRPr="007C747A">
              <w:rPr>
                <w:webHidden/>
                <w:lang w:val="en-AU"/>
              </w:rPr>
              <w:fldChar w:fldCharType="end"/>
            </w:r>
          </w:hyperlink>
        </w:p>
        <w:p w14:paraId="67F052A2" w14:textId="1E243B0B"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395" w:history="1">
            <w:r w:rsidR="00D63146" w:rsidRPr="007C747A">
              <w:rPr>
                <w:rStyle w:val="Hyperlink"/>
                <w:lang w:val="en-AU"/>
              </w:rPr>
              <w:t>3.2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Financial statements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_Toc148108395 \h </w:instrText>
            </w:r>
            <w:r w:rsidR="00D63146" w:rsidRPr="007C747A">
              <w:rPr>
                <w:webHidden/>
                <w:lang w:val="en-AU"/>
              </w:rPr>
            </w:r>
            <w:r w:rsidR="00D63146" w:rsidRPr="007C747A">
              <w:rPr>
                <w:webHidden/>
                <w:lang w:val="en-AU"/>
              </w:rPr>
              <w:fldChar w:fldCharType="separate"/>
            </w:r>
            <w:r w:rsidR="0069789E">
              <w:rPr>
                <w:webHidden/>
                <w:lang w:val="en-AU"/>
              </w:rPr>
              <w:t>26</w:t>
            </w:r>
            <w:r w:rsidR="00D63146" w:rsidRPr="007C747A">
              <w:rPr>
                <w:webHidden/>
                <w:lang w:val="en-AU"/>
              </w:rPr>
              <w:fldChar w:fldCharType="end"/>
            </w:r>
          </w:hyperlink>
        </w:p>
        <w:p w14:paraId="7AED6D2F" w14:textId="79632149"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415" w:history="1">
            <w:r w:rsidR="00D63146" w:rsidRPr="007C747A">
              <w:rPr>
                <w:rStyle w:val="Hyperlink"/>
                <w:lang w:val="en-AU"/>
              </w:rPr>
              <w:t>4</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Financial sustainability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_Toc148108415 \h </w:instrText>
            </w:r>
            <w:r w:rsidR="00D63146" w:rsidRPr="007C747A">
              <w:rPr>
                <w:webHidden/>
                <w:lang w:val="en-AU"/>
              </w:rPr>
            </w:r>
            <w:r w:rsidR="00D63146" w:rsidRPr="007C747A">
              <w:rPr>
                <w:webHidden/>
                <w:lang w:val="en-AU"/>
              </w:rPr>
              <w:fldChar w:fldCharType="separate"/>
            </w:r>
            <w:r w:rsidR="0069789E">
              <w:rPr>
                <w:webHidden/>
                <w:lang w:val="en-AU"/>
              </w:rPr>
              <w:t>59</w:t>
            </w:r>
            <w:r w:rsidR="00D63146" w:rsidRPr="007C747A">
              <w:rPr>
                <w:webHidden/>
                <w:lang w:val="en-AU"/>
              </w:rPr>
              <w:fldChar w:fldCharType="end"/>
            </w:r>
          </w:hyperlink>
        </w:p>
        <w:p w14:paraId="0182AAB9" w14:textId="0123C945"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16" w:history="1">
            <w:r w:rsidR="00D63146" w:rsidRPr="007C747A">
              <w:rPr>
                <w:rStyle w:val="Hyperlink"/>
                <w:lang w:val="en-AU"/>
              </w:rPr>
              <w:t>4.1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Executive summary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_Toc148108416 \h </w:instrText>
            </w:r>
            <w:r w:rsidR="00D63146" w:rsidRPr="007C747A">
              <w:rPr>
                <w:webHidden/>
                <w:lang w:val="en-AU"/>
              </w:rPr>
            </w:r>
            <w:r w:rsidR="00D63146" w:rsidRPr="007C747A">
              <w:rPr>
                <w:webHidden/>
                <w:lang w:val="en-AU"/>
              </w:rPr>
              <w:fldChar w:fldCharType="separate"/>
            </w:r>
            <w:r w:rsidR="0069789E">
              <w:rPr>
                <w:webHidden/>
                <w:lang w:val="en-AU"/>
              </w:rPr>
              <w:t>59</w:t>
            </w:r>
            <w:r w:rsidR="00D63146" w:rsidRPr="007C747A">
              <w:rPr>
                <w:webHidden/>
                <w:lang w:val="en-AU"/>
              </w:rPr>
              <w:fldChar w:fldCharType="end"/>
            </w:r>
          </w:hyperlink>
        </w:p>
        <w:p w14:paraId="0CDC3E6C" w14:textId="69DE0195"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17" w:history="1">
            <w:r w:rsidR="00D63146" w:rsidRPr="007C747A">
              <w:rPr>
                <w:rStyle w:val="Hyperlink"/>
                <w:lang w:val="en-AU"/>
              </w:rPr>
              <w:t>4.2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Context for 2022-23 AFSR</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_Toc148108417 \h </w:instrText>
            </w:r>
            <w:r w:rsidR="00D63146" w:rsidRPr="007C747A">
              <w:rPr>
                <w:webHidden/>
                <w:lang w:val="en-AU"/>
              </w:rPr>
            </w:r>
            <w:r w:rsidR="00D63146" w:rsidRPr="007C747A">
              <w:rPr>
                <w:webHidden/>
                <w:lang w:val="en-AU"/>
              </w:rPr>
              <w:fldChar w:fldCharType="separate"/>
            </w:r>
            <w:r w:rsidR="0069789E">
              <w:rPr>
                <w:webHidden/>
                <w:lang w:val="en-AU"/>
              </w:rPr>
              <w:t>59</w:t>
            </w:r>
            <w:r w:rsidR="00D63146" w:rsidRPr="007C747A">
              <w:rPr>
                <w:webHidden/>
                <w:lang w:val="en-AU"/>
              </w:rPr>
              <w:fldChar w:fldCharType="end"/>
            </w:r>
          </w:hyperlink>
        </w:p>
        <w:p w14:paraId="78536616" w14:textId="1FED18CF"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18" w:history="1">
            <w:r w:rsidR="00D63146" w:rsidRPr="007C747A">
              <w:rPr>
                <w:rStyle w:val="Hyperlink"/>
                <w:lang w:val="en-AU"/>
              </w:rPr>
              <w:t>4.3</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June 2023 projection of Scheme expenses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_Toc148108418 \h </w:instrText>
            </w:r>
            <w:r w:rsidR="00D63146" w:rsidRPr="007C747A">
              <w:rPr>
                <w:webHidden/>
                <w:lang w:val="en-AU"/>
              </w:rPr>
            </w:r>
            <w:r w:rsidR="00D63146" w:rsidRPr="007C747A">
              <w:rPr>
                <w:webHidden/>
                <w:lang w:val="en-AU"/>
              </w:rPr>
              <w:fldChar w:fldCharType="separate"/>
            </w:r>
            <w:r w:rsidR="0069789E">
              <w:rPr>
                <w:webHidden/>
                <w:lang w:val="en-AU"/>
              </w:rPr>
              <w:t>60</w:t>
            </w:r>
            <w:r w:rsidR="00D63146" w:rsidRPr="007C747A">
              <w:rPr>
                <w:webHidden/>
                <w:lang w:val="en-AU"/>
              </w:rPr>
              <w:fldChar w:fldCharType="end"/>
            </w:r>
          </w:hyperlink>
        </w:p>
        <w:p w14:paraId="32804FD1" w14:textId="6C289875"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419" w:history="1">
            <w:r w:rsidR="00D63146" w:rsidRPr="007C747A">
              <w:rPr>
                <w:rStyle w:val="Hyperlink"/>
                <w:lang w:val="en-AU"/>
              </w:rPr>
              <w:t>5</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Management and accountability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_Toc148108419 \h </w:instrText>
            </w:r>
            <w:r w:rsidR="00D63146" w:rsidRPr="007C747A">
              <w:rPr>
                <w:webHidden/>
                <w:lang w:val="en-AU"/>
              </w:rPr>
            </w:r>
            <w:r w:rsidR="00D63146" w:rsidRPr="007C747A">
              <w:rPr>
                <w:webHidden/>
                <w:lang w:val="en-AU"/>
              </w:rPr>
              <w:fldChar w:fldCharType="separate"/>
            </w:r>
            <w:r w:rsidR="0069789E">
              <w:rPr>
                <w:webHidden/>
                <w:lang w:val="en-AU"/>
              </w:rPr>
              <w:t>64</w:t>
            </w:r>
            <w:r w:rsidR="00D63146" w:rsidRPr="007C747A">
              <w:rPr>
                <w:webHidden/>
                <w:lang w:val="en-AU"/>
              </w:rPr>
              <w:fldChar w:fldCharType="end"/>
            </w:r>
          </w:hyperlink>
        </w:p>
        <w:p w14:paraId="7F82E3DB" w14:textId="4E282682"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0" w:history="1">
            <w:r w:rsidR="00D63146" w:rsidRPr="007C747A">
              <w:rPr>
                <w:rStyle w:val="Hyperlink"/>
                <w:lang w:val="en-AU"/>
              </w:rPr>
              <w:t>5.1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Governance</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_Toc148108420 \h </w:instrText>
            </w:r>
            <w:r w:rsidR="00D63146" w:rsidRPr="007C747A">
              <w:rPr>
                <w:webHidden/>
                <w:lang w:val="en-AU"/>
              </w:rPr>
            </w:r>
            <w:r w:rsidR="00D63146" w:rsidRPr="007C747A">
              <w:rPr>
                <w:webHidden/>
                <w:lang w:val="en-AU"/>
              </w:rPr>
              <w:fldChar w:fldCharType="separate"/>
            </w:r>
            <w:r w:rsidR="0069789E">
              <w:rPr>
                <w:webHidden/>
                <w:lang w:val="en-AU"/>
              </w:rPr>
              <w:t>64</w:t>
            </w:r>
            <w:r w:rsidR="00D63146" w:rsidRPr="007C747A">
              <w:rPr>
                <w:webHidden/>
                <w:lang w:val="en-AU"/>
              </w:rPr>
              <w:fldChar w:fldCharType="end"/>
            </w:r>
          </w:hyperlink>
        </w:p>
        <w:p w14:paraId="5B6C4E14" w14:textId="58441A13"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1" w:history="1">
            <w:r w:rsidR="00D63146" w:rsidRPr="007C747A">
              <w:rPr>
                <w:rStyle w:val="Hyperlink"/>
                <w:lang w:val="en-AU"/>
              </w:rPr>
              <w:t>5.2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The Board</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_Toc148108421 \h </w:instrText>
            </w:r>
            <w:r w:rsidR="00D63146" w:rsidRPr="007C747A">
              <w:rPr>
                <w:webHidden/>
                <w:lang w:val="en-AU"/>
              </w:rPr>
            </w:r>
            <w:r w:rsidR="00D63146" w:rsidRPr="007C747A">
              <w:rPr>
                <w:webHidden/>
                <w:lang w:val="en-AU"/>
              </w:rPr>
              <w:fldChar w:fldCharType="separate"/>
            </w:r>
            <w:r w:rsidR="0069789E">
              <w:rPr>
                <w:webHidden/>
                <w:lang w:val="en-AU"/>
              </w:rPr>
              <w:t>64</w:t>
            </w:r>
            <w:r w:rsidR="00D63146" w:rsidRPr="007C747A">
              <w:rPr>
                <w:webHidden/>
                <w:lang w:val="en-AU"/>
              </w:rPr>
              <w:fldChar w:fldCharType="end"/>
            </w:r>
          </w:hyperlink>
        </w:p>
        <w:p w14:paraId="64FC497A" w14:textId="627105A9"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2" w:history="1">
            <w:r w:rsidR="00D63146" w:rsidRPr="007C747A">
              <w:rPr>
                <w:rStyle w:val="Hyperlink"/>
                <w:lang w:val="en-AU"/>
              </w:rPr>
              <w:t>5.3</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The Independent Advisory Council</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_Toc148108422 \h </w:instrText>
            </w:r>
            <w:r w:rsidR="00D63146" w:rsidRPr="007C747A">
              <w:rPr>
                <w:webHidden/>
                <w:lang w:val="en-AU"/>
              </w:rPr>
            </w:r>
            <w:r w:rsidR="00D63146" w:rsidRPr="007C747A">
              <w:rPr>
                <w:webHidden/>
                <w:lang w:val="en-AU"/>
              </w:rPr>
              <w:fldChar w:fldCharType="separate"/>
            </w:r>
            <w:r w:rsidR="0069789E">
              <w:rPr>
                <w:webHidden/>
                <w:lang w:val="en-AU"/>
              </w:rPr>
              <w:t>75</w:t>
            </w:r>
            <w:r w:rsidR="00D63146" w:rsidRPr="007C747A">
              <w:rPr>
                <w:webHidden/>
                <w:lang w:val="en-AU"/>
              </w:rPr>
              <w:fldChar w:fldCharType="end"/>
            </w:r>
          </w:hyperlink>
        </w:p>
        <w:p w14:paraId="3D9BC2F5" w14:textId="4DE3E0FD"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3" w:history="1">
            <w:r w:rsidR="00D63146" w:rsidRPr="007C747A">
              <w:rPr>
                <w:rStyle w:val="Hyperlink"/>
                <w:lang w:val="en-AU"/>
              </w:rPr>
              <w:t>5.4</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Chief Executive Officer and Strategic Leadership Team</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_Toc148108423 \h </w:instrText>
            </w:r>
            <w:r w:rsidR="00D63146" w:rsidRPr="007C747A">
              <w:rPr>
                <w:webHidden/>
                <w:lang w:val="en-AU"/>
              </w:rPr>
            </w:r>
            <w:r w:rsidR="00D63146" w:rsidRPr="007C747A">
              <w:rPr>
                <w:webHidden/>
                <w:lang w:val="en-AU"/>
              </w:rPr>
              <w:fldChar w:fldCharType="separate"/>
            </w:r>
            <w:r w:rsidR="0069789E">
              <w:rPr>
                <w:webHidden/>
                <w:lang w:val="en-AU"/>
              </w:rPr>
              <w:t>77</w:t>
            </w:r>
            <w:r w:rsidR="00D63146" w:rsidRPr="007C747A">
              <w:rPr>
                <w:webHidden/>
                <w:lang w:val="en-AU"/>
              </w:rPr>
              <w:fldChar w:fldCharType="end"/>
            </w:r>
          </w:hyperlink>
        </w:p>
        <w:p w14:paraId="1B931197" w14:textId="5A7F9096"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4" w:history="1">
            <w:r w:rsidR="00D63146" w:rsidRPr="007C747A">
              <w:rPr>
                <w:rStyle w:val="Hyperlink"/>
                <w:lang w:val="en-AU"/>
              </w:rPr>
              <w:t>5.5</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Partners in the community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_Toc148108424 \h </w:instrText>
            </w:r>
            <w:r w:rsidR="00D63146" w:rsidRPr="007C747A">
              <w:rPr>
                <w:webHidden/>
                <w:lang w:val="en-AU"/>
              </w:rPr>
            </w:r>
            <w:r w:rsidR="00D63146" w:rsidRPr="007C747A">
              <w:rPr>
                <w:webHidden/>
                <w:lang w:val="en-AU"/>
              </w:rPr>
              <w:fldChar w:fldCharType="separate"/>
            </w:r>
            <w:r w:rsidR="0069789E">
              <w:rPr>
                <w:webHidden/>
                <w:lang w:val="en-AU"/>
              </w:rPr>
              <w:t>78</w:t>
            </w:r>
            <w:r w:rsidR="00D63146" w:rsidRPr="007C747A">
              <w:rPr>
                <w:webHidden/>
                <w:lang w:val="en-AU"/>
              </w:rPr>
              <w:fldChar w:fldCharType="end"/>
            </w:r>
          </w:hyperlink>
        </w:p>
        <w:p w14:paraId="74168680" w14:textId="1DE7A158"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5" w:history="1">
            <w:r w:rsidR="00D63146" w:rsidRPr="007C747A">
              <w:rPr>
                <w:rStyle w:val="Hyperlink"/>
                <w:lang w:val="en-AU"/>
              </w:rPr>
              <w:t>5.6</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Workforce management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_Toc148108425 \h </w:instrText>
            </w:r>
            <w:r w:rsidR="00D63146" w:rsidRPr="007C747A">
              <w:rPr>
                <w:webHidden/>
                <w:lang w:val="en-AU"/>
              </w:rPr>
            </w:r>
            <w:r w:rsidR="00D63146" w:rsidRPr="007C747A">
              <w:rPr>
                <w:webHidden/>
                <w:lang w:val="en-AU"/>
              </w:rPr>
              <w:fldChar w:fldCharType="separate"/>
            </w:r>
            <w:r w:rsidR="0069789E">
              <w:rPr>
                <w:webHidden/>
                <w:lang w:val="en-AU"/>
              </w:rPr>
              <w:t>78</w:t>
            </w:r>
            <w:r w:rsidR="00D63146" w:rsidRPr="007C747A">
              <w:rPr>
                <w:webHidden/>
                <w:lang w:val="en-AU"/>
              </w:rPr>
              <w:fldChar w:fldCharType="end"/>
            </w:r>
          </w:hyperlink>
        </w:p>
        <w:p w14:paraId="1F32C2A1" w14:textId="037942F1"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6" w:history="1">
            <w:r w:rsidR="00D63146" w:rsidRPr="007C747A">
              <w:rPr>
                <w:rStyle w:val="Hyperlink"/>
                <w:lang w:val="en-AU"/>
              </w:rPr>
              <w:t>5.7</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Staff engagement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_Toc148108426 \h </w:instrText>
            </w:r>
            <w:r w:rsidR="00D63146" w:rsidRPr="007C747A">
              <w:rPr>
                <w:webHidden/>
                <w:lang w:val="en-AU"/>
              </w:rPr>
            </w:r>
            <w:r w:rsidR="00D63146" w:rsidRPr="007C747A">
              <w:rPr>
                <w:webHidden/>
                <w:lang w:val="en-AU"/>
              </w:rPr>
              <w:fldChar w:fldCharType="separate"/>
            </w:r>
            <w:r w:rsidR="0069789E">
              <w:rPr>
                <w:webHidden/>
                <w:lang w:val="en-AU"/>
              </w:rPr>
              <w:t>81</w:t>
            </w:r>
            <w:r w:rsidR="00D63146" w:rsidRPr="007C747A">
              <w:rPr>
                <w:webHidden/>
                <w:lang w:val="en-AU"/>
              </w:rPr>
              <w:fldChar w:fldCharType="end"/>
            </w:r>
          </w:hyperlink>
        </w:p>
        <w:p w14:paraId="79616424" w14:textId="40899010"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7" w:history="1">
            <w:r w:rsidR="00D63146" w:rsidRPr="007C747A">
              <w:rPr>
                <w:rStyle w:val="Hyperlink"/>
                <w:lang w:val="en-AU"/>
              </w:rPr>
              <w:t>5.8</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Risk management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_Toc148108427 \h </w:instrText>
            </w:r>
            <w:r w:rsidR="00D63146" w:rsidRPr="007C747A">
              <w:rPr>
                <w:webHidden/>
                <w:lang w:val="en-AU"/>
              </w:rPr>
            </w:r>
            <w:r w:rsidR="00D63146" w:rsidRPr="007C747A">
              <w:rPr>
                <w:webHidden/>
                <w:lang w:val="en-AU"/>
              </w:rPr>
              <w:fldChar w:fldCharType="separate"/>
            </w:r>
            <w:r w:rsidR="0069789E">
              <w:rPr>
                <w:webHidden/>
                <w:lang w:val="en-AU"/>
              </w:rPr>
              <w:t>82</w:t>
            </w:r>
            <w:r w:rsidR="00D63146" w:rsidRPr="007C747A">
              <w:rPr>
                <w:webHidden/>
                <w:lang w:val="en-AU"/>
              </w:rPr>
              <w:fldChar w:fldCharType="end"/>
            </w:r>
          </w:hyperlink>
        </w:p>
        <w:p w14:paraId="284BA820" w14:textId="61A3EB73"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428" w:history="1">
            <w:r w:rsidR="00D63146" w:rsidRPr="007C747A">
              <w:rPr>
                <w:rStyle w:val="Hyperlink"/>
                <w:lang w:val="en-AU"/>
              </w:rPr>
              <w:t>6</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Appendices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_Toc148108428 \h </w:instrText>
            </w:r>
            <w:r w:rsidR="00D63146" w:rsidRPr="007C747A">
              <w:rPr>
                <w:webHidden/>
                <w:lang w:val="en-AU"/>
              </w:rPr>
            </w:r>
            <w:r w:rsidR="00D63146" w:rsidRPr="007C747A">
              <w:rPr>
                <w:webHidden/>
                <w:lang w:val="en-AU"/>
              </w:rPr>
              <w:fldChar w:fldCharType="separate"/>
            </w:r>
            <w:r w:rsidR="0069789E">
              <w:rPr>
                <w:webHidden/>
                <w:lang w:val="en-AU"/>
              </w:rPr>
              <w:t>85</w:t>
            </w:r>
            <w:r w:rsidR="00D63146" w:rsidRPr="007C747A">
              <w:rPr>
                <w:webHidden/>
                <w:lang w:val="en-AU"/>
              </w:rPr>
              <w:fldChar w:fldCharType="end"/>
            </w:r>
          </w:hyperlink>
        </w:p>
        <w:p w14:paraId="797D8E97" w14:textId="02D0E4AB"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29" w:history="1">
            <w:r w:rsidR="00D63146" w:rsidRPr="007C747A">
              <w:rPr>
                <w:rStyle w:val="Hyperlink"/>
                <w:lang w:val="en-AU"/>
              </w:rPr>
              <w:t>6.1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Enabling legislation</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_Toc148108429 \h </w:instrText>
            </w:r>
            <w:r w:rsidR="00D63146" w:rsidRPr="007C747A">
              <w:rPr>
                <w:webHidden/>
                <w:lang w:val="en-AU"/>
              </w:rPr>
            </w:r>
            <w:r w:rsidR="00D63146" w:rsidRPr="007C747A">
              <w:rPr>
                <w:webHidden/>
                <w:lang w:val="en-AU"/>
              </w:rPr>
              <w:fldChar w:fldCharType="separate"/>
            </w:r>
            <w:r w:rsidR="0069789E">
              <w:rPr>
                <w:webHidden/>
                <w:lang w:val="en-AU"/>
              </w:rPr>
              <w:t>85</w:t>
            </w:r>
            <w:r w:rsidR="00D63146" w:rsidRPr="007C747A">
              <w:rPr>
                <w:webHidden/>
                <w:lang w:val="en-AU"/>
              </w:rPr>
              <w:fldChar w:fldCharType="end"/>
            </w:r>
          </w:hyperlink>
        </w:p>
        <w:p w14:paraId="60D4352F" w14:textId="36003BA2"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0" w:history="1">
            <w:r w:rsidR="00D63146" w:rsidRPr="007C747A">
              <w:rPr>
                <w:rStyle w:val="Hyperlink"/>
                <w:lang w:val="en-AU"/>
              </w:rPr>
              <w:t>6.2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Audit Committee</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_Toc148108430 \h </w:instrText>
            </w:r>
            <w:r w:rsidR="00D63146" w:rsidRPr="007C747A">
              <w:rPr>
                <w:webHidden/>
                <w:lang w:val="en-AU"/>
              </w:rPr>
            </w:r>
            <w:r w:rsidR="00D63146" w:rsidRPr="007C747A">
              <w:rPr>
                <w:webHidden/>
                <w:lang w:val="en-AU"/>
              </w:rPr>
              <w:fldChar w:fldCharType="separate"/>
            </w:r>
            <w:r w:rsidR="0069789E">
              <w:rPr>
                <w:webHidden/>
                <w:lang w:val="en-AU"/>
              </w:rPr>
              <w:t>85</w:t>
            </w:r>
            <w:r w:rsidR="00D63146" w:rsidRPr="007C747A">
              <w:rPr>
                <w:webHidden/>
                <w:lang w:val="en-AU"/>
              </w:rPr>
              <w:fldChar w:fldCharType="end"/>
            </w:r>
          </w:hyperlink>
        </w:p>
        <w:p w14:paraId="48092F81" w14:textId="085E9C29"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1" w:history="1">
            <w:r w:rsidR="00D63146" w:rsidRPr="007C747A">
              <w:rPr>
                <w:rStyle w:val="Hyperlink"/>
                <w:lang w:val="en-AU"/>
              </w:rPr>
              <w:t>6.3</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Work health and safety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_Toc148108431 \h </w:instrText>
            </w:r>
            <w:r w:rsidR="00D63146" w:rsidRPr="007C747A">
              <w:rPr>
                <w:webHidden/>
                <w:lang w:val="en-AU"/>
              </w:rPr>
            </w:r>
            <w:r w:rsidR="00D63146" w:rsidRPr="007C747A">
              <w:rPr>
                <w:webHidden/>
                <w:lang w:val="en-AU"/>
              </w:rPr>
              <w:fldChar w:fldCharType="separate"/>
            </w:r>
            <w:r w:rsidR="0069789E">
              <w:rPr>
                <w:webHidden/>
                <w:lang w:val="en-AU"/>
              </w:rPr>
              <w:t>86</w:t>
            </w:r>
            <w:r w:rsidR="00D63146" w:rsidRPr="007C747A">
              <w:rPr>
                <w:webHidden/>
                <w:lang w:val="en-AU"/>
              </w:rPr>
              <w:fldChar w:fldCharType="end"/>
            </w:r>
          </w:hyperlink>
        </w:p>
        <w:p w14:paraId="23704321" w14:textId="0AA51AFB"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2" w:history="1">
            <w:r w:rsidR="00D63146" w:rsidRPr="007C747A">
              <w:rPr>
                <w:rStyle w:val="Hyperlink"/>
                <w:lang w:val="en-AU"/>
              </w:rPr>
              <w:t>6.4</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Workforce statistics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_Toc148108432 \h </w:instrText>
            </w:r>
            <w:r w:rsidR="00D63146" w:rsidRPr="007C747A">
              <w:rPr>
                <w:webHidden/>
                <w:lang w:val="en-AU"/>
              </w:rPr>
            </w:r>
            <w:r w:rsidR="00D63146" w:rsidRPr="007C747A">
              <w:rPr>
                <w:webHidden/>
                <w:lang w:val="en-AU"/>
              </w:rPr>
              <w:fldChar w:fldCharType="separate"/>
            </w:r>
            <w:r w:rsidR="0069789E">
              <w:rPr>
                <w:webHidden/>
                <w:lang w:val="en-AU"/>
              </w:rPr>
              <w:t>88</w:t>
            </w:r>
            <w:r w:rsidR="00D63146" w:rsidRPr="007C747A">
              <w:rPr>
                <w:webHidden/>
                <w:lang w:val="en-AU"/>
              </w:rPr>
              <w:fldChar w:fldCharType="end"/>
            </w:r>
          </w:hyperlink>
        </w:p>
        <w:p w14:paraId="24CC059B" w14:textId="2F13421B"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3" w:history="1">
            <w:r w:rsidR="00D63146" w:rsidRPr="007C747A">
              <w:rPr>
                <w:rStyle w:val="Hyperlink"/>
                <w:lang w:val="en-AU"/>
              </w:rPr>
              <w:t>6.5</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Executive remuneration policy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_Toc148108433 \h </w:instrText>
            </w:r>
            <w:r w:rsidR="00D63146" w:rsidRPr="007C747A">
              <w:rPr>
                <w:webHidden/>
                <w:lang w:val="en-AU"/>
              </w:rPr>
            </w:r>
            <w:r w:rsidR="00D63146" w:rsidRPr="007C747A">
              <w:rPr>
                <w:webHidden/>
                <w:lang w:val="en-AU"/>
              </w:rPr>
              <w:fldChar w:fldCharType="separate"/>
            </w:r>
            <w:r w:rsidR="0069789E">
              <w:rPr>
                <w:webHidden/>
                <w:lang w:val="en-AU"/>
              </w:rPr>
              <w:t>91</w:t>
            </w:r>
            <w:r w:rsidR="00D63146" w:rsidRPr="007C747A">
              <w:rPr>
                <w:webHidden/>
                <w:lang w:val="en-AU"/>
              </w:rPr>
              <w:fldChar w:fldCharType="end"/>
            </w:r>
          </w:hyperlink>
        </w:p>
        <w:p w14:paraId="41FFE320" w14:textId="5BF586D2"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4" w:history="1">
            <w:r w:rsidR="00D63146" w:rsidRPr="007C747A">
              <w:rPr>
                <w:rStyle w:val="Hyperlink"/>
                <w:lang w:val="en-AU"/>
              </w:rPr>
              <w:t>6.6</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Executive remuneration</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_Toc148108434 \h </w:instrText>
            </w:r>
            <w:r w:rsidR="00D63146" w:rsidRPr="007C747A">
              <w:rPr>
                <w:webHidden/>
                <w:lang w:val="en-AU"/>
              </w:rPr>
            </w:r>
            <w:r w:rsidR="00D63146" w:rsidRPr="007C747A">
              <w:rPr>
                <w:webHidden/>
                <w:lang w:val="en-AU"/>
              </w:rPr>
              <w:fldChar w:fldCharType="separate"/>
            </w:r>
            <w:r w:rsidR="0069789E">
              <w:rPr>
                <w:webHidden/>
                <w:lang w:val="en-AU"/>
              </w:rPr>
              <w:t>92</w:t>
            </w:r>
            <w:r w:rsidR="00D63146" w:rsidRPr="007C747A">
              <w:rPr>
                <w:webHidden/>
                <w:lang w:val="en-AU"/>
              </w:rPr>
              <w:fldChar w:fldCharType="end"/>
            </w:r>
          </w:hyperlink>
        </w:p>
        <w:p w14:paraId="10B917F9" w14:textId="5E5E03EF"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5" w:history="1">
            <w:r w:rsidR="00D63146" w:rsidRPr="007C747A">
              <w:rPr>
                <w:rStyle w:val="Hyperlink"/>
                <w:lang w:val="en-AU"/>
              </w:rPr>
              <w:t>6.7</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Reports by parliamentary committees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_Toc148108435 \h </w:instrText>
            </w:r>
            <w:r w:rsidR="00D63146" w:rsidRPr="007C747A">
              <w:rPr>
                <w:webHidden/>
                <w:lang w:val="en-AU"/>
              </w:rPr>
            </w:r>
            <w:r w:rsidR="00D63146" w:rsidRPr="007C747A">
              <w:rPr>
                <w:webHidden/>
                <w:lang w:val="en-AU"/>
              </w:rPr>
              <w:fldChar w:fldCharType="separate"/>
            </w:r>
            <w:r w:rsidR="0069789E">
              <w:rPr>
                <w:webHidden/>
                <w:lang w:val="en-AU"/>
              </w:rPr>
              <w:t>100</w:t>
            </w:r>
            <w:r w:rsidR="00D63146" w:rsidRPr="007C747A">
              <w:rPr>
                <w:webHidden/>
                <w:lang w:val="en-AU"/>
              </w:rPr>
              <w:fldChar w:fldCharType="end"/>
            </w:r>
          </w:hyperlink>
        </w:p>
        <w:p w14:paraId="27D95AAA" w14:textId="63A0186C"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6" w:history="1">
            <w:r w:rsidR="00D63146" w:rsidRPr="007C747A">
              <w:rPr>
                <w:rStyle w:val="Hyperlink"/>
                <w:lang w:val="en-AU"/>
              </w:rPr>
              <w:t>6.8</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Judicial decisions and external reviews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_Toc148108436 \h </w:instrText>
            </w:r>
            <w:r w:rsidR="00D63146" w:rsidRPr="007C747A">
              <w:rPr>
                <w:webHidden/>
                <w:lang w:val="en-AU"/>
              </w:rPr>
            </w:r>
            <w:r w:rsidR="00D63146" w:rsidRPr="007C747A">
              <w:rPr>
                <w:webHidden/>
                <w:lang w:val="en-AU"/>
              </w:rPr>
              <w:fldChar w:fldCharType="separate"/>
            </w:r>
            <w:r w:rsidR="0069789E">
              <w:rPr>
                <w:webHidden/>
                <w:lang w:val="en-AU"/>
              </w:rPr>
              <w:t>101</w:t>
            </w:r>
            <w:r w:rsidR="00D63146" w:rsidRPr="007C747A">
              <w:rPr>
                <w:webHidden/>
                <w:lang w:val="en-AU"/>
              </w:rPr>
              <w:fldChar w:fldCharType="end"/>
            </w:r>
          </w:hyperlink>
        </w:p>
        <w:p w14:paraId="5877EFDE" w14:textId="7031226C"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7" w:history="1">
            <w:r w:rsidR="00D63146" w:rsidRPr="007C747A">
              <w:rPr>
                <w:rStyle w:val="Hyperlink"/>
                <w:lang w:val="en-AU"/>
              </w:rPr>
              <w:t>6.9</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Other PGPA reportable items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_Toc148108437 \h </w:instrText>
            </w:r>
            <w:r w:rsidR="00D63146" w:rsidRPr="007C747A">
              <w:rPr>
                <w:webHidden/>
                <w:lang w:val="en-AU"/>
              </w:rPr>
            </w:r>
            <w:r w:rsidR="00D63146" w:rsidRPr="007C747A">
              <w:rPr>
                <w:webHidden/>
                <w:lang w:val="en-AU"/>
              </w:rPr>
              <w:fldChar w:fldCharType="separate"/>
            </w:r>
            <w:r w:rsidR="0069789E">
              <w:rPr>
                <w:webHidden/>
                <w:lang w:val="en-AU"/>
              </w:rPr>
              <w:t>104</w:t>
            </w:r>
            <w:r w:rsidR="00D63146" w:rsidRPr="007C747A">
              <w:rPr>
                <w:webHidden/>
                <w:lang w:val="en-AU"/>
              </w:rPr>
              <w:fldChar w:fldCharType="end"/>
            </w:r>
          </w:hyperlink>
        </w:p>
        <w:p w14:paraId="0C39F5C3" w14:textId="2AA049E4"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8" w:history="1">
            <w:r w:rsidR="00D63146" w:rsidRPr="007C747A">
              <w:rPr>
                <w:rStyle w:val="Hyperlink"/>
                <w:lang w:val="en-AU"/>
              </w:rPr>
              <w:t>6.10</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Advertising and market research</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_Toc148108438 \h </w:instrText>
            </w:r>
            <w:r w:rsidR="00D63146" w:rsidRPr="007C747A">
              <w:rPr>
                <w:webHidden/>
                <w:lang w:val="en-AU"/>
              </w:rPr>
            </w:r>
            <w:r w:rsidR="00D63146" w:rsidRPr="007C747A">
              <w:rPr>
                <w:webHidden/>
                <w:lang w:val="en-AU"/>
              </w:rPr>
              <w:fldChar w:fldCharType="separate"/>
            </w:r>
            <w:r w:rsidR="0069789E">
              <w:rPr>
                <w:webHidden/>
                <w:lang w:val="en-AU"/>
              </w:rPr>
              <w:t>105</w:t>
            </w:r>
            <w:r w:rsidR="00D63146" w:rsidRPr="007C747A">
              <w:rPr>
                <w:webHidden/>
                <w:lang w:val="en-AU"/>
              </w:rPr>
              <w:fldChar w:fldCharType="end"/>
            </w:r>
          </w:hyperlink>
        </w:p>
        <w:p w14:paraId="2695F2B6" w14:textId="3F2C7A78"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39" w:history="1">
            <w:r w:rsidR="00D63146" w:rsidRPr="007C747A">
              <w:rPr>
                <w:rStyle w:val="Hyperlink"/>
                <w:lang w:val="en-AU"/>
              </w:rPr>
              <w:t>6.11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Ecologically sustainable development and environmental performance</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_Toc148108439 \h </w:instrText>
            </w:r>
            <w:r w:rsidR="00D63146" w:rsidRPr="007C747A">
              <w:rPr>
                <w:webHidden/>
                <w:lang w:val="en-AU"/>
              </w:rPr>
            </w:r>
            <w:r w:rsidR="00D63146" w:rsidRPr="007C747A">
              <w:rPr>
                <w:webHidden/>
                <w:lang w:val="en-AU"/>
              </w:rPr>
              <w:fldChar w:fldCharType="separate"/>
            </w:r>
            <w:r w:rsidR="0069789E">
              <w:rPr>
                <w:webHidden/>
                <w:lang w:val="en-AU"/>
              </w:rPr>
              <w:t>106</w:t>
            </w:r>
            <w:r w:rsidR="00D63146" w:rsidRPr="007C747A">
              <w:rPr>
                <w:webHidden/>
                <w:lang w:val="en-AU"/>
              </w:rPr>
              <w:fldChar w:fldCharType="end"/>
            </w:r>
          </w:hyperlink>
        </w:p>
        <w:p w14:paraId="618D04C9" w14:textId="44A4A5B4"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40" w:history="1">
            <w:r w:rsidR="00D63146" w:rsidRPr="007C747A">
              <w:rPr>
                <w:rStyle w:val="Hyperlink"/>
                <w:lang w:val="en-AU"/>
              </w:rPr>
              <w:t>6.12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Compliance with Carer Recognition Act</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_Toc148108440 \h </w:instrText>
            </w:r>
            <w:r w:rsidR="00D63146" w:rsidRPr="007C747A">
              <w:rPr>
                <w:webHidden/>
                <w:lang w:val="en-AU"/>
              </w:rPr>
            </w:r>
            <w:r w:rsidR="00D63146" w:rsidRPr="007C747A">
              <w:rPr>
                <w:webHidden/>
                <w:lang w:val="en-AU"/>
              </w:rPr>
              <w:fldChar w:fldCharType="separate"/>
            </w:r>
            <w:r w:rsidR="0069789E">
              <w:rPr>
                <w:webHidden/>
                <w:lang w:val="en-AU"/>
              </w:rPr>
              <w:t>107</w:t>
            </w:r>
            <w:r w:rsidR="00D63146" w:rsidRPr="007C747A">
              <w:rPr>
                <w:webHidden/>
                <w:lang w:val="en-AU"/>
              </w:rPr>
              <w:fldChar w:fldCharType="end"/>
            </w:r>
          </w:hyperlink>
        </w:p>
        <w:p w14:paraId="79FD7699" w14:textId="1D0B1ED5"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41" w:history="1">
            <w:r w:rsidR="00D63146" w:rsidRPr="007C747A">
              <w:rPr>
                <w:rStyle w:val="Hyperlink"/>
                <w:lang w:val="en-AU"/>
              </w:rPr>
              <w:t>6.13</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Information on other specific statutory provisions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_Toc148108441 \h </w:instrText>
            </w:r>
            <w:r w:rsidR="00D63146" w:rsidRPr="007C747A">
              <w:rPr>
                <w:webHidden/>
                <w:lang w:val="en-AU"/>
              </w:rPr>
            </w:r>
            <w:r w:rsidR="00D63146" w:rsidRPr="007C747A">
              <w:rPr>
                <w:webHidden/>
                <w:lang w:val="en-AU"/>
              </w:rPr>
              <w:fldChar w:fldCharType="separate"/>
            </w:r>
            <w:r w:rsidR="0069789E">
              <w:rPr>
                <w:webHidden/>
                <w:lang w:val="en-AU"/>
              </w:rPr>
              <w:t>109</w:t>
            </w:r>
            <w:r w:rsidR="00D63146" w:rsidRPr="007C747A">
              <w:rPr>
                <w:webHidden/>
                <w:lang w:val="en-AU"/>
              </w:rPr>
              <w:fldChar w:fldCharType="end"/>
            </w:r>
          </w:hyperlink>
        </w:p>
        <w:p w14:paraId="0BBBB4C9" w14:textId="094D61E5"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42" w:history="1">
            <w:r w:rsidR="00D63146" w:rsidRPr="007C747A">
              <w:rPr>
                <w:rStyle w:val="Hyperlink"/>
                <w:lang w:val="en-AU"/>
              </w:rPr>
              <w:t>6.14</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Glossary</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_Toc148108442 \h </w:instrText>
            </w:r>
            <w:r w:rsidR="00D63146" w:rsidRPr="007C747A">
              <w:rPr>
                <w:webHidden/>
                <w:lang w:val="en-AU"/>
              </w:rPr>
            </w:r>
            <w:r w:rsidR="00D63146" w:rsidRPr="007C747A">
              <w:rPr>
                <w:webHidden/>
                <w:lang w:val="en-AU"/>
              </w:rPr>
              <w:fldChar w:fldCharType="separate"/>
            </w:r>
            <w:r w:rsidR="0069789E">
              <w:rPr>
                <w:webHidden/>
                <w:lang w:val="en-AU"/>
              </w:rPr>
              <w:t>111</w:t>
            </w:r>
            <w:r w:rsidR="00D63146" w:rsidRPr="007C747A">
              <w:rPr>
                <w:webHidden/>
                <w:lang w:val="en-AU"/>
              </w:rPr>
              <w:fldChar w:fldCharType="end"/>
            </w:r>
          </w:hyperlink>
        </w:p>
        <w:p w14:paraId="3B133765" w14:textId="35DFE0AB" w:rsidR="00D63146" w:rsidRPr="007C747A" w:rsidRDefault="00A21E0D">
          <w:pPr>
            <w:pStyle w:val="TOC1"/>
            <w:rPr>
              <w:rFonts w:asciiTheme="minorHAnsi" w:eastAsiaTheme="minorEastAsia" w:hAnsiTheme="minorHAnsi" w:cstheme="minorBidi"/>
              <w:b w:val="0"/>
              <w:bCs w:val="0"/>
              <w:kern w:val="2"/>
              <w:lang w:val="en-AU" w:eastAsia="en-AU"/>
              <w14:ligatures w14:val="standardContextual"/>
            </w:rPr>
          </w:pPr>
          <w:hyperlink w:anchor="_Toc148108443" w:history="1">
            <w:r w:rsidR="00D63146" w:rsidRPr="007C747A">
              <w:rPr>
                <w:rStyle w:val="Hyperlink"/>
                <w:lang w:val="en-AU"/>
              </w:rPr>
              <w:t>7</w:t>
            </w:r>
            <w:r w:rsidR="00D63146" w:rsidRPr="007C747A">
              <w:rPr>
                <w:rFonts w:asciiTheme="minorHAnsi" w:eastAsiaTheme="minorEastAsia" w:hAnsiTheme="minorHAnsi" w:cstheme="minorBidi"/>
                <w:b w:val="0"/>
                <w:bCs w:val="0"/>
                <w:kern w:val="2"/>
                <w:lang w:val="en-AU" w:eastAsia="en-AU"/>
                <w14:ligatures w14:val="standardContextual"/>
              </w:rPr>
              <w:tab/>
            </w:r>
            <w:r w:rsidR="00D63146" w:rsidRPr="007C747A">
              <w:rPr>
                <w:rStyle w:val="Hyperlink"/>
                <w:lang w:val="en-AU"/>
              </w:rPr>
              <w:t>Indexes</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_Toc148108443 \h </w:instrText>
            </w:r>
            <w:r w:rsidR="00D63146" w:rsidRPr="007C747A">
              <w:rPr>
                <w:webHidden/>
                <w:lang w:val="en-AU"/>
              </w:rPr>
            </w:r>
            <w:r w:rsidR="00D63146" w:rsidRPr="007C747A">
              <w:rPr>
                <w:webHidden/>
                <w:lang w:val="en-AU"/>
              </w:rPr>
              <w:fldChar w:fldCharType="separate"/>
            </w:r>
            <w:r w:rsidR="0069789E">
              <w:rPr>
                <w:webHidden/>
                <w:lang w:val="en-AU"/>
              </w:rPr>
              <w:t>114</w:t>
            </w:r>
            <w:r w:rsidR="00D63146" w:rsidRPr="007C747A">
              <w:rPr>
                <w:webHidden/>
                <w:lang w:val="en-AU"/>
              </w:rPr>
              <w:fldChar w:fldCharType="end"/>
            </w:r>
          </w:hyperlink>
        </w:p>
        <w:p w14:paraId="6B40F641" w14:textId="566AEC71"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44" w:history="1">
            <w:r w:rsidR="00D63146" w:rsidRPr="007C747A">
              <w:rPr>
                <w:rStyle w:val="Hyperlink"/>
                <w:lang w:val="en-AU"/>
              </w:rPr>
              <w:t>7.1</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Compliance index</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_Toc148108444 \h </w:instrText>
            </w:r>
            <w:r w:rsidR="00D63146" w:rsidRPr="007C747A">
              <w:rPr>
                <w:webHidden/>
                <w:lang w:val="en-AU"/>
              </w:rPr>
            </w:r>
            <w:r w:rsidR="00D63146" w:rsidRPr="007C747A">
              <w:rPr>
                <w:webHidden/>
                <w:lang w:val="en-AU"/>
              </w:rPr>
              <w:fldChar w:fldCharType="separate"/>
            </w:r>
            <w:r w:rsidR="0069789E">
              <w:rPr>
                <w:webHidden/>
                <w:lang w:val="en-AU"/>
              </w:rPr>
              <w:t>114</w:t>
            </w:r>
            <w:r w:rsidR="00D63146" w:rsidRPr="007C747A">
              <w:rPr>
                <w:webHidden/>
                <w:lang w:val="en-AU"/>
              </w:rPr>
              <w:fldChar w:fldCharType="end"/>
            </w:r>
          </w:hyperlink>
        </w:p>
        <w:p w14:paraId="36341047" w14:textId="786AFFF6"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45" w:history="1">
            <w:r w:rsidR="00D63146" w:rsidRPr="007C747A">
              <w:rPr>
                <w:rStyle w:val="Hyperlink"/>
                <w:lang w:val="en-AU"/>
              </w:rPr>
              <w:t>7.2</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Tables index</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_Toc148108445 \h </w:instrText>
            </w:r>
            <w:r w:rsidR="00D63146" w:rsidRPr="007C747A">
              <w:rPr>
                <w:webHidden/>
                <w:lang w:val="en-AU"/>
              </w:rPr>
            </w:r>
            <w:r w:rsidR="00D63146" w:rsidRPr="007C747A">
              <w:rPr>
                <w:webHidden/>
                <w:lang w:val="en-AU"/>
              </w:rPr>
              <w:fldChar w:fldCharType="separate"/>
            </w:r>
            <w:r w:rsidR="0069789E">
              <w:rPr>
                <w:webHidden/>
                <w:lang w:val="en-AU"/>
              </w:rPr>
              <w:t>117</w:t>
            </w:r>
            <w:r w:rsidR="00D63146" w:rsidRPr="007C747A">
              <w:rPr>
                <w:webHidden/>
                <w:lang w:val="en-AU"/>
              </w:rPr>
              <w:fldChar w:fldCharType="end"/>
            </w:r>
          </w:hyperlink>
        </w:p>
        <w:p w14:paraId="06614698" w14:textId="4743BCC3" w:rsidR="00D63146" w:rsidRPr="007C747A" w:rsidRDefault="00A21E0D">
          <w:pPr>
            <w:pStyle w:val="TOC2"/>
            <w:rPr>
              <w:rFonts w:asciiTheme="minorHAnsi" w:eastAsiaTheme="minorEastAsia" w:hAnsiTheme="minorHAnsi" w:cstheme="minorBidi"/>
              <w:kern w:val="2"/>
              <w:lang w:val="en-AU" w:eastAsia="en-AU"/>
              <w14:ligatures w14:val="standardContextual"/>
            </w:rPr>
          </w:pPr>
          <w:hyperlink w:anchor="_Toc148108446" w:history="1">
            <w:r w:rsidR="00D63146" w:rsidRPr="007C747A">
              <w:rPr>
                <w:rStyle w:val="Hyperlink"/>
                <w:lang w:val="en-AU"/>
              </w:rPr>
              <w:t>7.3</w:t>
            </w:r>
            <w:r w:rsidR="00D63146" w:rsidRPr="007C747A">
              <w:rPr>
                <w:rFonts w:asciiTheme="minorHAnsi" w:eastAsiaTheme="minorEastAsia" w:hAnsiTheme="minorHAnsi" w:cstheme="minorBidi"/>
                <w:kern w:val="2"/>
                <w:lang w:val="en-AU" w:eastAsia="en-AU"/>
                <w14:ligatures w14:val="standardContextual"/>
              </w:rPr>
              <w:tab/>
            </w:r>
            <w:r w:rsidR="00D63146" w:rsidRPr="007C747A">
              <w:rPr>
                <w:rStyle w:val="Hyperlink"/>
                <w:lang w:val="en-AU"/>
              </w:rPr>
              <w:t>Figures Index</w:t>
            </w:r>
            <w:r w:rsidR="00D63146" w:rsidRPr="007C747A">
              <w:rPr>
                <w:webHidden/>
                <w:lang w:val="en-AU"/>
              </w:rPr>
              <w:tab/>
            </w:r>
            <w:r w:rsidR="00D63146" w:rsidRPr="007C747A">
              <w:rPr>
                <w:webHidden/>
                <w:lang w:val="en-AU"/>
              </w:rPr>
              <w:fldChar w:fldCharType="begin"/>
            </w:r>
            <w:r w:rsidR="00D63146" w:rsidRPr="007C747A">
              <w:rPr>
                <w:webHidden/>
                <w:lang w:val="en-AU"/>
              </w:rPr>
              <w:instrText xml:space="preserve"> PAGEREF _Toc148108446 \h </w:instrText>
            </w:r>
            <w:r w:rsidR="00D63146" w:rsidRPr="007C747A">
              <w:rPr>
                <w:webHidden/>
                <w:lang w:val="en-AU"/>
              </w:rPr>
            </w:r>
            <w:r w:rsidR="00D63146" w:rsidRPr="007C747A">
              <w:rPr>
                <w:webHidden/>
                <w:lang w:val="en-AU"/>
              </w:rPr>
              <w:fldChar w:fldCharType="separate"/>
            </w:r>
            <w:r w:rsidR="0069789E">
              <w:rPr>
                <w:webHidden/>
                <w:lang w:val="en-AU"/>
              </w:rPr>
              <w:t>119</w:t>
            </w:r>
            <w:r w:rsidR="00D63146" w:rsidRPr="007C747A">
              <w:rPr>
                <w:webHidden/>
                <w:lang w:val="en-AU"/>
              </w:rPr>
              <w:fldChar w:fldCharType="end"/>
            </w:r>
          </w:hyperlink>
        </w:p>
        <w:p w14:paraId="33FB34F1" w14:textId="5CDDDDAE" w:rsidR="006A59DD" w:rsidRPr="007C747A" w:rsidRDefault="00CF5CF7" w:rsidP="002C3B77">
          <w:pPr>
            <w:spacing w:line="240" w:lineRule="auto"/>
            <w:rPr>
              <w:lang w:val="en-AU"/>
            </w:rPr>
          </w:pPr>
          <w:r w:rsidRPr="007C747A">
            <w:rPr>
              <w:b/>
              <w:bCs/>
              <w:noProof/>
              <w:color w:val="000000" w:themeColor="accent6"/>
              <w:lang w:val="en-AU"/>
            </w:rPr>
            <w:fldChar w:fldCharType="end"/>
          </w:r>
        </w:p>
      </w:sdtContent>
    </w:sdt>
    <w:p w14:paraId="48FB4022" w14:textId="06F3AC7C" w:rsidR="009625EF" w:rsidRPr="007C747A" w:rsidRDefault="009625EF" w:rsidP="00723C2D">
      <w:pPr>
        <w:pStyle w:val="FGCHEADING1"/>
        <w:numPr>
          <w:ilvl w:val="0"/>
          <w:numId w:val="0"/>
        </w:numPr>
      </w:pPr>
      <w:bookmarkStart w:id="5" w:name="_Toc146289423"/>
      <w:bookmarkStart w:id="6" w:name="_Toc148108380"/>
      <w:r w:rsidRPr="007C747A">
        <w:lastRenderedPageBreak/>
        <w:t xml:space="preserve">Letter of </w:t>
      </w:r>
      <w:r w:rsidR="003B32A3" w:rsidRPr="007C747A">
        <w:t>t</w:t>
      </w:r>
      <w:r w:rsidRPr="007C747A">
        <w:t>ransmittal</w:t>
      </w:r>
      <w:bookmarkEnd w:id="5"/>
      <w:bookmarkEnd w:id="6"/>
    </w:p>
    <w:p w14:paraId="3AC67389" w14:textId="6F578BD3" w:rsidR="006C6616" w:rsidRPr="007C747A" w:rsidRDefault="005E44C8" w:rsidP="005E44C8">
      <w:pPr>
        <w:pStyle w:val="FGCNORMAL"/>
        <w:ind w:left="0"/>
      </w:pPr>
      <w:r w:rsidRPr="007C747A">
        <w:rPr>
          <w:noProof/>
        </w:rPr>
        <w:drawing>
          <wp:inline distT="0" distB="0" distL="0" distR="0" wp14:anchorId="10F89E8D" wp14:editId="485CEF53">
            <wp:extent cx="6558915" cy="8020050"/>
            <wp:effectExtent l="0" t="0" r="0" b="0"/>
            <wp:docPr id="6" name="Picture 6" descr="Letter of transmittal.&#10;Dear Minister On behalf of the National Disability Insurance Agency, I present to you the annual report for the reporting year 1 July 2022 to 30 June 2023.&#10;The report provides a detailed description of the Agency’s operations during the year and has been prepared in accordance with the Public Governance, Performance and Accountability Act 2013 (PGPA Act) and the National Disability Insurance Scheme Act 2013 (NDIS Act).&#10;In accordance with section 39 of the PGPA Act, the report provides information about the Agency’s performance in achieving its purposes.&#10;The report includes a copy of the Agency’s annual financial statements and the Auditor-General’s report as prescribed by subsection 43(4) of the PGPA Act.&#10;The report is made in accordance with a resolution of the Board of Directors, on 15 September 2023. The Board is responsible for its preparation and content. The report is provided to you as the responsible minister under section 46 of the PGPA Act.&#10;The incorporated summary of the Annual Financial Sustainability Report 2022–23 and the inclusion of the reviewing actuary’s report fulfils the Agency’s obligations under subsection 172(4) of the NDIS Act.&#10;Yours sincerely&#10;Kurt Fearnley AO&#10;Chair&#10;National Disability Insurance Agency&#10;15 September 202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etter of transmittal.&#10;Dear Minister On behalf of the National Disability Insurance Agency, I present to you the annual report for the reporting year 1 July 2022 to 30 June 2023.&#10;The report provides a detailed description of the Agency’s operations during the year and has been prepared in accordance with the Public Governance, Performance and Accountability Act 2013 (PGPA Act) and the National Disability Insurance Scheme Act 2013 (NDIS Act).&#10;In accordance with section 39 of the PGPA Act, the report provides information about the Agency’s performance in achieving its purposes.&#10;The report includes a copy of the Agency’s annual financial statements and the Auditor-General’s report as prescribed by subsection 43(4) of the PGPA Act.&#10;The report is made in accordance with a resolution of the Board of Directors, on 15 September 2023. The Board is responsible for its preparation and content. The report is provided to you as the responsible minister under section 46 of the PGPA Act.&#10;The incorporated summary of the Annual Financial Sustainability Report 2022–23 and the inclusion of the reviewing actuary’s report fulfils the Agency’s obligations under subsection 172(4) of the NDIS Act.&#10;Yours sincerely&#10;Kurt Fearnley AO&#10;Chair&#10;National Disability Insurance Agency&#10;15 September 2023">
                      <a:extLst>
                        <a:ext uri="{C183D7F6-B498-43B3-948B-1728B52AA6E4}">
                          <adec:decorative xmlns:adec="http://schemas.microsoft.com/office/drawing/2017/decorative" val="0"/>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558915" cy="8020050"/>
                    </a:xfrm>
                    <a:prstGeom prst="rect">
                      <a:avLst/>
                    </a:prstGeom>
                  </pic:spPr>
                </pic:pic>
              </a:graphicData>
            </a:graphic>
          </wp:inline>
        </w:drawing>
      </w:r>
    </w:p>
    <w:p w14:paraId="5BA13542" w14:textId="3EBB8987" w:rsidR="004D32B5" w:rsidRPr="007C747A" w:rsidRDefault="0099519E" w:rsidP="00293CC0">
      <w:pPr>
        <w:pStyle w:val="FGCHEADING1"/>
      </w:pPr>
      <w:bookmarkStart w:id="7" w:name="_Toc146195295"/>
      <w:bookmarkStart w:id="8" w:name="_Toc142039612"/>
      <w:bookmarkStart w:id="9" w:name="_Toc142047719"/>
      <w:bookmarkStart w:id="10" w:name="_Toc142478358"/>
      <w:bookmarkStart w:id="11" w:name="_Toc142573684"/>
      <w:bookmarkStart w:id="12" w:name="_Toc146289424"/>
      <w:bookmarkStart w:id="13" w:name="_Toc148108381"/>
      <w:bookmarkEnd w:id="7"/>
      <w:r w:rsidRPr="007C747A">
        <w:lastRenderedPageBreak/>
        <w:t>Introduction</w:t>
      </w:r>
      <w:bookmarkEnd w:id="8"/>
      <w:bookmarkEnd w:id="9"/>
      <w:bookmarkEnd w:id="10"/>
      <w:bookmarkEnd w:id="11"/>
      <w:bookmarkEnd w:id="12"/>
      <w:bookmarkEnd w:id="13"/>
    </w:p>
    <w:p w14:paraId="763B4839" w14:textId="77777777" w:rsidR="007C5D6E" w:rsidRPr="007C747A" w:rsidRDefault="007C5D6E" w:rsidP="00EF6DDD">
      <w:pPr>
        <w:pStyle w:val="FGCHEADING2"/>
        <w:numPr>
          <w:ilvl w:val="0"/>
          <w:numId w:val="0"/>
        </w:numPr>
        <w:ind w:left="142"/>
      </w:pPr>
      <w:bookmarkStart w:id="14" w:name="_Toc140825279"/>
      <w:bookmarkStart w:id="15" w:name="_Toc140830659"/>
      <w:bookmarkStart w:id="16" w:name="_Toc140839407"/>
      <w:bookmarkStart w:id="17" w:name="_Toc141096591"/>
      <w:bookmarkStart w:id="18" w:name="_Toc141171663"/>
      <w:bookmarkStart w:id="19" w:name="_Toc142039613"/>
      <w:bookmarkStart w:id="20" w:name="_Toc142047720"/>
      <w:bookmarkStart w:id="21" w:name="_Toc142562994"/>
      <w:bookmarkStart w:id="22" w:name="_Toc146289425"/>
      <w:bookmarkStart w:id="23" w:name="_Toc148108382"/>
      <w:r w:rsidRPr="007C747A">
        <w:t>About this report</w:t>
      </w:r>
      <w:bookmarkStart w:id="24" w:name="_Toc51067957"/>
      <w:bookmarkEnd w:id="14"/>
      <w:bookmarkEnd w:id="15"/>
      <w:bookmarkEnd w:id="16"/>
      <w:bookmarkEnd w:id="17"/>
      <w:bookmarkEnd w:id="18"/>
      <w:bookmarkEnd w:id="19"/>
      <w:bookmarkEnd w:id="20"/>
      <w:bookmarkEnd w:id="21"/>
      <w:bookmarkEnd w:id="22"/>
      <w:bookmarkEnd w:id="23"/>
    </w:p>
    <w:p w14:paraId="5B4EBB86" w14:textId="4AD844CF" w:rsidR="007C5D6E" w:rsidRPr="007C747A" w:rsidRDefault="007C5D6E" w:rsidP="007C5D6E">
      <w:pPr>
        <w:pStyle w:val="FGCNORMAL"/>
      </w:pPr>
      <w:r w:rsidRPr="007C747A">
        <w:t xml:space="preserve">This is the 10th annual report prepared by the NDIA. The report is prepared in accordance with legislative requirements. It summarises the NDIA’s financial, social and environmental activities from 1 July 2022 until 30 June 2023. This includes how the NDIA fulfilled the principles set out in the </w:t>
      </w:r>
      <w:r w:rsidRPr="007C747A">
        <w:rPr>
          <w:i/>
          <w:iCs/>
        </w:rPr>
        <w:t>National Disability Insurance Scheme Act 2013</w:t>
      </w:r>
      <w:r w:rsidRPr="007C747A">
        <w:t xml:space="preserve"> (NDIS Act).</w:t>
      </w:r>
    </w:p>
    <w:p w14:paraId="767CF797" w14:textId="77777777" w:rsidR="007C5D6E" w:rsidRPr="007C747A" w:rsidRDefault="007C5D6E" w:rsidP="007C5D6E">
      <w:pPr>
        <w:pStyle w:val="FGCNORMAL"/>
      </w:pPr>
      <w:r w:rsidRPr="007C747A">
        <w:t xml:space="preserve">Our annual report for the 2022–23 reporting period is more concise than previous NDIA annual reports. </w:t>
      </w:r>
    </w:p>
    <w:p w14:paraId="33335BFC" w14:textId="77777777" w:rsidR="007C5D6E" w:rsidRPr="007C747A" w:rsidRDefault="007C5D6E" w:rsidP="007C5D6E">
      <w:pPr>
        <w:pStyle w:val="FGCNORMAL"/>
      </w:pPr>
      <w:r w:rsidRPr="007C747A">
        <w:t>This report provides information for our 4 primary stakeholders:</w:t>
      </w:r>
    </w:p>
    <w:p w14:paraId="545C9D66" w14:textId="77777777" w:rsidR="007C5D6E" w:rsidRPr="007C747A" w:rsidRDefault="007C5D6E" w:rsidP="007C5D6E">
      <w:pPr>
        <w:pStyle w:val="FGCBULLET1"/>
        <w:spacing w:line="240" w:lineRule="auto"/>
      </w:pPr>
      <w:r w:rsidRPr="007C747A">
        <w:t>our participants</w:t>
      </w:r>
    </w:p>
    <w:p w14:paraId="000F3D82" w14:textId="77777777" w:rsidR="007C5D6E" w:rsidRPr="007C747A" w:rsidRDefault="007C5D6E" w:rsidP="007C5D6E">
      <w:pPr>
        <w:pStyle w:val="FGCBULLET1"/>
        <w:spacing w:line="240" w:lineRule="auto"/>
      </w:pPr>
      <w:r w:rsidRPr="007C747A">
        <w:t>our providers</w:t>
      </w:r>
    </w:p>
    <w:p w14:paraId="63B74378" w14:textId="77777777" w:rsidR="007C5D6E" w:rsidRPr="007C747A" w:rsidRDefault="007C5D6E" w:rsidP="007C5D6E">
      <w:pPr>
        <w:pStyle w:val="FGCBULLET1"/>
        <w:spacing w:line="240" w:lineRule="auto"/>
      </w:pPr>
      <w:r w:rsidRPr="007C747A">
        <w:t>our shareholders (Commonwealth, state and territory governments)</w:t>
      </w:r>
    </w:p>
    <w:p w14:paraId="08A448FC" w14:textId="77777777" w:rsidR="007C5D6E" w:rsidRPr="007C747A" w:rsidRDefault="007C5D6E" w:rsidP="007C5D6E">
      <w:pPr>
        <w:pStyle w:val="FGCBULLET1"/>
        <w:spacing w:line="240" w:lineRule="auto"/>
      </w:pPr>
      <w:r w:rsidRPr="007C747A">
        <w:t>our people.</w:t>
      </w:r>
    </w:p>
    <w:p w14:paraId="2190AC5D" w14:textId="77777777" w:rsidR="007C5D6E" w:rsidRPr="007C747A" w:rsidRDefault="007C5D6E" w:rsidP="007C5D6E">
      <w:pPr>
        <w:pStyle w:val="FGCNORMAL"/>
      </w:pPr>
      <w:r w:rsidRPr="007C747A">
        <w:t>It also acknowledges the critical role played by the disability sector.</w:t>
      </w:r>
    </w:p>
    <w:p w14:paraId="463123D5" w14:textId="77777777" w:rsidR="007C5D6E" w:rsidRPr="007C747A" w:rsidRDefault="007C5D6E" w:rsidP="00E9598C">
      <w:pPr>
        <w:pStyle w:val="FGCHEADING2"/>
        <w:numPr>
          <w:ilvl w:val="0"/>
          <w:numId w:val="0"/>
        </w:numPr>
        <w:ind w:left="142"/>
      </w:pPr>
      <w:bookmarkStart w:id="25" w:name="_Toc114477487"/>
      <w:bookmarkStart w:id="26" w:name="_Toc140825280"/>
      <w:bookmarkStart w:id="27" w:name="_Toc140830660"/>
      <w:bookmarkStart w:id="28" w:name="_Toc140839408"/>
      <w:bookmarkStart w:id="29" w:name="_Toc141096592"/>
      <w:bookmarkStart w:id="30" w:name="_Toc141171664"/>
      <w:bookmarkStart w:id="31" w:name="_Toc142039614"/>
      <w:bookmarkStart w:id="32" w:name="_Toc142047721"/>
      <w:bookmarkStart w:id="33" w:name="_Toc142562995"/>
      <w:bookmarkStart w:id="34" w:name="_Toc146289426"/>
      <w:bookmarkStart w:id="35" w:name="_Toc148108383"/>
      <w:bookmarkEnd w:id="24"/>
      <w:r w:rsidRPr="007C747A">
        <w:t>Acknowledgement</w:t>
      </w:r>
      <w:bookmarkEnd w:id="25"/>
      <w:bookmarkEnd w:id="26"/>
      <w:bookmarkEnd w:id="27"/>
      <w:bookmarkEnd w:id="28"/>
      <w:bookmarkEnd w:id="29"/>
      <w:bookmarkEnd w:id="30"/>
      <w:bookmarkEnd w:id="31"/>
      <w:bookmarkEnd w:id="32"/>
      <w:bookmarkEnd w:id="33"/>
      <w:bookmarkEnd w:id="34"/>
      <w:bookmarkEnd w:id="35"/>
    </w:p>
    <w:p w14:paraId="6638771F" w14:textId="3E479CF2" w:rsidR="007C5D6E" w:rsidRPr="007C747A" w:rsidRDefault="007C5D6E" w:rsidP="007C5D6E">
      <w:pPr>
        <w:pStyle w:val="FGCNORMAL"/>
      </w:pPr>
      <w:bookmarkStart w:id="36" w:name="_Toc140825281"/>
      <w:bookmarkStart w:id="37" w:name="_Toc140830661"/>
      <w:bookmarkStart w:id="38" w:name="_Toc140839409"/>
      <w:bookmarkStart w:id="39" w:name="_Toc141096593"/>
      <w:bookmarkStart w:id="40" w:name="_Toc141171665"/>
      <w:r w:rsidRPr="007C747A">
        <w:t xml:space="preserve">The NDIA Board acknowledges the objectives of the United Nations Convention on the Rights of Persons with Disabilities. </w:t>
      </w:r>
    </w:p>
    <w:p w14:paraId="1F3ECAD0" w14:textId="732666D8" w:rsidR="007C5D6E" w:rsidRPr="007C747A" w:rsidRDefault="007C5D6E" w:rsidP="007C5D6E">
      <w:pPr>
        <w:pStyle w:val="FGCNORMAL"/>
      </w:pPr>
      <w:r w:rsidRPr="007C747A">
        <w:t>The NDIA</w:t>
      </w:r>
      <w:r w:rsidR="00282C34" w:rsidRPr="007C747A">
        <w:t xml:space="preserve"> Board</w:t>
      </w:r>
      <w:r w:rsidRPr="007C747A">
        <w:t xml:space="preserve"> acknowledges the Traditional Owners and Custodians of country throughout Australia and their continuing connection to land, sea and community. We pay our respects to their Elders, past, present and emerging.</w:t>
      </w:r>
    </w:p>
    <w:bookmarkEnd w:id="36"/>
    <w:bookmarkEnd w:id="37"/>
    <w:bookmarkEnd w:id="38"/>
    <w:bookmarkEnd w:id="39"/>
    <w:bookmarkEnd w:id="40"/>
    <w:p w14:paraId="35AA8FFB" w14:textId="1864CC39" w:rsidR="007138E2" w:rsidRPr="007C747A" w:rsidRDefault="007138E2">
      <w:pPr>
        <w:spacing w:after="0" w:line="240" w:lineRule="auto"/>
        <w:rPr>
          <w:rFonts w:eastAsiaTheme="minorEastAsia" w:cs="Arial"/>
          <w:sz w:val="22"/>
          <w:szCs w:val="22"/>
          <w:lang w:val="en-AU"/>
        </w:rPr>
      </w:pPr>
      <w:r w:rsidRPr="007C747A">
        <w:rPr>
          <w:lang w:val="en-AU"/>
        </w:rPr>
        <w:br w:type="page"/>
      </w:r>
    </w:p>
    <w:p w14:paraId="20D46949" w14:textId="77777777" w:rsidR="007138E2" w:rsidRPr="007C747A" w:rsidRDefault="007138E2" w:rsidP="00E9598C">
      <w:pPr>
        <w:pStyle w:val="FGCHEADING2"/>
      </w:pPr>
      <w:bookmarkStart w:id="41" w:name="_Toc142039615"/>
      <w:bookmarkStart w:id="42" w:name="_Toc142047722"/>
      <w:bookmarkStart w:id="43" w:name="_Toc142562996"/>
      <w:bookmarkStart w:id="44" w:name="_Toc142573687"/>
      <w:bookmarkStart w:id="45" w:name="_Toc146289427"/>
      <w:bookmarkStart w:id="46" w:name="_Toc148108384"/>
      <w:r w:rsidRPr="007C747A">
        <w:t>Chair’s review</w:t>
      </w:r>
      <w:bookmarkEnd w:id="41"/>
      <w:bookmarkEnd w:id="42"/>
      <w:bookmarkEnd w:id="43"/>
      <w:bookmarkEnd w:id="44"/>
      <w:bookmarkEnd w:id="45"/>
      <w:bookmarkEnd w:id="46"/>
    </w:p>
    <w:p w14:paraId="54C699D6" w14:textId="18AA167A" w:rsidR="005D3807" w:rsidRPr="007C747A" w:rsidRDefault="005D3807" w:rsidP="008516BA">
      <w:pPr>
        <w:pStyle w:val="FGCNORMAL"/>
        <w:spacing w:line="240" w:lineRule="auto"/>
        <w:rPr>
          <w:lang w:eastAsia="en-US"/>
        </w:rPr>
      </w:pPr>
      <w:r w:rsidRPr="007C747A">
        <w:t xml:space="preserve">It is an honour to </w:t>
      </w:r>
      <w:r w:rsidR="003B32A3" w:rsidRPr="007C747A">
        <w:t>c</w:t>
      </w:r>
      <w:r w:rsidRPr="007C747A">
        <w:t xml:space="preserve">hair the Board of the National Disability Insurance Agency (NDIA). </w:t>
      </w:r>
    </w:p>
    <w:p w14:paraId="62089CD4" w14:textId="2840471C" w:rsidR="005D3807" w:rsidRPr="007C747A" w:rsidRDefault="005D3807" w:rsidP="008516BA">
      <w:pPr>
        <w:pStyle w:val="FGCNORMAL"/>
        <w:spacing w:line="240" w:lineRule="auto"/>
      </w:pPr>
      <w:r w:rsidRPr="007C747A">
        <w:t>This year marked 10 years of the National Disability Insurance Scheme (NDIS</w:t>
      </w:r>
      <w:r w:rsidR="0073323A" w:rsidRPr="007C747A">
        <w:t xml:space="preserve"> or the Scheme</w:t>
      </w:r>
      <w:r w:rsidRPr="007C747A">
        <w:t xml:space="preserve">). The NDIS represents a journey of transformation and empowerment for people with disability. </w:t>
      </w:r>
    </w:p>
    <w:p w14:paraId="7F75550B" w14:textId="77777777" w:rsidR="005D3807" w:rsidRPr="007C747A" w:rsidRDefault="005D3807" w:rsidP="008516BA">
      <w:pPr>
        <w:pStyle w:val="FGCNORMAL"/>
        <w:spacing w:line="240" w:lineRule="auto"/>
      </w:pPr>
      <w:r w:rsidRPr="007C747A">
        <w:t>The core of the NDIS allows participants to exercise choice and control over their supports, providing independence and social inclusion.</w:t>
      </w:r>
    </w:p>
    <w:p w14:paraId="534C73A4" w14:textId="502CF5E6" w:rsidR="005D3807" w:rsidRPr="007C747A" w:rsidRDefault="005D3807" w:rsidP="008516BA">
      <w:pPr>
        <w:pStyle w:val="FGCNORMAL"/>
        <w:spacing w:line="240" w:lineRule="auto"/>
      </w:pPr>
      <w:r w:rsidRPr="007C747A">
        <w:t xml:space="preserve">We now provide direct supports nation-wide </w:t>
      </w:r>
      <w:r w:rsidR="003B32A3" w:rsidRPr="007C747A">
        <w:t>and have</w:t>
      </w:r>
      <w:r w:rsidRPr="007C747A">
        <w:t xml:space="preserve"> more than 610,000 participants. Importantly, many participants are receiving supports related to their disability for the first time.</w:t>
      </w:r>
    </w:p>
    <w:p w14:paraId="36FD431B" w14:textId="77777777" w:rsidR="005D3807" w:rsidRPr="007C747A" w:rsidRDefault="005D3807" w:rsidP="008516BA">
      <w:pPr>
        <w:pStyle w:val="FGCNORMAL"/>
        <w:spacing w:line="240" w:lineRule="auto"/>
      </w:pPr>
      <w:r w:rsidRPr="007C747A">
        <w:t xml:space="preserve">The Scheme is making a difference to the lives of participants in many ways. </w:t>
      </w:r>
    </w:p>
    <w:p w14:paraId="2D042532" w14:textId="67E25F81" w:rsidR="005D3807" w:rsidRPr="007C747A" w:rsidRDefault="005D3807" w:rsidP="008516BA">
      <w:pPr>
        <w:pStyle w:val="FGCNORMAL"/>
        <w:spacing w:line="240" w:lineRule="auto"/>
      </w:pPr>
      <w:r w:rsidRPr="007C747A">
        <w:t xml:space="preserve">There is an increase </w:t>
      </w:r>
      <w:r w:rsidR="003B32A3" w:rsidRPr="007C747A">
        <w:t xml:space="preserve">in </w:t>
      </w:r>
      <w:r w:rsidRPr="007C747A">
        <w:t>participants</w:t>
      </w:r>
      <w:r w:rsidR="003B32A3" w:rsidRPr="007C747A">
        <w:t>’</w:t>
      </w:r>
      <w:r w:rsidRPr="007C747A">
        <w:t xml:space="preserve"> involvement in community and social activities</w:t>
      </w:r>
      <w:r w:rsidR="003B32A3" w:rsidRPr="007C747A">
        <w:t>,</w:t>
      </w:r>
      <w:r w:rsidRPr="007C747A">
        <w:t xml:space="preserve"> with the NDIS continuing to deliver a variety of positive outcomes for participants, families and carers.</w:t>
      </w:r>
    </w:p>
    <w:p w14:paraId="1313C675" w14:textId="7276C7BA" w:rsidR="005D3807" w:rsidRPr="007C747A" w:rsidRDefault="005D3807" w:rsidP="008516BA">
      <w:pPr>
        <w:pStyle w:val="FGCNORMAL"/>
        <w:spacing w:line="240" w:lineRule="auto"/>
      </w:pPr>
      <w:r w:rsidRPr="007C747A">
        <w:t xml:space="preserve">There is also an increase in the number of participants in paid work, helping to build on economic, social, community and individual outcomes. More than half of </w:t>
      </w:r>
      <w:r w:rsidR="003B32A3" w:rsidRPr="007C747A">
        <w:t xml:space="preserve">the </w:t>
      </w:r>
      <w:r w:rsidRPr="007C747A">
        <w:t>parents and carers of participants are also now in paid work, demonstrating how the NDIS is transforming lives and positively impacting our whole community. </w:t>
      </w:r>
    </w:p>
    <w:p w14:paraId="78B1416E" w14:textId="77777777" w:rsidR="005D3807" w:rsidRPr="007C747A" w:rsidRDefault="005D3807" w:rsidP="008516BA">
      <w:pPr>
        <w:pStyle w:val="FGCNORMAL"/>
        <w:spacing w:line="240" w:lineRule="auto"/>
      </w:pPr>
      <w:r w:rsidRPr="007C747A">
        <w:t>We have reduced the number of participants waiting for an external review through the continued implementation of an alternative resolution process, which also reduces the number of new cases going to the Administrative Appeals Tribunal (AAT).</w:t>
      </w:r>
    </w:p>
    <w:p w14:paraId="43280B60" w14:textId="77777777" w:rsidR="005D3807" w:rsidRPr="007C747A" w:rsidRDefault="005D3807" w:rsidP="008516BA">
      <w:pPr>
        <w:pStyle w:val="FGCNORMAL"/>
        <w:spacing w:line="240" w:lineRule="auto"/>
      </w:pPr>
      <w:r w:rsidRPr="007C747A">
        <w:t>We are working with the broader Australian Government on our continued commitment to improving the safe and timely discharge of NDIS participants from hospital.</w:t>
      </w:r>
    </w:p>
    <w:p w14:paraId="724949CC" w14:textId="77777777" w:rsidR="005D3807" w:rsidRPr="007C747A" w:rsidRDefault="005D3807" w:rsidP="008516BA">
      <w:pPr>
        <w:pStyle w:val="FGCNORMAL"/>
        <w:spacing w:line="240" w:lineRule="auto"/>
      </w:pPr>
      <w:r w:rsidRPr="007C747A">
        <w:t>We have partnered with the First Peoples Disability Network to co-design a new First Nations Strategy and action plan that is culturally appropriate, promotes self-advocacy, provides value, can be measured and reflects the goals and hopes of First Nations people with disability.</w:t>
      </w:r>
    </w:p>
    <w:p w14:paraId="00A114D8" w14:textId="77777777" w:rsidR="005D3807" w:rsidRPr="007C747A" w:rsidRDefault="005D3807" w:rsidP="008516BA">
      <w:pPr>
        <w:pStyle w:val="FGCNORMAL"/>
        <w:spacing w:line="240" w:lineRule="auto"/>
      </w:pPr>
      <w:r w:rsidRPr="007C747A">
        <w:t xml:space="preserve">These are incredible achievements. But this doesn’t stop us from continuing to improve. </w:t>
      </w:r>
    </w:p>
    <w:p w14:paraId="3EA94E27" w14:textId="1461930F" w:rsidR="005D3807" w:rsidRPr="007C747A" w:rsidRDefault="005D3807" w:rsidP="008516BA">
      <w:pPr>
        <w:pStyle w:val="FGCNORMAL"/>
        <w:spacing w:line="240" w:lineRule="auto"/>
      </w:pPr>
      <w:r w:rsidRPr="007C747A">
        <w:t>Importantly, we need to continue listening to the voice</w:t>
      </w:r>
      <w:r w:rsidR="003B32A3" w:rsidRPr="007C747A">
        <w:t>s</w:t>
      </w:r>
      <w:r w:rsidRPr="007C747A">
        <w:t xml:space="preserve"> of people with disability, reminding us of where we</w:t>
      </w:r>
      <w:r w:rsidR="003B32A3" w:rsidRPr="007C747A">
        <w:t>’</w:t>
      </w:r>
      <w:r w:rsidRPr="007C747A">
        <w:t xml:space="preserve">re at and then, as an </w:t>
      </w:r>
      <w:r w:rsidR="003B32A3" w:rsidRPr="007C747A">
        <w:t>a</w:t>
      </w:r>
      <w:r w:rsidRPr="007C747A">
        <w:t>gency, responding as best as we possibly can to those voices.</w:t>
      </w:r>
    </w:p>
    <w:p w14:paraId="0028040B" w14:textId="7E536FBA" w:rsidR="005D3807" w:rsidRPr="007C747A" w:rsidRDefault="005D3807" w:rsidP="008516BA">
      <w:pPr>
        <w:pStyle w:val="FGCNORMAL"/>
        <w:spacing w:line="240" w:lineRule="auto"/>
      </w:pPr>
      <w:r w:rsidRPr="007C747A">
        <w:t xml:space="preserve">Co-design remains a cornerstone of the Agency’s approach, ensuring meaningful engagement with participants and the disability community continues to inform </w:t>
      </w:r>
      <w:r w:rsidR="003B32A3" w:rsidRPr="007C747A">
        <w:t>the</w:t>
      </w:r>
      <w:r w:rsidRPr="007C747A">
        <w:t xml:space="preserve"> progress and development</w:t>
      </w:r>
      <w:r w:rsidR="003B32A3" w:rsidRPr="007C747A">
        <w:t xml:space="preserve"> of the Scheme</w:t>
      </w:r>
      <w:r w:rsidRPr="007C747A">
        <w:t>.</w:t>
      </w:r>
    </w:p>
    <w:p w14:paraId="1A2FB8B8" w14:textId="21877F37" w:rsidR="005D3807" w:rsidRPr="007C747A" w:rsidRDefault="005D3807" w:rsidP="008516BA">
      <w:pPr>
        <w:pStyle w:val="FGCNORMAL"/>
        <w:spacing w:line="240" w:lineRule="auto"/>
      </w:pPr>
      <w:r w:rsidRPr="007C747A">
        <w:t>The initial focus of co-design has been on support for decision</w:t>
      </w:r>
      <w:r w:rsidR="003B32A3" w:rsidRPr="007C747A">
        <w:t>-</w:t>
      </w:r>
      <w:r w:rsidRPr="007C747A">
        <w:t>making</w:t>
      </w:r>
      <w:r w:rsidR="003B32A3" w:rsidRPr="007C747A">
        <w:t xml:space="preserve"> and for</w:t>
      </w:r>
      <w:r w:rsidRPr="007C747A">
        <w:t xml:space="preserve"> home and living, as well as reinvigorating our focus on specific cohorts, including culturally and linguistically diverse (CALD) and Aboriginal and Torres Strait Islander peoples.</w:t>
      </w:r>
    </w:p>
    <w:p w14:paraId="33CE3074" w14:textId="4F8ADB6E" w:rsidR="005D3807" w:rsidRPr="007C747A" w:rsidRDefault="005D3807" w:rsidP="008516BA">
      <w:pPr>
        <w:pStyle w:val="FGCNORMAL"/>
        <w:spacing w:line="240" w:lineRule="auto"/>
      </w:pPr>
      <w:r w:rsidRPr="007C747A">
        <w:t>As we look toward</w:t>
      </w:r>
      <w:r w:rsidR="003B32A3" w:rsidRPr="007C747A">
        <w:t>s</w:t>
      </w:r>
      <w:r w:rsidRPr="007C747A">
        <w:t xml:space="preserve"> the next 10 years, we are working to ensure the NDIS is delivering outcomes for participants.</w:t>
      </w:r>
    </w:p>
    <w:p w14:paraId="0825B089" w14:textId="576941CC" w:rsidR="005D3807" w:rsidRPr="007C747A" w:rsidRDefault="005D3807" w:rsidP="008516BA">
      <w:pPr>
        <w:pStyle w:val="FGCNORMAL"/>
        <w:spacing w:line="240" w:lineRule="auto"/>
      </w:pPr>
      <w:r w:rsidRPr="007C747A">
        <w:t xml:space="preserve">In October 2022 the Minister for the NDIS, the Hon. Bill Shorten MP, announced </w:t>
      </w:r>
      <w:r w:rsidR="003B32A3" w:rsidRPr="007C747A">
        <w:t xml:space="preserve">a </w:t>
      </w:r>
      <w:r w:rsidRPr="007C747A">
        <w:t>12-month</w:t>
      </w:r>
      <w:r w:rsidR="00CE335F" w:rsidRPr="007C747A">
        <w:t>-</w:t>
      </w:r>
      <w:r w:rsidRPr="007C747A">
        <w:t xml:space="preserve">long review </w:t>
      </w:r>
      <w:r w:rsidR="003B32A3" w:rsidRPr="007C747A">
        <w:t xml:space="preserve">of </w:t>
      </w:r>
      <w:r w:rsidRPr="007C747A">
        <w:t xml:space="preserve">the NDIS, with an overarching goal to put people back at the centre of the Scheme. The </w:t>
      </w:r>
      <w:r w:rsidR="00CE335F" w:rsidRPr="007C747A">
        <w:t xml:space="preserve">NDIS </w:t>
      </w:r>
      <w:r w:rsidRPr="007C747A">
        <w:t>Review aims to help restore trust, confidence and pride in the NDIS</w:t>
      </w:r>
      <w:r w:rsidR="003B32A3" w:rsidRPr="007C747A">
        <w:t>. It</w:t>
      </w:r>
      <w:r w:rsidRPr="007C747A">
        <w:t xml:space="preserve"> is being co-chaired by</w:t>
      </w:r>
      <w:r w:rsidR="003B32A3" w:rsidRPr="007C747A">
        <w:t xml:space="preserve"> a</w:t>
      </w:r>
      <w:r w:rsidRPr="007C747A">
        <w:t xml:space="preserve"> former Chair of the NDIA, Professor Bruce Bonyhady AM</w:t>
      </w:r>
      <w:r w:rsidR="003B32A3" w:rsidRPr="007C747A">
        <w:t>,</w:t>
      </w:r>
      <w:r w:rsidRPr="007C747A">
        <w:t xml:space="preserve"> and Ms Lisa Paul AO PSM. </w:t>
      </w:r>
    </w:p>
    <w:p w14:paraId="28F22E05" w14:textId="54C0952D" w:rsidR="005D3807" w:rsidRPr="007C747A" w:rsidRDefault="005D3807" w:rsidP="008516BA">
      <w:pPr>
        <w:pStyle w:val="FGCNORMAL"/>
        <w:spacing w:line="240" w:lineRule="auto"/>
      </w:pPr>
      <w:r w:rsidRPr="007C747A">
        <w:t xml:space="preserve">In addition to the review, recommendations from inquiries </w:t>
      </w:r>
      <w:r w:rsidR="003B32A3" w:rsidRPr="007C747A">
        <w:t>of</w:t>
      </w:r>
      <w:r w:rsidRPr="007C747A">
        <w:t xml:space="preserve"> the </w:t>
      </w:r>
      <w:r w:rsidR="00EE423C" w:rsidRPr="007C747A">
        <w:t>p</w:t>
      </w:r>
      <w:r w:rsidRPr="007C747A">
        <w:t xml:space="preserve">arliamentary Joint Standing Committee on the </w:t>
      </w:r>
      <w:r w:rsidR="00EE423C" w:rsidRPr="007C747A">
        <w:t xml:space="preserve">National Disability Insurance Scheme </w:t>
      </w:r>
      <w:r w:rsidRPr="007C747A">
        <w:t xml:space="preserve">and from the Royal Commission into Violence, Abuse, Neglect and Exploitation of People with Disability will </w:t>
      </w:r>
      <w:r w:rsidR="00EE423C" w:rsidRPr="007C747A">
        <w:t xml:space="preserve">help to </w:t>
      </w:r>
      <w:r w:rsidRPr="007C747A">
        <w:t>shape the future of the Scheme when they are handed down later in 2023.</w:t>
      </w:r>
    </w:p>
    <w:p w14:paraId="6DDC3CC5" w14:textId="4F84AC28" w:rsidR="005D3807" w:rsidRPr="007C747A" w:rsidRDefault="00EE423C" w:rsidP="008516BA">
      <w:pPr>
        <w:pStyle w:val="FGCNORMAL"/>
        <w:spacing w:line="240" w:lineRule="auto"/>
      </w:pPr>
      <w:r w:rsidRPr="007C747A">
        <w:t xml:space="preserve">These recommendations </w:t>
      </w:r>
      <w:r w:rsidR="005D3807" w:rsidRPr="007C747A">
        <w:t xml:space="preserve">will </w:t>
      </w:r>
      <w:r w:rsidRPr="007C747A">
        <w:t xml:space="preserve">also </w:t>
      </w:r>
      <w:r w:rsidR="005D3807" w:rsidRPr="007C747A">
        <w:t>shape the direction of the Agency</w:t>
      </w:r>
      <w:r w:rsidRPr="007C747A">
        <w:t xml:space="preserve"> </w:t>
      </w:r>
      <w:r w:rsidR="005D3807" w:rsidRPr="007C747A">
        <w:t>– one that continues to evolve with the voices and requirements of people with disabilit</w:t>
      </w:r>
      <w:r w:rsidRPr="007C747A">
        <w:t>y</w:t>
      </w:r>
      <w:r w:rsidR="005D3807" w:rsidRPr="007C747A">
        <w:t xml:space="preserve">. </w:t>
      </w:r>
    </w:p>
    <w:p w14:paraId="3514524B" w14:textId="7164669D" w:rsidR="005D3807" w:rsidRPr="007C747A" w:rsidRDefault="005D3807" w:rsidP="008516BA">
      <w:pPr>
        <w:pStyle w:val="FGCNORMAL"/>
        <w:spacing w:line="240" w:lineRule="auto"/>
      </w:pPr>
      <w:r w:rsidRPr="007C747A">
        <w:t>At Board level, we have introduced a new committee with a dedicated focus on participant outcomes and the strategic direction of the NDIA</w:t>
      </w:r>
      <w:r w:rsidR="00EE423C" w:rsidRPr="007C747A">
        <w:t>. This</w:t>
      </w:r>
      <w:r w:rsidRPr="007C747A">
        <w:t xml:space="preserve"> will help</w:t>
      </w:r>
      <w:r w:rsidR="00EE423C" w:rsidRPr="007C747A">
        <w:t xml:space="preserve"> to</w:t>
      </w:r>
      <w:r w:rsidRPr="007C747A">
        <w:t xml:space="preserve"> guide any response to the </w:t>
      </w:r>
      <w:r w:rsidR="00EE423C" w:rsidRPr="007C747A">
        <w:t xml:space="preserve">Royal </w:t>
      </w:r>
      <w:r w:rsidRPr="007C747A">
        <w:t xml:space="preserve">Commission and </w:t>
      </w:r>
      <w:r w:rsidR="00EE423C" w:rsidRPr="007C747A">
        <w:t xml:space="preserve">the </w:t>
      </w:r>
      <w:r w:rsidR="003618EC" w:rsidRPr="007C747A">
        <w:t xml:space="preserve">NDIS </w:t>
      </w:r>
      <w:r w:rsidRPr="007C747A">
        <w:t>Review, with NDIS participants and people with disability at the heart.</w:t>
      </w:r>
    </w:p>
    <w:p w14:paraId="67A5E37B" w14:textId="33C193BD" w:rsidR="005D3807" w:rsidRPr="007C747A" w:rsidRDefault="005D3807" w:rsidP="008516BA">
      <w:pPr>
        <w:pStyle w:val="FGCNORMAL"/>
        <w:spacing w:line="240" w:lineRule="auto"/>
      </w:pPr>
      <w:r w:rsidRPr="007C747A">
        <w:t>The Board and I are committed to ensuring the Agency is trusted by participants and the community and that together we are building an NDIS that delivers what is needed for people with disabilit</w:t>
      </w:r>
      <w:r w:rsidR="00EE423C" w:rsidRPr="007C747A">
        <w:t>y</w:t>
      </w:r>
      <w:r w:rsidRPr="007C747A">
        <w:t>.</w:t>
      </w:r>
    </w:p>
    <w:p w14:paraId="5A3688AB" w14:textId="77777777" w:rsidR="00F41326" w:rsidRPr="007C747A" w:rsidRDefault="00F41326" w:rsidP="008516BA">
      <w:pPr>
        <w:pStyle w:val="FGCNORMAL"/>
        <w:spacing w:line="240" w:lineRule="auto"/>
      </w:pPr>
    </w:p>
    <w:p w14:paraId="506CC63F" w14:textId="77777777" w:rsidR="00B7129E" w:rsidRPr="007C747A" w:rsidRDefault="005D3807" w:rsidP="008516BA">
      <w:pPr>
        <w:pStyle w:val="FGCNORMAL"/>
        <w:spacing w:line="240" w:lineRule="auto"/>
      </w:pPr>
      <w:r w:rsidRPr="007C747A">
        <w:t>Kurt Fearnley AO</w:t>
      </w:r>
    </w:p>
    <w:p w14:paraId="6214D686" w14:textId="5D73AF4D" w:rsidR="005D3807" w:rsidRPr="007C747A" w:rsidRDefault="005D3807" w:rsidP="008516BA">
      <w:pPr>
        <w:pStyle w:val="FGCNORMAL"/>
        <w:spacing w:line="240" w:lineRule="auto"/>
      </w:pPr>
      <w:r w:rsidRPr="007C747A">
        <w:br/>
        <w:t>NDIA Board Chair</w:t>
      </w:r>
    </w:p>
    <w:p w14:paraId="21BBB512" w14:textId="77777777" w:rsidR="00B16CB9" w:rsidRPr="007C747A" w:rsidRDefault="00B16CB9" w:rsidP="008516BA">
      <w:pPr>
        <w:pStyle w:val="FGCNORMAL"/>
        <w:spacing w:line="240" w:lineRule="auto"/>
      </w:pPr>
    </w:p>
    <w:p w14:paraId="68CD1C30" w14:textId="77777777" w:rsidR="007138E2" w:rsidRPr="007C747A" w:rsidRDefault="007138E2" w:rsidP="00B92072">
      <w:pPr>
        <w:pStyle w:val="FGCHEADING2"/>
      </w:pPr>
      <w:bookmarkStart w:id="47" w:name="_Toc142562997"/>
      <w:bookmarkStart w:id="48" w:name="_Toc142573688"/>
      <w:bookmarkStart w:id="49" w:name="_Toc146289428"/>
      <w:bookmarkStart w:id="50" w:name="_Toc148108385"/>
      <w:r w:rsidRPr="007C747A">
        <w:t>Chief Executive Officer’s review</w:t>
      </w:r>
      <w:bookmarkEnd w:id="47"/>
      <w:bookmarkEnd w:id="48"/>
      <w:bookmarkEnd w:id="49"/>
      <w:bookmarkEnd w:id="50"/>
    </w:p>
    <w:p w14:paraId="62DB5FF9" w14:textId="62E027F5" w:rsidR="00160401" w:rsidRPr="007C747A" w:rsidRDefault="00160401" w:rsidP="00BB60AB">
      <w:pPr>
        <w:pStyle w:val="FGCNORMAL"/>
        <w:spacing w:line="240" w:lineRule="auto"/>
        <w:rPr>
          <w:rFonts w:asciiTheme="minorHAnsi" w:hAnsiTheme="minorHAnsi"/>
          <w:szCs w:val="28"/>
          <w:lang w:eastAsia="en-US"/>
        </w:rPr>
      </w:pPr>
      <w:r w:rsidRPr="007C747A">
        <w:t>It</w:t>
      </w:r>
      <w:r w:rsidR="00EE423C" w:rsidRPr="007C747A">
        <w:t xml:space="preserve"> has</w:t>
      </w:r>
      <w:r w:rsidRPr="007C747A">
        <w:t xml:space="preserve"> been a privilege to lead the NDIA over the past 9 months, particularly</w:t>
      </w:r>
      <w:r w:rsidR="00EE423C" w:rsidRPr="007C747A">
        <w:t xml:space="preserve"> as</w:t>
      </w:r>
      <w:r w:rsidRPr="007C747A">
        <w:t xml:space="preserve"> this year marks 10 years since the NDIS began – from grassroots campaigning to becoming a reality</w:t>
      </w:r>
      <w:r w:rsidR="00EE423C" w:rsidRPr="007C747A">
        <w:t>. Since then it has</w:t>
      </w:r>
      <w:r w:rsidRPr="007C747A">
        <w:t xml:space="preserve"> grow</w:t>
      </w:r>
      <w:r w:rsidR="00EE423C" w:rsidRPr="007C747A">
        <w:t>n</w:t>
      </w:r>
      <w:r w:rsidRPr="007C747A">
        <w:t xml:space="preserve"> to support more than half a million Australians. As a world</w:t>
      </w:r>
      <w:r w:rsidR="00EE423C" w:rsidRPr="007C747A">
        <w:t xml:space="preserve"> </w:t>
      </w:r>
      <w:r w:rsidRPr="007C747A">
        <w:t>first</w:t>
      </w:r>
      <w:r w:rsidR="00EE423C" w:rsidRPr="007C747A">
        <w:t>, the</w:t>
      </w:r>
      <w:r w:rsidRPr="007C747A">
        <w:t xml:space="preserve"> Scheme</w:t>
      </w:r>
      <w:r w:rsidR="00EE423C" w:rsidRPr="007C747A">
        <w:t xml:space="preserve"> </w:t>
      </w:r>
      <w:r w:rsidR="003618EC" w:rsidRPr="007C747A">
        <w:t>had no</w:t>
      </w:r>
      <w:r w:rsidRPr="007C747A">
        <w:t xml:space="preserve"> guidebook for getting it right</w:t>
      </w:r>
      <w:r w:rsidR="003618EC" w:rsidRPr="007C747A">
        <w:t>;</w:t>
      </w:r>
      <w:r w:rsidRPr="007C747A">
        <w:t xml:space="preserve"> but as we head into the second decade, we will be guided by the outcomes of the Disability Royal Commission and</w:t>
      </w:r>
      <w:r w:rsidR="003618EC" w:rsidRPr="007C747A">
        <w:t xml:space="preserve"> the</w:t>
      </w:r>
      <w:r w:rsidRPr="007C747A">
        <w:t xml:space="preserve"> NDIS Review. </w:t>
      </w:r>
    </w:p>
    <w:p w14:paraId="14FDB65E" w14:textId="7F1A7CBA" w:rsidR="00160401" w:rsidRPr="007C747A" w:rsidRDefault="00160401" w:rsidP="00BB60AB">
      <w:pPr>
        <w:pStyle w:val="FGCNORMAL"/>
        <w:spacing w:line="240" w:lineRule="auto"/>
      </w:pPr>
      <w:r w:rsidRPr="007C747A">
        <w:t>In the lead</w:t>
      </w:r>
      <w:r w:rsidR="003618EC" w:rsidRPr="007C747A">
        <w:t>-</w:t>
      </w:r>
      <w:r w:rsidRPr="007C747A">
        <w:t xml:space="preserve">up to </w:t>
      </w:r>
      <w:r w:rsidR="003618EC" w:rsidRPr="007C747A">
        <w:t xml:space="preserve">the Royal Commission and NDIS Review </w:t>
      </w:r>
      <w:r w:rsidRPr="007C747A">
        <w:t>reports being released</w:t>
      </w:r>
      <w:r w:rsidR="003618EC" w:rsidRPr="007C747A">
        <w:t>,</w:t>
      </w:r>
      <w:r w:rsidRPr="007C747A">
        <w:t xml:space="preserve"> we have worked closely with participants and the</w:t>
      </w:r>
      <w:r w:rsidR="003618EC" w:rsidRPr="007C747A">
        <w:t xml:space="preserve"> wider</w:t>
      </w:r>
      <w:r w:rsidRPr="007C747A">
        <w:t xml:space="preserve"> disability community to deliver an operational reform program start to reshape the NDIS. This includes the Government’s $720 million investment in the NDIA with a focus on a better, more consistent, more equitable experience for participants.  </w:t>
      </w:r>
    </w:p>
    <w:p w14:paraId="6449DEA2" w14:textId="4C394C89" w:rsidR="00160401" w:rsidRPr="007C747A" w:rsidRDefault="00160401" w:rsidP="00BB60AB">
      <w:pPr>
        <w:pStyle w:val="FGCNORMAL"/>
        <w:spacing w:line="240" w:lineRule="auto"/>
      </w:pPr>
      <w:r w:rsidRPr="007C747A">
        <w:t>Getting these reforms right and making sure they work and are long</w:t>
      </w:r>
      <w:r w:rsidR="003618EC" w:rsidRPr="007C747A">
        <w:t xml:space="preserve"> </w:t>
      </w:r>
      <w:r w:rsidRPr="007C747A">
        <w:t xml:space="preserve">lasting </w:t>
      </w:r>
      <w:r w:rsidR="003618EC" w:rsidRPr="007C747A">
        <w:t xml:space="preserve">requires </w:t>
      </w:r>
      <w:r w:rsidRPr="007C747A">
        <w:t xml:space="preserve">not only a focus on NDIA delivery, workforce and systems but also a focus on building and maintaining trust with participants and the disability community. </w:t>
      </w:r>
    </w:p>
    <w:p w14:paraId="00EEC652" w14:textId="4F180193" w:rsidR="00160401" w:rsidRPr="007C747A" w:rsidRDefault="00160401" w:rsidP="00BB60AB">
      <w:pPr>
        <w:pStyle w:val="FGCNORMAL"/>
        <w:spacing w:line="240" w:lineRule="auto"/>
      </w:pPr>
      <w:r w:rsidRPr="007C747A">
        <w:t>The only way we can do this is by listening</w:t>
      </w:r>
      <w:r w:rsidR="003618EC" w:rsidRPr="007C747A">
        <w:t xml:space="preserve"> to</w:t>
      </w:r>
      <w:r w:rsidRPr="007C747A">
        <w:t xml:space="preserve"> and working with people with disability. </w:t>
      </w:r>
    </w:p>
    <w:p w14:paraId="633AE69E" w14:textId="77777777" w:rsidR="00160401" w:rsidRPr="007C747A" w:rsidRDefault="00160401" w:rsidP="00BB60AB">
      <w:pPr>
        <w:pStyle w:val="FGCNORMAL"/>
        <w:spacing w:line="240" w:lineRule="auto"/>
      </w:pPr>
      <w:r w:rsidRPr="007C747A">
        <w:t>We have had a significant focus on working in partnership with participants and the sector to tackle challenges because we know there is a shared desire to see the Scheme succeed in line with the original vision for it. We want to keep building on this to work together and co-design future reform and implementation.</w:t>
      </w:r>
    </w:p>
    <w:p w14:paraId="65AE2964" w14:textId="56F53C2C" w:rsidR="00160401" w:rsidRPr="007C747A" w:rsidRDefault="00160401" w:rsidP="00BB60AB">
      <w:pPr>
        <w:pStyle w:val="FGCNORMAL"/>
        <w:spacing w:line="240" w:lineRule="auto"/>
      </w:pPr>
      <w:r w:rsidRPr="007C747A">
        <w:t xml:space="preserve">Many of the ideas on how to improve the Scheme have come from the disability community, including our Independent Advisory </w:t>
      </w:r>
      <w:r w:rsidR="003618EC" w:rsidRPr="007C747A">
        <w:t>Council and d</w:t>
      </w:r>
      <w:r w:rsidRPr="007C747A">
        <w:t xml:space="preserve">isability </w:t>
      </w:r>
      <w:r w:rsidR="003618EC" w:rsidRPr="007C747A">
        <w:t>r</w:t>
      </w:r>
      <w:r w:rsidRPr="007C747A">
        <w:t xml:space="preserve">epresentative and </w:t>
      </w:r>
      <w:r w:rsidR="003618EC" w:rsidRPr="007C747A">
        <w:t>c</w:t>
      </w:r>
      <w:r w:rsidRPr="007C747A">
        <w:t xml:space="preserve">arers </w:t>
      </w:r>
      <w:r w:rsidR="003618EC" w:rsidRPr="007C747A">
        <w:t>o</w:t>
      </w:r>
      <w:r w:rsidRPr="007C747A">
        <w:t xml:space="preserve">rganisations, who have been trying to tackle the challenges facing participants and the Scheme for the best part of a decade. </w:t>
      </w:r>
    </w:p>
    <w:p w14:paraId="6576DF81" w14:textId="19123B21" w:rsidR="00160401" w:rsidRPr="007C747A" w:rsidRDefault="00160401" w:rsidP="00BB60AB">
      <w:pPr>
        <w:pStyle w:val="FGCNORMAL"/>
        <w:spacing w:line="240" w:lineRule="auto"/>
      </w:pPr>
      <w:r w:rsidRPr="007C747A">
        <w:t xml:space="preserve">This input from the sector and participants has been vital to improving a range of policies and programs. For example, in the past year, we released </w:t>
      </w:r>
      <w:r w:rsidR="00CE335F" w:rsidRPr="007C747A">
        <w:t>2</w:t>
      </w:r>
      <w:r w:rsidRPr="007C747A">
        <w:t xml:space="preserve"> co-designed policies – </w:t>
      </w:r>
      <w:r w:rsidR="00CE335F" w:rsidRPr="007C747A">
        <w:t xml:space="preserve">the </w:t>
      </w:r>
      <w:r w:rsidRPr="007C747A">
        <w:t>Supported Decision-Making</w:t>
      </w:r>
      <w:r w:rsidR="00CE335F" w:rsidRPr="007C747A">
        <w:t xml:space="preserve"> Policy</w:t>
      </w:r>
      <w:r w:rsidRPr="007C747A">
        <w:t xml:space="preserve"> and </w:t>
      </w:r>
      <w:r w:rsidR="00CE335F" w:rsidRPr="007C747A">
        <w:t xml:space="preserve">the </w:t>
      </w:r>
      <w:r w:rsidRPr="007C747A">
        <w:t>Participant Safeguarding</w:t>
      </w:r>
      <w:r w:rsidR="00CE335F" w:rsidRPr="007C747A">
        <w:t xml:space="preserve"> Policy</w:t>
      </w:r>
      <w:r w:rsidRPr="007C747A">
        <w:t xml:space="preserve">. We have continued to refine our co-design approach and will co-design the implementation of 6 key initiatives to improve outcomes for participants.  </w:t>
      </w:r>
    </w:p>
    <w:p w14:paraId="1C695393" w14:textId="77777777" w:rsidR="00160401" w:rsidRPr="007C747A" w:rsidRDefault="00160401" w:rsidP="00BB60AB">
      <w:pPr>
        <w:pStyle w:val="FGCNORMAL"/>
        <w:spacing w:line="240" w:lineRule="auto"/>
      </w:pPr>
      <w:r w:rsidRPr="007C747A">
        <w:t>Bringing their knowledge and experience to the table through co-design amplifies the voice of people with disability to ensure we get reforms right. The focus on co-design will remain a key priority for us.</w:t>
      </w:r>
    </w:p>
    <w:p w14:paraId="0FB7DD9C" w14:textId="77777777" w:rsidR="00160401" w:rsidRPr="007C747A" w:rsidRDefault="00160401" w:rsidP="00BB60AB">
      <w:pPr>
        <w:pStyle w:val="FGCNORMAL"/>
        <w:spacing w:line="240" w:lineRule="auto"/>
      </w:pPr>
      <w:r w:rsidRPr="007C747A">
        <w:t xml:space="preserve">We also know there is a direct link between improving the participant experience and enhancing the capabilities of our staff and partners. Staff and partners who tested our new computer system and improved ways of working in Tasmania told us </w:t>
      </w:r>
      <w:r w:rsidRPr="007C747A">
        <w:rPr>
          <w:shd w:val="clear" w:color="auto" w:fill="FFFFFF"/>
        </w:rPr>
        <w:t xml:space="preserve">they can see how it will give them more time to engage directly with participants, focusing on supporting </w:t>
      </w:r>
      <w:r w:rsidRPr="007C747A">
        <w:t xml:space="preserve">them to get the most out of their plans and connecting with their communities. </w:t>
      </w:r>
    </w:p>
    <w:p w14:paraId="1BBD6DC9" w14:textId="3A51FA7B" w:rsidR="00160401" w:rsidRPr="007C747A" w:rsidRDefault="00160401" w:rsidP="00BB60AB">
      <w:pPr>
        <w:pStyle w:val="FGCNORMAL"/>
        <w:spacing w:line="240" w:lineRule="auto"/>
      </w:pPr>
      <w:r w:rsidRPr="007C747A">
        <w:t xml:space="preserve">Just as we have aimed to listen and respond to participants and the sector, we have gone to staff across the country to gain their input on where we can improve. In March 2023, along with our </w:t>
      </w:r>
      <w:r w:rsidR="00057C65" w:rsidRPr="007C747A">
        <w:t xml:space="preserve">Strategic </w:t>
      </w:r>
      <w:r w:rsidRPr="007C747A">
        <w:t xml:space="preserve">Leadership Team, I started a concerted effort to reach all staff across the country in a series of town hall meetings. The goal </w:t>
      </w:r>
      <w:r w:rsidR="003618EC" w:rsidRPr="007C747A">
        <w:t xml:space="preserve">of </w:t>
      </w:r>
      <w:r w:rsidRPr="007C747A">
        <w:t>these sessions has been to hear from our people about their passion and how we can support them to deliver the Scheme. Our people have provided crucial insights – we heard first-hand from our frontline staff, in particular, about the challenges they face in their everyday work</w:t>
      </w:r>
      <w:r w:rsidR="0073323A" w:rsidRPr="007C747A">
        <w:t>,</w:t>
      </w:r>
      <w:r w:rsidRPr="007C747A">
        <w:t xml:space="preserve"> and we</w:t>
      </w:r>
      <w:r w:rsidR="0073323A" w:rsidRPr="007C747A">
        <w:t xml:space="preserve"> ha</w:t>
      </w:r>
      <w:r w:rsidRPr="007C747A">
        <w:t xml:space="preserve">ve started addressing these issues so they can better support participants. </w:t>
      </w:r>
    </w:p>
    <w:p w14:paraId="4D296FC4" w14:textId="6C5D438B" w:rsidR="00160401" w:rsidRPr="007C747A" w:rsidRDefault="00160401" w:rsidP="00BB60AB">
      <w:pPr>
        <w:pStyle w:val="FGCNORMAL"/>
        <w:spacing w:line="240" w:lineRule="auto"/>
      </w:pPr>
      <w:r w:rsidRPr="007C747A">
        <w:t>We have a big job ahead of us</w:t>
      </w:r>
      <w:r w:rsidR="0073323A" w:rsidRPr="007C747A">
        <w:t>.</w:t>
      </w:r>
      <w:r w:rsidRPr="007C747A">
        <w:t xml:space="preserve"> </w:t>
      </w:r>
      <w:r w:rsidR="0073323A" w:rsidRPr="007C747A">
        <w:t>H</w:t>
      </w:r>
      <w:r w:rsidRPr="007C747A">
        <w:t>owever</w:t>
      </w:r>
      <w:r w:rsidR="0073323A" w:rsidRPr="007C747A">
        <w:t>,</w:t>
      </w:r>
      <w:r w:rsidRPr="007C747A">
        <w:t xml:space="preserve"> we have focused on positioning and preparing the Agency to deliver reforms and respond to the need for further improvements. The success of the Scheme into the future will be the result of passionate voices across Australia who are working to achieve one goal – an NDIS that works the best it can and that makes all Australians proud. </w:t>
      </w:r>
    </w:p>
    <w:p w14:paraId="55AF65AB" w14:textId="60867C0A" w:rsidR="00E064E1" w:rsidRPr="007C747A" w:rsidRDefault="004055BB" w:rsidP="00BB60AB">
      <w:pPr>
        <w:pStyle w:val="FGCNORMAL"/>
        <w:spacing w:line="240" w:lineRule="auto"/>
      </w:pPr>
      <w:r w:rsidRPr="007C747A">
        <w:t>Chief Executive Officer</w:t>
      </w:r>
    </w:p>
    <w:p w14:paraId="67ED4A53" w14:textId="77777777" w:rsidR="00CE39DD" w:rsidRPr="007C747A" w:rsidRDefault="00CE39DD" w:rsidP="001A7A4F">
      <w:pPr>
        <w:pStyle w:val="FGCNORMAL"/>
        <w:spacing w:line="240" w:lineRule="auto"/>
      </w:pPr>
    </w:p>
    <w:p w14:paraId="6FE8A610" w14:textId="55FB538C" w:rsidR="004055BB" w:rsidRPr="007C747A" w:rsidRDefault="004055BB" w:rsidP="001A7A4F">
      <w:pPr>
        <w:pStyle w:val="FGCNORMAL"/>
        <w:spacing w:line="240" w:lineRule="auto"/>
      </w:pPr>
      <w:r w:rsidRPr="007C747A">
        <w:t>Rebecca Falkingham</w:t>
      </w:r>
      <w:r w:rsidR="00CE39DD" w:rsidRPr="007C747A">
        <w:t xml:space="preserve"> </w:t>
      </w:r>
      <w:r w:rsidR="008E06EE" w:rsidRPr="007C747A">
        <w:t>PSM</w:t>
      </w:r>
    </w:p>
    <w:p w14:paraId="03EBBBCE" w14:textId="77777777" w:rsidR="00BB60AB" w:rsidRPr="007C747A" w:rsidRDefault="00BB60AB" w:rsidP="00BB60AB">
      <w:pPr>
        <w:pStyle w:val="FGCNORMAL"/>
        <w:spacing w:line="240" w:lineRule="auto"/>
      </w:pPr>
    </w:p>
    <w:p w14:paraId="3064F66A" w14:textId="77777777" w:rsidR="007138E2" w:rsidRPr="007C747A" w:rsidRDefault="007138E2" w:rsidP="00B92072">
      <w:pPr>
        <w:pStyle w:val="FGCHEADING2"/>
      </w:pPr>
      <w:bookmarkStart w:id="51" w:name="_Toc144925990"/>
      <w:bookmarkStart w:id="52" w:name="_Toc142039617"/>
      <w:bookmarkStart w:id="53" w:name="_Toc142047724"/>
      <w:bookmarkStart w:id="54" w:name="_Toc142562998"/>
      <w:bookmarkStart w:id="55" w:name="_Toc142573689"/>
      <w:bookmarkStart w:id="56" w:name="_Toc146289429"/>
      <w:bookmarkStart w:id="57" w:name="_Toc148108386"/>
      <w:bookmarkStart w:id="58" w:name="_Toc142039622"/>
      <w:bookmarkStart w:id="59" w:name="_Toc142047729"/>
      <w:bookmarkEnd w:id="51"/>
      <w:r w:rsidRPr="007C747A">
        <w:t>The National Disability Insurance Scheme</w:t>
      </w:r>
      <w:bookmarkEnd w:id="52"/>
      <w:bookmarkEnd w:id="53"/>
      <w:bookmarkEnd w:id="54"/>
      <w:bookmarkEnd w:id="55"/>
      <w:bookmarkEnd w:id="56"/>
      <w:bookmarkEnd w:id="57"/>
    </w:p>
    <w:p w14:paraId="5A4B62D8" w14:textId="3672C2B9" w:rsidR="007E3F13" w:rsidRPr="007C747A" w:rsidRDefault="007E3F13" w:rsidP="00510676">
      <w:pPr>
        <w:pStyle w:val="FGCNORMAL"/>
        <w:spacing w:line="240" w:lineRule="auto"/>
      </w:pPr>
      <w:r w:rsidRPr="007C747A">
        <w:t xml:space="preserve">The </w:t>
      </w:r>
      <w:r w:rsidR="0073323A" w:rsidRPr="007C747A">
        <w:t xml:space="preserve">NDIS </w:t>
      </w:r>
      <w:r w:rsidRPr="007C747A">
        <w:t>provides Australians who have a permanent and significant disability with financial support to build capacity, increase independence and establish stronger connections with their community and workplace.</w:t>
      </w:r>
    </w:p>
    <w:p w14:paraId="191BD3F5" w14:textId="77777777" w:rsidR="007E3F13" w:rsidRPr="007C747A" w:rsidRDefault="007E3F13" w:rsidP="00510676">
      <w:pPr>
        <w:pStyle w:val="FGCNORMAL"/>
        <w:spacing w:line="240" w:lineRule="auto"/>
      </w:pPr>
      <w:r w:rsidRPr="007C747A">
        <w:t xml:space="preserve">Established in July 2013 to replace the previous primarily state-based welfare system of disability care, the Scheme provides a single, national insurance-based approach to fund support for people with disability, their families and carers. </w:t>
      </w:r>
    </w:p>
    <w:p w14:paraId="5B9F2F86" w14:textId="77777777" w:rsidR="007E3F13" w:rsidRPr="007C747A" w:rsidRDefault="007E3F13" w:rsidP="00510676">
      <w:pPr>
        <w:pStyle w:val="FGCNORMAL"/>
        <w:spacing w:line="240" w:lineRule="auto"/>
      </w:pPr>
      <w:r w:rsidRPr="007C747A">
        <w:t>The NDIS is based on the guiding principles that people with disability:</w:t>
      </w:r>
    </w:p>
    <w:p w14:paraId="04EF1980" w14:textId="0715592D" w:rsidR="007E3F13" w:rsidRPr="007C747A" w:rsidRDefault="007E3F13" w:rsidP="00510676">
      <w:pPr>
        <w:pStyle w:val="FGCBULLET1"/>
        <w:spacing w:line="240" w:lineRule="auto"/>
      </w:pPr>
      <w:r w:rsidRPr="007C747A">
        <w:t xml:space="preserve">have the same rights as all Australians to realise their potential for physical, social, emotional and intellectual </w:t>
      </w:r>
      <w:r w:rsidR="00E077DA" w:rsidRPr="007C747A">
        <w:t>development.</w:t>
      </w:r>
    </w:p>
    <w:p w14:paraId="63B1F39A" w14:textId="77777777" w:rsidR="007E3F13" w:rsidRPr="007C747A" w:rsidRDefault="007E3F13" w:rsidP="00510676">
      <w:pPr>
        <w:pStyle w:val="FGCBULLET1"/>
        <w:spacing w:line="240" w:lineRule="auto"/>
      </w:pPr>
      <w:r w:rsidRPr="007C747A">
        <w:t>are supported to participate in and contribute to social and economic life to the full extent of their ability.</w:t>
      </w:r>
    </w:p>
    <w:p w14:paraId="2CF94D01" w14:textId="77777777" w:rsidR="007138E2" w:rsidRPr="007C747A" w:rsidRDefault="007138E2" w:rsidP="00E9598C">
      <w:pPr>
        <w:pStyle w:val="FGCHEADING2"/>
      </w:pPr>
      <w:bookmarkStart w:id="60" w:name="_Toc142039619"/>
      <w:bookmarkStart w:id="61" w:name="_Toc142047726"/>
      <w:bookmarkStart w:id="62" w:name="_Toc142562999"/>
      <w:bookmarkStart w:id="63" w:name="_Toc142573690"/>
      <w:bookmarkStart w:id="64" w:name="_Toc146289430"/>
      <w:bookmarkStart w:id="65" w:name="_Toc148108387"/>
      <w:r w:rsidRPr="007C747A">
        <w:t>The National Disability Insurance Agency</w:t>
      </w:r>
      <w:bookmarkEnd w:id="60"/>
      <w:bookmarkEnd w:id="61"/>
      <w:bookmarkEnd w:id="62"/>
      <w:bookmarkEnd w:id="63"/>
      <w:bookmarkEnd w:id="64"/>
      <w:bookmarkEnd w:id="65"/>
    </w:p>
    <w:p w14:paraId="72B8C729" w14:textId="30DC1EBF" w:rsidR="00BC25B0" w:rsidRPr="007C747A" w:rsidRDefault="00BC25B0" w:rsidP="00BC25B0">
      <w:pPr>
        <w:pStyle w:val="FGCNORMAL"/>
        <w:spacing w:line="240" w:lineRule="auto"/>
      </w:pPr>
      <w:r w:rsidRPr="007C747A">
        <w:t xml:space="preserve">The NDIA is a corporate Commonwealth entity under the </w:t>
      </w:r>
      <w:r w:rsidR="00EC5327" w:rsidRPr="007C747A">
        <w:rPr>
          <w:i/>
          <w:iCs/>
        </w:rPr>
        <w:t>Public Governance, Performance and Accountability Act 2013</w:t>
      </w:r>
      <w:r w:rsidR="00EC5327" w:rsidRPr="007C747A">
        <w:t xml:space="preserve"> (</w:t>
      </w:r>
      <w:r w:rsidRPr="007C747A">
        <w:t>PGPA Act</w:t>
      </w:r>
      <w:r w:rsidR="00EC5327" w:rsidRPr="007C747A">
        <w:t>)</w:t>
      </w:r>
      <w:r w:rsidRPr="007C747A">
        <w:t xml:space="preserve">, with statutory authority under the NDIS Act. The NDIS Act, in conjunction with other laws, gives effect to Australia’s obligations under the United Nations Convention on the Rights of Persons with Disabilities. Funding and governance of the Scheme involves the Commonwealth and state and territory governments in accordance with the NDIS Act and inter-governmental agreements. </w:t>
      </w:r>
    </w:p>
    <w:p w14:paraId="35BD7797" w14:textId="77777777" w:rsidR="00BC25B0" w:rsidRPr="007C747A" w:rsidRDefault="00BC25B0" w:rsidP="00BC25B0">
      <w:pPr>
        <w:pStyle w:val="FGCNORMAL"/>
        <w:spacing w:line="240" w:lineRule="auto"/>
      </w:pPr>
      <w:r w:rsidRPr="007C747A">
        <w:t xml:space="preserve">As a Commonwealth entity, the NDIA is subject to the Commonwealth Performance Framework. The Annual Report (this document) is a key element of the framework, incorporating the NDIA’s performance statements and audited financial statements, which report respectively on our non-financial and financial results. In accordance with the framework, the NDIA also publishes an annual Corporate Plan, our primary non-financial planning document. </w:t>
      </w:r>
    </w:p>
    <w:p w14:paraId="40A1B3E6" w14:textId="4E8DEF73" w:rsidR="00BC25B0" w:rsidRPr="007C747A" w:rsidRDefault="00BC25B0" w:rsidP="00BC25B0">
      <w:pPr>
        <w:pStyle w:val="FGCNORMAL"/>
        <w:spacing w:line="240" w:lineRule="auto"/>
      </w:pPr>
      <w:r w:rsidRPr="007C747A">
        <w:t xml:space="preserve">The NDIA also provides detailed </w:t>
      </w:r>
      <w:r w:rsidR="00EC5327" w:rsidRPr="007C747A">
        <w:t>Q</w:t>
      </w:r>
      <w:r w:rsidRPr="007C747A">
        <w:t xml:space="preserve">uarterly </w:t>
      </w:r>
      <w:r w:rsidR="00EC5327" w:rsidRPr="007C747A">
        <w:t>R</w:t>
      </w:r>
      <w:r w:rsidRPr="007C747A">
        <w:t xml:space="preserve">eports to the Ministerial Council outlining NDIS performance in accordance with the NDIS Act. All reports are available for download on the NDIS website. The NDIA is overseen by the NDIA Board, which has responsibility for ensuring the proper, efficient and effective performance of the NDIA’s functions, setting its strategic direction, ensuring the financial sustainability of the Scheme, and managing risk and ensuring compliance with relevant legislative and statutory requirements. The Board is the accountable authority for the NDIA under the PGPA Act. </w:t>
      </w:r>
    </w:p>
    <w:p w14:paraId="167F4271" w14:textId="3627F521" w:rsidR="00BC25B0" w:rsidRPr="007C747A" w:rsidRDefault="00BC25B0" w:rsidP="00BC25B0">
      <w:pPr>
        <w:pStyle w:val="FGCNORMAL"/>
        <w:spacing w:line="240" w:lineRule="auto"/>
      </w:pPr>
      <w:r w:rsidRPr="007C747A">
        <w:t xml:space="preserve">The NDIA’s </w:t>
      </w:r>
      <w:r w:rsidR="002304A2" w:rsidRPr="007C747A">
        <w:t>governance also</w:t>
      </w:r>
      <w:r w:rsidRPr="007C747A">
        <w:t xml:space="preserve"> includes the Independent Advisory Council, which provides advice to the Board in accordance with the NDIS Act. </w:t>
      </w:r>
    </w:p>
    <w:p w14:paraId="7B890D4C" w14:textId="4A5CDABE" w:rsidR="007138E2" w:rsidRPr="007C747A" w:rsidRDefault="007138E2" w:rsidP="007138E2">
      <w:pPr>
        <w:pStyle w:val="FGCNORMAL"/>
      </w:pPr>
    </w:p>
    <w:p w14:paraId="2F4C7936" w14:textId="77777777" w:rsidR="0038183C" w:rsidRPr="007C747A" w:rsidRDefault="0038183C" w:rsidP="007138E2">
      <w:pPr>
        <w:pStyle w:val="FGCNORMAL"/>
      </w:pPr>
    </w:p>
    <w:p w14:paraId="7391D66D" w14:textId="77777777" w:rsidR="007138E2" w:rsidRPr="007C747A" w:rsidRDefault="007138E2" w:rsidP="00E9598C">
      <w:pPr>
        <w:pStyle w:val="FGCHEADING2"/>
      </w:pPr>
      <w:bookmarkStart w:id="66" w:name="_Toc142039620"/>
      <w:bookmarkStart w:id="67" w:name="_Toc142047727"/>
      <w:bookmarkStart w:id="68" w:name="_Toc142563000"/>
      <w:bookmarkStart w:id="69" w:name="_Toc142573691"/>
      <w:bookmarkStart w:id="70" w:name="_Toc146289431"/>
      <w:bookmarkStart w:id="71" w:name="_Toc148108388"/>
      <w:r w:rsidRPr="007C747A">
        <w:t>Our values</w:t>
      </w:r>
      <w:bookmarkEnd w:id="66"/>
      <w:bookmarkEnd w:id="67"/>
      <w:bookmarkEnd w:id="68"/>
      <w:bookmarkEnd w:id="69"/>
      <w:bookmarkEnd w:id="70"/>
      <w:bookmarkEnd w:id="71"/>
      <w:r w:rsidRPr="007C747A">
        <w:t xml:space="preserve"> </w:t>
      </w:r>
    </w:p>
    <w:p w14:paraId="1D0C98DA" w14:textId="77777777" w:rsidR="004D5E99" w:rsidRPr="007C747A" w:rsidRDefault="004D5E99" w:rsidP="004D5E99">
      <w:pPr>
        <w:pStyle w:val="FGCNORMAL"/>
        <w:spacing w:line="240" w:lineRule="auto"/>
      </w:pPr>
      <w:r w:rsidRPr="007C747A">
        <w:t xml:space="preserve">We are focused on developing a capable, engaged and healthy workforce that builds on our reputation as an employer of choice. </w:t>
      </w:r>
    </w:p>
    <w:p w14:paraId="0750B0D3" w14:textId="00E14860" w:rsidR="004D5E99" w:rsidRPr="007C747A" w:rsidRDefault="004D5E99" w:rsidP="004D5E99">
      <w:pPr>
        <w:pStyle w:val="FGCNORMAL"/>
        <w:spacing w:line="240" w:lineRule="auto"/>
      </w:pPr>
      <w:r w:rsidRPr="007C747A">
        <w:t xml:space="preserve">We do this through a values-driven culture, based on the values of the Australian Public Service (APS) and supplemented by our own: </w:t>
      </w:r>
    </w:p>
    <w:p w14:paraId="534A17F5" w14:textId="5DA2464B" w:rsidR="009D202D" w:rsidRPr="007C747A" w:rsidRDefault="006F1AB2" w:rsidP="004D5E99">
      <w:pPr>
        <w:pStyle w:val="FGCNORMAL"/>
        <w:spacing w:line="240" w:lineRule="auto"/>
      </w:pPr>
      <w:r w:rsidRPr="007C747A">
        <w:rPr>
          <w:noProof/>
        </w:rPr>
        <w:drawing>
          <wp:inline distT="0" distB="0" distL="0" distR="0" wp14:anchorId="356F86A9" wp14:editId="78FCEA29">
            <wp:extent cx="5598114" cy="2821037"/>
            <wp:effectExtent l="0" t="0" r="3175" b="0"/>
            <wp:docPr id="1360112943" name="Picture 1360112943" descr="This is a chart with 4 separate coloured segments with the following information.&#10;We value people.&#10;We put participants at the heart of everything we do.&#10;We grow together.&#10;We work together to  deliver quality outcomes.&#10;We aim higher.&#10;We are resilient and always have the courage to do better.&#10;We take care.&#10;We own what we do and we do the right 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12943" name="Picture 1360112943" descr="This is a chart with 4 separate coloured segments with the following information.&#10;We value people.&#10;We put participants at the heart of everything we do.&#10;We grow together.&#10;We work together to  deliver quality outcomes.&#10;We aim higher.&#10;We are resilient and always have the courage to do better.&#10;We take care.&#10;We own what we do and we do the right thing."/>
                    <pic:cNvPicPr/>
                  </pic:nvPicPr>
                  <pic:blipFill rotWithShape="1">
                    <a:blip r:embed="rId13">
                      <a:extLst>
                        <a:ext uri="{28A0092B-C50C-407E-A947-70E740481C1C}">
                          <a14:useLocalDpi xmlns:a14="http://schemas.microsoft.com/office/drawing/2010/main" val="0"/>
                        </a:ext>
                      </a:extLst>
                    </a:blip>
                    <a:srcRect l="3457" t="6681" r="3717" b="5694"/>
                    <a:stretch/>
                  </pic:blipFill>
                  <pic:spPr bwMode="auto">
                    <a:xfrm>
                      <a:off x="0" y="0"/>
                      <a:ext cx="5601479" cy="2822733"/>
                    </a:xfrm>
                    <a:prstGeom prst="rect">
                      <a:avLst/>
                    </a:prstGeom>
                    <a:ln>
                      <a:noFill/>
                    </a:ln>
                    <a:extLst>
                      <a:ext uri="{53640926-AAD7-44D8-BBD7-CCE9431645EC}">
                        <a14:shadowObscured xmlns:a14="http://schemas.microsoft.com/office/drawing/2010/main"/>
                      </a:ext>
                    </a:extLst>
                  </pic:spPr>
                </pic:pic>
              </a:graphicData>
            </a:graphic>
          </wp:inline>
        </w:drawing>
      </w:r>
    </w:p>
    <w:p w14:paraId="19EEF897" w14:textId="49EE3A94" w:rsidR="004D5E99" w:rsidRPr="007C747A" w:rsidRDefault="004D5E99" w:rsidP="004D5E99">
      <w:pPr>
        <w:pStyle w:val="FGCNORMAL"/>
        <w:spacing w:line="240" w:lineRule="auto"/>
      </w:pPr>
      <w:r w:rsidRPr="007C747A">
        <w:t xml:space="preserve">Our people are committed to supporting NDIS participants to achieve their goals. Equally, we are committed to supporting our people to realise the aspirations and goals identified in the </w:t>
      </w:r>
      <w:hyperlink r:id="rId14" w:history="1">
        <w:r w:rsidRPr="00B74C35">
          <w:rPr>
            <w:rStyle w:val="Hyperlink"/>
          </w:rPr>
          <w:t>Corporate Plan 2022–2026</w:t>
        </w:r>
      </w:hyperlink>
      <w:r w:rsidRPr="00B74C35">
        <w:rPr>
          <w:color w:val="6B2876" w:themeColor="text1"/>
        </w:rPr>
        <w:t>.</w:t>
      </w:r>
    </w:p>
    <w:p w14:paraId="0F9ED488" w14:textId="6C530722" w:rsidR="009D202D" w:rsidRPr="007C747A" w:rsidRDefault="009D202D">
      <w:pPr>
        <w:spacing w:after="0" w:line="240" w:lineRule="auto"/>
        <w:rPr>
          <w:rFonts w:eastAsiaTheme="minorEastAsia" w:cs="Arial"/>
          <w:sz w:val="22"/>
          <w:szCs w:val="22"/>
          <w:lang w:val="en-AU"/>
        </w:rPr>
      </w:pPr>
      <w:r w:rsidRPr="007C747A">
        <w:rPr>
          <w:lang w:val="en-AU"/>
        </w:rPr>
        <w:br w:type="page"/>
      </w:r>
    </w:p>
    <w:p w14:paraId="27D387FF" w14:textId="77777777" w:rsidR="009D202D" w:rsidRPr="007C747A" w:rsidRDefault="009D202D" w:rsidP="007138E2">
      <w:pPr>
        <w:pStyle w:val="FGCNORMAL"/>
      </w:pPr>
    </w:p>
    <w:p w14:paraId="323709AD" w14:textId="77777777" w:rsidR="007138E2" w:rsidRPr="007C747A" w:rsidRDefault="007138E2" w:rsidP="00E9598C">
      <w:pPr>
        <w:pStyle w:val="FGCHEADING2"/>
      </w:pPr>
      <w:bookmarkStart w:id="72" w:name="_Toc142039621"/>
      <w:bookmarkStart w:id="73" w:name="_Toc142047728"/>
      <w:bookmarkStart w:id="74" w:name="_Toc142563001"/>
      <w:bookmarkStart w:id="75" w:name="_Toc142573692"/>
      <w:bookmarkStart w:id="76" w:name="_Toc146289432"/>
      <w:bookmarkStart w:id="77" w:name="_Toc148108389"/>
      <w:r w:rsidRPr="007C747A">
        <w:t>Our aspirations</w:t>
      </w:r>
      <w:bookmarkEnd w:id="72"/>
      <w:bookmarkEnd w:id="73"/>
      <w:bookmarkEnd w:id="74"/>
      <w:bookmarkEnd w:id="75"/>
      <w:bookmarkEnd w:id="76"/>
      <w:bookmarkEnd w:id="77"/>
    </w:p>
    <w:p w14:paraId="0B358539" w14:textId="77777777" w:rsidR="00EA57D2" w:rsidRPr="007C747A" w:rsidRDefault="00EA57D2" w:rsidP="00EA57D2">
      <w:pPr>
        <w:pStyle w:val="FGCNORMAL"/>
        <w:spacing w:line="240" w:lineRule="auto"/>
      </w:pPr>
      <w:r w:rsidRPr="007C747A">
        <w:t xml:space="preserve">Our strategy aligns 5 aspirations to our purpose statement, each with specific strategic goals. </w:t>
      </w:r>
    </w:p>
    <w:p w14:paraId="4EA21B75" w14:textId="1D5F47B9" w:rsidR="00B90FC5" w:rsidRPr="007C747A" w:rsidRDefault="00B90FC5" w:rsidP="00EA57D2">
      <w:pPr>
        <w:pStyle w:val="FGCNORMAL"/>
        <w:spacing w:line="240" w:lineRule="auto"/>
      </w:pPr>
      <w:r w:rsidRPr="007C747A">
        <w:rPr>
          <w:noProof/>
        </w:rPr>
        <w:drawing>
          <wp:inline distT="0" distB="0" distL="0" distR="0" wp14:anchorId="1E9DBE59" wp14:editId="7CE137AC">
            <wp:extent cx="5551714" cy="5094514"/>
            <wp:effectExtent l="0" t="0" r="0" b="0"/>
            <wp:docPr id="17598027" name="Picture 17598027" descr="This image shows a coloured chart explaining the NDIS’s purpose and aspirations.&#10;Our purpose is to:&#10;Support individuals with a significant and permanent disability (participants) &#10;to be more independent and engage more socially and economically, &#10;while delivering a financially sustainable NDIS that builds genuinely connected &#10;and engaged communities and stakeholders.&#10;Aspiration 1.  A quality experience and improved outcomes for participants.&#10;Aspiration 2.  A competitive market with innovative supports.&#10;Aspiration 3.  A genuinely connected and engaged stakeholder sector.&#10;Aspiration 4.  A high-performing NDIA.&#10;Aspiration 5.  A financially sustainable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8027" name="Picture 17598027" descr="This image shows a coloured chart explaining the NDIS’s purpose and aspirations.&#10;Our purpose is to:&#10;Support individuals with a significant and permanent disability (participants) &#10;to be more independent and engage more socially and economically, &#10;while delivering a financially sustainable NDIS that builds genuinely connected &#10;and engaged communities and stakeholders.&#10;Aspiration 1.  A quality experience and improved outcomes for participants.&#10;Aspiration 2.  A competitive market with innovative supports.&#10;Aspiration 3.  A genuinely connected and engaged stakeholder sector.&#10;Aspiration 4.  A high-performing NDIA.&#10;Aspiration 5.  A financially sustainable NDIS."/>
                    <pic:cNvPicPr/>
                  </pic:nvPicPr>
                  <pic:blipFill rotWithShape="1">
                    <a:blip r:embed="rId15">
                      <a:extLst>
                        <a:ext uri="{28A0092B-C50C-407E-A947-70E740481C1C}">
                          <a14:useLocalDpi xmlns:a14="http://schemas.microsoft.com/office/drawing/2010/main" val="0"/>
                        </a:ext>
                      </a:extLst>
                    </a:blip>
                    <a:srcRect l="5609" t="2547" r="2379" b="2407"/>
                    <a:stretch/>
                  </pic:blipFill>
                  <pic:spPr bwMode="auto">
                    <a:xfrm>
                      <a:off x="0" y="0"/>
                      <a:ext cx="5552345" cy="5095093"/>
                    </a:xfrm>
                    <a:prstGeom prst="rect">
                      <a:avLst/>
                    </a:prstGeom>
                    <a:ln>
                      <a:noFill/>
                    </a:ln>
                    <a:extLst>
                      <a:ext uri="{53640926-AAD7-44D8-BBD7-CCE9431645EC}">
                        <a14:shadowObscured xmlns:a14="http://schemas.microsoft.com/office/drawing/2010/main"/>
                      </a:ext>
                    </a:extLst>
                  </pic:spPr>
                </pic:pic>
              </a:graphicData>
            </a:graphic>
          </wp:inline>
        </w:drawing>
      </w:r>
    </w:p>
    <w:p w14:paraId="45286577" w14:textId="77777777" w:rsidR="00EA57D2" w:rsidRPr="007C747A" w:rsidRDefault="00EA57D2" w:rsidP="00EA57D2">
      <w:pPr>
        <w:pStyle w:val="FGCNORMAL"/>
        <w:spacing w:line="240" w:lineRule="auto"/>
      </w:pPr>
      <w:r w:rsidRPr="007C747A">
        <w:t xml:space="preserve">For further information about our aspirations, refer to the </w:t>
      </w:r>
      <w:hyperlink r:id="rId16" w:history="1">
        <w:r w:rsidRPr="00B74C35">
          <w:rPr>
            <w:rStyle w:val="Hyperlink"/>
          </w:rPr>
          <w:t>NDIA Corporate Plan 2022–2026</w:t>
        </w:r>
      </w:hyperlink>
      <w:r w:rsidRPr="00B74C35">
        <w:rPr>
          <w:color w:val="6B2876" w:themeColor="text1"/>
        </w:rPr>
        <w:t>.</w:t>
      </w:r>
    </w:p>
    <w:p w14:paraId="39C94E63" w14:textId="77777777" w:rsidR="00EA57D2" w:rsidRPr="007C747A" w:rsidRDefault="00EA57D2" w:rsidP="00EA57D2">
      <w:pPr>
        <w:pStyle w:val="FGCNORMAL"/>
        <w:spacing w:line="240" w:lineRule="auto"/>
      </w:pPr>
    </w:p>
    <w:p w14:paraId="72B6F6EF" w14:textId="7CD747AB" w:rsidR="000D63F8" w:rsidRPr="007C747A" w:rsidRDefault="003169A1" w:rsidP="003169A1">
      <w:pPr>
        <w:pStyle w:val="FGCHEADING1"/>
      </w:pPr>
      <w:bookmarkStart w:id="78" w:name="_Toc142478368"/>
      <w:bookmarkStart w:id="79" w:name="_Toc142573693"/>
      <w:bookmarkStart w:id="80" w:name="_Toc146289433"/>
      <w:bookmarkStart w:id="81" w:name="_Toc148108390"/>
      <w:r w:rsidRPr="007C747A">
        <w:t>Annual Performance Statements</w:t>
      </w:r>
      <w:bookmarkEnd w:id="58"/>
      <w:bookmarkEnd w:id="59"/>
      <w:bookmarkEnd w:id="78"/>
      <w:bookmarkEnd w:id="79"/>
      <w:bookmarkEnd w:id="80"/>
      <w:bookmarkEnd w:id="81"/>
    </w:p>
    <w:tbl>
      <w:tblPr>
        <w:tblStyle w:val="TableGrid"/>
        <w:tblW w:w="0" w:type="auto"/>
        <w:tblLook w:val="04A0" w:firstRow="1" w:lastRow="0" w:firstColumn="1" w:lastColumn="0" w:noHBand="0" w:noVBand="1"/>
      </w:tblPr>
      <w:tblGrid>
        <w:gridCol w:w="9493"/>
      </w:tblGrid>
      <w:tr w:rsidR="00E9493A" w:rsidRPr="007C747A" w14:paraId="1A80B364" w14:textId="77777777" w:rsidTr="00E9493A">
        <w:tc>
          <w:tcPr>
            <w:tcW w:w="9493" w:type="dxa"/>
          </w:tcPr>
          <w:p w14:paraId="58AFB218" w14:textId="77777777" w:rsidR="00E9493A" w:rsidRPr="007C747A" w:rsidRDefault="00E9493A" w:rsidP="00E9493A">
            <w:pPr>
              <w:pStyle w:val="TOCHeading"/>
              <w:spacing w:before="0"/>
              <w:rPr>
                <w:lang w:val="en-AU"/>
              </w:rPr>
            </w:pPr>
            <w:r w:rsidRPr="007C747A">
              <w:rPr>
                <w:lang w:val="en-AU"/>
              </w:rPr>
              <w:t>National Disability Insurance Agency –</w:t>
            </w:r>
          </w:p>
          <w:p w14:paraId="0D4698FB" w14:textId="4629E0EE" w:rsidR="00E9493A" w:rsidRPr="007C747A" w:rsidRDefault="00E9493A" w:rsidP="00E9493A">
            <w:pPr>
              <w:pStyle w:val="TOCHeading"/>
              <w:spacing w:before="0"/>
              <w:rPr>
                <w:lang w:val="en-AU"/>
              </w:rPr>
            </w:pPr>
            <w:r w:rsidRPr="007C747A">
              <w:rPr>
                <w:lang w:val="en-AU"/>
              </w:rPr>
              <w:t>performance statement authority</w:t>
            </w:r>
          </w:p>
          <w:p w14:paraId="68677E51" w14:textId="77777777" w:rsidR="00E9493A" w:rsidRPr="007C747A" w:rsidRDefault="00E9493A" w:rsidP="001A7E50">
            <w:pPr>
              <w:pStyle w:val="FGCNORMAL"/>
              <w:spacing w:before="1200" w:line="480" w:lineRule="auto"/>
              <w:rPr>
                <w:rFonts w:asciiTheme="majorHAnsi" w:hAnsiTheme="majorHAnsi" w:cstheme="majorHAnsi"/>
                <w:sz w:val="28"/>
                <w:szCs w:val="28"/>
              </w:rPr>
            </w:pPr>
            <w:r w:rsidRPr="007C747A">
              <w:rPr>
                <w:rFonts w:asciiTheme="majorHAnsi" w:hAnsiTheme="majorHAnsi" w:cstheme="majorHAnsi"/>
                <w:sz w:val="28"/>
                <w:szCs w:val="28"/>
              </w:rPr>
              <w:t xml:space="preserve">I, Kurt Fearnley, as the Chair of the Accountable Authority of the National Disability Insurance Agency (NDIA), present the NDIA’s 2022–23 Annual Performance Statements, as required under paragraph 39(1)(a) of the </w:t>
            </w:r>
            <w:r w:rsidRPr="007C747A">
              <w:rPr>
                <w:rFonts w:asciiTheme="majorHAnsi" w:hAnsiTheme="majorHAnsi" w:cstheme="majorHAnsi"/>
                <w:i/>
                <w:iCs/>
                <w:sz w:val="28"/>
                <w:szCs w:val="28"/>
              </w:rPr>
              <w:t>Public Governance, Performance and Accountability Act 2013</w:t>
            </w:r>
            <w:r w:rsidRPr="007C747A">
              <w:rPr>
                <w:rFonts w:asciiTheme="majorHAnsi" w:hAnsiTheme="majorHAnsi" w:cstheme="majorHAnsi"/>
                <w:sz w:val="28"/>
                <w:szCs w:val="28"/>
              </w:rPr>
              <w:t xml:space="preserve"> (PGPA Act). </w:t>
            </w:r>
          </w:p>
          <w:p w14:paraId="102589A8" w14:textId="4FA6EF04" w:rsidR="00E9493A" w:rsidRPr="007C747A" w:rsidRDefault="00E9493A" w:rsidP="00E9493A">
            <w:pPr>
              <w:pStyle w:val="FGCNORMAL"/>
              <w:spacing w:line="480" w:lineRule="auto"/>
              <w:rPr>
                <w:rFonts w:asciiTheme="majorHAnsi" w:hAnsiTheme="majorHAnsi" w:cstheme="majorHAnsi"/>
                <w:sz w:val="28"/>
                <w:szCs w:val="28"/>
              </w:rPr>
            </w:pPr>
            <w:r w:rsidRPr="007C747A">
              <w:rPr>
                <w:rFonts w:asciiTheme="majorHAnsi" w:hAnsiTheme="majorHAnsi" w:cstheme="majorHAnsi"/>
                <w:sz w:val="28"/>
                <w:szCs w:val="28"/>
              </w:rPr>
              <w:t>In the opinion of the Board, these annual performance statements accurately present the NDIA’s performance in the reporting period and comply with subsection 39(2) of the PGPA Act (section 16F of the PGPA Rule).</w:t>
            </w:r>
          </w:p>
          <w:p w14:paraId="33C2C6C0" w14:textId="522C3D26" w:rsidR="00E9493A" w:rsidRPr="007C747A" w:rsidRDefault="00E9493A" w:rsidP="001A7E50">
            <w:pPr>
              <w:spacing w:after="600"/>
              <w:ind w:firstLine="652"/>
              <w:rPr>
                <w:rFonts w:asciiTheme="majorHAnsi" w:hAnsiTheme="majorHAnsi" w:cstheme="majorHAnsi"/>
                <w:b/>
                <w:bCs/>
                <w:lang w:val="en-AU"/>
              </w:rPr>
            </w:pPr>
            <w:r w:rsidRPr="007C747A">
              <w:rPr>
                <w:rFonts w:asciiTheme="majorHAnsi" w:hAnsiTheme="majorHAnsi" w:cstheme="majorHAnsi"/>
                <w:b/>
                <w:bCs/>
                <w:lang w:val="en-AU"/>
              </w:rPr>
              <w:t>Kurt Fearnley</w:t>
            </w:r>
          </w:p>
          <w:p w14:paraId="12E94820" w14:textId="524F845F" w:rsidR="00E9493A" w:rsidRPr="007C747A" w:rsidRDefault="00E9493A" w:rsidP="001A7E50">
            <w:pPr>
              <w:spacing w:after="2520"/>
              <w:ind w:firstLine="652"/>
              <w:rPr>
                <w:lang w:val="en-AU"/>
              </w:rPr>
            </w:pPr>
            <w:r w:rsidRPr="007C747A">
              <w:rPr>
                <w:rFonts w:asciiTheme="majorHAnsi" w:hAnsiTheme="majorHAnsi" w:cstheme="majorHAnsi"/>
                <w:b/>
                <w:bCs/>
                <w:lang w:val="en-AU"/>
              </w:rPr>
              <w:t>Chair, National Disability Insurance Agency</w:t>
            </w:r>
          </w:p>
        </w:tc>
      </w:tr>
    </w:tbl>
    <w:p w14:paraId="69AE62D5" w14:textId="77777777" w:rsidR="00DF5853" w:rsidRPr="007C747A" w:rsidRDefault="00DF5853">
      <w:pPr>
        <w:spacing w:after="0" w:line="240" w:lineRule="auto"/>
        <w:rPr>
          <w:rFonts w:eastAsiaTheme="minorEastAsia" w:cs="Arial"/>
          <w:sz w:val="22"/>
          <w:szCs w:val="22"/>
          <w:highlight w:val="cyan"/>
          <w:lang w:val="en-AU"/>
        </w:rPr>
      </w:pPr>
      <w:r w:rsidRPr="007C747A">
        <w:rPr>
          <w:highlight w:val="cyan"/>
          <w:lang w:val="en-AU"/>
        </w:rPr>
        <w:br w:type="page"/>
      </w:r>
    </w:p>
    <w:p w14:paraId="55444D1C" w14:textId="6D6CF81D" w:rsidR="007138E2" w:rsidRPr="007C747A" w:rsidRDefault="007138E2" w:rsidP="0028518E">
      <w:pPr>
        <w:pStyle w:val="FGCHEADING2"/>
      </w:pPr>
      <w:bookmarkStart w:id="82" w:name="_Toc144925996"/>
      <w:bookmarkStart w:id="83" w:name="_Toc142563003"/>
      <w:bookmarkStart w:id="84" w:name="_Toc142573694"/>
      <w:bookmarkStart w:id="85" w:name="_Toc146289434"/>
      <w:bookmarkStart w:id="86" w:name="_Toc148108391"/>
      <w:bookmarkEnd w:id="82"/>
      <w:r w:rsidRPr="007C747A">
        <w:t>Introduction</w:t>
      </w:r>
      <w:bookmarkEnd w:id="83"/>
      <w:bookmarkEnd w:id="84"/>
      <w:bookmarkEnd w:id="85"/>
      <w:bookmarkEnd w:id="86"/>
    </w:p>
    <w:p w14:paraId="2BC963B9" w14:textId="5ADF153D" w:rsidR="00CD0D04" w:rsidRPr="007C747A" w:rsidRDefault="00CD0D04" w:rsidP="00CD0D04">
      <w:pPr>
        <w:pStyle w:val="FGCNORMAL"/>
        <w:spacing w:line="240" w:lineRule="auto"/>
      </w:pPr>
      <w:r w:rsidRPr="007C747A">
        <w:t>As a Commonwealth entity, the NDIA is subject to the Commonwealth Performance Framework. The framework has 3 key elements as outlined in Figure 2.1A</w:t>
      </w:r>
    </w:p>
    <w:p w14:paraId="4A60772F" w14:textId="1F3E9A91" w:rsidR="007138E2" w:rsidRPr="007C747A" w:rsidRDefault="007138E2" w:rsidP="005820C1">
      <w:pPr>
        <w:pStyle w:val="Heading43"/>
      </w:pPr>
      <w:r w:rsidRPr="007C747A">
        <w:t>Figure 2.1A</w:t>
      </w:r>
      <w:r w:rsidR="007804DB" w:rsidRPr="007C747A">
        <w:t>:</w:t>
      </w:r>
      <w:r w:rsidRPr="007C747A">
        <w:t xml:space="preserve"> Commonwealth Performance Framework</w:t>
      </w:r>
    </w:p>
    <w:p w14:paraId="71C9266E" w14:textId="53D007BF" w:rsidR="007138E2" w:rsidRPr="007C747A" w:rsidRDefault="006E23A0" w:rsidP="007138E2">
      <w:pPr>
        <w:spacing w:before="120" w:after="120"/>
        <w:ind w:left="652"/>
        <w:rPr>
          <w:rFonts w:eastAsia="DengXian" w:cs="Arial"/>
          <w:sz w:val="21"/>
          <w:szCs w:val="21"/>
          <w:lang w:val="en-AU"/>
        </w:rPr>
      </w:pPr>
      <w:r w:rsidRPr="007C747A">
        <w:rPr>
          <w:rFonts w:eastAsia="DengXian"/>
          <w:noProof/>
          <w:lang w:val="en-AU" w:eastAsia="en-AU"/>
        </w:rPr>
        <w:drawing>
          <wp:inline distT="0" distB="0" distL="0" distR="0" wp14:anchorId="6EC5FAA2" wp14:editId="64593896">
            <wp:extent cx="5235251" cy="2038350"/>
            <wp:effectExtent l="0" t="0" r="3810" b="0"/>
            <wp:docPr id="3" name="Picture 3" descr="This diagram illustrates the Commonwealth Performance Framework. It has 3 key elements.&#10;Portfolio Budget Statements. Funding document sets out the funding for the agency.&#10;Corporate Plan. Planning document sets out strategies on how to achieve the schema’s purpose.&#10;These form part of the Forecast: Pre financial year.&#10;Annual Report: Annual Performance Statements. Reporting document assesses the extent to which an entity has succeeded in achieving its purpose.&#10;This refers to Actual: End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diagram illustrates the Commonwealth Performance Framework. It has 3 key elements.&#10;Portfolio Budget Statements. Funding document sets out the funding for the agency.&#10;Corporate Plan. Planning document sets out strategies on how to achieve the schema’s purpose.&#10;These form part of the Forecast: Pre financial year.&#10;Annual Report: Annual Performance Statements. Reporting document assesses the extent to which an entity has succeeded in achieving its purpose.&#10;This refers to Actual: End Financial Yea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9828" cy="2047919"/>
                    </a:xfrm>
                    <a:prstGeom prst="rect">
                      <a:avLst/>
                    </a:prstGeom>
                    <a:noFill/>
                    <a:ln>
                      <a:noFill/>
                    </a:ln>
                  </pic:spPr>
                </pic:pic>
              </a:graphicData>
            </a:graphic>
          </wp:inline>
        </w:drawing>
      </w:r>
    </w:p>
    <w:p w14:paraId="04D25A2B" w14:textId="1DBF9530" w:rsidR="007138E2" w:rsidRPr="007C747A" w:rsidRDefault="00EE2846" w:rsidP="00EE2846">
      <w:pPr>
        <w:pStyle w:val="FGCNORMAL"/>
        <w:spacing w:line="240" w:lineRule="auto"/>
      </w:pPr>
      <w:bookmarkStart w:id="87" w:name="_Toc142573695"/>
      <w:r w:rsidRPr="007C747A">
        <w:t xml:space="preserve">The </w:t>
      </w:r>
      <w:r w:rsidR="00A95837" w:rsidRPr="007C747A">
        <w:t>A</w:t>
      </w:r>
      <w:r w:rsidRPr="007C747A">
        <w:t xml:space="preserve">nnual </w:t>
      </w:r>
      <w:r w:rsidR="00A95837" w:rsidRPr="007C747A">
        <w:t>P</w:t>
      </w:r>
      <w:r w:rsidRPr="007C747A">
        <w:t xml:space="preserve">erformance </w:t>
      </w:r>
      <w:r w:rsidR="00A95837" w:rsidRPr="007C747A">
        <w:t>S</w:t>
      </w:r>
      <w:r w:rsidRPr="007C747A">
        <w:t>tatements are one of the 3 core elements of this performance framework. The NDIA Portfolio Budget Statements 2022–23 (PBS), published in Budget Related Paper No 1.12</w:t>
      </w:r>
      <w:r w:rsidR="00A95837" w:rsidRPr="007C747A">
        <w:t>,</w:t>
      </w:r>
      <w:r w:rsidRPr="007C747A">
        <w:t xml:space="preserve"> and the NDIA C</w:t>
      </w:r>
      <w:r w:rsidRPr="007C747A">
        <w:rPr>
          <w:rFonts w:eastAsia="Malgun Gothic" w:hAnsi="Malgun Gothic"/>
        </w:rPr>
        <w:t xml:space="preserve">orporate Plan </w:t>
      </w:r>
      <w:r w:rsidRPr="007C747A">
        <w:t>2022–</w:t>
      </w:r>
      <w:r w:rsidR="00DF693F" w:rsidRPr="007C747A">
        <w:t>2026</w:t>
      </w:r>
      <w:r w:rsidR="00DF693F" w:rsidRPr="007C747A">
        <w:rPr>
          <w:rFonts w:eastAsia="Malgun Gothic" w:hAnsi="Malgun Gothic"/>
        </w:rPr>
        <w:t xml:space="preserve"> </w:t>
      </w:r>
      <w:r w:rsidRPr="007C747A">
        <w:rPr>
          <w:rFonts w:eastAsia="Malgun Gothic" w:hAnsi="Malgun Gothic"/>
        </w:rPr>
        <w:t>constitute</w:t>
      </w:r>
      <w:r w:rsidRPr="007C747A">
        <w:t xml:space="preserve"> the remaining 2 components</w:t>
      </w:r>
      <w:r w:rsidR="00A63722" w:rsidRPr="007C747A">
        <w:t>.</w:t>
      </w:r>
      <w:bookmarkEnd w:id="87"/>
    </w:p>
    <w:p w14:paraId="154CF0C7" w14:textId="7A0000AF" w:rsidR="005B6676" w:rsidRPr="007C747A" w:rsidRDefault="005B6676" w:rsidP="005820C1">
      <w:pPr>
        <w:pStyle w:val="Style3-NoNumbering"/>
      </w:pPr>
      <w:r w:rsidRPr="007C747A">
        <w:t xml:space="preserve">Structure and </w:t>
      </w:r>
      <w:r w:rsidR="00A95837" w:rsidRPr="007C747A">
        <w:t>c</w:t>
      </w:r>
      <w:r w:rsidRPr="007C747A">
        <w:t>ontent</w:t>
      </w:r>
    </w:p>
    <w:p w14:paraId="1B5640C4" w14:textId="3818E5F7" w:rsidR="00E73FAC" w:rsidRPr="007C747A" w:rsidRDefault="00E73FAC" w:rsidP="00E73FAC">
      <w:pPr>
        <w:pStyle w:val="FGCNORMAL"/>
        <w:spacing w:line="240" w:lineRule="auto"/>
        <w:rPr>
          <w:color w:val="000000" w:themeColor="accent6"/>
        </w:rPr>
      </w:pPr>
      <w:r w:rsidRPr="007C747A">
        <w:rPr>
          <w:color w:val="000000" w:themeColor="accent6"/>
        </w:rPr>
        <w:t>The 2022</w:t>
      </w:r>
      <w:r w:rsidR="00A95837" w:rsidRPr="007C747A">
        <w:rPr>
          <w:color w:val="000000" w:themeColor="accent6"/>
        </w:rPr>
        <w:t>–</w:t>
      </w:r>
      <w:r w:rsidRPr="007C747A">
        <w:rPr>
          <w:color w:val="000000" w:themeColor="accent6"/>
        </w:rPr>
        <w:t xml:space="preserve">23 </w:t>
      </w:r>
      <w:r w:rsidR="00A95837" w:rsidRPr="007C747A">
        <w:rPr>
          <w:color w:val="000000" w:themeColor="accent6"/>
        </w:rPr>
        <w:t>A</w:t>
      </w:r>
      <w:r w:rsidRPr="007C747A">
        <w:rPr>
          <w:color w:val="000000" w:themeColor="accent6"/>
        </w:rPr>
        <w:t xml:space="preserve">nnual </w:t>
      </w:r>
      <w:r w:rsidR="00A95837" w:rsidRPr="007C747A">
        <w:rPr>
          <w:color w:val="000000" w:themeColor="accent6"/>
        </w:rPr>
        <w:t>P</w:t>
      </w:r>
      <w:r w:rsidRPr="007C747A">
        <w:rPr>
          <w:color w:val="000000" w:themeColor="accent6"/>
        </w:rPr>
        <w:t xml:space="preserve">erformance </w:t>
      </w:r>
      <w:r w:rsidR="00A95837" w:rsidRPr="007C747A">
        <w:rPr>
          <w:color w:val="000000" w:themeColor="accent6"/>
        </w:rPr>
        <w:t>S</w:t>
      </w:r>
      <w:r w:rsidRPr="007C747A">
        <w:rPr>
          <w:color w:val="000000" w:themeColor="accent6"/>
        </w:rPr>
        <w:t>tatements provide the NDIA’s achieved results for the reporting period. This completes the cycle of performance reporting that commenced with the 2022</w:t>
      </w:r>
      <w:r w:rsidR="00A95837" w:rsidRPr="007C747A">
        <w:rPr>
          <w:color w:val="000000" w:themeColor="accent6"/>
        </w:rPr>
        <w:t>–</w:t>
      </w:r>
      <w:r w:rsidRPr="007C747A">
        <w:rPr>
          <w:color w:val="000000" w:themeColor="accent6"/>
        </w:rPr>
        <w:t>23 Portfolio Budget Statement</w:t>
      </w:r>
      <w:r w:rsidR="00A95837" w:rsidRPr="007C747A">
        <w:rPr>
          <w:color w:val="000000" w:themeColor="accent6"/>
        </w:rPr>
        <w:t>s,</w:t>
      </w:r>
      <w:r w:rsidRPr="007C747A">
        <w:rPr>
          <w:color w:val="000000" w:themeColor="accent6"/>
        </w:rPr>
        <w:t xml:space="preserve"> updated in October 2022</w:t>
      </w:r>
      <w:r w:rsidR="00A95837" w:rsidRPr="007C747A">
        <w:rPr>
          <w:color w:val="000000" w:themeColor="accent6"/>
        </w:rPr>
        <w:t>,</w:t>
      </w:r>
      <w:r w:rsidRPr="007C747A">
        <w:rPr>
          <w:color w:val="000000" w:themeColor="accent6"/>
        </w:rPr>
        <w:t xml:space="preserve"> and the strategic direction outlined in the NDIA Corporate Plan 2022</w:t>
      </w:r>
      <w:r w:rsidR="00A95837" w:rsidRPr="007C747A">
        <w:rPr>
          <w:color w:val="000000" w:themeColor="accent6"/>
        </w:rPr>
        <w:t>–</w:t>
      </w:r>
      <w:r w:rsidRPr="007C747A">
        <w:rPr>
          <w:color w:val="000000" w:themeColor="accent6"/>
        </w:rPr>
        <w:t>23.</w:t>
      </w:r>
    </w:p>
    <w:p w14:paraId="56FF5BF8" w14:textId="6D9B89B0" w:rsidR="00E73FAC" w:rsidRPr="007C747A" w:rsidRDefault="00E73FAC" w:rsidP="00E73FAC">
      <w:pPr>
        <w:pStyle w:val="FGCNORMAL"/>
        <w:spacing w:line="240" w:lineRule="auto"/>
        <w:rPr>
          <w:color w:val="000000" w:themeColor="accent6"/>
        </w:rPr>
      </w:pPr>
      <w:r w:rsidRPr="007C747A">
        <w:rPr>
          <w:color w:val="000000" w:themeColor="accent6"/>
        </w:rPr>
        <w:t xml:space="preserve">The structure of the </w:t>
      </w:r>
      <w:r w:rsidR="00A95837" w:rsidRPr="007C747A">
        <w:rPr>
          <w:color w:val="000000" w:themeColor="accent6"/>
        </w:rPr>
        <w:t>a</w:t>
      </w:r>
      <w:r w:rsidRPr="007C747A">
        <w:rPr>
          <w:color w:val="000000" w:themeColor="accent6"/>
        </w:rPr>
        <w:t xml:space="preserve">nnual </w:t>
      </w:r>
      <w:r w:rsidR="00A95837" w:rsidRPr="007C747A">
        <w:rPr>
          <w:color w:val="000000" w:themeColor="accent6"/>
        </w:rPr>
        <w:t>p</w:t>
      </w:r>
      <w:r w:rsidRPr="007C747A">
        <w:rPr>
          <w:color w:val="000000" w:themeColor="accent6"/>
        </w:rPr>
        <w:t xml:space="preserve">erformance </w:t>
      </w:r>
      <w:r w:rsidR="00A95837" w:rsidRPr="007C747A">
        <w:rPr>
          <w:color w:val="000000" w:themeColor="accent6"/>
        </w:rPr>
        <w:t>m</w:t>
      </w:r>
      <w:r w:rsidRPr="007C747A">
        <w:rPr>
          <w:color w:val="000000" w:themeColor="accent6"/>
        </w:rPr>
        <w:t>easures is consistent with the Corporate Plan 2022</w:t>
      </w:r>
      <w:r w:rsidR="00A95837" w:rsidRPr="007C747A">
        <w:rPr>
          <w:color w:val="000000" w:themeColor="accent6"/>
        </w:rPr>
        <w:t>–20</w:t>
      </w:r>
      <w:r w:rsidRPr="007C747A">
        <w:rPr>
          <w:color w:val="000000" w:themeColor="accent6"/>
        </w:rPr>
        <w:t>26</w:t>
      </w:r>
      <w:r w:rsidR="00A95837" w:rsidRPr="007C747A">
        <w:rPr>
          <w:color w:val="000000" w:themeColor="accent6"/>
        </w:rPr>
        <w:t>,</w:t>
      </w:r>
      <w:r w:rsidRPr="007C747A">
        <w:rPr>
          <w:color w:val="000000" w:themeColor="accent6"/>
        </w:rPr>
        <w:t xml:space="preserve"> focusing on our work under our key activities</w:t>
      </w:r>
      <w:r w:rsidR="00A95837" w:rsidRPr="007C747A">
        <w:rPr>
          <w:color w:val="000000" w:themeColor="accent6"/>
        </w:rPr>
        <w:t xml:space="preserve"> – our</w:t>
      </w:r>
      <w:r w:rsidRPr="007C747A">
        <w:rPr>
          <w:color w:val="000000" w:themeColor="accent6"/>
        </w:rPr>
        <w:t xml:space="preserve"> 5 </w:t>
      </w:r>
      <w:r w:rsidR="00DF693F" w:rsidRPr="007C747A">
        <w:rPr>
          <w:color w:val="000000" w:themeColor="accent6"/>
        </w:rPr>
        <w:t>a</w:t>
      </w:r>
      <w:r w:rsidRPr="007C747A">
        <w:rPr>
          <w:color w:val="000000" w:themeColor="accent6"/>
        </w:rPr>
        <w:t>spirations</w:t>
      </w:r>
      <w:r w:rsidR="00A95837" w:rsidRPr="007C747A">
        <w:rPr>
          <w:color w:val="000000" w:themeColor="accent6"/>
        </w:rPr>
        <w:t xml:space="preserve"> –</w:t>
      </w:r>
      <w:r w:rsidRPr="007C747A">
        <w:rPr>
          <w:color w:val="000000" w:themeColor="accent6"/>
        </w:rPr>
        <w:t xml:space="preserve"> to achieve our purposes.</w:t>
      </w:r>
    </w:p>
    <w:p w14:paraId="1D781ED9" w14:textId="134CF86F" w:rsidR="00E73FAC" w:rsidRPr="007C747A" w:rsidRDefault="00E73FAC" w:rsidP="00E73FAC">
      <w:pPr>
        <w:pStyle w:val="FGCNORMAL"/>
        <w:spacing w:line="240" w:lineRule="auto"/>
        <w:rPr>
          <w:color w:val="000000" w:themeColor="accent6"/>
        </w:rPr>
      </w:pPr>
      <w:r w:rsidRPr="007C747A">
        <w:rPr>
          <w:color w:val="000000" w:themeColor="accent6"/>
        </w:rPr>
        <w:t xml:space="preserve">Each </w:t>
      </w:r>
      <w:r w:rsidR="00A95837" w:rsidRPr="007C747A">
        <w:rPr>
          <w:color w:val="000000" w:themeColor="accent6"/>
        </w:rPr>
        <w:t>a</w:t>
      </w:r>
      <w:r w:rsidRPr="007C747A">
        <w:rPr>
          <w:color w:val="000000" w:themeColor="accent6"/>
        </w:rPr>
        <w:t xml:space="preserve">spiration has a statement analysing the factors contributing to </w:t>
      </w:r>
      <w:r w:rsidR="00A95837" w:rsidRPr="007C747A">
        <w:rPr>
          <w:color w:val="000000" w:themeColor="accent6"/>
        </w:rPr>
        <w:t>our performance in that area</w:t>
      </w:r>
      <w:r w:rsidRPr="007C747A">
        <w:rPr>
          <w:color w:val="000000" w:themeColor="accent6"/>
        </w:rPr>
        <w:t xml:space="preserve">. Results for achievement against the forecast target have been simplified to indicate </w:t>
      </w:r>
      <w:r w:rsidR="00A95837" w:rsidRPr="007C747A">
        <w:rPr>
          <w:color w:val="000000" w:themeColor="accent6"/>
        </w:rPr>
        <w:t>‘</w:t>
      </w:r>
      <w:r w:rsidRPr="007C747A">
        <w:rPr>
          <w:color w:val="000000" w:themeColor="accent6"/>
        </w:rPr>
        <w:t>achieved</w:t>
      </w:r>
      <w:r w:rsidR="00A95837" w:rsidRPr="007C747A">
        <w:rPr>
          <w:color w:val="000000" w:themeColor="accent6"/>
        </w:rPr>
        <w:t>’</w:t>
      </w:r>
      <w:r w:rsidRPr="007C747A">
        <w:rPr>
          <w:color w:val="000000" w:themeColor="accent6"/>
        </w:rPr>
        <w:t xml:space="preserve">, </w:t>
      </w:r>
      <w:r w:rsidR="00A95837" w:rsidRPr="007C747A">
        <w:rPr>
          <w:color w:val="000000" w:themeColor="accent6"/>
        </w:rPr>
        <w:t>‘</w:t>
      </w:r>
      <w:r w:rsidRPr="007C747A">
        <w:rPr>
          <w:color w:val="000000" w:themeColor="accent6"/>
        </w:rPr>
        <w:t>partially achieved</w:t>
      </w:r>
      <w:r w:rsidR="00A95837" w:rsidRPr="007C747A">
        <w:rPr>
          <w:color w:val="000000" w:themeColor="accent6"/>
        </w:rPr>
        <w:t>’</w:t>
      </w:r>
      <w:r w:rsidRPr="007C747A">
        <w:rPr>
          <w:color w:val="000000" w:themeColor="accent6"/>
        </w:rPr>
        <w:t xml:space="preserve"> and </w:t>
      </w:r>
      <w:r w:rsidR="00A95837" w:rsidRPr="007C747A">
        <w:rPr>
          <w:color w:val="000000" w:themeColor="accent6"/>
        </w:rPr>
        <w:t>‘</w:t>
      </w:r>
      <w:r w:rsidRPr="007C747A">
        <w:rPr>
          <w:color w:val="000000" w:themeColor="accent6"/>
        </w:rPr>
        <w:t>not achieved</w:t>
      </w:r>
      <w:r w:rsidR="00A95837" w:rsidRPr="007C747A">
        <w:rPr>
          <w:color w:val="000000" w:themeColor="accent6"/>
        </w:rPr>
        <w:t>’</w:t>
      </w:r>
      <w:r w:rsidRPr="007C747A">
        <w:rPr>
          <w:color w:val="000000" w:themeColor="accent6"/>
        </w:rPr>
        <w:t xml:space="preserve"> within a set tolerance range.</w:t>
      </w:r>
    </w:p>
    <w:p w14:paraId="1EA7BBE1" w14:textId="785C8DDC" w:rsidR="00D94FA8" w:rsidRPr="007C747A" w:rsidRDefault="00E73FAC" w:rsidP="00E73FAC">
      <w:pPr>
        <w:pStyle w:val="FGCNORMAL"/>
        <w:spacing w:line="240" w:lineRule="auto"/>
        <w:rPr>
          <w:color w:val="000000" w:themeColor="accent6"/>
        </w:rPr>
      </w:pPr>
      <w:r w:rsidRPr="007C747A">
        <w:rPr>
          <w:rFonts w:eastAsia="Arial"/>
          <w:color w:val="000000" w:themeColor="accent6"/>
        </w:rPr>
        <w:t xml:space="preserve">The Agency is reviewing the way it measures performance and will improve its measures and targets following recommendations from public reviews </w:t>
      </w:r>
      <w:r w:rsidR="00A95837" w:rsidRPr="007C747A">
        <w:rPr>
          <w:rFonts w:eastAsia="Arial"/>
          <w:color w:val="000000" w:themeColor="accent6"/>
        </w:rPr>
        <w:t>in</w:t>
      </w:r>
      <w:r w:rsidRPr="007C747A">
        <w:rPr>
          <w:rFonts w:eastAsia="Arial"/>
          <w:color w:val="000000" w:themeColor="accent6"/>
        </w:rPr>
        <w:t xml:space="preserve"> 2023</w:t>
      </w:r>
      <w:r w:rsidR="00A95837" w:rsidRPr="007C747A">
        <w:rPr>
          <w:rFonts w:eastAsia="Arial"/>
          <w:color w:val="000000" w:themeColor="accent6"/>
        </w:rPr>
        <w:t>–</w:t>
      </w:r>
      <w:r w:rsidRPr="007C747A">
        <w:rPr>
          <w:rFonts w:eastAsia="Arial"/>
          <w:color w:val="000000" w:themeColor="accent6"/>
        </w:rPr>
        <w:t>24.</w:t>
      </w:r>
    </w:p>
    <w:p w14:paraId="7A031FD1" w14:textId="77777777" w:rsidR="007138E2" w:rsidRPr="007C747A" w:rsidRDefault="007138E2" w:rsidP="005820C1">
      <w:pPr>
        <w:pStyle w:val="Style3-NoNumbering"/>
      </w:pPr>
      <w:bookmarkStart w:id="88" w:name="_Toc142573696"/>
      <w:r w:rsidRPr="007C747A">
        <w:t>Outcome</w:t>
      </w:r>
      <w:bookmarkEnd w:id="88"/>
      <w:r w:rsidRPr="007C747A">
        <w:t xml:space="preserve"> </w:t>
      </w:r>
    </w:p>
    <w:p w14:paraId="639C4B22" w14:textId="77777777" w:rsidR="00501EE5" w:rsidRPr="007C747A" w:rsidRDefault="00501EE5" w:rsidP="00887509">
      <w:pPr>
        <w:pStyle w:val="FGCNORMAL"/>
        <w:spacing w:line="240" w:lineRule="auto"/>
        <w:rPr>
          <w:rFonts w:eastAsia="DengXian"/>
        </w:rPr>
      </w:pPr>
      <w:r w:rsidRPr="007C747A">
        <w:rPr>
          <w:rFonts w:eastAsia="DengXian"/>
        </w:rPr>
        <w:t>The outcome for the Agency is to implement a National Disability Insurance Scheme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14:paraId="0C99A02D" w14:textId="77777777" w:rsidR="00D10573" w:rsidRPr="007C747A" w:rsidRDefault="00D10573" w:rsidP="005820C1">
      <w:pPr>
        <w:pStyle w:val="Style3-NoNumbering"/>
      </w:pPr>
      <w:r w:rsidRPr="007C747A">
        <w:t>Program 1.1 – Reasonable and necessary supports for participants</w:t>
      </w:r>
    </w:p>
    <w:p w14:paraId="548B323E" w14:textId="77777777" w:rsidR="00FC135E" w:rsidRPr="007C747A" w:rsidRDefault="00FC135E" w:rsidP="00FC135E">
      <w:pPr>
        <w:pStyle w:val="FGCNORMAL"/>
        <w:spacing w:line="240" w:lineRule="auto"/>
      </w:pPr>
      <w:r w:rsidRPr="007C747A">
        <w:t>The objective of this program is to provide funding for reasonable and necessary supports to eligible people with disability through consistent, high-quality plans, and to ensure they are in control and have choices to appropriately support their independence and social and economic participation. This program contributes to the outcome by the delivery of financially sustainable funding for participants’ reasonable supports, enabling participants to source services in their plans to pursue their goals.</w:t>
      </w:r>
    </w:p>
    <w:p w14:paraId="4E7E0B7A" w14:textId="77777777" w:rsidR="00FC135E" w:rsidRPr="007C747A" w:rsidRDefault="00FC135E" w:rsidP="00FC135E">
      <w:pPr>
        <w:pStyle w:val="FGCNORMAL"/>
        <w:spacing w:line="240" w:lineRule="auto"/>
      </w:pPr>
    </w:p>
    <w:p w14:paraId="04E65023" w14:textId="77777777" w:rsidR="00D10573" w:rsidRPr="007C747A" w:rsidRDefault="00D10573" w:rsidP="005820C1">
      <w:pPr>
        <w:pStyle w:val="Style3-NoNumbering"/>
      </w:pPr>
      <w:r w:rsidRPr="007C747A">
        <w:t xml:space="preserve">Program 1.2 – Agency costs </w:t>
      </w:r>
    </w:p>
    <w:p w14:paraId="76753ED5" w14:textId="549D92DA" w:rsidR="002715A8" w:rsidRPr="007C747A" w:rsidRDefault="002715A8" w:rsidP="002715A8">
      <w:pPr>
        <w:pStyle w:val="FGCNORMAL"/>
        <w:spacing w:line="240" w:lineRule="auto"/>
      </w:pPr>
      <w:r w:rsidRPr="007C747A">
        <w:rPr>
          <w:rStyle w:val="BodyText1Char"/>
          <w:rFonts w:ascii="Arial" w:eastAsiaTheme="minorEastAsia" w:hAnsi="Arial"/>
          <w:szCs w:val="22"/>
          <w:lang w:eastAsia="ja-JP"/>
        </w:rPr>
        <w:t>The Agency costs program ensures efficient and effective use of the NDIA operating</w:t>
      </w:r>
      <w:r w:rsidRPr="007C747A">
        <w:t xml:space="preserve"> resources to implement the outcomes of the NDIA. This program contributes to the outcome as it is the primary delivery mechanism for the implementation of the NDIS. The NDIA is responsible for assessing applicants to the NDIS</w:t>
      </w:r>
      <w:r w:rsidR="006B2A7F" w:rsidRPr="007C747A">
        <w:t>;</w:t>
      </w:r>
      <w:r w:rsidRPr="007C747A">
        <w:t xml:space="preserve"> developing plans, for those who are eligible, in a manner which is based on insurance principles</w:t>
      </w:r>
      <w:r w:rsidR="006B2A7F" w:rsidRPr="007C747A">
        <w:t>;</w:t>
      </w:r>
      <w:r w:rsidRPr="007C747A">
        <w:t xml:space="preserve"> and administering the payments made under Program 1.1</w:t>
      </w:r>
      <w:r w:rsidR="006B2A7F" w:rsidRPr="007C747A">
        <w:t>.</w:t>
      </w:r>
    </w:p>
    <w:p w14:paraId="25440965" w14:textId="77777777" w:rsidR="007138E2" w:rsidRPr="007C747A" w:rsidRDefault="007138E2" w:rsidP="007138E2">
      <w:pPr>
        <w:pStyle w:val="FGCNORMAL"/>
        <w:rPr>
          <w:rFonts w:eastAsia="Georgia"/>
          <w:b/>
          <w:color w:val="6A2875"/>
          <w:sz w:val="32"/>
          <w:szCs w:val="28"/>
          <w:lang w:eastAsia="en-US"/>
        </w:rPr>
      </w:pPr>
      <w:r w:rsidRPr="007C747A">
        <w:br w:type="page"/>
      </w:r>
    </w:p>
    <w:p w14:paraId="38C680BC" w14:textId="77777777" w:rsidR="00EB3F0F" w:rsidRPr="007C747A" w:rsidRDefault="00EB3F0F" w:rsidP="00945B30">
      <w:pPr>
        <w:pStyle w:val="FGCHEADING2"/>
      </w:pPr>
      <w:bookmarkStart w:id="89" w:name="_Toc142489649"/>
      <w:bookmarkStart w:id="90" w:name="_Toc142573699"/>
      <w:bookmarkStart w:id="91" w:name="_Toc146289435"/>
      <w:bookmarkStart w:id="92" w:name="_Toc148108392"/>
      <w:bookmarkStart w:id="93" w:name="_Toc114477530"/>
      <w:bookmarkStart w:id="94" w:name="_Toc116414701"/>
      <w:bookmarkStart w:id="95" w:name="_Toc116472680"/>
      <w:bookmarkStart w:id="96" w:name="_Toc116473895"/>
      <w:r w:rsidRPr="007C747A">
        <w:t>Key activity performance</w:t>
      </w:r>
      <w:bookmarkEnd w:id="89"/>
      <w:bookmarkEnd w:id="90"/>
      <w:bookmarkEnd w:id="91"/>
      <w:bookmarkEnd w:id="92"/>
    </w:p>
    <w:p w14:paraId="32456CBD" w14:textId="77777777" w:rsidR="00EB3F0F" w:rsidRPr="007C747A" w:rsidRDefault="00EB3F0F" w:rsidP="005820C1">
      <w:pPr>
        <w:pStyle w:val="FGCHEADING3"/>
        <w:numPr>
          <w:ilvl w:val="0"/>
          <w:numId w:val="0"/>
        </w:numPr>
      </w:pPr>
      <w:bookmarkStart w:id="97" w:name="_Toc142573700"/>
      <w:bookmarkStart w:id="98" w:name="_Toc146289436"/>
      <w:r w:rsidRPr="007C747A">
        <w:t>Aspiration 1 – A quality experience and improved outcomes for participants</w:t>
      </w:r>
      <w:bookmarkEnd w:id="97"/>
      <w:bookmarkEnd w:id="98"/>
    </w:p>
    <w:p w14:paraId="1069FA59" w14:textId="3C179BD9" w:rsidR="00C410BA" w:rsidRPr="007C747A" w:rsidRDefault="00C410BA" w:rsidP="00344E3C">
      <w:pPr>
        <w:spacing w:line="240" w:lineRule="auto"/>
        <w:rPr>
          <w:sz w:val="22"/>
          <w:szCs w:val="22"/>
          <w:lang w:val="en-AU" w:eastAsia="en-US"/>
        </w:rPr>
      </w:pPr>
      <w:r w:rsidRPr="007C747A">
        <w:rPr>
          <w:sz w:val="22"/>
          <w:szCs w:val="22"/>
          <w:lang w:val="en-AU"/>
        </w:rPr>
        <w:t xml:space="preserve">The Agency’s initiatives aimed to facilitate outcomes of economic and social independence for participants and to deliver a quality service for participants and their families, </w:t>
      </w:r>
      <w:r w:rsidR="006B2A7F" w:rsidRPr="007C747A">
        <w:rPr>
          <w:sz w:val="22"/>
          <w:szCs w:val="22"/>
          <w:lang w:val="en-AU"/>
        </w:rPr>
        <w:t xml:space="preserve">for </w:t>
      </w:r>
      <w:r w:rsidR="002304A2" w:rsidRPr="007C747A">
        <w:rPr>
          <w:sz w:val="22"/>
          <w:szCs w:val="22"/>
          <w:lang w:val="en-AU"/>
        </w:rPr>
        <w:t>carers</w:t>
      </w:r>
      <w:r w:rsidRPr="007C747A">
        <w:rPr>
          <w:sz w:val="22"/>
          <w:szCs w:val="22"/>
          <w:lang w:val="en-AU"/>
        </w:rPr>
        <w:t xml:space="preserve"> and</w:t>
      </w:r>
      <w:r w:rsidR="006B2A7F" w:rsidRPr="007C747A">
        <w:rPr>
          <w:sz w:val="22"/>
          <w:szCs w:val="22"/>
          <w:lang w:val="en-AU"/>
        </w:rPr>
        <w:t xml:space="preserve"> for</w:t>
      </w:r>
      <w:r w:rsidRPr="007C747A">
        <w:rPr>
          <w:sz w:val="22"/>
          <w:szCs w:val="22"/>
          <w:lang w:val="en-AU"/>
        </w:rPr>
        <w:t xml:space="preserve"> providers.</w:t>
      </w:r>
    </w:p>
    <w:p w14:paraId="2C694A3B" w14:textId="6EC6A172" w:rsidR="00EB3F0F" w:rsidRPr="007C747A" w:rsidRDefault="00EB3F0F" w:rsidP="00D54875">
      <w:pPr>
        <w:pStyle w:val="Heading43"/>
        <w:ind w:left="0"/>
        <w:outlineLvl w:val="3"/>
      </w:pPr>
      <w:r w:rsidRPr="007C747A">
        <w:rPr>
          <w:bCs/>
        </w:rPr>
        <w:t>Table 2.2A</w:t>
      </w:r>
      <w:r w:rsidR="00BF0550" w:rsidRPr="007C747A">
        <w:rPr>
          <w:bCs/>
        </w:rPr>
        <w:t>:</w:t>
      </w:r>
      <w:r w:rsidRPr="007C747A">
        <w:t xml:space="preserve"> </w:t>
      </w:r>
      <w:r w:rsidR="00EC5327" w:rsidRPr="007C747A">
        <w:t>Aspiration 1 – p</w:t>
      </w:r>
      <w:r w:rsidR="00B156C6" w:rsidRPr="007C747A">
        <w:t xml:space="preserve">erformance </w:t>
      </w:r>
      <w:r w:rsidR="000B5F5C" w:rsidRPr="007C747A">
        <w:t>t</w:t>
      </w:r>
      <w:r w:rsidR="00B156C6" w:rsidRPr="007C747A">
        <w:t>argets</w:t>
      </w:r>
      <w:r w:rsidR="00EC5327" w:rsidRPr="007C747A">
        <w:t>,</w:t>
      </w:r>
      <w:r w:rsidR="001272FC" w:rsidRPr="007C747A">
        <w:t xml:space="preserve"> </w:t>
      </w:r>
      <w:r w:rsidR="000B5F5C" w:rsidRPr="007C747A">
        <w:t>m</w:t>
      </w:r>
      <w:r w:rsidR="00B156C6" w:rsidRPr="007C747A">
        <w:t>easures</w:t>
      </w:r>
      <w:r w:rsidR="005B343E" w:rsidRPr="007C747A">
        <w:t xml:space="preserve"> </w:t>
      </w:r>
      <w:r w:rsidR="000B5F5C" w:rsidRPr="007C747A">
        <w:t>and f</w:t>
      </w:r>
      <w:r w:rsidR="005B343E" w:rsidRPr="007C747A">
        <w:t>unctions</w:t>
      </w:r>
    </w:p>
    <w:tbl>
      <w:tblPr>
        <w:tblW w:w="100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20" w:firstRow="1" w:lastRow="0" w:firstColumn="0" w:lastColumn="0" w:noHBand="0" w:noVBand="1"/>
      </w:tblPr>
      <w:tblGrid>
        <w:gridCol w:w="3109"/>
        <w:gridCol w:w="1109"/>
        <w:gridCol w:w="992"/>
        <w:gridCol w:w="1868"/>
        <w:gridCol w:w="2977"/>
      </w:tblGrid>
      <w:tr w:rsidR="003A3945" w:rsidRPr="007C747A" w14:paraId="306931D4" w14:textId="77777777" w:rsidTr="00784C1B">
        <w:trPr>
          <w:trHeight w:val="57"/>
          <w:tblHeader/>
        </w:trPr>
        <w:tc>
          <w:tcPr>
            <w:tcW w:w="3109" w:type="dxa"/>
            <w:shd w:val="clear" w:color="auto" w:fill="CFD9C8"/>
            <w:tcMar>
              <w:top w:w="72" w:type="dxa"/>
              <w:left w:w="144" w:type="dxa"/>
              <w:bottom w:w="72" w:type="dxa"/>
              <w:right w:w="144" w:type="dxa"/>
            </w:tcMar>
            <w:vAlign w:val="center"/>
            <w:hideMark/>
          </w:tcPr>
          <w:p w14:paraId="5E491302" w14:textId="552C9038"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b/>
                <w:bCs/>
                <w:kern w:val="24"/>
                <w:sz w:val="20"/>
                <w:szCs w:val="20"/>
                <w:lang w:val="en-AU" w:eastAsia="en-AU"/>
              </w:rPr>
              <w:t xml:space="preserve">Performance </w:t>
            </w:r>
            <w:r w:rsidR="006B2A7F" w:rsidRPr="007C747A">
              <w:rPr>
                <w:rFonts w:eastAsia="Times New Roman" w:cs="Arial"/>
                <w:b/>
                <w:bCs/>
                <w:kern w:val="24"/>
                <w:sz w:val="20"/>
                <w:szCs w:val="20"/>
                <w:lang w:val="en-AU" w:eastAsia="en-AU"/>
              </w:rPr>
              <w:t>m</w:t>
            </w:r>
            <w:r w:rsidRPr="007C747A">
              <w:rPr>
                <w:rFonts w:eastAsia="Times New Roman" w:cs="Arial"/>
                <w:b/>
                <w:bCs/>
                <w:kern w:val="24"/>
                <w:sz w:val="20"/>
                <w:szCs w:val="20"/>
                <w:lang w:val="en-AU" w:eastAsia="en-AU"/>
              </w:rPr>
              <w:t>easure</w:t>
            </w:r>
          </w:p>
        </w:tc>
        <w:tc>
          <w:tcPr>
            <w:tcW w:w="1109" w:type="dxa"/>
            <w:shd w:val="clear" w:color="auto" w:fill="CFD9C8"/>
            <w:tcMar>
              <w:top w:w="72" w:type="dxa"/>
              <w:left w:w="144" w:type="dxa"/>
              <w:bottom w:w="72" w:type="dxa"/>
              <w:right w:w="144" w:type="dxa"/>
            </w:tcMar>
            <w:vAlign w:val="center"/>
            <w:hideMark/>
          </w:tcPr>
          <w:p w14:paraId="346B09E5" w14:textId="29A58D49" w:rsidR="003A3945" w:rsidRPr="007C747A" w:rsidRDefault="003A3945" w:rsidP="003A3945">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6B2A7F"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23</w:t>
            </w:r>
          </w:p>
          <w:p w14:paraId="09676BB0" w14:textId="4F29F44C" w:rsidR="003A3945" w:rsidRPr="007C747A" w:rsidRDefault="006B2A7F" w:rsidP="003A3945">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t</w:t>
            </w:r>
            <w:r w:rsidR="003A3945" w:rsidRPr="007C747A">
              <w:rPr>
                <w:rFonts w:eastAsia="Times New Roman" w:cs="Arial"/>
                <w:b/>
                <w:bCs/>
                <w:kern w:val="24"/>
                <w:sz w:val="20"/>
                <w:szCs w:val="20"/>
                <w:lang w:val="en-AU" w:eastAsia="en-AU"/>
              </w:rPr>
              <w:t>arget</w:t>
            </w:r>
          </w:p>
        </w:tc>
        <w:tc>
          <w:tcPr>
            <w:tcW w:w="992" w:type="dxa"/>
            <w:shd w:val="clear" w:color="auto" w:fill="CFD9C8"/>
          </w:tcPr>
          <w:p w14:paraId="5F9AFC14" w14:textId="3AA6F816" w:rsidR="003A3945" w:rsidRPr="007C747A" w:rsidRDefault="003A3945" w:rsidP="003A3945">
            <w:pPr>
              <w:spacing w:after="0" w:line="240" w:lineRule="auto"/>
              <w:ind w:left="138"/>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6B2A7F"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6B2A7F" w:rsidRPr="007C747A">
              <w:rPr>
                <w:rFonts w:eastAsia="Times New Roman" w:cs="Arial"/>
                <w:b/>
                <w:bCs/>
                <w:kern w:val="24"/>
                <w:sz w:val="20"/>
                <w:szCs w:val="20"/>
                <w:lang w:val="en-AU" w:eastAsia="en-AU"/>
              </w:rPr>
              <w:t>r</w:t>
            </w:r>
            <w:r w:rsidRPr="007C747A">
              <w:rPr>
                <w:rFonts w:eastAsia="Times New Roman" w:cs="Arial"/>
                <w:b/>
                <w:bCs/>
                <w:kern w:val="24"/>
                <w:sz w:val="20"/>
                <w:szCs w:val="20"/>
                <w:lang w:val="en-AU" w:eastAsia="en-AU"/>
              </w:rPr>
              <w:t>esult</w:t>
            </w:r>
          </w:p>
        </w:tc>
        <w:tc>
          <w:tcPr>
            <w:tcW w:w="1868" w:type="dxa"/>
            <w:shd w:val="clear" w:color="auto" w:fill="CFD9C8"/>
          </w:tcPr>
          <w:p w14:paraId="57C56D7F" w14:textId="77777777" w:rsidR="003A3945" w:rsidRPr="007C747A" w:rsidRDefault="003A3945" w:rsidP="003A3945">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Outcome</w:t>
            </w:r>
          </w:p>
        </w:tc>
        <w:tc>
          <w:tcPr>
            <w:tcW w:w="2977" w:type="dxa"/>
            <w:shd w:val="clear" w:color="auto" w:fill="CFD9C8"/>
            <w:tcMar>
              <w:top w:w="72" w:type="dxa"/>
              <w:left w:w="144" w:type="dxa"/>
              <w:bottom w:w="72" w:type="dxa"/>
              <w:right w:w="144" w:type="dxa"/>
            </w:tcMar>
            <w:hideMark/>
          </w:tcPr>
          <w:p w14:paraId="4C067FFF" w14:textId="77777777" w:rsidR="003A3945" w:rsidRPr="007C747A" w:rsidRDefault="003A3945" w:rsidP="003A3945">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Method</w:t>
            </w:r>
          </w:p>
        </w:tc>
      </w:tr>
      <w:tr w:rsidR="003A3945" w:rsidRPr="007C747A" w14:paraId="1D1B301C" w14:textId="77777777" w:rsidTr="00784C1B">
        <w:trPr>
          <w:trHeight w:val="57"/>
        </w:trPr>
        <w:tc>
          <w:tcPr>
            <w:tcW w:w="3109" w:type="dxa"/>
            <w:shd w:val="clear" w:color="auto" w:fill="auto"/>
            <w:tcMar>
              <w:top w:w="72" w:type="dxa"/>
              <w:left w:w="144" w:type="dxa"/>
              <w:bottom w:w="72" w:type="dxa"/>
              <w:right w:w="144" w:type="dxa"/>
            </w:tcMar>
            <w:hideMark/>
          </w:tcPr>
          <w:p w14:paraId="4EA963D6" w14:textId="2E31F7A4"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 xml:space="preserve">Participant </w:t>
            </w:r>
            <w:r w:rsidR="00FA5E9D" w:rsidRPr="007C747A">
              <w:rPr>
                <w:rFonts w:eastAsia="Times New Roman" w:cs="Arial"/>
                <w:color w:val="000000"/>
                <w:kern w:val="24"/>
                <w:sz w:val="20"/>
                <w:szCs w:val="20"/>
                <w:lang w:val="en-AU" w:eastAsia="en-AU"/>
              </w:rPr>
              <w:t>e</w:t>
            </w:r>
            <w:r w:rsidRPr="007C747A">
              <w:rPr>
                <w:rFonts w:eastAsia="Times New Roman" w:cs="Arial"/>
                <w:color w:val="000000"/>
                <w:kern w:val="24"/>
                <w:sz w:val="20"/>
                <w:szCs w:val="20"/>
                <w:lang w:val="en-AU" w:eastAsia="en-AU"/>
              </w:rPr>
              <w:t xml:space="preserve">mployment </w:t>
            </w:r>
            <w:r w:rsidR="00FA5E9D" w:rsidRPr="007C747A">
              <w:rPr>
                <w:rFonts w:eastAsia="Times New Roman" w:cs="Arial"/>
                <w:color w:val="000000"/>
                <w:kern w:val="24"/>
                <w:sz w:val="20"/>
                <w:szCs w:val="20"/>
                <w:lang w:val="en-AU" w:eastAsia="en-AU"/>
              </w:rPr>
              <w:t>r</w:t>
            </w:r>
            <w:r w:rsidRPr="007C747A">
              <w:rPr>
                <w:rFonts w:eastAsia="Times New Roman" w:cs="Arial"/>
                <w:color w:val="000000"/>
                <w:kern w:val="24"/>
                <w:sz w:val="20"/>
                <w:szCs w:val="20"/>
                <w:lang w:val="en-AU" w:eastAsia="en-AU"/>
              </w:rPr>
              <w:t>ate</w:t>
            </w:r>
          </w:p>
        </w:tc>
        <w:tc>
          <w:tcPr>
            <w:tcW w:w="1109" w:type="dxa"/>
            <w:shd w:val="clear" w:color="auto" w:fill="auto"/>
            <w:tcMar>
              <w:top w:w="72" w:type="dxa"/>
              <w:left w:w="144" w:type="dxa"/>
              <w:bottom w:w="72" w:type="dxa"/>
              <w:right w:w="144" w:type="dxa"/>
            </w:tcMar>
            <w:hideMark/>
          </w:tcPr>
          <w:p w14:paraId="5367F011"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26%</w:t>
            </w:r>
          </w:p>
        </w:tc>
        <w:tc>
          <w:tcPr>
            <w:tcW w:w="992" w:type="dxa"/>
            <w:shd w:val="clear" w:color="auto" w:fill="auto"/>
          </w:tcPr>
          <w:p w14:paraId="5571A885"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22.6%</w:t>
            </w:r>
          </w:p>
        </w:tc>
        <w:tc>
          <w:tcPr>
            <w:tcW w:w="1868" w:type="dxa"/>
            <w:shd w:val="clear" w:color="auto" w:fill="auto"/>
          </w:tcPr>
          <w:p w14:paraId="045AE92F" w14:textId="4DF618FB" w:rsidR="003A3945" w:rsidRPr="007C747A" w:rsidRDefault="003A3945" w:rsidP="003A3945">
            <w:pPr>
              <w:spacing w:after="0" w:line="240" w:lineRule="auto"/>
              <w:ind w:left="29"/>
              <w:rPr>
                <w:rFonts w:eastAsia="Times New Roman" w:cs="Arial"/>
                <w:b/>
                <w:bCs/>
                <w:sz w:val="20"/>
                <w:szCs w:val="20"/>
                <w:lang w:val="en-AU" w:eastAsia="en-AU"/>
              </w:rPr>
            </w:pPr>
            <w:r w:rsidRPr="007C747A">
              <w:rPr>
                <w:rFonts w:eastAsia="Times New Roman" w:cs="Arial"/>
                <w:b/>
                <w:bCs/>
                <w:sz w:val="20"/>
                <w:szCs w:val="20"/>
                <w:lang w:val="en-AU" w:eastAsia="en-AU"/>
              </w:rPr>
              <w:t xml:space="preserve">Not </w:t>
            </w:r>
            <w:r w:rsidR="006B2A7F"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p w14:paraId="2EB07502" w14:textId="77777777" w:rsidR="003A3945" w:rsidRPr="007C747A" w:rsidRDefault="003A3945" w:rsidP="003A3945">
            <w:pPr>
              <w:spacing w:after="0" w:line="240" w:lineRule="auto"/>
              <w:ind w:left="29"/>
              <w:rPr>
                <w:rFonts w:eastAsia="Times New Roman" w:cs="Arial"/>
                <w:b/>
                <w:bCs/>
                <w:sz w:val="20"/>
                <w:szCs w:val="20"/>
                <w:lang w:val="en-AU" w:eastAsia="en-AU"/>
              </w:rPr>
            </w:pPr>
          </w:p>
        </w:tc>
        <w:tc>
          <w:tcPr>
            <w:tcW w:w="2977" w:type="dxa"/>
            <w:shd w:val="clear" w:color="auto" w:fill="auto"/>
            <w:tcMar>
              <w:top w:w="72" w:type="dxa"/>
              <w:left w:w="144" w:type="dxa"/>
              <w:bottom w:w="72" w:type="dxa"/>
              <w:right w:w="144" w:type="dxa"/>
            </w:tcMar>
          </w:tcPr>
          <w:p w14:paraId="4285ABC3" w14:textId="1FA4873B"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DengXian" w:cs="Arial"/>
                <w:sz w:val="20"/>
                <w:szCs w:val="20"/>
                <w:lang w:val="en-AU"/>
              </w:rPr>
              <w:t>Calculation is the percentage of participants aged 15</w:t>
            </w:r>
            <w:r w:rsidR="003F59B4" w:rsidRPr="007C747A">
              <w:rPr>
                <w:rFonts w:eastAsia="DengXian" w:cs="Arial"/>
                <w:sz w:val="20"/>
                <w:szCs w:val="20"/>
                <w:lang w:val="en-AU"/>
              </w:rPr>
              <w:t xml:space="preserve"> to </w:t>
            </w:r>
            <w:r w:rsidRPr="007C747A">
              <w:rPr>
                <w:rFonts w:eastAsia="DengXian" w:cs="Arial"/>
                <w:sz w:val="20"/>
                <w:szCs w:val="20"/>
                <w:lang w:val="en-AU"/>
              </w:rPr>
              <w:t xml:space="preserve">64 (working age) who respond </w:t>
            </w:r>
            <w:r w:rsidR="00FA5E9D" w:rsidRPr="007C747A">
              <w:rPr>
                <w:rFonts w:eastAsia="DengXian" w:cs="Arial"/>
                <w:sz w:val="20"/>
                <w:szCs w:val="20"/>
                <w:lang w:val="en-AU"/>
              </w:rPr>
              <w:t>‘</w:t>
            </w:r>
            <w:r w:rsidRPr="007C747A">
              <w:rPr>
                <w:rFonts w:eastAsia="DengXian" w:cs="Arial"/>
                <w:sz w:val="20"/>
                <w:szCs w:val="20"/>
                <w:lang w:val="en-AU"/>
              </w:rPr>
              <w:t>yes</w:t>
            </w:r>
            <w:r w:rsidR="00FA5E9D" w:rsidRPr="007C747A">
              <w:rPr>
                <w:rFonts w:eastAsia="DengXian" w:cs="Arial"/>
                <w:sz w:val="20"/>
                <w:szCs w:val="20"/>
                <w:lang w:val="en-AU"/>
              </w:rPr>
              <w:t>’</w:t>
            </w:r>
            <w:r w:rsidRPr="007C747A">
              <w:rPr>
                <w:rFonts w:eastAsia="DengXian" w:cs="Arial"/>
                <w:sz w:val="20"/>
                <w:szCs w:val="20"/>
                <w:lang w:val="en-AU"/>
              </w:rPr>
              <w:t xml:space="preserve"> to having a paid job. Sourced quarterly from the Short Form Outcomes Framework questionnaires</w:t>
            </w:r>
            <w:r w:rsidR="00FA5E9D" w:rsidRPr="007C747A">
              <w:rPr>
                <w:rFonts w:eastAsia="DengXian" w:cs="Arial"/>
                <w:sz w:val="20"/>
                <w:szCs w:val="20"/>
                <w:lang w:val="en-AU"/>
              </w:rPr>
              <w:t>.</w:t>
            </w:r>
          </w:p>
        </w:tc>
      </w:tr>
      <w:tr w:rsidR="003A3945" w:rsidRPr="007C747A" w14:paraId="7A903EBB" w14:textId="77777777" w:rsidTr="00784C1B">
        <w:trPr>
          <w:trHeight w:val="397"/>
        </w:trPr>
        <w:tc>
          <w:tcPr>
            <w:tcW w:w="3109" w:type="dxa"/>
            <w:shd w:val="clear" w:color="auto" w:fill="F0F2ED"/>
            <w:tcMar>
              <w:top w:w="72" w:type="dxa"/>
              <w:left w:w="144" w:type="dxa"/>
              <w:bottom w:w="72" w:type="dxa"/>
              <w:right w:w="144" w:type="dxa"/>
            </w:tcMar>
            <w:hideMark/>
          </w:tcPr>
          <w:p w14:paraId="37115499" w14:textId="05E49B15"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Participant social</w:t>
            </w:r>
            <w:r w:rsidR="00FA5E9D" w:rsidRPr="007C747A">
              <w:rPr>
                <w:rFonts w:eastAsia="Times New Roman" w:cs="Arial"/>
                <w:color w:val="000000"/>
                <w:kern w:val="24"/>
                <w:sz w:val="20"/>
                <w:szCs w:val="20"/>
                <w:lang w:val="en-AU" w:eastAsia="en-AU"/>
              </w:rPr>
              <w:t xml:space="preserve"> and </w:t>
            </w:r>
            <w:r w:rsidRPr="007C747A">
              <w:rPr>
                <w:rFonts w:eastAsia="Times New Roman" w:cs="Arial"/>
                <w:color w:val="000000"/>
                <w:kern w:val="24"/>
                <w:sz w:val="20"/>
                <w:szCs w:val="20"/>
                <w:lang w:val="en-AU" w:eastAsia="en-AU"/>
              </w:rPr>
              <w:t>community engagement rate</w:t>
            </w:r>
          </w:p>
        </w:tc>
        <w:tc>
          <w:tcPr>
            <w:tcW w:w="1109" w:type="dxa"/>
            <w:shd w:val="clear" w:color="auto" w:fill="F0F2ED"/>
            <w:tcMar>
              <w:top w:w="72" w:type="dxa"/>
              <w:left w:w="144" w:type="dxa"/>
              <w:bottom w:w="72" w:type="dxa"/>
              <w:right w:w="144" w:type="dxa"/>
            </w:tcMar>
            <w:hideMark/>
          </w:tcPr>
          <w:p w14:paraId="2EE754CA"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46%</w:t>
            </w:r>
          </w:p>
        </w:tc>
        <w:tc>
          <w:tcPr>
            <w:tcW w:w="992" w:type="dxa"/>
            <w:shd w:val="clear" w:color="auto" w:fill="F0F2ED"/>
          </w:tcPr>
          <w:p w14:paraId="7BAC8FBD"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41.8%</w:t>
            </w:r>
          </w:p>
        </w:tc>
        <w:tc>
          <w:tcPr>
            <w:tcW w:w="1868" w:type="dxa"/>
            <w:shd w:val="clear" w:color="auto" w:fill="F0F2ED"/>
          </w:tcPr>
          <w:p w14:paraId="26133501" w14:textId="2E1E3465" w:rsidR="003A3945" w:rsidRPr="007C747A" w:rsidRDefault="003A3945" w:rsidP="003A3945">
            <w:pPr>
              <w:spacing w:after="0" w:line="240" w:lineRule="auto"/>
              <w:ind w:left="29"/>
              <w:rPr>
                <w:rFonts w:eastAsia="Times New Roman" w:cs="Arial"/>
                <w:b/>
                <w:bCs/>
                <w:sz w:val="20"/>
                <w:szCs w:val="20"/>
                <w:lang w:val="en-AU" w:eastAsia="en-AU"/>
              </w:rPr>
            </w:pPr>
            <w:r w:rsidRPr="007C747A">
              <w:rPr>
                <w:rFonts w:eastAsia="Times New Roman" w:cs="Arial"/>
                <w:b/>
                <w:bCs/>
                <w:sz w:val="20"/>
                <w:szCs w:val="20"/>
                <w:lang w:val="en-AU" w:eastAsia="en-AU"/>
              </w:rPr>
              <w:t xml:space="preserve">Partially </w:t>
            </w:r>
            <w:r w:rsidR="006B2A7F" w:rsidRPr="007C747A">
              <w:rPr>
                <w:rFonts w:eastAsia="Times New Roman" w:cs="Arial"/>
                <w:b/>
                <w:bCs/>
                <w:sz w:val="20"/>
                <w:szCs w:val="20"/>
                <w:lang w:val="en-AU" w:eastAsia="en-AU"/>
              </w:rPr>
              <w:t>a</w:t>
            </w:r>
            <w:r w:rsidRPr="007C747A">
              <w:rPr>
                <w:rFonts w:eastAsia="Times New Roman" w:cs="Arial"/>
                <w:b/>
                <w:bCs/>
                <w:sz w:val="20"/>
                <w:szCs w:val="20"/>
                <w:lang w:val="en-AU" w:eastAsia="en-AU"/>
              </w:rPr>
              <w:t xml:space="preserve">chieved </w:t>
            </w:r>
          </w:p>
        </w:tc>
        <w:tc>
          <w:tcPr>
            <w:tcW w:w="2977" w:type="dxa"/>
            <w:shd w:val="clear" w:color="auto" w:fill="F0F2ED"/>
            <w:tcMar>
              <w:top w:w="72" w:type="dxa"/>
              <w:left w:w="144" w:type="dxa"/>
              <w:bottom w:w="72" w:type="dxa"/>
              <w:right w:w="144" w:type="dxa"/>
            </w:tcMar>
          </w:tcPr>
          <w:p w14:paraId="49E53E34" w14:textId="3B3D7D62" w:rsidR="003A3945" w:rsidRPr="007C747A" w:rsidRDefault="003A3945" w:rsidP="003A3945">
            <w:pPr>
              <w:spacing w:after="0" w:line="240" w:lineRule="auto"/>
              <w:ind w:left="29"/>
              <w:rPr>
                <w:rFonts w:eastAsia="Times New Roman" w:cs="Arial"/>
                <w:b/>
                <w:bCs/>
                <w:sz w:val="20"/>
                <w:szCs w:val="20"/>
                <w:lang w:val="en-AU" w:eastAsia="en-AU"/>
              </w:rPr>
            </w:pPr>
            <w:r w:rsidRPr="007C747A">
              <w:rPr>
                <w:rFonts w:eastAsia="DengXian" w:cs="Arial"/>
                <w:sz w:val="20"/>
                <w:szCs w:val="20"/>
                <w:lang w:val="en-AU"/>
              </w:rPr>
              <w:t xml:space="preserve">Calculation is the percentage of participants aged 15+ who respond </w:t>
            </w:r>
            <w:r w:rsidR="00FA5E9D" w:rsidRPr="007C747A">
              <w:rPr>
                <w:rFonts w:eastAsia="DengXian" w:cs="Arial"/>
                <w:sz w:val="20"/>
                <w:szCs w:val="20"/>
                <w:lang w:val="en-AU"/>
              </w:rPr>
              <w:t>‘</w:t>
            </w:r>
            <w:r w:rsidRPr="007C747A">
              <w:rPr>
                <w:rFonts w:eastAsia="DengXian" w:cs="Arial"/>
                <w:sz w:val="20"/>
                <w:szCs w:val="20"/>
                <w:lang w:val="en-AU"/>
              </w:rPr>
              <w:t>yes</w:t>
            </w:r>
            <w:r w:rsidR="00FA5E9D" w:rsidRPr="007C747A">
              <w:rPr>
                <w:rFonts w:eastAsia="DengXian" w:cs="Arial"/>
                <w:sz w:val="20"/>
                <w:szCs w:val="20"/>
                <w:lang w:val="en-AU"/>
              </w:rPr>
              <w:t>’</w:t>
            </w:r>
            <w:r w:rsidRPr="007C747A">
              <w:rPr>
                <w:rFonts w:eastAsia="DengXian" w:cs="Arial"/>
                <w:sz w:val="20"/>
                <w:szCs w:val="20"/>
                <w:lang w:val="en-AU"/>
              </w:rPr>
              <w:t xml:space="preserve"> to having been actively involved in a community, cultural or religious group in the last 12</w:t>
            </w:r>
            <w:r w:rsidR="00FA5E9D" w:rsidRPr="007C747A">
              <w:rPr>
                <w:rFonts w:eastAsia="DengXian" w:cs="Arial"/>
                <w:sz w:val="20"/>
                <w:szCs w:val="20"/>
                <w:lang w:val="en-AU"/>
              </w:rPr>
              <w:t> </w:t>
            </w:r>
            <w:r w:rsidRPr="007C747A">
              <w:rPr>
                <w:rFonts w:eastAsia="DengXian" w:cs="Arial"/>
                <w:sz w:val="20"/>
                <w:szCs w:val="20"/>
                <w:lang w:val="en-AU"/>
              </w:rPr>
              <w:t>months. Sourced quarterly from the Short Form Outcomes Framework questionnaires</w:t>
            </w:r>
            <w:r w:rsidR="00FA5E9D" w:rsidRPr="007C747A">
              <w:rPr>
                <w:rFonts w:eastAsia="DengXian" w:cs="Arial"/>
                <w:sz w:val="20"/>
                <w:szCs w:val="20"/>
                <w:lang w:val="en-AU"/>
              </w:rPr>
              <w:t>.</w:t>
            </w:r>
          </w:p>
        </w:tc>
      </w:tr>
      <w:tr w:rsidR="003A3945" w:rsidRPr="007C747A" w14:paraId="630B651D" w14:textId="77777777" w:rsidTr="00784C1B">
        <w:trPr>
          <w:trHeight w:val="397"/>
        </w:trPr>
        <w:tc>
          <w:tcPr>
            <w:tcW w:w="3109" w:type="dxa"/>
            <w:shd w:val="clear" w:color="auto" w:fill="auto"/>
            <w:tcMar>
              <w:top w:w="72" w:type="dxa"/>
              <w:left w:w="144" w:type="dxa"/>
              <w:bottom w:w="72" w:type="dxa"/>
              <w:right w:w="144" w:type="dxa"/>
            </w:tcMar>
            <w:hideMark/>
          </w:tcPr>
          <w:p w14:paraId="0AC39714" w14:textId="40FFE242"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 xml:space="preserve">Children benefiting from the NDIS </w:t>
            </w:r>
            <w:r w:rsidR="00FA5E9D" w:rsidRPr="007C747A">
              <w:rPr>
                <w:rFonts w:eastAsia="Times New Roman" w:cs="Arial"/>
                <w:color w:val="000000"/>
                <w:kern w:val="24"/>
                <w:sz w:val="20"/>
                <w:szCs w:val="20"/>
                <w:lang w:val="en-AU" w:eastAsia="en-AU"/>
              </w:rPr>
              <w:t>and</w:t>
            </w:r>
            <w:r w:rsidRPr="007C747A">
              <w:rPr>
                <w:rFonts w:eastAsia="Times New Roman" w:cs="Arial"/>
                <w:color w:val="000000"/>
                <w:kern w:val="24"/>
                <w:sz w:val="20"/>
                <w:szCs w:val="20"/>
                <w:lang w:val="en-AU" w:eastAsia="en-AU"/>
              </w:rPr>
              <w:t xml:space="preserve"> no longer needing supports</w:t>
            </w:r>
          </w:p>
        </w:tc>
        <w:tc>
          <w:tcPr>
            <w:tcW w:w="1109" w:type="dxa"/>
            <w:shd w:val="clear" w:color="auto" w:fill="auto"/>
            <w:tcMar>
              <w:top w:w="72" w:type="dxa"/>
              <w:left w:w="144" w:type="dxa"/>
              <w:bottom w:w="72" w:type="dxa"/>
              <w:right w:w="144" w:type="dxa"/>
            </w:tcMar>
            <w:hideMark/>
          </w:tcPr>
          <w:p w14:paraId="0C879995"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6%</w:t>
            </w:r>
          </w:p>
        </w:tc>
        <w:tc>
          <w:tcPr>
            <w:tcW w:w="992" w:type="dxa"/>
            <w:shd w:val="clear" w:color="auto" w:fill="auto"/>
          </w:tcPr>
          <w:p w14:paraId="491BAF43"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4.7%</w:t>
            </w:r>
          </w:p>
        </w:tc>
        <w:tc>
          <w:tcPr>
            <w:tcW w:w="1868" w:type="dxa"/>
            <w:shd w:val="clear" w:color="auto" w:fill="auto"/>
          </w:tcPr>
          <w:p w14:paraId="461F77C7" w14:textId="3397C6A8"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Times New Roman" w:cs="Arial"/>
                <w:b/>
                <w:bCs/>
                <w:sz w:val="20"/>
                <w:szCs w:val="20"/>
                <w:lang w:val="en-AU" w:eastAsia="en-AU"/>
              </w:rPr>
              <w:t xml:space="preserve">Partially </w:t>
            </w:r>
            <w:r w:rsidR="006B2A7F"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2977" w:type="dxa"/>
            <w:shd w:val="clear" w:color="auto" w:fill="auto"/>
            <w:tcMar>
              <w:top w:w="72" w:type="dxa"/>
              <w:left w:w="144" w:type="dxa"/>
              <w:bottom w:w="72" w:type="dxa"/>
              <w:right w:w="144" w:type="dxa"/>
            </w:tcMar>
          </w:tcPr>
          <w:p w14:paraId="4042F059" w14:textId="60ACFC36"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DengXian" w:cs="Arial"/>
                <w:sz w:val="20"/>
                <w:szCs w:val="20"/>
                <w:lang w:val="en-AU"/>
              </w:rPr>
              <w:t>Calculated for the full financial year as the average of 12 monthly results for 2022</w:t>
            </w:r>
            <w:r w:rsidR="00FA5E9D" w:rsidRPr="007C747A">
              <w:rPr>
                <w:rFonts w:eastAsia="DengXian" w:cs="Arial"/>
                <w:sz w:val="20"/>
                <w:szCs w:val="20"/>
                <w:lang w:val="en-AU"/>
              </w:rPr>
              <w:t>–</w:t>
            </w:r>
            <w:r w:rsidRPr="007C747A">
              <w:rPr>
                <w:rFonts w:eastAsia="DengXian" w:cs="Arial"/>
                <w:sz w:val="20"/>
                <w:szCs w:val="20"/>
                <w:lang w:val="en-AU"/>
              </w:rPr>
              <w:t>23 of children aged 0 to 14 who have received supports from the Scheme under the Early Childhood Approach and are now no longer receiving support.</w:t>
            </w:r>
          </w:p>
        </w:tc>
      </w:tr>
      <w:tr w:rsidR="003A3945" w:rsidRPr="007C747A" w14:paraId="5848B6BD" w14:textId="77777777" w:rsidTr="00784C1B">
        <w:trPr>
          <w:trHeight w:val="397"/>
        </w:trPr>
        <w:tc>
          <w:tcPr>
            <w:tcW w:w="3109" w:type="dxa"/>
            <w:shd w:val="clear" w:color="auto" w:fill="F0F2ED"/>
            <w:tcMar>
              <w:top w:w="72" w:type="dxa"/>
              <w:left w:w="144" w:type="dxa"/>
              <w:bottom w:w="72" w:type="dxa"/>
              <w:right w:w="144" w:type="dxa"/>
            </w:tcMar>
            <w:hideMark/>
          </w:tcPr>
          <w:p w14:paraId="4733011F"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Participant satisfaction</w:t>
            </w:r>
          </w:p>
        </w:tc>
        <w:tc>
          <w:tcPr>
            <w:tcW w:w="1109" w:type="dxa"/>
            <w:shd w:val="clear" w:color="auto" w:fill="F0F2ED"/>
            <w:tcMar>
              <w:top w:w="72" w:type="dxa"/>
              <w:left w:w="144" w:type="dxa"/>
              <w:bottom w:w="72" w:type="dxa"/>
              <w:right w:w="144" w:type="dxa"/>
            </w:tcMar>
            <w:hideMark/>
          </w:tcPr>
          <w:p w14:paraId="0ABED835"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76%</w:t>
            </w:r>
          </w:p>
        </w:tc>
        <w:tc>
          <w:tcPr>
            <w:tcW w:w="992" w:type="dxa"/>
            <w:shd w:val="clear" w:color="auto" w:fill="F0F2ED"/>
          </w:tcPr>
          <w:p w14:paraId="567929D7"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74.9%</w:t>
            </w:r>
          </w:p>
        </w:tc>
        <w:tc>
          <w:tcPr>
            <w:tcW w:w="1868" w:type="dxa"/>
            <w:shd w:val="clear" w:color="auto" w:fill="F0F2ED"/>
          </w:tcPr>
          <w:p w14:paraId="01470CFA" w14:textId="67549402"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Times New Roman" w:cs="Arial"/>
                <w:b/>
                <w:bCs/>
                <w:sz w:val="20"/>
                <w:szCs w:val="20"/>
                <w:lang w:val="en-AU" w:eastAsia="en-AU"/>
              </w:rPr>
              <w:t xml:space="preserve">Partially </w:t>
            </w:r>
            <w:r w:rsidR="006B2A7F"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2977" w:type="dxa"/>
            <w:shd w:val="clear" w:color="auto" w:fill="F0F2ED"/>
            <w:tcMar>
              <w:top w:w="72" w:type="dxa"/>
              <w:left w:w="144" w:type="dxa"/>
              <w:bottom w:w="72" w:type="dxa"/>
              <w:right w:w="144" w:type="dxa"/>
            </w:tcMar>
          </w:tcPr>
          <w:p w14:paraId="1DC98D91" w14:textId="210063EC"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DengXian" w:cs="Arial"/>
                <w:sz w:val="20"/>
                <w:szCs w:val="20"/>
                <w:lang w:val="en-AU"/>
              </w:rPr>
              <w:t xml:space="preserve">Participant satisfaction survey is conducted monthly by an independent provider, Australian Healthcare Associates. </w:t>
            </w:r>
            <w:r w:rsidR="00FA5E9D" w:rsidRPr="007C747A">
              <w:rPr>
                <w:rFonts w:eastAsia="DengXian" w:cs="Arial"/>
                <w:sz w:val="20"/>
                <w:szCs w:val="20"/>
                <w:lang w:val="en-AU"/>
              </w:rPr>
              <w:t>C</w:t>
            </w:r>
            <w:r w:rsidRPr="007C747A">
              <w:rPr>
                <w:rFonts w:eastAsia="DengXian" w:cs="Arial"/>
                <w:sz w:val="20"/>
                <w:szCs w:val="20"/>
                <w:lang w:val="en-AU"/>
              </w:rPr>
              <w:t xml:space="preserve">alculated for the full financial year using the average of the 4 quarterly results published in the Quarterly Report to </w:t>
            </w:r>
            <w:r w:rsidR="00EC5327" w:rsidRPr="007C747A">
              <w:rPr>
                <w:rFonts w:eastAsia="DengXian" w:cs="Arial"/>
                <w:sz w:val="20"/>
                <w:szCs w:val="20"/>
                <w:lang w:val="en-AU"/>
              </w:rPr>
              <w:t>D</w:t>
            </w:r>
            <w:r w:rsidRPr="007C747A">
              <w:rPr>
                <w:rFonts w:eastAsia="DengXian" w:cs="Arial"/>
                <w:sz w:val="20"/>
                <w:szCs w:val="20"/>
                <w:lang w:val="en-AU"/>
              </w:rPr>
              <w:t xml:space="preserve">isability </w:t>
            </w:r>
            <w:r w:rsidR="00EC5327" w:rsidRPr="007C747A">
              <w:rPr>
                <w:rFonts w:eastAsia="DengXian" w:cs="Arial"/>
                <w:sz w:val="20"/>
                <w:szCs w:val="20"/>
                <w:lang w:val="en-AU"/>
              </w:rPr>
              <w:t>M</w:t>
            </w:r>
            <w:r w:rsidRPr="007C747A">
              <w:rPr>
                <w:rFonts w:eastAsia="DengXian" w:cs="Arial"/>
                <w:sz w:val="20"/>
                <w:szCs w:val="20"/>
                <w:lang w:val="en-AU"/>
              </w:rPr>
              <w:t>inisters.</w:t>
            </w:r>
          </w:p>
        </w:tc>
      </w:tr>
      <w:tr w:rsidR="003A3945" w:rsidRPr="007C747A" w14:paraId="24DADDB6" w14:textId="77777777" w:rsidTr="00784C1B">
        <w:trPr>
          <w:trHeight w:val="397"/>
        </w:trPr>
        <w:tc>
          <w:tcPr>
            <w:tcW w:w="3109" w:type="dxa"/>
            <w:shd w:val="clear" w:color="auto" w:fill="auto"/>
            <w:tcMar>
              <w:top w:w="72" w:type="dxa"/>
              <w:left w:w="144" w:type="dxa"/>
              <w:bottom w:w="72" w:type="dxa"/>
              <w:right w:w="144" w:type="dxa"/>
            </w:tcMar>
            <w:hideMark/>
          </w:tcPr>
          <w:p w14:paraId="78974570"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Participant perception of choice and control</w:t>
            </w:r>
          </w:p>
        </w:tc>
        <w:tc>
          <w:tcPr>
            <w:tcW w:w="1109" w:type="dxa"/>
            <w:shd w:val="clear" w:color="auto" w:fill="auto"/>
            <w:tcMar>
              <w:top w:w="72" w:type="dxa"/>
              <w:left w:w="144" w:type="dxa"/>
              <w:bottom w:w="72" w:type="dxa"/>
              <w:right w:w="144" w:type="dxa"/>
            </w:tcMar>
            <w:hideMark/>
          </w:tcPr>
          <w:p w14:paraId="5E4FDADD"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75%</w:t>
            </w:r>
          </w:p>
        </w:tc>
        <w:tc>
          <w:tcPr>
            <w:tcW w:w="992" w:type="dxa"/>
            <w:shd w:val="clear" w:color="auto" w:fill="auto"/>
          </w:tcPr>
          <w:p w14:paraId="388C2FD2"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76.8%</w:t>
            </w:r>
          </w:p>
        </w:tc>
        <w:tc>
          <w:tcPr>
            <w:tcW w:w="1868" w:type="dxa"/>
            <w:shd w:val="clear" w:color="auto" w:fill="auto"/>
          </w:tcPr>
          <w:p w14:paraId="75135577" w14:textId="77777777"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Times New Roman" w:cs="Arial"/>
                <w:b/>
                <w:bCs/>
                <w:sz w:val="20"/>
                <w:szCs w:val="20"/>
                <w:lang w:val="en-AU" w:eastAsia="en-AU"/>
              </w:rPr>
              <w:t>Achieved</w:t>
            </w:r>
          </w:p>
        </w:tc>
        <w:tc>
          <w:tcPr>
            <w:tcW w:w="2977" w:type="dxa"/>
            <w:shd w:val="clear" w:color="auto" w:fill="auto"/>
            <w:tcMar>
              <w:top w:w="72" w:type="dxa"/>
              <w:left w:w="144" w:type="dxa"/>
              <w:bottom w:w="72" w:type="dxa"/>
              <w:right w:w="144" w:type="dxa"/>
            </w:tcMar>
          </w:tcPr>
          <w:p w14:paraId="01C2AFB1" w14:textId="1F83E4DC"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DengXian" w:cs="Arial"/>
                <w:sz w:val="20"/>
                <w:szCs w:val="20"/>
                <w:lang w:val="en-AU"/>
              </w:rPr>
              <w:t xml:space="preserve">Sourced quarterly from the Short Form Outcomes Framework question </w:t>
            </w:r>
            <w:r w:rsidR="00FA5E9D" w:rsidRPr="007C747A">
              <w:rPr>
                <w:rFonts w:eastAsia="DengXian" w:cs="Arial"/>
                <w:sz w:val="20"/>
                <w:szCs w:val="20"/>
                <w:lang w:val="en-AU"/>
              </w:rPr>
              <w:t>‘</w:t>
            </w:r>
            <w:r w:rsidRPr="007C747A">
              <w:rPr>
                <w:rFonts w:eastAsia="DengXian" w:cs="Arial"/>
                <w:sz w:val="20"/>
                <w:szCs w:val="20"/>
                <w:lang w:val="en-AU"/>
              </w:rPr>
              <w:t>Has the NDIS helped you have more choice and control over your life?</w:t>
            </w:r>
            <w:r w:rsidR="00FA5E9D" w:rsidRPr="007C747A">
              <w:rPr>
                <w:rFonts w:eastAsia="DengXian" w:cs="Arial"/>
                <w:sz w:val="20"/>
                <w:szCs w:val="20"/>
                <w:lang w:val="en-AU"/>
              </w:rPr>
              <w:t>’</w:t>
            </w:r>
            <w:r w:rsidRPr="007C747A">
              <w:rPr>
                <w:rFonts w:eastAsia="DengXian" w:cs="Arial"/>
                <w:sz w:val="20"/>
                <w:szCs w:val="20"/>
                <w:lang w:val="en-AU"/>
              </w:rPr>
              <w:t xml:space="preserve">. The result is the </w:t>
            </w:r>
            <w:r w:rsidRPr="007C747A">
              <w:rPr>
                <w:rFonts w:eastAsia="DengXian" w:cs="Arial"/>
                <w:i/>
                <w:sz w:val="20"/>
                <w:szCs w:val="20"/>
                <w:lang w:val="en-AU"/>
              </w:rPr>
              <w:t>latest</w:t>
            </w:r>
            <w:r w:rsidRPr="007C747A">
              <w:rPr>
                <w:rFonts w:eastAsia="DengXian" w:cs="Arial"/>
                <w:sz w:val="20"/>
                <w:szCs w:val="20"/>
                <w:lang w:val="en-AU"/>
              </w:rPr>
              <w:t xml:space="preserve"> result for participants aged 15+ who have been in the Scheme for at least 2 years.</w:t>
            </w:r>
          </w:p>
        </w:tc>
      </w:tr>
      <w:tr w:rsidR="003A3945" w:rsidRPr="007C747A" w14:paraId="24C2415A" w14:textId="77777777" w:rsidTr="00784C1B">
        <w:trPr>
          <w:trHeight w:val="397"/>
        </w:trPr>
        <w:tc>
          <w:tcPr>
            <w:tcW w:w="3109" w:type="dxa"/>
            <w:shd w:val="clear" w:color="auto" w:fill="F0F2ED"/>
            <w:tcMar>
              <w:top w:w="72" w:type="dxa"/>
              <w:left w:w="144" w:type="dxa"/>
              <w:bottom w:w="72" w:type="dxa"/>
              <w:right w:w="144" w:type="dxa"/>
            </w:tcMar>
          </w:tcPr>
          <w:p w14:paraId="7B7862BC" w14:textId="77777777" w:rsidR="003A3945" w:rsidRPr="007C747A" w:rsidRDefault="003A3945" w:rsidP="003A3945">
            <w:pPr>
              <w:spacing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Participant Service Guarantee timeframes met (%)</w:t>
            </w:r>
          </w:p>
        </w:tc>
        <w:tc>
          <w:tcPr>
            <w:tcW w:w="1109" w:type="dxa"/>
            <w:shd w:val="clear" w:color="auto" w:fill="F0F2ED"/>
            <w:tcMar>
              <w:top w:w="72" w:type="dxa"/>
              <w:left w:w="144" w:type="dxa"/>
              <w:bottom w:w="72" w:type="dxa"/>
              <w:right w:w="144" w:type="dxa"/>
            </w:tcMar>
          </w:tcPr>
          <w:p w14:paraId="5470D269" w14:textId="77777777" w:rsidR="003A3945" w:rsidRPr="007C747A" w:rsidRDefault="003A3945" w:rsidP="003A3945">
            <w:pPr>
              <w:spacing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80%</w:t>
            </w:r>
          </w:p>
        </w:tc>
        <w:tc>
          <w:tcPr>
            <w:tcW w:w="992" w:type="dxa"/>
            <w:shd w:val="clear" w:color="auto" w:fill="F0F2ED"/>
          </w:tcPr>
          <w:p w14:paraId="0744F9C3" w14:textId="77777777" w:rsidR="003A3945" w:rsidRPr="007C747A" w:rsidRDefault="003A3945" w:rsidP="003A3945">
            <w:pPr>
              <w:spacing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64.7%</w:t>
            </w:r>
          </w:p>
        </w:tc>
        <w:tc>
          <w:tcPr>
            <w:tcW w:w="1868" w:type="dxa"/>
            <w:shd w:val="clear" w:color="auto" w:fill="F0F2ED"/>
          </w:tcPr>
          <w:p w14:paraId="7C2E6BBA" w14:textId="21EF9428" w:rsidR="003A3945" w:rsidRPr="007C747A" w:rsidRDefault="003A3945" w:rsidP="003A3945">
            <w:pPr>
              <w:spacing w:after="0" w:line="240" w:lineRule="auto"/>
              <w:ind w:left="29"/>
              <w:rPr>
                <w:rFonts w:eastAsia="Times New Roman" w:cs="Arial"/>
                <w:b/>
                <w:bCs/>
                <w:sz w:val="20"/>
                <w:szCs w:val="20"/>
                <w:lang w:val="en-AU" w:eastAsia="en-AU"/>
              </w:rPr>
            </w:pPr>
            <w:r w:rsidRPr="007C747A">
              <w:rPr>
                <w:rFonts w:eastAsia="Times New Roman" w:cs="Arial"/>
                <w:b/>
                <w:bCs/>
                <w:sz w:val="20"/>
                <w:szCs w:val="20"/>
                <w:lang w:val="en-AU" w:eastAsia="en-AU"/>
              </w:rPr>
              <w:t xml:space="preserve">Not </w:t>
            </w:r>
            <w:r w:rsidR="006B2A7F"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2977" w:type="dxa"/>
            <w:shd w:val="clear" w:color="auto" w:fill="F0F2ED"/>
            <w:tcMar>
              <w:top w:w="72" w:type="dxa"/>
              <w:left w:w="144" w:type="dxa"/>
              <w:bottom w:w="72" w:type="dxa"/>
              <w:right w:w="144" w:type="dxa"/>
            </w:tcMar>
          </w:tcPr>
          <w:p w14:paraId="1BE7C020" w14:textId="7F69AC79" w:rsidR="003A3945" w:rsidRPr="007C747A" w:rsidRDefault="003A3945" w:rsidP="003A3945">
            <w:pPr>
              <w:spacing w:after="0" w:line="240" w:lineRule="auto"/>
              <w:ind w:left="29"/>
              <w:rPr>
                <w:rFonts w:eastAsia="Times New Roman" w:cs="Arial"/>
                <w:color w:val="000000"/>
                <w:kern w:val="24"/>
                <w:sz w:val="20"/>
                <w:szCs w:val="20"/>
                <w:lang w:val="en-AU" w:eastAsia="en-AU"/>
              </w:rPr>
            </w:pPr>
            <w:r w:rsidRPr="007C747A">
              <w:rPr>
                <w:rFonts w:eastAsia="DengXian" w:cs="Arial"/>
                <w:sz w:val="20"/>
                <w:szCs w:val="20"/>
                <w:lang w:val="en-AU"/>
              </w:rPr>
              <w:t xml:space="preserve">Calculated for the full financial year using the simple average of the </w:t>
            </w:r>
            <w:r w:rsidR="00FA5E9D" w:rsidRPr="007C747A">
              <w:rPr>
                <w:rFonts w:eastAsia="DengXian" w:cs="Arial"/>
                <w:sz w:val="20"/>
                <w:szCs w:val="20"/>
                <w:lang w:val="en-AU"/>
              </w:rPr>
              <w:t xml:space="preserve">4 </w:t>
            </w:r>
            <w:r w:rsidRPr="007C747A">
              <w:rPr>
                <w:rFonts w:eastAsia="DengXian" w:cs="Arial"/>
                <w:sz w:val="20"/>
                <w:szCs w:val="20"/>
                <w:lang w:val="en-AU"/>
              </w:rPr>
              <w:t xml:space="preserve">quarterly results shown in the Quarterly </w:t>
            </w:r>
            <w:r w:rsidR="00FA5E9D" w:rsidRPr="007C747A">
              <w:rPr>
                <w:rFonts w:eastAsia="DengXian" w:cs="Arial"/>
                <w:sz w:val="20"/>
                <w:szCs w:val="20"/>
                <w:lang w:val="en-AU"/>
              </w:rPr>
              <w:t>R</w:t>
            </w:r>
            <w:r w:rsidRPr="007C747A">
              <w:rPr>
                <w:rFonts w:eastAsia="DengXian" w:cs="Arial"/>
                <w:sz w:val="20"/>
                <w:szCs w:val="20"/>
                <w:lang w:val="en-AU"/>
              </w:rPr>
              <w:t xml:space="preserve">eport to </w:t>
            </w:r>
            <w:r w:rsidR="00EC5327" w:rsidRPr="007C747A">
              <w:rPr>
                <w:rFonts w:eastAsia="DengXian" w:cs="Arial"/>
                <w:sz w:val="20"/>
                <w:szCs w:val="20"/>
                <w:lang w:val="en-AU"/>
              </w:rPr>
              <w:t>D</w:t>
            </w:r>
            <w:r w:rsidRPr="007C747A">
              <w:rPr>
                <w:rFonts w:eastAsia="DengXian" w:cs="Arial"/>
                <w:sz w:val="20"/>
                <w:szCs w:val="20"/>
                <w:lang w:val="en-AU"/>
              </w:rPr>
              <w:t xml:space="preserve">isability </w:t>
            </w:r>
            <w:r w:rsidR="00EC5327" w:rsidRPr="007C747A">
              <w:rPr>
                <w:rFonts w:eastAsia="DengXian" w:cs="Arial"/>
                <w:sz w:val="20"/>
                <w:szCs w:val="20"/>
                <w:lang w:val="en-AU"/>
              </w:rPr>
              <w:t xml:space="preserve"> M</w:t>
            </w:r>
            <w:r w:rsidRPr="007C747A">
              <w:rPr>
                <w:rFonts w:eastAsia="DengXian" w:cs="Arial"/>
                <w:sz w:val="20"/>
                <w:szCs w:val="20"/>
                <w:lang w:val="en-AU"/>
              </w:rPr>
              <w:t>inisters</w:t>
            </w:r>
            <w:r w:rsidR="00FA5E9D" w:rsidRPr="007C747A">
              <w:rPr>
                <w:rFonts w:eastAsia="DengXian" w:cs="Arial"/>
                <w:sz w:val="20"/>
                <w:szCs w:val="20"/>
                <w:lang w:val="en-AU"/>
              </w:rPr>
              <w:t>.</w:t>
            </w:r>
          </w:p>
        </w:tc>
      </w:tr>
      <w:tr w:rsidR="003A3945" w:rsidRPr="007C747A" w14:paraId="0303B65E" w14:textId="77777777" w:rsidTr="00784C1B">
        <w:trPr>
          <w:trHeight w:val="397"/>
        </w:trPr>
        <w:tc>
          <w:tcPr>
            <w:tcW w:w="3109" w:type="dxa"/>
            <w:shd w:val="clear" w:color="auto" w:fill="auto"/>
            <w:tcMar>
              <w:top w:w="72" w:type="dxa"/>
              <w:left w:w="144" w:type="dxa"/>
              <w:bottom w:w="72" w:type="dxa"/>
              <w:right w:w="144" w:type="dxa"/>
            </w:tcMar>
          </w:tcPr>
          <w:p w14:paraId="4B51D63D" w14:textId="35AAB8FE" w:rsidR="003A3945" w:rsidRPr="007C747A" w:rsidRDefault="003A3945" w:rsidP="003A3945">
            <w:pPr>
              <w:spacing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 xml:space="preserve">Families and </w:t>
            </w:r>
            <w:r w:rsidR="00FA5E9D" w:rsidRPr="007C747A">
              <w:rPr>
                <w:rFonts w:eastAsia="Times New Roman" w:cs="Arial"/>
                <w:color w:val="000000"/>
                <w:kern w:val="24"/>
                <w:sz w:val="20"/>
                <w:szCs w:val="20"/>
                <w:lang w:val="en-AU" w:eastAsia="en-AU"/>
              </w:rPr>
              <w:t>c</w:t>
            </w:r>
            <w:r w:rsidRPr="007C747A">
              <w:rPr>
                <w:rFonts w:eastAsia="Times New Roman" w:cs="Arial"/>
                <w:color w:val="000000"/>
                <w:kern w:val="24"/>
                <w:sz w:val="20"/>
                <w:szCs w:val="20"/>
                <w:lang w:val="en-AU" w:eastAsia="en-AU"/>
              </w:rPr>
              <w:t xml:space="preserve">arers </w:t>
            </w:r>
            <w:r w:rsidR="00FA5E9D" w:rsidRPr="007C747A">
              <w:rPr>
                <w:rFonts w:eastAsia="Times New Roman" w:cs="Arial"/>
                <w:color w:val="000000"/>
                <w:kern w:val="24"/>
                <w:sz w:val="20"/>
                <w:szCs w:val="20"/>
                <w:lang w:val="en-AU" w:eastAsia="en-AU"/>
              </w:rPr>
              <w:t>e</w:t>
            </w:r>
            <w:r w:rsidRPr="007C747A">
              <w:rPr>
                <w:rFonts w:eastAsia="Times New Roman" w:cs="Arial"/>
                <w:color w:val="000000"/>
                <w:kern w:val="24"/>
                <w:sz w:val="20"/>
                <w:szCs w:val="20"/>
                <w:lang w:val="en-AU" w:eastAsia="en-AU"/>
              </w:rPr>
              <w:t xml:space="preserve">mployment </w:t>
            </w:r>
            <w:r w:rsidR="00FA5E9D" w:rsidRPr="007C747A">
              <w:rPr>
                <w:rFonts w:eastAsia="Times New Roman" w:cs="Arial"/>
                <w:color w:val="000000"/>
                <w:kern w:val="24"/>
                <w:sz w:val="20"/>
                <w:szCs w:val="20"/>
                <w:lang w:val="en-AU" w:eastAsia="en-AU"/>
              </w:rPr>
              <w:t>r</w:t>
            </w:r>
            <w:r w:rsidRPr="007C747A">
              <w:rPr>
                <w:rFonts w:eastAsia="Times New Roman" w:cs="Arial"/>
                <w:color w:val="000000"/>
                <w:kern w:val="24"/>
                <w:sz w:val="20"/>
                <w:szCs w:val="20"/>
                <w:lang w:val="en-AU" w:eastAsia="en-AU"/>
              </w:rPr>
              <w:t>ate (%)</w:t>
            </w:r>
          </w:p>
        </w:tc>
        <w:tc>
          <w:tcPr>
            <w:tcW w:w="1109" w:type="dxa"/>
            <w:shd w:val="clear" w:color="auto" w:fill="auto"/>
            <w:tcMar>
              <w:top w:w="72" w:type="dxa"/>
              <w:left w:w="144" w:type="dxa"/>
              <w:bottom w:w="72" w:type="dxa"/>
              <w:right w:w="144" w:type="dxa"/>
            </w:tcMar>
          </w:tcPr>
          <w:p w14:paraId="1D94B303" w14:textId="77777777" w:rsidR="003A3945" w:rsidRPr="007C747A" w:rsidRDefault="003A3945" w:rsidP="003A3945">
            <w:pPr>
              <w:spacing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50%</w:t>
            </w:r>
          </w:p>
        </w:tc>
        <w:tc>
          <w:tcPr>
            <w:tcW w:w="992" w:type="dxa"/>
            <w:shd w:val="clear" w:color="auto" w:fill="auto"/>
          </w:tcPr>
          <w:p w14:paraId="6CA42D30" w14:textId="77777777" w:rsidR="003A3945" w:rsidRPr="007C747A" w:rsidRDefault="003A3945" w:rsidP="003A3945">
            <w:pPr>
              <w:spacing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50.4%</w:t>
            </w:r>
          </w:p>
        </w:tc>
        <w:tc>
          <w:tcPr>
            <w:tcW w:w="1868" w:type="dxa"/>
            <w:shd w:val="clear" w:color="auto" w:fill="auto"/>
          </w:tcPr>
          <w:p w14:paraId="716685FE" w14:textId="77777777" w:rsidR="003A3945" w:rsidRPr="007C747A" w:rsidRDefault="003A3945" w:rsidP="003A3945">
            <w:pPr>
              <w:spacing w:after="0" w:line="240" w:lineRule="auto"/>
              <w:ind w:left="29"/>
              <w:rPr>
                <w:rFonts w:eastAsia="Times New Roman" w:cs="Arial"/>
                <w:color w:val="000000"/>
                <w:kern w:val="24"/>
                <w:sz w:val="20"/>
                <w:szCs w:val="20"/>
                <w:lang w:val="en-AU" w:eastAsia="en-AU"/>
              </w:rPr>
            </w:pPr>
            <w:r w:rsidRPr="007C747A">
              <w:rPr>
                <w:rFonts w:eastAsia="Times New Roman" w:cs="Arial"/>
                <w:b/>
                <w:bCs/>
                <w:sz w:val="20"/>
                <w:szCs w:val="20"/>
                <w:lang w:val="en-AU" w:eastAsia="en-AU"/>
              </w:rPr>
              <w:t>Achieved</w:t>
            </w:r>
          </w:p>
        </w:tc>
        <w:tc>
          <w:tcPr>
            <w:tcW w:w="2977" w:type="dxa"/>
            <w:shd w:val="clear" w:color="auto" w:fill="auto"/>
            <w:tcMar>
              <w:top w:w="72" w:type="dxa"/>
              <w:left w:w="144" w:type="dxa"/>
              <w:bottom w:w="72" w:type="dxa"/>
              <w:right w:w="144" w:type="dxa"/>
            </w:tcMar>
          </w:tcPr>
          <w:p w14:paraId="052F4F59" w14:textId="7FD58836" w:rsidR="003A3945" w:rsidRPr="007C747A" w:rsidRDefault="003A3945" w:rsidP="003A3945">
            <w:pPr>
              <w:spacing w:after="0" w:line="240" w:lineRule="auto"/>
              <w:ind w:left="29"/>
              <w:rPr>
                <w:rFonts w:eastAsia="Times New Roman" w:cs="Arial"/>
                <w:color w:val="000000"/>
                <w:kern w:val="24"/>
                <w:sz w:val="20"/>
                <w:szCs w:val="20"/>
                <w:lang w:val="en-AU" w:eastAsia="en-AU"/>
              </w:rPr>
            </w:pPr>
            <w:r w:rsidRPr="007C747A">
              <w:rPr>
                <w:rFonts w:eastAsia="DengXian" w:cs="Arial"/>
                <w:sz w:val="20"/>
                <w:szCs w:val="20"/>
                <w:lang w:val="en-AU"/>
              </w:rPr>
              <w:t xml:space="preserve">Calculated </w:t>
            </w:r>
            <w:r w:rsidR="00E9361D" w:rsidRPr="007C747A">
              <w:rPr>
                <w:rFonts w:eastAsia="DengXian" w:cs="Arial"/>
                <w:sz w:val="20"/>
                <w:szCs w:val="20"/>
                <w:lang w:val="en-AU"/>
              </w:rPr>
              <w:t xml:space="preserve">as </w:t>
            </w:r>
            <w:r w:rsidRPr="007C747A">
              <w:rPr>
                <w:rFonts w:eastAsia="DengXian" w:cs="Arial"/>
                <w:sz w:val="20"/>
                <w:szCs w:val="20"/>
                <w:lang w:val="en-AU"/>
              </w:rPr>
              <w:t xml:space="preserve">the percentage of families and carers who respond </w:t>
            </w:r>
            <w:r w:rsidR="00FA5E9D" w:rsidRPr="007C747A">
              <w:rPr>
                <w:rFonts w:eastAsia="DengXian" w:cs="Arial"/>
                <w:sz w:val="20"/>
                <w:szCs w:val="20"/>
                <w:lang w:val="en-AU"/>
              </w:rPr>
              <w:t>‘</w:t>
            </w:r>
            <w:r w:rsidRPr="007C747A">
              <w:rPr>
                <w:rFonts w:eastAsia="DengXian" w:cs="Arial"/>
                <w:sz w:val="20"/>
                <w:szCs w:val="20"/>
                <w:lang w:val="en-AU"/>
              </w:rPr>
              <w:t>yes</w:t>
            </w:r>
            <w:r w:rsidR="00FA5E9D" w:rsidRPr="007C747A">
              <w:rPr>
                <w:rFonts w:eastAsia="DengXian" w:cs="Arial"/>
                <w:sz w:val="20"/>
                <w:szCs w:val="20"/>
                <w:lang w:val="en-AU"/>
              </w:rPr>
              <w:t>’</w:t>
            </w:r>
            <w:r w:rsidRPr="007C747A">
              <w:rPr>
                <w:rFonts w:eastAsia="DengXian" w:cs="Arial"/>
                <w:sz w:val="20"/>
                <w:szCs w:val="20"/>
                <w:lang w:val="en-AU"/>
              </w:rPr>
              <w:t xml:space="preserve"> to having a paid job (participants of all ages). Sourced quarterly from the Short Form Outcomes Framework questionnaires</w:t>
            </w:r>
            <w:r w:rsidR="00FA5E9D" w:rsidRPr="007C747A">
              <w:rPr>
                <w:rFonts w:eastAsia="DengXian" w:cs="Arial"/>
                <w:sz w:val="20"/>
                <w:szCs w:val="20"/>
                <w:lang w:val="en-AU"/>
              </w:rPr>
              <w:t>.</w:t>
            </w:r>
          </w:p>
        </w:tc>
      </w:tr>
      <w:tr w:rsidR="003A3945" w:rsidRPr="007C747A" w14:paraId="27AF496E" w14:textId="77777777" w:rsidTr="00784C1B">
        <w:trPr>
          <w:trHeight w:val="397"/>
        </w:trPr>
        <w:tc>
          <w:tcPr>
            <w:tcW w:w="3109" w:type="dxa"/>
            <w:shd w:val="clear" w:color="auto" w:fill="F0F2ED"/>
            <w:tcMar>
              <w:top w:w="72" w:type="dxa"/>
              <w:left w:w="144" w:type="dxa"/>
              <w:bottom w:w="72" w:type="dxa"/>
              <w:right w:w="144" w:type="dxa"/>
            </w:tcMar>
            <w:hideMark/>
          </w:tcPr>
          <w:p w14:paraId="4077EDFE" w14:textId="77777777" w:rsidR="003A3945" w:rsidRPr="007C747A" w:rsidRDefault="003A3945" w:rsidP="003A3945">
            <w:pPr>
              <w:spacing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Staff with disability</w:t>
            </w:r>
          </w:p>
        </w:tc>
        <w:tc>
          <w:tcPr>
            <w:tcW w:w="1109" w:type="dxa"/>
            <w:shd w:val="clear" w:color="auto" w:fill="F0F2ED"/>
            <w:tcMar>
              <w:top w:w="72" w:type="dxa"/>
              <w:left w:w="144" w:type="dxa"/>
              <w:bottom w:w="72" w:type="dxa"/>
              <w:right w:w="144" w:type="dxa"/>
            </w:tcMar>
            <w:hideMark/>
          </w:tcPr>
          <w:p w14:paraId="53F20BCE"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19%</w:t>
            </w:r>
          </w:p>
        </w:tc>
        <w:tc>
          <w:tcPr>
            <w:tcW w:w="992" w:type="dxa"/>
            <w:shd w:val="clear" w:color="auto" w:fill="F0F2ED"/>
          </w:tcPr>
          <w:p w14:paraId="07BBC936"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20.8%</w:t>
            </w:r>
          </w:p>
        </w:tc>
        <w:tc>
          <w:tcPr>
            <w:tcW w:w="1868" w:type="dxa"/>
            <w:shd w:val="clear" w:color="auto" w:fill="F0F2ED"/>
          </w:tcPr>
          <w:p w14:paraId="4A22DB42" w14:textId="77777777"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Times New Roman" w:cs="Arial"/>
                <w:b/>
                <w:bCs/>
                <w:sz w:val="20"/>
                <w:szCs w:val="20"/>
                <w:lang w:val="en-AU" w:eastAsia="en-AU"/>
              </w:rPr>
              <w:t>Achieved</w:t>
            </w:r>
          </w:p>
        </w:tc>
        <w:tc>
          <w:tcPr>
            <w:tcW w:w="2977" w:type="dxa"/>
            <w:shd w:val="clear" w:color="auto" w:fill="F0F2ED"/>
            <w:tcMar>
              <w:top w:w="72" w:type="dxa"/>
              <w:left w:w="144" w:type="dxa"/>
              <w:bottom w:w="72" w:type="dxa"/>
              <w:right w:w="144" w:type="dxa"/>
            </w:tcMar>
          </w:tcPr>
          <w:p w14:paraId="3642471F" w14:textId="530DD459"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DengXian" w:cs="Arial"/>
                <w:sz w:val="20"/>
                <w:szCs w:val="20"/>
                <w:lang w:val="en-AU"/>
              </w:rPr>
              <w:t>Sourced from the annual APS Census survey</w:t>
            </w:r>
            <w:r w:rsidR="00FA5E9D" w:rsidRPr="007C747A">
              <w:rPr>
                <w:rFonts w:eastAsia="DengXian" w:cs="Arial"/>
                <w:sz w:val="20"/>
                <w:szCs w:val="20"/>
                <w:lang w:val="en-AU"/>
              </w:rPr>
              <w:t>.</w:t>
            </w:r>
          </w:p>
        </w:tc>
      </w:tr>
      <w:tr w:rsidR="003A3945" w:rsidRPr="007C747A" w14:paraId="5BEDA365" w14:textId="77777777" w:rsidTr="00784C1B">
        <w:trPr>
          <w:trHeight w:val="397"/>
        </w:trPr>
        <w:tc>
          <w:tcPr>
            <w:tcW w:w="3109" w:type="dxa"/>
            <w:shd w:val="clear" w:color="auto" w:fill="auto"/>
            <w:tcMar>
              <w:top w:w="72" w:type="dxa"/>
              <w:left w:w="144" w:type="dxa"/>
              <w:bottom w:w="72" w:type="dxa"/>
              <w:right w:w="144" w:type="dxa"/>
            </w:tcMar>
            <w:hideMark/>
          </w:tcPr>
          <w:p w14:paraId="0AA0BA49" w14:textId="3DD78C1C" w:rsidR="003A3945" w:rsidRPr="007C747A" w:rsidRDefault="00230B72"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 xml:space="preserve">Senior Executive Service staff </w:t>
            </w:r>
            <w:r w:rsidR="003A3945" w:rsidRPr="007C747A">
              <w:rPr>
                <w:rFonts w:eastAsia="Times New Roman" w:cs="Arial"/>
                <w:color w:val="000000"/>
                <w:kern w:val="24"/>
                <w:sz w:val="20"/>
                <w:szCs w:val="20"/>
                <w:lang w:val="en-AU" w:eastAsia="en-AU"/>
              </w:rPr>
              <w:t>with disability</w:t>
            </w:r>
          </w:p>
        </w:tc>
        <w:tc>
          <w:tcPr>
            <w:tcW w:w="1109" w:type="dxa"/>
            <w:shd w:val="clear" w:color="auto" w:fill="auto"/>
            <w:tcMar>
              <w:top w:w="72" w:type="dxa"/>
              <w:left w:w="144" w:type="dxa"/>
              <w:bottom w:w="72" w:type="dxa"/>
              <w:right w:w="144" w:type="dxa"/>
            </w:tcMar>
            <w:hideMark/>
          </w:tcPr>
          <w:p w14:paraId="53173445"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12%</w:t>
            </w:r>
          </w:p>
        </w:tc>
        <w:tc>
          <w:tcPr>
            <w:tcW w:w="992" w:type="dxa"/>
            <w:shd w:val="clear" w:color="auto" w:fill="auto"/>
          </w:tcPr>
          <w:p w14:paraId="3C3D2C49"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20.8%</w:t>
            </w:r>
          </w:p>
        </w:tc>
        <w:tc>
          <w:tcPr>
            <w:tcW w:w="1868" w:type="dxa"/>
            <w:shd w:val="clear" w:color="auto" w:fill="auto"/>
          </w:tcPr>
          <w:p w14:paraId="11D8B19B" w14:textId="77777777"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Times New Roman" w:cs="Arial"/>
                <w:b/>
                <w:bCs/>
                <w:sz w:val="20"/>
                <w:szCs w:val="20"/>
                <w:lang w:val="en-AU" w:eastAsia="en-AU"/>
              </w:rPr>
              <w:t>Achieved</w:t>
            </w:r>
          </w:p>
        </w:tc>
        <w:tc>
          <w:tcPr>
            <w:tcW w:w="2977" w:type="dxa"/>
            <w:shd w:val="clear" w:color="auto" w:fill="auto"/>
            <w:tcMar>
              <w:top w:w="72" w:type="dxa"/>
              <w:left w:w="144" w:type="dxa"/>
              <w:bottom w:w="72" w:type="dxa"/>
              <w:right w:w="144" w:type="dxa"/>
            </w:tcMar>
          </w:tcPr>
          <w:p w14:paraId="41224CEB" w14:textId="0FB7E728" w:rsidR="003A3945" w:rsidRPr="007C747A" w:rsidRDefault="003A3945" w:rsidP="003A3945">
            <w:pPr>
              <w:spacing w:after="0" w:line="240" w:lineRule="auto"/>
              <w:ind w:left="29"/>
              <w:rPr>
                <w:rFonts w:eastAsia="DengXian" w:cs="Arial"/>
                <w:sz w:val="20"/>
                <w:szCs w:val="20"/>
                <w:lang w:val="en-AU"/>
              </w:rPr>
            </w:pPr>
            <w:r w:rsidRPr="007C747A">
              <w:rPr>
                <w:rFonts w:eastAsia="DengXian" w:cs="Arial"/>
                <w:sz w:val="20"/>
                <w:szCs w:val="20"/>
                <w:lang w:val="en-AU"/>
              </w:rPr>
              <w:t>Sourced from the annual APS Census survey</w:t>
            </w:r>
            <w:r w:rsidR="00FA5E9D" w:rsidRPr="007C747A">
              <w:rPr>
                <w:rFonts w:eastAsia="DengXian" w:cs="Arial"/>
                <w:sz w:val="20"/>
                <w:szCs w:val="20"/>
                <w:lang w:val="en-AU"/>
              </w:rPr>
              <w:t>.</w:t>
            </w:r>
          </w:p>
        </w:tc>
      </w:tr>
      <w:tr w:rsidR="003A3945" w:rsidRPr="007C747A" w14:paraId="4C347E49" w14:textId="77777777" w:rsidTr="00784C1B">
        <w:trPr>
          <w:trHeight w:val="397"/>
        </w:trPr>
        <w:tc>
          <w:tcPr>
            <w:tcW w:w="3109" w:type="dxa"/>
            <w:shd w:val="clear" w:color="auto" w:fill="F0F2ED"/>
            <w:tcMar>
              <w:top w:w="72" w:type="dxa"/>
              <w:left w:w="144" w:type="dxa"/>
              <w:bottom w:w="72" w:type="dxa"/>
              <w:right w:w="144" w:type="dxa"/>
            </w:tcMar>
            <w:hideMark/>
          </w:tcPr>
          <w:p w14:paraId="46A2333B" w14:textId="1126D7D4"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 xml:space="preserve">Female representation in the </w:t>
            </w:r>
            <w:r w:rsidR="00230B72" w:rsidRPr="007C747A">
              <w:rPr>
                <w:rFonts w:eastAsia="Times New Roman" w:cs="Arial"/>
                <w:color w:val="000000"/>
                <w:kern w:val="24"/>
                <w:sz w:val="20"/>
                <w:szCs w:val="20"/>
                <w:lang w:val="en-AU" w:eastAsia="en-AU"/>
              </w:rPr>
              <w:t>Senior Executive Service</w:t>
            </w:r>
          </w:p>
        </w:tc>
        <w:tc>
          <w:tcPr>
            <w:tcW w:w="1109" w:type="dxa"/>
            <w:shd w:val="clear" w:color="auto" w:fill="F0F2ED"/>
            <w:tcMar>
              <w:top w:w="72" w:type="dxa"/>
              <w:left w:w="144" w:type="dxa"/>
              <w:bottom w:w="72" w:type="dxa"/>
              <w:right w:w="144" w:type="dxa"/>
            </w:tcMar>
            <w:hideMark/>
          </w:tcPr>
          <w:p w14:paraId="57943A98" w14:textId="77777777" w:rsidR="003A3945" w:rsidRPr="007C747A" w:rsidRDefault="003A3945" w:rsidP="003A3945">
            <w:pPr>
              <w:spacing w:after="0" w:line="240" w:lineRule="auto"/>
              <w:rPr>
                <w:rFonts w:eastAsia="Times New Roman" w:cs="Arial"/>
                <w:sz w:val="20"/>
                <w:szCs w:val="20"/>
                <w:lang w:val="en-AU" w:eastAsia="en-AU"/>
              </w:rPr>
            </w:pPr>
            <w:r w:rsidRPr="007C747A">
              <w:rPr>
                <w:rFonts w:eastAsia="Times New Roman" w:cs="Arial"/>
                <w:color w:val="000000"/>
                <w:kern w:val="24"/>
                <w:sz w:val="20"/>
                <w:szCs w:val="20"/>
                <w:lang w:val="en-AU" w:eastAsia="en-AU"/>
              </w:rPr>
              <w:t>50%</w:t>
            </w:r>
          </w:p>
        </w:tc>
        <w:tc>
          <w:tcPr>
            <w:tcW w:w="992" w:type="dxa"/>
            <w:shd w:val="clear" w:color="auto" w:fill="F0F2ED"/>
          </w:tcPr>
          <w:p w14:paraId="6C98C317" w14:textId="77777777" w:rsidR="003A3945" w:rsidRPr="007C747A" w:rsidRDefault="003A3945" w:rsidP="003A3945">
            <w:pPr>
              <w:spacing w:after="0" w:line="240" w:lineRule="auto"/>
              <w:ind w:left="138"/>
              <w:rPr>
                <w:rFonts w:eastAsia="Times New Roman" w:cs="Arial"/>
                <w:sz w:val="20"/>
                <w:szCs w:val="20"/>
                <w:lang w:val="en-AU" w:eastAsia="en-AU"/>
              </w:rPr>
            </w:pPr>
            <w:r w:rsidRPr="007C747A">
              <w:rPr>
                <w:rFonts w:eastAsia="Times New Roman" w:cs="Arial"/>
                <w:sz w:val="20"/>
                <w:szCs w:val="20"/>
                <w:lang w:val="en-AU" w:eastAsia="en-AU"/>
              </w:rPr>
              <w:t>54.8%</w:t>
            </w:r>
          </w:p>
        </w:tc>
        <w:tc>
          <w:tcPr>
            <w:tcW w:w="1868" w:type="dxa"/>
            <w:shd w:val="clear" w:color="auto" w:fill="F0F2ED"/>
          </w:tcPr>
          <w:p w14:paraId="3B813C72" w14:textId="77777777" w:rsidR="003A3945" w:rsidRPr="007C747A" w:rsidRDefault="003A3945" w:rsidP="003A3945">
            <w:pPr>
              <w:spacing w:after="0" w:line="240" w:lineRule="auto"/>
              <w:ind w:left="29"/>
              <w:rPr>
                <w:rFonts w:eastAsia="Times New Roman" w:cs="Arial"/>
                <w:sz w:val="20"/>
                <w:szCs w:val="20"/>
                <w:lang w:val="en-AU" w:eastAsia="en-AU"/>
              </w:rPr>
            </w:pPr>
            <w:r w:rsidRPr="007C747A">
              <w:rPr>
                <w:rFonts w:eastAsia="Times New Roman" w:cs="Arial"/>
                <w:b/>
                <w:bCs/>
                <w:sz w:val="20"/>
                <w:szCs w:val="20"/>
                <w:lang w:val="en-AU" w:eastAsia="en-AU"/>
              </w:rPr>
              <w:t>Achieved</w:t>
            </w:r>
          </w:p>
        </w:tc>
        <w:tc>
          <w:tcPr>
            <w:tcW w:w="2977" w:type="dxa"/>
            <w:shd w:val="clear" w:color="auto" w:fill="F0F2ED"/>
            <w:tcMar>
              <w:top w:w="72" w:type="dxa"/>
              <w:left w:w="144" w:type="dxa"/>
              <w:bottom w:w="72" w:type="dxa"/>
              <w:right w:w="144" w:type="dxa"/>
            </w:tcMar>
          </w:tcPr>
          <w:p w14:paraId="67F8BB40" w14:textId="72EE296A" w:rsidR="003A3945" w:rsidRPr="007C747A" w:rsidRDefault="003A3945" w:rsidP="003A3945">
            <w:pPr>
              <w:spacing w:after="0" w:line="240" w:lineRule="auto"/>
              <w:ind w:left="29"/>
              <w:rPr>
                <w:rFonts w:eastAsia="DengXian" w:cs="Arial"/>
                <w:sz w:val="20"/>
                <w:szCs w:val="20"/>
                <w:lang w:val="en-AU"/>
              </w:rPr>
            </w:pPr>
            <w:r w:rsidRPr="007C747A">
              <w:rPr>
                <w:rFonts w:eastAsia="DengXian" w:cs="Arial"/>
                <w:sz w:val="20"/>
                <w:szCs w:val="20"/>
                <w:lang w:val="en-AU"/>
              </w:rPr>
              <w:t>Sourced from the annual APS Census survey</w:t>
            </w:r>
            <w:r w:rsidR="00FA5E9D" w:rsidRPr="007C747A">
              <w:rPr>
                <w:rFonts w:eastAsia="DengXian" w:cs="Arial"/>
                <w:sz w:val="20"/>
                <w:szCs w:val="20"/>
                <w:lang w:val="en-AU"/>
              </w:rPr>
              <w:t>.</w:t>
            </w:r>
          </w:p>
        </w:tc>
      </w:tr>
    </w:tbl>
    <w:p w14:paraId="7B6D67DE" w14:textId="77777777" w:rsidR="00EB3F0F" w:rsidRPr="007C747A" w:rsidRDefault="00EB3F0F" w:rsidP="00B92072">
      <w:pPr>
        <w:pStyle w:val="FGCHEADING4"/>
        <w:rPr>
          <w:lang w:val="en-AU"/>
        </w:rPr>
      </w:pPr>
      <w:bookmarkStart w:id="99" w:name="_Toc142573701"/>
      <w:r w:rsidRPr="007C747A">
        <w:rPr>
          <w:lang w:val="en-AU"/>
        </w:rPr>
        <w:t>Analysis of performance</w:t>
      </w:r>
      <w:bookmarkEnd w:id="99"/>
    </w:p>
    <w:p w14:paraId="4C8AB647" w14:textId="7A9B3671" w:rsidR="00EF0427" w:rsidRPr="007C747A" w:rsidRDefault="00EF0427" w:rsidP="00EF0427">
      <w:pPr>
        <w:spacing w:line="240" w:lineRule="auto"/>
        <w:rPr>
          <w:sz w:val="22"/>
          <w:szCs w:val="22"/>
          <w:lang w:val="en-AU"/>
        </w:rPr>
      </w:pPr>
      <w:r w:rsidRPr="007C747A">
        <w:rPr>
          <w:sz w:val="22"/>
          <w:szCs w:val="22"/>
          <w:lang w:val="en-AU"/>
        </w:rPr>
        <w:t>The Agency delivers the NDIS as a key part of an ecosystem of supports that Australians with disability rely on. The Agency supports a safe environment for participants</w:t>
      </w:r>
      <w:r w:rsidR="00950EF7" w:rsidRPr="007C747A">
        <w:rPr>
          <w:sz w:val="22"/>
          <w:szCs w:val="22"/>
          <w:lang w:val="en-AU"/>
        </w:rPr>
        <w:t>, working</w:t>
      </w:r>
      <w:r w:rsidRPr="007C747A">
        <w:rPr>
          <w:sz w:val="22"/>
          <w:szCs w:val="22"/>
          <w:lang w:val="en-AU"/>
        </w:rPr>
        <w:t xml:space="preserve"> with the NDIS </w:t>
      </w:r>
      <w:r w:rsidR="00227EC0" w:rsidRPr="007C747A">
        <w:rPr>
          <w:sz w:val="22"/>
          <w:szCs w:val="22"/>
          <w:lang w:val="en-AU"/>
        </w:rPr>
        <w:t xml:space="preserve">Quality and Safeguards </w:t>
      </w:r>
      <w:r w:rsidRPr="007C747A">
        <w:rPr>
          <w:sz w:val="22"/>
          <w:szCs w:val="22"/>
          <w:lang w:val="en-AU"/>
        </w:rPr>
        <w:t>Commission</w:t>
      </w:r>
      <w:r w:rsidR="00227EC0" w:rsidRPr="007C747A">
        <w:rPr>
          <w:sz w:val="22"/>
          <w:szCs w:val="22"/>
          <w:lang w:val="en-AU"/>
        </w:rPr>
        <w:t xml:space="preserve"> (NDIS Commission)</w:t>
      </w:r>
      <w:r w:rsidRPr="007C747A">
        <w:rPr>
          <w:sz w:val="22"/>
          <w:szCs w:val="22"/>
          <w:lang w:val="en-AU"/>
        </w:rPr>
        <w:t xml:space="preserve">, </w:t>
      </w:r>
      <w:r w:rsidR="00950EF7" w:rsidRPr="007C747A">
        <w:rPr>
          <w:sz w:val="22"/>
          <w:szCs w:val="22"/>
          <w:lang w:val="en-AU"/>
        </w:rPr>
        <w:t xml:space="preserve">the </w:t>
      </w:r>
      <w:r w:rsidRPr="007C747A">
        <w:rPr>
          <w:sz w:val="22"/>
          <w:szCs w:val="22"/>
          <w:lang w:val="en-AU"/>
        </w:rPr>
        <w:t>Department of Social Services</w:t>
      </w:r>
      <w:r w:rsidR="003E3956" w:rsidRPr="007C747A">
        <w:rPr>
          <w:sz w:val="22"/>
          <w:szCs w:val="22"/>
          <w:lang w:val="en-AU"/>
        </w:rPr>
        <w:t xml:space="preserve"> (DSS)</w:t>
      </w:r>
      <w:r w:rsidRPr="007C747A">
        <w:rPr>
          <w:sz w:val="22"/>
          <w:szCs w:val="22"/>
          <w:lang w:val="en-AU"/>
        </w:rPr>
        <w:t>, all levels of government, participants, staff</w:t>
      </w:r>
      <w:r w:rsidR="00950EF7" w:rsidRPr="007C747A">
        <w:rPr>
          <w:sz w:val="22"/>
          <w:szCs w:val="22"/>
          <w:lang w:val="en-AU"/>
        </w:rPr>
        <w:t xml:space="preserve">, </w:t>
      </w:r>
      <w:r w:rsidRPr="007C747A">
        <w:rPr>
          <w:sz w:val="22"/>
          <w:szCs w:val="22"/>
          <w:lang w:val="en-AU"/>
        </w:rPr>
        <w:t xml:space="preserve">partners and </w:t>
      </w:r>
      <w:r w:rsidR="00950EF7" w:rsidRPr="007C747A">
        <w:rPr>
          <w:sz w:val="22"/>
          <w:szCs w:val="22"/>
          <w:lang w:val="en-AU"/>
        </w:rPr>
        <w:t xml:space="preserve">the </w:t>
      </w:r>
      <w:r w:rsidRPr="007C747A">
        <w:rPr>
          <w:sz w:val="22"/>
          <w:szCs w:val="22"/>
          <w:lang w:val="en-AU"/>
        </w:rPr>
        <w:t>stakeholder sector. Our engagement and work across the disability sector continues to support participants to achieve their goals.</w:t>
      </w:r>
    </w:p>
    <w:p w14:paraId="007FA90C" w14:textId="448613DC" w:rsidR="00EF0427" w:rsidRPr="007C747A" w:rsidRDefault="00EF0427" w:rsidP="00EF0427">
      <w:pPr>
        <w:spacing w:line="240" w:lineRule="auto"/>
        <w:rPr>
          <w:sz w:val="22"/>
          <w:szCs w:val="22"/>
          <w:lang w:val="en-AU"/>
        </w:rPr>
      </w:pPr>
      <w:r w:rsidRPr="007C747A">
        <w:rPr>
          <w:sz w:val="22"/>
          <w:szCs w:val="22"/>
          <w:lang w:val="en-AU"/>
        </w:rPr>
        <w:t>During the reporting period the Agency supported participants to develop their plans and include goals for independence</w:t>
      </w:r>
      <w:r w:rsidR="00950EF7" w:rsidRPr="007C747A">
        <w:rPr>
          <w:sz w:val="22"/>
          <w:szCs w:val="22"/>
          <w:lang w:val="en-AU"/>
        </w:rPr>
        <w:t xml:space="preserve"> and for</w:t>
      </w:r>
      <w:r w:rsidRPr="007C747A">
        <w:rPr>
          <w:sz w:val="22"/>
          <w:szCs w:val="22"/>
          <w:lang w:val="en-AU"/>
        </w:rPr>
        <w:t xml:space="preserve"> social and economic participation. The Agency Quarterly Reports provide details on the progress of the Participant Service Improvement Plan. Typically the Agency has met 55</w:t>
      </w:r>
      <w:r w:rsidR="00950EF7" w:rsidRPr="007C747A">
        <w:rPr>
          <w:sz w:val="22"/>
          <w:szCs w:val="22"/>
          <w:lang w:val="en-AU"/>
        </w:rPr>
        <w:t xml:space="preserve">% to </w:t>
      </w:r>
      <w:r w:rsidRPr="007C747A">
        <w:rPr>
          <w:sz w:val="22"/>
          <w:szCs w:val="22"/>
          <w:lang w:val="en-AU"/>
        </w:rPr>
        <w:t xml:space="preserve">75% of the Participant Service Guarantee timeframes on a month-to-month basis. Participants have had choice and control to implement their plan with support from the Agency, </w:t>
      </w:r>
      <w:r w:rsidR="00230B72" w:rsidRPr="007C747A">
        <w:rPr>
          <w:sz w:val="22"/>
          <w:szCs w:val="22"/>
          <w:lang w:val="en-AU"/>
        </w:rPr>
        <w:t>l</w:t>
      </w:r>
      <w:r w:rsidRPr="007C747A">
        <w:rPr>
          <w:sz w:val="22"/>
          <w:szCs w:val="22"/>
          <w:lang w:val="en-AU"/>
        </w:rPr>
        <w:t xml:space="preserve">ocal </w:t>
      </w:r>
      <w:r w:rsidR="00230B72" w:rsidRPr="007C747A">
        <w:rPr>
          <w:sz w:val="22"/>
          <w:szCs w:val="22"/>
          <w:lang w:val="en-AU"/>
        </w:rPr>
        <w:t>a</w:t>
      </w:r>
      <w:r w:rsidRPr="007C747A">
        <w:rPr>
          <w:sz w:val="22"/>
          <w:szCs w:val="22"/>
          <w:lang w:val="en-AU"/>
        </w:rPr>
        <w:t xml:space="preserve">rea </w:t>
      </w:r>
      <w:r w:rsidR="00230B72" w:rsidRPr="007C747A">
        <w:rPr>
          <w:sz w:val="22"/>
          <w:szCs w:val="22"/>
          <w:lang w:val="en-AU"/>
        </w:rPr>
        <w:t>c</w:t>
      </w:r>
      <w:r w:rsidRPr="007C747A">
        <w:rPr>
          <w:sz w:val="22"/>
          <w:szCs w:val="22"/>
          <w:lang w:val="en-AU"/>
        </w:rPr>
        <w:t>oordinat</w:t>
      </w:r>
      <w:r w:rsidR="00230B72" w:rsidRPr="007C747A">
        <w:rPr>
          <w:sz w:val="22"/>
          <w:szCs w:val="22"/>
          <w:lang w:val="en-AU"/>
        </w:rPr>
        <w:t>ion partners</w:t>
      </w:r>
      <w:r w:rsidR="00950EF7" w:rsidRPr="007C747A">
        <w:rPr>
          <w:sz w:val="22"/>
          <w:szCs w:val="22"/>
          <w:lang w:val="en-AU"/>
        </w:rPr>
        <w:t>,</w:t>
      </w:r>
      <w:r w:rsidRPr="007C747A">
        <w:rPr>
          <w:sz w:val="22"/>
          <w:szCs w:val="22"/>
          <w:lang w:val="en-AU"/>
        </w:rPr>
        <w:t xml:space="preserve"> and implementation supports built into their plans. </w:t>
      </w:r>
    </w:p>
    <w:p w14:paraId="3C84F060" w14:textId="29F9BC84" w:rsidR="00EF0427" w:rsidRPr="007C747A" w:rsidRDefault="00EF0427" w:rsidP="00EF0427">
      <w:pPr>
        <w:spacing w:line="240" w:lineRule="auto"/>
        <w:rPr>
          <w:sz w:val="22"/>
          <w:szCs w:val="22"/>
          <w:lang w:val="en-AU"/>
        </w:rPr>
      </w:pPr>
      <w:r w:rsidRPr="007C747A">
        <w:rPr>
          <w:sz w:val="22"/>
          <w:szCs w:val="22"/>
          <w:lang w:val="en-AU"/>
        </w:rPr>
        <w:t xml:space="preserve">The Agency has observed that </w:t>
      </w:r>
      <w:r w:rsidR="00950EF7" w:rsidRPr="007C747A">
        <w:rPr>
          <w:sz w:val="22"/>
          <w:szCs w:val="22"/>
          <w:lang w:val="en-AU"/>
        </w:rPr>
        <w:t>p</w:t>
      </w:r>
      <w:r w:rsidRPr="007C747A">
        <w:rPr>
          <w:sz w:val="22"/>
          <w:szCs w:val="22"/>
          <w:lang w:val="en-AU"/>
        </w:rPr>
        <w:t xml:space="preserve">articipants are reporting greater independence </w:t>
      </w:r>
      <w:r w:rsidR="00950EF7" w:rsidRPr="007C747A">
        <w:rPr>
          <w:sz w:val="22"/>
          <w:szCs w:val="22"/>
          <w:lang w:val="en-AU"/>
        </w:rPr>
        <w:t xml:space="preserve">in </w:t>
      </w:r>
      <w:r w:rsidRPr="007C747A">
        <w:rPr>
          <w:sz w:val="22"/>
          <w:szCs w:val="22"/>
          <w:lang w:val="en-AU"/>
        </w:rPr>
        <w:t xml:space="preserve">their NDIS experience, requiring less assistance to navigate and understand the NDIS systems and processes. Participants are becoming more open to making choices about supports and providers that offer services different to </w:t>
      </w:r>
      <w:r w:rsidR="00950EF7" w:rsidRPr="007C747A">
        <w:rPr>
          <w:sz w:val="22"/>
          <w:szCs w:val="22"/>
          <w:lang w:val="en-AU"/>
        </w:rPr>
        <w:t>those</w:t>
      </w:r>
      <w:r w:rsidRPr="007C747A">
        <w:rPr>
          <w:sz w:val="22"/>
          <w:szCs w:val="22"/>
          <w:lang w:val="en-AU"/>
        </w:rPr>
        <w:t xml:space="preserve"> traditionally provided under previous disability systems.</w:t>
      </w:r>
    </w:p>
    <w:p w14:paraId="53066380" w14:textId="3A26F4C5" w:rsidR="00EF0427" w:rsidRPr="007C747A" w:rsidRDefault="00EF0427" w:rsidP="00EF0427">
      <w:pPr>
        <w:spacing w:line="240" w:lineRule="auto"/>
        <w:rPr>
          <w:sz w:val="22"/>
          <w:szCs w:val="22"/>
          <w:lang w:val="en-AU"/>
        </w:rPr>
      </w:pPr>
      <w:r w:rsidRPr="007C747A">
        <w:rPr>
          <w:sz w:val="22"/>
          <w:szCs w:val="22"/>
          <w:lang w:val="en-AU"/>
        </w:rPr>
        <w:t xml:space="preserve">The Agency has observed </w:t>
      </w:r>
      <w:r w:rsidR="00950EF7" w:rsidRPr="007C747A">
        <w:rPr>
          <w:sz w:val="22"/>
          <w:szCs w:val="22"/>
          <w:lang w:val="en-AU"/>
        </w:rPr>
        <w:t xml:space="preserve">that </w:t>
      </w:r>
      <w:r w:rsidRPr="007C747A">
        <w:rPr>
          <w:sz w:val="22"/>
          <w:szCs w:val="22"/>
          <w:lang w:val="en-AU"/>
        </w:rPr>
        <w:t>participants</w:t>
      </w:r>
      <w:r w:rsidR="00950EF7" w:rsidRPr="007C747A">
        <w:rPr>
          <w:sz w:val="22"/>
          <w:szCs w:val="22"/>
          <w:lang w:val="en-AU"/>
        </w:rPr>
        <w:t>’</w:t>
      </w:r>
      <w:r w:rsidRPr="007C747A">
        <w:rPr>
          <w:sz w:val="22"/>
          <w:szCs w:val="22"/>
          <w:lang w:val="en-AU"/>
        </w:rPr>
        <w:t xml:space="preserve"> social participation patterns have been affected by actions addressing the </w:t>
      </w:r>
      <w:r w:rsidR="00950EF7" w:rsidRPr="007C747A">
        <w:rPr>
          <w:sz w:val="22"/>
          <w:szCs w:val="22"/>
          <w:lang w:val="en-AU"/>
        </w:rPr>
        <w:t>COVID</w:t>
      </w:r>
      <w:r w:rsidRPr="007C747A">
        <w:rPr>
          <w:sz w:val="22"/>
          <w:szCs w:val="22"/>
          <w:lang w:val="en-AU"/>
        </w:rPr>
        <w:t xml:space="preserve">-19 pandemic </w:t>
      </w:r>
      <w:r w:rsidR="00950EF7" w:rsidRPr="007C747A">
        <w:rPr>
          <w:sz w:val="22"/>
          <w:szCs w:val="22"/>
          <w:lang w:val="en-AU"/>
        </w:rPr>
        <w:t xml:space="preserve">from </w:t>
      </w:r>
      <w:r w:rsidRPr="007C747A">
        <w:rPr>
          <w:sz w:val="22"/>
          <w:szCs w:val="22"/>
          <w:lang w:val="en-AU"/>
        </w:rPr>
        <w:t>2019</w:t>
      </w:r>
      <w:r w:rsidR="00950EF7" w:rsidRPr="007C747A">
        <w:rPr>
          <w:sz w:val="22"/>
          <w:szCs w:val="22"/>
          <w:lang w:val="en-AU"/>
        </w:rPr>
        <w:t xml:space="preserve"> to </w:t>
      </w:r>
      <w:r w:rsidRPr="007C747A">
        <w:rPr>
          <w:sz w:val="22"/>
          <w:szCs w:val="22"/>
          <w:lang w:val="en-AU"/>
        </w:rPr>
        <w:t xml:space="preserve">2022. During the pandemic </w:t>
      </w:r>
      <w:r w:rsidR="005908D1" w:rsidRPr="007C747A">
        <w:rPr>
          <w:sz w:val="22"/>
          <w:szCs w:val="22"/>
          <w:lang w:val="en-AU"/>
        </w:rPr>
        <w:t>period,</w:t>
      </w:r>
      <w:r w:rsidRPr="007C747A">
        <w:rPr>
          <w:sz w:val="22"/>
          <w:szCs w:val="22"/>
          <w:lang w:val="en-AU"/>
        </w:rPr>
        <w:t xml:space="preserve"> many participants who traditionally accessed day programs were only able to access their community in a limited way. Post-pandemic, many participants are choosing not to return to full</w:t>
      </w:r>
      <w:r w:rsidR="00950EF7" w:rsidRPr="007C747A">
        <w:rPr>
          <w:sz w:val="22"/>
          <w:szCs w:val="22"/>
          <w:lang w:val="en-AU"/>
        </w:rPr>
        <w:t>-</w:t>
      </w:r>
      <w:r w:rsidRPr="007C747A">
        <w:rPr>
          <w:sz w:val="22"/>
          <w:szCs w:val="22"/>
          <w:lang w:val="en-AU"/>
        </w:rPr>
        <w:t>time day programs, instead choosing to be out in the community for one or more days a week.</w:t>
      </w:r>
    </w:p>
    <w:p w14:paraId="3723F586" w14:textId="216E8E99" w:rsidR="00EF0427" w:rsidRPr="007C747A" w:rsidRDefault="00EF0427" w:rsidP="00EF0427">
      <w:pPr>
        <w:spacing w:line="240" w:lineRule="auto"/>
        <w:rPr>
          <w:sz w:val="22"/>
          <w:szCs w:val="22"/>
          <w:lang w:val="en-AU"/>
        </w:rPr>
      </w:pPr>
      <w:r w:rsidRPr="007C747A">
        <w:rPr>
          <w:sz w:val="22"/>
          <w:szCs w:val="22"/>
          <w:lang w:val="en-AU"/>
        </w:rPr>
        <w:t xml:space="preserve">The Agency acknowledges the importance of families and carers and the role they play in the lives of </w:t>
      </w:r>
      <w:r w:rsidR="00950EF7" w:rsidRPr="007C747A">
        <w:rPr>
          <w:sz w:val="22"/>
          <w:szCs w:val="22"/>
          <w:lang w:val="en-AU"/>
        </w:rPr>
        <w:t>p</w:t>
      </w:r>
      <w:r w:rsidRPr="007C747A">
        <w:rPr>
          <w:sz w:val="22"/>
          <w:szCs w:val="22"/>
          <w:lang w:val="en-AU"/>
        </w:rPr>
        <w:t xml:space="preserve">articipants for informal supports. While </w:t>
      </w:r>
      <w:r w:rsidR="00DF693F" w:rsidRPr="007C747A">
        <w:rPr>
          <w:sz w:val="22"/>
          <w:szCs w:val="22"/>
          <w:lang w:val="en-AU"/>
        </w:rPr>
        <w:t xml:space="preserve">the result for family and carer employment </w:t>
      </w:r>
      <w:r w:rsidRPr="007C747A">
        <w:rPr>
          <w:sz w:val="22"/>
          <w:szCs w:val="22"/>
          <w:lang w:val="en-AU"/>
        </w:rPr>
        <w:t xml:space="preserve">is stable, </w:t>
      </w:r>
      <w:r w:rsidR="00DF693F" w:rsidRPr="007C747A">
        <w:rPr>
          <w:sz w:val="22"/>
          <w:szCs w:val="22"/>
          <w:lang w:val="en-AU"/>
        </w:rPr>
        <w:t xml:space="preserve">this measure is impacted by </w:t>
      </w:r>
      <w:r w:rsidRPr="007C747A">
        <w:rPr>
          <w:sz w:val="22"/>
          <w:szCs w:val="22"/>
          <w:lang w:val="en-AU"/>
        </w:rPr>
        <w:t>many variables outside of the Agency’s direct action. The Agency is aware that local employment conditions in regional areas have an impact on work options regardless of NDIS</w:t>
      </w:r>
      <w:r w:rsidR="00DF693F" w:rsidRPr="007C747A">
        <w:rPr>
          <w:sz w:val="22"/>
          <w:szCs w:val="22"/>
          <w:lang w:val="en-AU"/>
        </w:rPr>
        <w:t>-</w:t>
      </w:r>
      <w:r w:rsidRPr="007C747A">
        <w:rPr>
          <w:sz w:val="22"/>
          <w:szCs w:val="22"/>
          <w:lang w:val="en-AU"/>
        </w:rPr>
        <w:t>funded supports for participants they care for and</w:t>
      </w:r>
      <w:r w:rsidR="00C02E16" w:rsidRPr="007C747A">
        <w:rPr>
          <w:sz w:val="22"/>
          <w:szCs w:val="22"/>
          <w:lang w:val="en-AU"/>
        </w:rPr>
        <w:t xml:space="preserve"> that</w:t>
      </w:r>
      <w:r w:rsidRPr="007C747A">
        <w:rPr>
          <w:sz w:val="22"/>
          <w:szCs w:val="22"/>
          <w:lang w:val="en-AU"/>
        </w:rPr>
        <w:t xml:space="preserve"> the</w:t>
      </w:r>
      <w:r w:rsidR="00C02E16" w:rsidRPr="007C747A">
        <w:rPr>
          <w:sz w:val="22"/>
          <w:szCs w:val="22"/>
          <w:lang w:val="en-AU"/>
        </w:rPr>
        <w:t xml:space="preserve"> cost and lack of</w:t>
      </w:r>
      <w:r w:rsidRPr="007C747A">
        <w:rPr>
          <w:sz w:val="22"/>
          <w:szCs w:val="22"/>
          <w:lang w:val="en-AU"/>
        </w:rPr>
        <w:t xml:space="preserve"> availability of </w:t>
      </w:r>
      <w:r w:rsidR="005251B4" w:rsidRPr="007C747A">
        <w:rPr>
          <w:sz w:val="22"/>
          <w:szCs w:val="22"/>
          <w:lang w:val="en-AU"/>
        </w:rPr>
        <w:t>childcare</w:t>
      </w:r>
      <w:r w:rsidRPr="007C747A">
        <w:rPr>
          <w:sz w:val="22"/>
          <w:szCs w:val="22"/>
          <w:lang w:val="en-AU"/>
        </w:rPr>
        <w:t xml:space="preserve"> requir</w:t>
      </w:r>
      <w:r w:rsidR="00C02E16" w:rsidRPr="007C747A">
        <w:rPr>
          <w:sz w:val="22"/>
          <w:szCs w:val="22"/>
          <w:lang w:val="en-AU"/>
        </w:rPr>
        <w:t>e some</w:t>
      </w:r>
      <w:r w:rsidRPr="007C747A">
        <w:rPr>
          <w:sz w:val="22"/>
          <w:szCs w:val="22"/>
          <w:lang w:val="en-AU"/>
        </w:rPr>
        <w:t xml:space="preserve"> famil</w:t>
      </w:r>
      <w:r w:rsidR="00C02E16" w:rsidRPr="007C747A">
        <w:rPr>
          <w:sz w:val="22"/>
          <w:szCs w:val="22"/>
          <w:lang w:val="en-AU"/>
        </w:rPr>
        <w:t>y members</w:t>
      </w:r>
      <w:r w:rsidRPr="007C747A">
        <w:rPr>
          <w:sz w:val="22"/>
          <w:szCs w:val="22"/>
          <w:lang w:val="en-AU"/>
        </w:rPr>
        <w:t xml:space="preserve"> to stay at home to look after children.</w:t>
      </w:r>
    </w:p>
    <w:p w14:paraId="798EEF37" w14:textId="4F3D2CDA" w:rsidR="00EF0427" w:rsidRPr="007C747A" w:rsidRDefault="00EF0427" w:rsidP="00EF0427">
      <w:pPr>
        <w:spacing w:line="240" w:lineRule="auto"/>
        <w:rPr>
          <w:sz w:val="22"/>
          <w:szCs w:val="22"/>
          <w:lang w:val="en-AU"/>
        </w:rPr>
      </w:pPr>
      <w:r w:rsidRPr="007C747A">
        <w:rPr>
          <w:sz w:val="22"/>
          <w:szCs w:val="22"/>
          <w:lang w:val="en-AU"/>
        </w:rPr>
        <w:t xml:space="preserve">The Agency has embedded the NDIA </w:t>
      </w:r>
      <w:r w:rsidR="00E9361D" w:rsidRPr="007C747A">
        <w:rPr>
          <w:sz w:val="22"/>
          <w:szCs w:val="22"/>
          <w:lang w:val="en-AU"/>
        </w:rPr>
        <w:t>P</w:t>
      </w:r>
      <w:r w:rsidRPr="007C747A">
        <w:rPr>
          <w:sz w:val="22"/>
          <w:szCs w:val="22"/>
          <w:lang w:val="en-AU"/>
        </w:rPr>
        <w:t xml:space="preserve">eople </w:t>
      </w:r>
      <w:r w:rsidR="00E9361D" w:rsidRPr="007C747A">
        <w:rPr>
          <w:sz w:val="22"/>
          <w:szCs w:val="22"/>
          <w:lang w:val="en-AU"/>
        </w:rPr>
        <w:t>S</w:t>
      </w:r>
      <w:r w:rsidRPr="007C747A">
        <w:rPr>
          <w:sz w:val="22"/>
          <w:szCs w:val="22"/>
          <w:lang w:val="en-AU"/>
        </w:rPr>
        <w:t xml:space="preserve">trategy and Diversity and Inclusion </w:t>
      </w:r>
      <w:r w:rsidR="00C02E16" w:rsidRPr="007C747A">
        <w:rPr>
          <w:sz w:val="22"/>
          <w:szCs w:val="22"/>
          <w:lang w:val="en-AU"/>
        </w:rPr>
        <w:t>F</w:t>
      </w:r>
      <w:r w:rsidRPr="007C747A">
        <w:rPr>
          <w:sz w:val="22"/>
          <w:szCs w:val="22"/>
          <w:lang w:val="en-AU"/>
        </w:rPr>
        <w:t xml:space="preserve">ramework as part of its activities under Aspiration 4 – </w:t>
      </w:r>
      <w:r w:rsidR="00ED78AF" w:rsidRPr="007C747A">
        <w:rPr>
          <w:sz w:val="22"/>
          <w:szCs w:val="22"/>
          <w:lang w:val="en-AU"/>
        </w:rPr>
        <w:t>high</w:t>
      </w:r>
      <w:r w:rsidR="004F3053" w:rsidRPr="007C747A">
        <w:rPr>
          <w:sz w:val="22"/>
          <w:szCs w:val="22"/>
          <w:lang w:val="en-AU"/>
        </w:rPr>
        <w:t>-</w:t>
      </w:r>
      <w:r w:rsidRPr="007C747A">
        <w:rPr>
          <w:sz w:val="22"/>
          <w:szCs w:val="22"/>
          <w:lang w:val="en-AU"/>
        </w:rPr>
        <w:t>performing NDIA. These efforts ensure our staff reflect the</w:t>
      </w:r>
      <w:r w:rsidR="00C02E16" w:rsidRPr="007C747A">
        <w:rPr>
          <w:sz w:val="22"/>
          <w:szCs w:val="22"/>
          <w:lang w:val="en-AU"/>
        </w:rPr>
        <w:t xml:space="preserve"> diversity of the</w:t>
      </w:r>
      <w:r w:rsidRPr="007C747A">
        <w:rPr>
          <w:sz w:val="22"/>
          <w:szCs w:val="22"/>
          <w:lang w:val="en-AU"/>
        </w:rPr>
        <w:t xml:space="preserve"> Australian public</w:t>
      </w:r>
      <w:r w:rsidR="00C02E16" w:rsidRPr="007C747A">
        <w:rPr>
          <w:sz w:val="22"/>
          <w:szCs w:val="22"/>
          <w:lang w:val="en-AU"/>
        </w:rPr>
        <w:t xml:space="preserve"> and are able</w:t>
      </w:r>
      <w:r w:rsidRPr="007C747A">
        <w:rPr>
          <w:sz w:val="22"/>
          <w:szCs w:val="22"/>
          <w:lang w:val="en-AU"/>
        </w:rPr>
        <w:t xml:space="preserve"> to support participants through the NDIS journey.</w:t>
      </w:r>
    </w:p>
    <w:p w14:paraId="2AB9F87D" w14:textId="6EC3A84D" w:rsidR="00013E5C" w:rsidRPr="007C747A" w:rsidRDefault="00013E5C" w:rsidP="00E16CFA">
      <w:pPr>
        <w:pStyle w:val="FGCNORMAL"/>
        <w:spacing w:line="240" w:lineRule="auto"/>
        <w:rPr>
          <w:b/>
        </w:rPr>
      </w:pPr>
    </w:p>
    <w:p w14:paraId="4A1E0382" w14:textId="77777777" w:rsidR="00EB3F0F" w:rsidRPr="007C747A" w:rsidRDefault="00EB3F0F" w:rsidP="005820C1">
      <w:pPr>
        <w:pStyle w:val="FGCHEADING3"/>
        <w:numPr>
          <w:ilvl w:val="0"/>
          <w:numId w:val="0"/>
        </w:numPr>
      </w:pPr>
      <w:bookmarkStart w:id="100" w:name="_Toc142573702"/>
      <w:bookmarkStart w:id="101" w:name="_Toc146289437"/>
      <w:r w:rsidRPr="007C747A">
        <w:t>Aspiration 2 – A competitive market with innovative supports</w:t>
      </w:r>
      <w:bookmarkEnd w:id="100"/>
      <w:bookmarkEnd w:id="101"/>
    </w:p>
    <w:p w14:paraId="66786421" w14:textId="239391AA" w:rsidR="00C64795" w:rsidRPr="007C747A" w:rsidRDefault="00C64795" w:rsidP="005820C1">
      <w:pPr>
        <w:rPr>
          <w:sz w:val="22"/>
          <w:szCs w:val="22"/>
          <w:lang w:val="en-AU"/>
        </w:rPr>
      </w:pPr>
      <w:r w:rsidRPr="007C747A">
        <w:rPr>
          <w:sz w:val="22"/>
          <w:szCs w:val="22"/>
          <w:lang w:val="en-AU"/>
        </w:rPr>
        <w:t>The Agency’s initiatives supported working with participants and other stakeholders to enable the growth of a market of adequate size, quality and innovation.</w:t>
      </w:r>
    </w:p>
    <w:p w14:paraId="133A69C7" w14:textId="2C395B85" w:rsidR="00013C0F" w:rsidRPr="007C747A" w:rsidRDefault="00EB3F0F" w:rsidP="00D54875">
      <w:pPr>
        <w:pStyle w:val="Heading43"/>
        <w:ind w:left="0"/>
        <w:outlineLvl w:val="3"/>
        <w:rPr>
          <w:rFonts w:asciiTheme="minorHAnsi" w:hAnsiTheme="minorHAnsi" w:cstheme="minorHAnsi"/>
        </w:rPr>
      </w:pPr>
      <w:r w:rsidRPr="007C747A">
        <w:rPr>
          <w:rFonts w:eastAsiaTheme="majorEastAsia" w:cstheme="majorBidi"/>
        </w:rPr>
        <w:t>Table 2.2B</w:t>
      </w:r>
      <w:r w:rsidR="00BF0550" w:rsidRPr="007C747A">
        <w:rPr>
          <w:rFonts w:eastAsiaTheme="majorEastAsia" w:cstheme="majorBidi"/>
        </w:rPr>
        <w:t>:</w:t>
      </w:r>
      <w:r w:rsidRPr="007C747A">
        <w:rPr>
          <w:rFonts w:eastAsiaTheme="majorEastAsia" w:cstheme="majorBidi"/>
        </w:rPr>
        <w:t xml:space="preserve"> </w:t>
      </w:r>
      <w:r w:rsidR="00EC5327" w:rsidRPr="007C747A">
        <w:rPr>
          <w:rFonts w:eastAsiaTheme="majorEastAsia" w:cstheme="majorBidi"/>
        </w:rPr>
        <w:t xml:space="preserve">Aspiration 2 – </w:t>
      </w:r>
      <w:r w:rsidR="00EC5327" w:rsidRPr="007C747A">
        <w:t>p</w:t>
      </w:r>
      <w:r w:rsidR="00013C0F" w:rsidRPr="007C747A">
        <w:t xml:space="preserve">erformance </w:t>
      </w:r>
      <w:r w:rsidR="000B5F5C" w:rsidRPr="007C747A">
        <w:t>t</w:t>
      </w:r>
      <w:r w:rsidR="00013C0F" w:rsidRPr="007C747A">
        <w:t>argets</w:t>
      </w:r>
      <w:r w:rsidR="00EC5327" w:rsidRPr="007C747A">
        <w:t>,</w:t>
      </w:r>
      <w:r w:rsidR="00013C0F" w:rsidRPr="007C747A">
        <w:t xml:space="preserve"> </w:t>
      </w:r>
      <w:r w:rsidR="000B5F5C" w:rsidRPr="007C747A">
        <w:t>measures</w:t>
      </w:r>
      <w:r w:rsidR="00013C0F" w:rsidRPr="007C747A">
        <w:t xml:space="preserve"> </w:t>
      </w:r>
      <w:r w:rsidR="002C1230" w:rsidRPr="007C747A">
        <w:t xml:space="preserve">and </w:t>
      </w:r>
      <w:r w:rsidR="000B5F5C" w:rsidRPr="007C747A">
        <w:t>functions</w:t>
      </w:r>
    </w:p>
    <w:tbl>
      <w:tblPr>
        <w:tblW w:w="100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0" w:type="dxa"/>
        </w:tblCellMar>
        <w:tblLook w:val="0420" w:firstRow="1" w:lastRow="0" w:firstColumn="0" w:lastColumn="0" w:noHBand="0" w:noVBand="1"/>
      </w:tblPr>
      <w:tblGrid>
        <w:gridCol w:w="3109"/>
        <w:gridCol w:w="1134"/>
        <w:gridCol w:w="992"/>
        <w:gridCol w:w="1843"/>
        <w:gridCol w:w="2977"/>
      </w:tblGrid>
      <w:tr w:rsidR="00653914" w:rsidRPr="007C747A" w14:paraId="2A9F2242" w14:textId="77777777" w:rsidTr="00784C1B">
        <w:trPr>
          <w:trHeight w:val="506"/>
        </w:trPr>
        <w:tc>
          <w:tcPr>
            <w:tcW w:w="3109" w:type="dxa"/>
            <w:shd w:val="clear" w:color="auto" w:fill="FDDCC6"/>
            <w:tcMar>
              <w:top w:w="72" w:type="dxa"/>
              <w:left w:w="144" w:type="dxa"/>
              <w:bottom w:w="72" w:type="dxa"/>
              <w:right w:w="144" w:type="dxa"/>
            </w:tcMar>
            <w:hideMark/>
          </w:tcPr>
          <w:p w14:paraId="4D26F4CE" w14:textId="2F78D9DB" w:rsidR="00653914" w:rsidRPr="007C747A" w:rsidRDefault="00653914" w:rsidP="00653914">
            <w:pPr>
              <w:spacing w:before="120" w:after="0" w:line="240" w:lineRule="auto"/>
              <w:ind w:left="136"/>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 xml:space="preserve">Performance </w:t>
            </w:r>
            <w:r w:rsidR="00C02E16" w:rsidRPr="007C747A">
              <w:rPr>
                <w:rFonts w:eastAsia="Times New Roman" w:cs="Arial"/>
                <w:b/>
                <w:bCs/>
                <w:kern w:val="24"/>
                <w:sz w:val="20"/>
                <w:szCs w:val="20"/>
                <w:lang w:val="en-AU" w:eastAsia="en-AU"/>
              </w:rPr>
              <w:t>m</w:t>
            </w:r>
            <w:r w:rsidRPr="007C747A">
              <w:rPr>
                <w:rFonts w:eastAsia="Times New Roman" w:cs="Arial"/>
                <w:b/>
                <w:bCs/>
                <w:kern w:val="24"/>
                <w:sz w:val="20"/>
                <w:szCs w:val="20"/>
                <w:lang w:val="en-AU" w:eastAsia="en-AU"/>
              </w:rPr>
              <w:t>easure</w:t>
            </w:r>
          </w:p>
        </w:tc>
        <w:tc>
          <w:tcPr>
            <w:tcW w:w="1134" w:type="dxa"/>
            <w:shd w:val="clear" w:color="auto" w:fill="FDDCC6"/>
            <w:tcMar>
              <w:top w:w="72" w:type="dxa"/>
              <w:left w:w="144" w:type="dxa"/>
              <w:bottom w:w="72" w:type="dxa"/>
              <w:right w:w="144" w:type="dxa"/>
            </w:tcMar>
            <w:hideMark/>
          </w:tcPr>
          <w:p w14:paraId="6A8A71A7" w14:textId="234CE759" w:rsidR="00653914" w:rsidRPr="007C747A" w:rsidRDefault="00653914" w:rsidP="00653914">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C02E16"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C02E16" w:rsidRPr="007C747A">
              <w:rPr>
                <w:rFonts w:eastAsia="Times New Roman" w:cs="Arial"/>
                <w:b/>
                <w:bCs/>
                <w:kern w:val="24"/>
                <w:sz w:val="20"/>
                <w:szCs w:val="20"/>
                <w:lang w:val="en-AU" w:eastAsia="en-AU"/>
              </w:rPr>
              <w:t>t</w:t>
            </w:r>
            <w:r w:rsidRPr="007C747A">
              <w:rPr>
                <w:rFonts w:eastAsia="Times New Roman" w:cs="Arial"/>
                <w:b/>
                <w:bCs/>
                <w:kern w:val="24"/>
                <w:sz w:val="20"/>
                <w:szCs w:val="20"/>
                <w:lang w:val="en-AU" w:eastAsia="en-AU"/>
              </w:rPr>
              <w:t>arget</w:t>
            </w:r>
          </w:p>
        </w:tc>
        <w:tc>
          <w:tcPr>
            <w:tcW w:w="992" w:type="dxa"/>
            <w:shd w:val="clear" w:color="auto" w:fill="FDDCC6"/>
          </w:tcPr>
          <w:p w14:paraId="5C37064F" w14:textId="282B57A4" w:rsidR="00653914" w:rsidRPr="007C747A" w:rsidRDefault="00653914" w:rsidP="00653914">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C02E16"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C02E16" w:rsidRPr="007C747A">
              <w:rPr>
                <w:rFonts w:eastAsia="Times New Roman" w:cs="Arial"/>
                <w:b/>
                <w:bCs/>
                <w:kern w:val="24"/>
                <w:sz w:val="20"/>
                <w:szCs w:val="20"/>
                <w:lang w:val="en-AU" w:eastAsia="en-AU"/>
              </w:rPr>
              <w:t>r</w:t>
            </w:r>
            <w:r w:rsidRPr="007C747A">
              <w:rPr>
                <w:rFonts w:eastAsia="Times New Roman" w:cs="Arial"/>
                <w:b/>
                <w:bCs/>
                <w:kern w:val="24"/>
                <w:sz w:val="20"/>
                <w:szCs w:val="20"/>
                <w:lang w:val="en-AU" w:eastAsia="en-AU"/>
              </w:rPr>
              <w:t>esult</w:t>
            </w:r>
          </w:p>
        </w:tc>
        <w:tc>
          <w:tcPr>
            <w:tcW w:w="1843" w:type="dxa"/>
            <w:shd w:val="clear" w:color="auto" w:fill="FDDCC6"/>
          </w:tcPr>
          <w:p w14:paraId="45F9DB17" w14:textId="77777777" w:rsidR="00653914" w:rsidRPr="007C747A" w:rsidRDefault="00653914" w:rsidP="00653914">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Outcome</w:t>
            </w:r>
          </w:p>
        </w:tc>
        <w:tc>
          <w:tcPr>
            <w:tcW w:w="2977" w:type="dxa"/>
            <w:shd w:val="clear" w:color="auto" w:fill="FDDCC6"/>
            <w:tcMar>
              <w:top w:w="72" w:type="dxa"/>
              <w:left w:w="144" w:type="dxa"/>
              <w:bottom w:w="72" w:type="dxa"/>
              <w:right w:w="144" w:type="dxa"/>
            </w:tcMar>
            <w:hideMark/>
          </w:tcPr>
          <w:p w14:paraId="1D56EBC2" w14:textId="77777777" w:rsidR="00653914" w:rsidRPr="007C747A" w:rsidRDefault="00653914" w:rsidP="00653914">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Method</w:t>
            </w:r>
          </w:p>
        </w:tc>
      </w:tr>
      <w:tr w:rsidR="00653914" w:rsidRPr="007C747A" w14:paraId="773FBE75" w14:textId="77777777" w:rsidTr="00784C1B">
        <w:trPr>
          <w:trHeight w:val="170"/>
        </w:trPr>
        <w:tc>
          <w:tcPr>
            <w:tcW w:w="3109" w:type="dxa"/>
            <w:shd w:val="clear" w:color="auto" w:fill="auto"/>
            <w:tcMar>
              <w:top w:w="72" w:type="dxa"/>
              <w:left w:w="144" w:type="dxa"/>
              <w:bottom w:w="72" w:type="dxa"/>
              <w:right w:w="144" w:type="dxa"/>
            </w:tcMar>
            <w:hideMark/>
          </w:tcPr>
          <w:p w14:paraId="35F1FAF8" w14:textId="77777777" w:rsidR="00653914" w:rsidRPr="007C747A" w:rsidRDefault="00653914" w:rsidP="00653914">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 xml:space="preserve">Plan utilisation by </w:t>
            </w:r>
            <w:r w:rsidRPr="007C747A">
              <w:rPr>
                <w:rFonts w:eastAsia="MS PGothic" w:cs="Arial"/>
                <w:kern w:val="24"/>
                <w:sz w:val="22"/>
                <w:szCs w:val="22"/>
                <w:lang w:val="en-AU" w:eastAsia="en-AU"/>
              </w:rPr>
              <w:t xml:space="preserve">district </w:t>
            </w:r>
            <w:r w:rsidRPr="007C747A">
              <w:rPr>
                <w:rFonts w:eastAsia="MS PGothic" w:cs="Arial"/>
                <w:kern w:val="24"/>
                <w:sz w:val="22"/>
                <w:szCs w:val="22"/>
                <w:lang w:val="en-AU" w:eastAsia="en-AU"/>
              </w:rPr>
              <w:br/>
              <w:t>(% of districts that are more than 10 percentage points below the benchmark)</w:t>
            </w:r>
          </w:p>
        </w:tc>
        <w:tc>
          <w:tcPr>
            <w:tcW w:w="1134" w:type="dxa"/>
            <w:shd w:val="clear" w:color="auto" w:fill="auto"/>
            <w:tcMar>
              <w:top w:w="72" w:type="dxa"/>
              <w:left w:w="144" w:type="dxa"/>
              <w:bottom w:w="72" w:type="dxa"/>
              <w:right w:w="144" w:type="dxa"/>
            </w:tcMar>
            <w:hideMark/>
          </w:tcPr>
          <w:p w14:paraId="1F35D064" w14:textId="77777777" w:rsidR="00653914" w:rsidRPr="007C747A" w:rsidRDefault="00653914" w:rsidP="00653914">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&lt;8%</w:t>
            </w:r>
          </w:p>
        </w:tc>
        <w:tc>
          <w:tcPr>
            <w:tcW w:w="992" w:type="dxa"/>
            <w:shd w:val="clear" w:color="auto" w:fill="auto"/>
          </w:tcPr>
          <w:p w14:paraId="6E884D10" w14:textId="77777777" w:rsidR="00653914" w:rsidRPr="007C747A" w:rsidRDefault="00653914" w:rsidP="00653914">
            <w:pPr>
              <w:spacing w:before="120" w:after="120" w:line="240" w:lineRule="auto"/>
              <w:ind w:left="138"/>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7.2%</w:t>
            </w:r>
          </w:p>
        </w:tc>
        <w:tc>
          <w:tcPr>
            <w:tcW w:w="1843" w:type="dxa"/>
            <w:shd w:val="clear" w:color="auto" w:fill="auto"/>
          </w:tcPr>
          <w:p w14:paraId="7E015C9D" w14:textId="77777777" w:rsidR="00653914" w:rsidRPr="007C747A" w:rsidRDefault="00653914" w:rsidP="00653914">
            <w:pPr>
              <w:spacing w:before="120" w:after="120" w:line="240" w:lineRule="auto"/>
              <w:ind w:left="14"/>
              <w:rPr>
                <w:rFonts w:eastAsia="Times New Roman" w:cs="Arial"/>
                <w:color w:val="000000"/>
                <w:kern w:val="24"/>
                <w:sz w:val="22"/>
                <w:szCs w:val="22"/>
                <w:lang w:val="en-AU" w:eastAsia="en-AU"/>
              </w:rPr>
            </w:pPr>
            <w:r w:rsidRPr="007C747A">
              <w:rPr>
                <w:rFonts w:eastAsia="Times New Roman" w:cs="Arial"/>
                <w:b/>
                <w:bCs/>
                <w:sz w:val="20"/>
                <w:szCs w:val="20"/>
                <w:lang w:val="en-AU" w:eastAsia="en-AU"/>
              </w:rPr>
              <w:t>Achieved</w:t>
            </w:r>
          </w:p>
        </w:tc>
        <w:tc>
          <w:tcPr>
            <w:tcW w:w="2977" w:type="dxa"/>
            <w:shd w:val="clear" w:color="auto" w:fill="auto"/>
            <w:tcMar>
              <w:top w:w="72" w:type="dxa"/>
              <w:left w:w="144" w:type="dxa"/>
              <w:bottom w:w="72" w:type="dxa"/>
              <w:right w:w="144" w:type="dxa"/>
            </w:tcMar>
          </w:tcPr>
          <w:p w14:paraId="154AF257" w14:textId="13737CEC" w:rsidR="00653914" w:rsidRPr="007C747A" w:rsidRDefault="00653914" w:rsidP="00653914">
            <w:pPr>
              <w:spacing w:before="120" w:after="120" w:line="240" w:lineRule="auto"/>
              <w:ind w:left="14"/>
              <w:rPr>
                <w:rFonts w:eastAsia="Times New Roman" w:cs="Arial"/>
                <w:color w:val="000000"/>
                <w:kern w:val="24"/>
                <w:sz w:val="20"/>
                <w:szCs w:val="20"/>
                <w:lang w:val="en-AU" w:eastAsia="en-AU"/>
              </w:rPr>
            </w:pPr>
            <w:r w:rsidRPr="007C747A">
              <w:rPr>
                <w:rFonts w:eastAsia="DengXian" w:cs="Arial"/>
                <w:sz w:val="20"/>
                <w:szCs w:val="20"/>
                <w:lang w:val="en-AU"/>
              </w:rPr>
              <w:t xml:space="preserve">Calculated for the full financial year using the simple average of the </w:t>
            </w:r>
            <w:r w:rsidR="00C02E16" w:rsidRPr="007C747A">
              <w:rPr>
                <w:rFonts w:eastAsia="DengXian" w:cs="Arial"/>
                <w:sz w:val="20"/>
                <w:szCs w:val="20"/>
                <w:lang w:val="en-AU"/>
              </w:rPr>
              <w:t>4</w:t>
            </w:r>
            <w:r w:rsidRPr="007C747A">
              <w:rPr>
                <w:rFonts w:eastAsia="DengXian" w:cs="Arial"/>
                <w:sz w:val="20"/>
                <w:szCs w:val="20"/>
                <w:lang w:val="en-AU"/>
              </w:rPr>
              <w:t xml:space="preserve"> quarterly results shown in the published Quarterly Report to </w:t>
            </w:r>
            <w:r w:rsidR="00EC5327" w:rsidRPr="007C747A">
              <w:rPr>
                <w:rFonts w:eastAsia="DengXian" w:cs="Arial"/>
                <w:sz w:val="20"/>
                <w:szCs w:val="20"/>
                <w:lang w:val="en-AU"/>
              </w:rPr>
              <w:t>D</w:t>
            </w:r>
            <w:r w:rsidRPr="007C747A">
              <w:rPr>
                <w:rFonts w:eastAsia="DengXian" w:cs="Arial"/>
                <w:sz w:val="20"/>
                <w:szCs w:val="20"/>
                <w:lang w:val="en-AU"/>
              </w:rPr>
              <w:t xml:space="preserve">isability </w:t>
            </w:r>
            <w:r w:rsidR="00EC5327" w:rsidRPr="007C747A">
              <w:rPr>
                <w:rFonts w:eastAsia="DengXian" w:cs="Arial"/>
                <w:sz w:val="20"/>
                <w:szCs w:val="20"/>
                <w:lang w:val="en-AU"/>
              </w:rPr>
              <w:t>M</w:t>
            </w:r>
            <w:r w:rsidRPr="007C747A">
              <w:rPr>
                <w:rFonts w:eastAsia="DengXian" w:cs="Arial"/>
                <w:sz w:val="20"/>
                <w:szCs w:val="20"/>
                <w:lang w:val="en-AU"/>
              </w:rPr>
              <w:t>inisters.</w:t>
            </w:r>
          </w:p>
        </w:tc>
      </w:tr>
      <w:tr w:rsidR="00653914" w:rsidRPr="007C747A" w14:paraId="7DCD1C27" w14:textId="77777777" w:rsidTr="00784C1B">
        <w:trPr>
          <w:trHeight w:val="170"/>
        </w:trPr>
        <w:tc>
          <w:tcPr>
            <w:tcW w:w="3109" w:type="dxa"/>
            <w:shd w:val="clear" w:color="auto" w:fill="FFF4ED"/>
            <w:tcMar>
              <w:top w:w="72" w:type="dxa"/>
              <w:left w:w="144" w:type="dxa"/>
              <w:bottom w:w="72" w:type="dxa"/>
              <w:right w:w="144" w:type="dxa"/>
            </w:tcMar>
            <w:hideMark/>
          </w:tcPr>
          <w:p w14:paraId="637A79F3" w14:textId="508C254D" w:rsidR="00653914" w:rsidRPr="007C747A" w:rsidRDefault="00653914" w:rsidP="00653914">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 xml:space="preserve">Market concentration </w:t>
            </w:r>
            <w:r w:rsidRPr="007C747A">
              <w:rPr>
                <w:rFonts w:eastAsia="Times New Roman" w:cs="Arial"/>
                <w:color w:val="000000"/>
                <w:kern w:val="24"/>
                <w:sz w:val="22"/>
                <w:szCs w:val="22"/>
                <w:lang w:val="en-AU" w:eastAsia="en-AU"/>
              </w:rPr>
              <w:br/>
              <w:t>(% of districts where the top 10 providers supply more than 85% of the supports)</w:t>
            </w:r>
          </w:p>
        </w:tc>
        <w:tc>
          <w:tcPr>
            <w:tcW w:w="1134" w:type="dxa"/>
            <w:shd w:val="clear" w:color="auto" w:fill="FFF4ED"/>
            <w:tcMar>
              <w:top w:w="72" w:type="dxa"/>
              <w:left w:w="144" w:type="dxa"/>
              <w:bottom w:w="72" w:type="dxa"/>
              <w:right w:w="144" w:type="dxa"/>
            </w:tcMar>
            <w:hideMark/>
          </w:tcPr>
          <w:p w14:paraId="6CA54B65" w14:textId="77777777" w:rsidR="00653914" w:rsidRPr="007C747A" w:rsidRDefault="00653914" w:rsidP="00653914">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&lt;9%</w:t>
            </w:r>
          </w:p>
        </w:tc>
        <w:tc>
          <w:tcPr>
            <w:tcW w:w="992" w:type="dxa"/>
            <w:shd w:val="clear" w:color="auto" w:fill="FFF4ED"/>
          </w:tcPr>
          <w:p w14:paraId="1C4A6604" w14:textId="77777777" w:rsidR="00653914" w:rsidRPr="007C747A" w:rsidRDefault="00653914" w:rsidP="00653914">
            <w:pPr>
              <w:spacing w:before="120" w:after="120" w:line="240" w:lineRule="auto"/>
              <w:ind w:left="138"/>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4.4%</w:t>
            </w:r>
          </w:p>
        </w:tc>
        <w:tc>
          <w:tcPr>
            <w:tcW w:w="1843" w:type="dxa"/>
            <w:shd w:val="clear" w:color="auto" w:fill="FFF4ED"/>
          </w:tcPr>
          <w:p w14:paraId="6D3878E6" w14:textId="77777777" w:rsidR="00653914" w:rsidRPr="007C747A" w:rsidRDefault="00653914" w:rsidP="00653914">
            <w:pPr>
              <w:spacing w:before="120" w:after="120" w:line="240" w:lineRule="auto"/>
              <w:ind w:left="14"/>
              <w:rPr>
                <w:rFonts w:eastAsia="Times New Roman" w:cs="Arial"/>
                <w:color w:val="000000"/>
                <w:kern w:val="24"/>
                <w:sz w:val="22"/>
                <w:szCs w:val="22"/>
                <w:lang w:val="en-AU" w:eastAsia="en-AU"/>
              </w:rPr>
            </w:pPr>
            <w:r w:rsidRPr="007C747A">
              <w:rPr>
                <w:rFonts w:eastAsia="Times New Roman" w:cs="Arial"/>
                <w:b/>
                <w:bCs/>
                <w:sz w:val="20"/>
                <w:szCs w:val="20"/>
                <w:lang w:val="en-AU" w:eastAsia="en-AU"/>
              </w:rPr>
              <w:t>Achieved</w:t>
            </w:r>
          </w:p>
        </w:tc>
        <w:tc>
          <w:tcPr>
            <w:tcW w:w="2977" w:type="dxa"/>
            <w:shd w:val="clear" w:color="auto" w:fill="FFF4ED"/>
            <w:tcMar>
              <w:top w:w="72" w:type="dxa"/>
              <w:left w:w="144" w:type="dxa"/>
              <w:bottom w:w="72" w:type="dxa"/>
              <w:right w:w="144" w:type="dxa"/>
            </w:tcMar>
          </w:tcPr>
          <w:p w14:paraId="2A82FA67" w14:textId="64670676" w:rsidR="00653914" w:rsidRPr="007C747A" w:rsidRDefault="00653914" w:rsidP="00653914">
            <w:pPr>
              <w:spacing w:before="120" w:after="120" w:line="240" w:lineRule="auto"/>
              <w:ind w:left="14"/>
              <w:rPr>
                <w:rFonts w:eastAsia="Times New Roman" w:cs="Arial"/>
                <w:color w:val="000000"/>
                <w:kern w:val="24"/>
                <w:sz w:val="20"/>
                <w:szCs w:val="20"/>
                <w:lang w:val="en-AU" w:eastAsia="en-AU"/>
              </w:rPr>
            </w:pPr>
            <w:r w:rsidRPr="007C747A">
              <w:rPr>
                <w:rFonts w:eastAsia="DengXian" w:cs="Arial"/>
                <w:sz w:val="20"/>
                <w:szCs w:val="20"/>
                <w:lang w:val="en-AU"/>
              </w:rPr>
              <w:t xml:space="preserve">Calculated for the full financial year using the average of the 4 quarterly results shown in the published Quarterly Report to </w:t>
            </w:r>
            <w:r w:rsidR="00EC5327" w:rsidRPr="007C747A">
              <w:rPr>
                <w:rFonts w:eastAsia="DengXian" w:cs="Arial"/>
                <w:sz w:val="20"/>
                <w:szCs w:val="20"/>
                <w:lang w:val="en-AU"/>
              </w:rPr>
              <w:t>D</w:t>
            </w:r>
            <w:r w:rsidRPr="007C747A">
              <w:rPr>
                <w:rFonts w:eastAsia="DengXian" w:cs="Arial"/>
                <w:sz w:val="20"/>
                <w:szCs w:val="20"/>
                <w:lang w:val="en-AU"/>
              </w:rPr>
              <w:t xml:space="preserve">isability </w:t>
            </w:r>
            <w:r w:rsidR="00EC5327" w:rsidRPr="007C747A">
              <w:rPr>
                <w:rFonts w:eastAsia="DengXian" w:cs="Arial"/>
                <w:sz w:val="20"/>
                <w:szCs w:val="20"/>
                <w:lang w:val="en-AU"/>
              </w:rPr>
              <w:t>M</w:t>
            </w:r>
            <w:r w:rsidRPr="007C747A">
              <w:rPr>
                <w:rFonts w:eastAsia="DengXian" w:cs="Arial"/>
                <w:sz w:val="20"/>
                <w:szCs w:val="20"/>
                <w:lang w:val="en-AU"/>
              </w:rPr>
              <w:t>inisters.</w:t>
            </w:r>
          </w:p>
        </w:tc>
      </w:tr>
      <w:tr w:rsidR="00653914" w:rsidRPr="007C747A" w14:paraId="2E850249" w14:textId="77777777" w:rsidTr="00784C1B">
        <w:trPr>
          <w:trHeight w:val="216"/>
        </w:trPr>
        <w:tc>
          <w:tcPr>
            <w:tcW w:w="3109" w:type="dxa"/>
            <w:shd w:val="clear" w:color="auto" w:fill="auto"/>
            <w:tcMar>
              <w:top w:w="72" w:type="dxa"/>
              <w:left w:w="144" w:type="dxa"/>
              <w:bottom w:w="72" w:type="dxa"/>
              <w:right w:w="144" w:type="dxa"/>
            </w:tcMar>
            <w:hideMark/>
          </w:tcPr>
          <w:p w14:paraId="40BE0319" w14:textId="77777777" w:rsidR="00653914" w:rsidRPr="007C747A" w:rsidRDefault="00653914" w:rsidP="00653914">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Providers charging below the price limit (% of markets)</w:t>
            </w:r>
          </w:p>
        </w:tc>
        <w:tc>
          <w:tcPr>
            <w:tcW w:w="1134" w:type="dxa"/>
            <w:shd w:val="clear" w:color="auto" w:fill="auto"/>
            <w:tcMar>
              <w:top w:w="72" w:type="dxa"/>
              <w:left w:w="144" w:type="dxa"/>
              <w:bottom w:w="72" w:type="dxa"/>
              <w:right w:w="144" w:type="dxa"/>
            </w:tcMar>
            <w:hideMark/>
          </w:tcPr>
          <w:p w14:paraId="5489A488" w14:textId="77777777" w:rsidR="00653914" w:rsidRPr="007C747A" w:rsidRDefault="00653914" w:rsidP="00653914">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&gt;24%</w:t>
            </w:r>
          </w:p>
        </w:tc>
        <w:tc>
          <w:tcPr>
            <w:tcW w:w="992" w:type="dxa"/>
            <w:shd w:val="clear" w:color="auto" w:fill="auto"/>
          </w:tcPr>
          <w:p w14:paraId="3F79D610" w14:textId="77777777" w:rsidR="00653914" w:rsidRPr="007C747A" w:rsidRDefault="00653914" w:rsidP="00653914">
            <w:pPr>
              <w:spacing w:before="120" w:after="120" w:line="240" w:lineRule="auto"/>
              <w:ind w:left="138"/>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21.3%</w:t>
            </w:r>
          </w:p>
        </w:tc>
        <w:tc>
          <w:tcPr>
            <w:tcW w:w="1843" w:type="dxa"/>
            <w:shd w:val="clear" w:color="auto" w:fill="auto"/>
          </w:tcPr>
          <w:p w14:paraId="401609CA" w14:textId="5F6FD38D" w:rsidR="00653914" w:rsidRPr="007C747A" w:rsidRDefault="00653914" w:rsidP="00653914">
            <w:pPr>
              <w:spacing w:before="120" w:after="120" w:line="240" w:lineRule="auto"/>
              <w:ind w:left="14"/>
              <w:rPr>
                <w:rFonts w:eastAsia="Times New Roman" w:cs="Arial"/>
                <w:color w:val="000000"/>
                <w:kern w:val="24"/>
                <w:sz w:val="22"/>
                <w:szCs w:val="22"/>
                <w:lang w:val="en-AU" w:eastAsia="en-AU"/>
              </w:rPr>
            </w:pPr>
            <w:r w:rsidRPr="007C747A">
              <w:rPr>
                <w:rFonts w:eastAsia="Times New Roman" w:cs="Arial"/>
                <w:b/>
                <w:bCs/>
                <w:sz w:val="20"/>
                <w:szCs w:val="20"/>
                <w:lang w:val="en-AU" w:eastAsia="en-AU"/>
              </w:rPr>
              <w:t xml:space="preserve">Not </w:t>
            </w:r>
            <w:r w:rsidR="00C02E16"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2977" w:type="dxa"/>
            <w:shd w:val="clear" w:color="auto" w:fill="auto"/>
            <w:tcMar>
              <w:top w:w="72" w:type="dxa"/>
              <w:left w:w="144" w:type="dxa"/>
              <w:bottom w:w="72" w:type="dxa"/>
              <w:right w:w="144" w:type="dxa"/>
            </w:tcMar>
          </w:tcPr>
          <w:p w14:paraId="28826C64" w14:textId="6013BDA2" w:rsidR="00653914" w:rsidRPr="007C747A" w:rsidRDefault="00653914" w:rsidP="00653914">
            <w:pPr>
              <w:spacing w:before="120" w:after="120" w:line="240" w:lineRule="auto"/>
              <w:ind w:left="14"/>
              <w:rPr>
                <w:rFonts w:eastAsia="Times New Roman" w:cs="Arial"/>
                <w:color w:val="000000"/>
                <w:kern w:val="24"/>
                <w:sz w:val="20"/>
                <w:szCs w:val="20"/>
                <w:lang w:val="en-AU" w:eastAsia="en-AU"/>
              </w:rPr>
            </w:pPr>
            <w:r w:rsidRPr="007C747A">
              <w:rPr>
                <w:rFonts w:eastAsia="DengXian" w:cs="Arial"/>
                <w:sz w:val="20"/>
                <w:szCs w:val="20"/>
                <w:lang w:val="en-AU"/>
              </w:rPr>
              <w:t>Calculation is the percentage of providers (from the group that can be measured) charging 90% or less of the pricing limits in the latest price guide. A higher result for this metric implies higher levels of competition in the market (since prices would be at lower levels compared to the maximum prices in the price guide).</w:t>
            </w:r>
          </w:p>
        </w:tc>
      </w:tr>
    </w:tbl>
    <w:p w14:paraId="6086C3C0" w14:textId="77777777" w:rsidR="00EB3F0F" w:rsidRPr="007C747A" w:rsidRDefault="00EB3F0F" w:rsidP="002D5681">
      <w:pPr>
        <w:pStyle w:val="FGCHEADING4"/>
        <w:rPr>
          <w:lang w:val="en-AU"/>
        </w:rPr>
      </w:pPr>
      <w:bookmarkStart w:id="102" w:name="_Toc142573703"/>
      <w:r w:rsidRPr="007C747A">
        <w:rPr>
          <w:lang w:val="en-AU"/>
        </w:rPr>
        <w:t>Analysis of performance</w:t>
      </w:r>
      <w:bookmarkEnd w:id="102"/>
    </w:p>
    <w:p w14:paraId="607A2E29" w14:textId="030CD334" w:rsidR="00135DA5" w:rsidRPr="007C747A" w:rsidRDefault="00135DA5" w:rsidP="00135DA5">
      <w:pPr>
        <w:spacing w:line="240" w:lineRule="auto"/>
        <w:rPr>
          <w:sz w:val="22"/>
          <w:szCs w:val="22"/>
          <w:lang w:val="en-AU" w:eastAsia="en-US"/>
        </w:rPr>
      </w:pPr>
      <w:r w:rsidRPr="007C747A">
        <w:rPr>
          <w:sz w:val="22"/>
          <w:szCs w:val="22"/>
          <w:lang w:val="en-AU" w:eastAsia="en-US"/>
        </w:rPr>
        <w:t>The Agency manages and monitors NDIS provider market exits and seeks to ensure continued diversity of provider options for participants. Support is provided to update service delivery guidance for partners and planners to ensure provider options are made available to participants. Further work will be progressed on broader market design including levers related to market concentration.</w:t>
      </w:r>
    </w:p>
    <w:p w14:paraId="4A49B8A1" w14:textId="47C8856C" w:rsidR="00135DA5" w:rsidRPr="007C747A" w:rsidRDefault="00135DA5" w:rsidP="00135DA5">
      <w:pPr>
        <w:spacing w:line="240" w:lineRule="auto"/>
        <w:rPr>
          <w:sz w:val="22"/>
          <w:szCs w:val="22"/>
          <w:lang w:val="en-AU" w:eastAsia="en-US"/>
        </w:rPr>
      </w:pPr>
      <w:r w:rsidRPr="007C747A">
        <w:rPr>
          <w:sz w:val="22"/>
          <w:szCs w:val="22"/>
          <w:lang w:val="en-AU" w:eastAsia="en-US"/>
        </w:rPr>
        <w:t xml:space="preserve">At the Disability Reform Ministers Meeting in October 2022, Ministers discussed the need for </w:t>
      </w:r>
      <w:r w:rsidR="003E3956" w:rsidRPr="007C747A">
        <w:rPr>
          <w:sz w:val="22"/>
          <w:szCs w:val="22"/>
          <w:lang w:val="en-AU" w:eastAsia="en-US"/>
        </w:rPr>
        <w:t xml:space="preserve">the </w:t>
      </w:r>
      <w:r w:rsidRPr="007C747A">
        <w:rPr>
          <w:sz w:val="22"/>
          <w:szCs w:val="22"/>
          <w:lang w:val="en-AU" w:eastAsia="en-US"/>
        </w:rPr>
        <w:t xml:space="preserve">NDIA to work with communities and state and territory governments to use more flexible approaches to address thin markets. </w:t>
      </w:r>
    </w:p>
    <w:p w14:paraId="093CDB3F" w14:textId="3AD155C4" w:rsidR="00135DA5" w:rsidRPr="007C747A" w:rsidRDefault="00135DA5" w:rsidP="00135DA5">
      <w:pPr>
        <w:spacing w:line="240" w:lineRule="auto"/>
        <w:rPr>
          <w:sz w:val="22"/>
          <w:szCs w:val="22"/>
          <w:lang w:val="en-AU" w:eastAsia="en-US"/>
        </w:rPr>
      </w:pPr>
      <w:r w:rsidRPr="007C747A">
        <w:rPr>
          <w:sz w:val="22"/>
          <w:szCs w:val="22"/>
          <w:lang w:val="en-AU" w:eastAsia="en-US"/>
        </w:rPr>
        <w:t>This work is being led by the Commonwealth Department of Health and Aged Care working with the NDIA</w:t>
      </w:r>
      <w:r w:rsidR="003E3956" w:rsidRPr="007C747A">
        <w:rPr>
          <w:sz w:val="22"/>
          <w:szCs w:val="22"/>
          <w:lang w:val="en-AU" w:eastAsia="en-US"/>
        </w:rPr>
        <w:t xml:space="preserve"> and</w:t>
      </w:r>
      <w:r w:rsidRPr="007C747A">
        <w:rPr>
          <w:sz w:val="22"/>
          <w:szCs w:val="22"/>
          <w:lang w:val="en-AU" w:eastAsia="en-US"/>
        </w:rPr>
        <w:t xml:space="preserve"> multiple </w:t>
      </w:r>
      <w:r w:rsidR="003E3956" w:rsidRPr="007C747A">
        <w:rPr>
          <w:sz w:val="22"/>
          <w:szCs w:val="22"/>
          <w:lang w:val="en-AU" w:eastAsia="en-US"/>
        </w:rPr>
        <w:t xml:space="preserve">other </w:t>
      </w:r>
      <w:r w:rsidRPr="007C747A">
        <w:rPr>
          <w:sz w:val="22"/>
          <w:szCs w:val="22"/>
          <w:lang w:val="en-AU" w:eastAsia="en-US"/>
        </w:rPr>
        <w:t xml:space="preserve">government departments and agencies, including </w:t>
      </w:r>
      <w:r w:rsidR="004B5327" w:rsidRPr="007C747A">
        <w:rPr>
          <w:sz w:val="22"/>
          <w:szCs w:val="22"/>
          <w:lang w:val="en-AU" w:eastAsia="en-US"/>
        </w:rPr>
        <w:t xml:space="preserve">the </w:t>
      </w:r>
      <w:r w:rsidRPr="007C747A">
        <w:rPr>
          <w:sz w:val="22"/>
          <w:szCs w:val="22"/>
          <w:lang w:val="en-AU" w:eastAsia="en-US"/>
        </w:rPr>
        <w:t>DSS and</w:t>
      </w:r>
      <w:r w:rsidR="003E3956" w:rsidRPr="007C747A">
        <w:rPr>
          <w:sz w:val="22"/>
          <w:szCs w:val="22"/>
          <w:lang w:val="en-AU" w:eastAsia="en-US"/>
        </w:rPr>
        <w:t xml:space="preserve"> the</w:t>
      </w:r>
      <w:r w:rsidRPr="007C747A">
        <w:rPr>
          <w:sz w:val="22"/>
          <w:szCs w:val="22"/>
          <w:lang w:val="en-AU" w:eastAsia="en-US"/>
        </w:rPr>
        <w:t xml:space="preserve"> Department of Veterans’ Affairs, on an Integrated Care and Commissioning (ICC) approach. </w:t>
      </w:r>
    </w:p>
    <w:p w14:paraId="315D0B83" w14:textId="4D7BEAD3" w:rsidR="00487382" w:rsidRPr="007C747A" w:rsidRDefault="00135DA5" w:rsidP="00135DA5">
      <w:pPr>
        <w:spacing w:line="240" w:lineRule="auto"/>
        <w:rPr>
          <w:sz w:val="22"/>
          <w:szCs w:val="22"/>
          <w:lang w:val="en-AU" w:eastAsia="en-US"/>
        </w:rPr>
      </w:pPr>
      <w:r w:rsidRPr="007C747A">
        <w:rPr>
          <w:sz w:val="22"/>
          <w:szCs w:val="22"/>
          <w:lang w:val="en-AU" w:eastAsia="en-US"/>
        </w:rPr>
        <w:t xml:space="preserve">Market facilitation activities are underway for ICC trial sites in </w:t>
      </w:r>
      <w:r w:rsidR="003E3956" w:rsidRPr="007C747A">
        <w:rPr>
          <w:sz w:val="22"/>
          <w:szCs w:val="22"/>
          <w:lang w:val="en-AU" w:eastAsia="en-US"/>
        </w:rPr>
        <w:t>s</w:t>
      </w:r>
      <w:r w:rsidRPr="007C747A">
        <w:rPr>
          <w:sz w:val="22"/>
          <w:szCs w:val="22"/>
          <w:lang w:val="en-AU" w:eastAsia="en-US"/>
        </w:rPr>
        <w:t xml:space="preserve">outh-eastern </w:t>
      </w:r>
      <w:r w:rsidR="003E3956" w:rsidRPr="007C747A">
        <w:rPr>
          <w:sz w:val="22"/>
          <w:szCs w:val="22"/>
          <w:lang w:val="en-AU" w:eastAsia="en-US"/>
        </w:rPr>
        <w:t xml:space="preserve">New South Wales </w:t>
      </w:r>
      <w:r w:rsidRPr="007C747A">
        <w:rPr>
          <w:sz w:val="22"/>
          <w:szCs w:val="22"/>
          <w:lang w:val="en-AU" w:eastAsia="en-US"/>
        </w:rPr>
        <w:t>and Gippsland (Vic</w:t>
      </w:r>
      <w:r w:rsidR="003E3956" w:rsidRPr="007C747A">
        <w:rPr>
          <w:sz w:val="22"/>
          <w:szCs w:val="22"/>
          <w:lang w:val="en-AU" w:eastAsia="en-US"/>
        </w:rPr>
        <w:t>toria</w:t>
      </w:r>
      <w:r w:rsidRPr="007C747A">
        <w:rPr>
          <w:sz w:val="22"/>
          <w:szCs w:val="22"/>
          <w:lang w:val="en-AU" w:eastAsia="en-US"/>
        </w:rPr>
        <w:t>)</w:t>
      </w:r>
      <w:r w:rsidR="003E3956" w:rsidRPr="007C747A">
        <w:rPr>
          <w:sz w:val="22"/>
          <w:szCs w:val="22"/>
          <w:lang w:val="en-AU" w:eastAsia="en-US"/>
        </w:rPr>
        <w:t>,</w:t>
      </w:r>
      <w:r w:rsidRPr="007C747A">
        <w:rPr>
          <w:sz w:val="22"/>
          <w:szCs w:val="22"/>
          <w:lang w:val="en-AU" w:eastAsia="en-US"/>
        </w:rPr>
        <w:t xml:space="preserve"> with NDIA representatives included as members of the ICC </w:t>
      </w:r>
      <w:r w:rsidR="003E3956" w:rsidRPr="007C747A">
        <w:rPr>
          <w:sz w:val="22"/>
          <w:szCs w:val="22"/>
          <w:lang w:val="en-AU" w:eastAsia="en-US"/>
        </w:rPr>
        <w:t>r</w:t>
      </w:r>
      <w:r w:rsidRPr="007C747A">
        <w:rPr>
          <w:sz w:val="22"/>
          <w:szCs w:val="22"/>
          <w:lang w:val="en-AU" w:eastAsia="en-US"/>
        </w:rPr>
        <w:t xml:space="preserve">egional </w:t>
      </w:r>
      <w:r w:rsidR="003E3956" w:rsidRPr="007C747A">
        <w:rPr>
          <w:sz w:val="22"/>
          <w:szCs w:val="22"/>
          <w:lang w:val="en-AU" w:eastAsia="en-US"/>
        </w:rPr>
        <w:t>w</w:t>
      </w:r>
      <w:r w:rsidRPr="007C747A">
        <w:rPr>
          <w:sz w:val="22"/>
          <w:szCs w:val="22"/>
          <w:lang w:val="en-AU" w:eastAsia="en-US"/>
        </w:rPr>
        <w:t xml:space="preserve">orking </w:t>
      </w:r>
      <w:r w:rsidR="003E3956" w:rsidRPr="007C747A">
        <w:rPr>
          <w:sz w:val="22"/>
          <w:szCs w:val="22"/>
          <w:lang w:val="en-AU" w:eastAsia="en-US"/>
        </w:rPr>
        <w:t>g</w:t>
      </w:r>
      <w:r w:rsidRPr="007C747A">
        <w:rPr>
          <w:sz w:val="22"/>
          <w:szCs w:val="22"/>
          <w:lang w:val="en-AU" w:eastAsia="en-US"/>
        </w:rPr>
        <w:t>roups and Strategic Oversight Group</w:t>
      </w:r>
      <w:r w:rsidR="00487382" w:rsidRPr="007C747A">
        <w:rPr>
          <w:sz w:val="22"/>
          <w:szCs w:val="22"/>
          <w:lang w:val="en-AU" w:eastAsia="en-US"/>
        </w:rPr>
        <w:t xml:space="preserve">. </w:t>
      </w:r>
      <w:r w:rsidR="00487382" w:rsidRPr="007C747A">
        <w:rPr>
          <w:sz w:val="22"/>
          <w:szCs w:val="22"/>
          <w:lang w:val="en-AU" w:eastAsia="en-US"/>
        </w:rPr>
        <w:br w:type="page"/>
      </w:r>
    </w:p>
    <w:p w14:paraId="535CB05D" w14:textId="77777777" w:rsidR="00EB3F0F" w:rsidRPr="007C747A" w:rsidRDefault="00EB3F0F" w:rsidP="005820C1">
      <w:pPr>
        <w:pStyle w:val="FGCHEADING3"/>
        <w:numPr>
          <w:ilvl w:val="0"/>
          <w:numId w:val="0"/>
        </w:numPr>
      </w:pPr>
      <w:bookmarkStart w:id="103" w:name="_Toc142573704"/>
      <w:bookmarkStart w:id="104" w:name="_Toc146289438"/>
      <w:r w:rsidRPr="007C747A">
        <w:t>Aspiration 3 – A genuinely connected and engaged stakeholder sector</w:t>
      </w:r>
      <w:bookmarkEnd w:id="103"/>
      <w:bookmarkEnd w:id="104"/>
    </w:p>
    <w:p w14:paraId="2FAF594F" w14:textId="6BDE1F2A" w:rsidR="001D4F8A" w:rsidRPr="007C747A" w:rsidRDefault="00602A5A" w:rsidP="00FB638F">
      <w:pPr>
        <w:rPr>
          <w:sz w:val="22"/>
          <w:szCs w:val="22"/>
          <w:lang w:val="en-AU" w:eastAsia="en-US"/>
        </w:rPr>
      </w:pPr>
      <w:r w:rsidRPr="007C747A">
        <w:rPr>
          <w:sz w:val="22"/>
          <w:szCs w:val="22"/>
          <w:lang w:val="en-AU"/>
        </w:rPr>
        <w:t>The Agency’s initiatives aimed to develop a strong and engaged stakeholder sector that genuinely collaborates and contributes to the delivery of the NDIS, with confidence in the NDIS.</w:t>
      </w:r>
    </w:p>
    <w:p w14:paraId="25E6D427" w14:textId="7F09A413" w:rsidR="00EB3F0F" w:rsidRPr="007C747A" w:rsidRDefault="00EB3F0F" w:rsidP="00D54875">
      <w:pPr>
        <w:pStyle w:val="Heading43"/>
        <w:ind w:left="0"/>
        <w:outlineLvl w:val="3"/>
      </w:pPr>
      <w:r w:rsidRPr="007C747A">
        <w:t>Table 2.2C</w:t>
      </w:r>
      <w:r w:rsidR="00BF0550" w:rsidRPr="007C747A">
        <w:t>:</w:t>
      </w:r>
      <w:r w:rsidRPr="007C747A">
        <w:t xml:space="preserve"> </w:t>
      </w:r>
      <w:r w:rsidR="00EC5327" w:rsidRPr="007C747A">
        <w:t>Aspiration 3 – p</w:t>
      </w:r>
      <w:r w:rsidRPr="007C747A">
        <w:t>erformance targets</w:t>
      </w:r>
      <w:r w:rsidR="00EC5327" w:rsidRPr="007C747A">
        <w:t>,</w:t>
      </w:r>
      <w:r w:rsidRPr="007C747A">
        <w:t xml:space="preserve"> measures </w:t>
      </w:r>
      <w:r w:rsidR="002C1230" w:rsidRPr="007C747A">
        <w:t xml:space="preserve">and </w:t>
      </w:r>
      <w:r w:rsidR="000B5F5C" w:rsidRPr="007C747A">
        <w:t>f</w:t>
      </w:r>
      <w:r w:rsidR="002C1230" w:rsidRPr="007C747A">
        <w:t>unctions</w:t>
      </w:r>
      <w:r w:rsidRPr="007C747A">
        <w:t xml:space="preserve"> </w:t>
      </w:r>
    </w:p>
    <w:tbl>
      <w:tblPr>
        <w:tblW w:w="100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0" w:type="dxa"/>
        </w:tblCellMar>
        <w:tblLook w:val="0420" w:firstRow="1" w:lastRow="0" w:firstColumn="0" w:lastColumn="0" w:noHBand="0" w:noVBand="1"/>
      </w:tblPr>
      <w:tblGrid>
        <w:gridCol w:w="3109"/>
        <w:gridCol w:w="1134"/>
        <w:gridCol w:w="992"/>
        <w:gridCol w:w="1843"/>
        <w:gridCol w:w="2977"/>
      </w:tblGrid>
      <w:tr w:rsidR="000B5F5C" w:rsidRPr="007C747A" w14:paraId="21DD5CDD" w14:textId="77777777" w:rsidTr="00784C1B">
        <w:trPr>
          <w:trHeight w:val="340"/>
        </w:trPr>
        <w:tc>
          <w:tcPr>
            <w:tcW w:w="3109" w:type="dxa"/>
            <w:shd w:val="clear" w:color="auto" w:fill="C9C7E4"/>
            <w:tcMar>
              <w:top w:w="72" w:type="dxa"/>
              <w:left w:w="144" w:type="dxa"/>
              <w:bottom w:w="72" w:type="dxa"/>
              <w:right w:w="144" w:type="dxa"/>
            </w:tcMar>
            <w:vAlign w:val="center"/>
            <w:hideMark/>
          </w:tcPr>
          <w:p w14:paraId="2C6CE2F2" w14:textId="2FE87799" w:rsidR="000B5F5C" w:rsidRPr="007C747A" w:rsidRDefault="000B5F5C" w:rsidP="000B5F5C">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 xml:space="preserve">Performance </w:t>
            </w:r>
            <w:r w:rsidR="003E3956" w:rsidRPr="007C747A">
              <w:rPr>
                <w:rFonts w:eastAsia="Times New Roman" w:cs="Arial"/>
                <w:b/>
                <w:bCs/>
                <w:kern w:val="24"/>
                <w:sz w:val="20"/>
                <w:szCs w:val="20"/>
                <w:lang w:val="en-AU" w:eastAsia="en-AU"/>
              </w:rPr>
              <w:t>m</w:t>
            </w:r>
            <w:r w:rsidRPr="007C747A">
              <w:rPr>
                <w:rFonts w:eastAsia="Times New Roman" w:cs="Arial"/>
                <w:b/>
                <w:bCs/>
                <w:kern w:val="24"/>
                <w:sz w:val="20"/>
                <w:szCs w:val="20"/>
                <w:lang w:val="en-AU" w:eastAsia="en-AU"/>
              </w:rPr>
              <w:t>easure</w:t>
            </w:r>
          </w:p>
        </w:tc>
        <w:tc>
          <w:tcPr>
            <w:tcW w:w="1134" w:type="dxa"/>
            <w:shd w:val="clear" w:color="auto" w:fill="C9C7E4"/>
            <w:tcMar>
              <w:top w:w="72" w:type="dxa"/>
              <w:left w:w="144" w:type="dxa"/>
              <w:bottom w:w="72" w:type="dxa"/>
              <w:right w:w="144" w:type="dxa"/>
            </w:tcMar>
            <w:vAlign w:val="center"/>
            <w:hideMark/>
          </w:tcPr>
          <w:p w14:paraId="684B2565" w14:textId="4888EEA3" w:rsidR="000B5F5C" w:rsidRPr="007C747A" w:rsidRDefault="000B5F5C" w:rsidP="000B5F5C">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3E3956"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3E3956" w:rsidRPr="007C747A">
              <w:rPr>
                <w:rFonts w:eastAsia="Times New Roman" w:cs="Arial"/>
                <w:b/>
                <w:bCs/>
                <w:kern w:val="24"/>
                <w:sz w:val="20"/>
                <w:szCs w:val="20"/>
                <w:lang w:val="en-AU" w:eastAsia="en-AU"/>
              </w:rPr>
              <w:t>t</w:t>
            </w:r>
            <w:r w:rsidRPr="007C747A">
              <w:rPr>
                <w:rFonts w:eastAsia="Times New Roman" w:cs="Arial"/>
                <w:b/>
                <w:bCs/>
                <w:kern w:val="24"/>
                <w:sz w:val="20"/>
                <w:szCs w:val="20"/>
                <w:lang w:val="en-AU" w:eastAsia="en-AU"/>
              </w:rPr>
              <w:t>arget</w:t>
            </w:r>
          </w:p>
        </w:tc>
        <w:tc>
          <w:tcPr>
            <w:tcW w:w="992" w:type="dxa"/>
            <w:shd w:val="clear" w:color="auto" w:fill="C9C7E4"/>
            <w:vAlign w:val="center"/>
          </w:tcPr>
          <w:p w14:paraId="25E67879" w14:textId="1D1D569B" w:rsidR="000B5F5C" w:rsidRPr="007C747A" w:rsidRDefault="000B5F5C" w:rsidP="000B5F5C">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3E3956"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3E3956" w:rsidRPr="007C747A">
              <w:rPr>
                <w:rFonts w:eastAsia="Times New Roman" w:cs="Arial"/>
                <w:b/>
                <w:bCs/>
                <w:kern w:val="24"/>
                <w:sz w:val="20"/>
                <w:szCs w:val="20"/>
                <w:lang w:val="en-AU" w:eastAsia="en-AU"/>
              </w:rPr>
              <w:t>r</w:t>
            </w:r>
            <w:r w:rsidRPr="007C747A">
              <w:rPr>
                <w:rFonts w:eastAsia="Times New Roman" w:cs="Arial"/>
                <w:b/>
                <w:bCs/>
                <w:kern w:val="24"/>
                <w:sz w:val="20"/>
                <w:szCs w:val="20"/>
                <w:lang w:val="en-AU" w:eastAsia="en-AU"/>
              </w:rPr>
              <w:t>esult</w:t>
            </w:r>
          </w:p>
        </w:tc>
        <w:tc>
          <w:tcPr>
            <w:tcW w:w="1843" w:type="dxa"/>
            <w:shd w:val="clear" w:color="auto" w:fill="C9C7E4"/>
            <w:vAlign w:val="center"/>
          </w:tcPr>
          <w:p w14:paraId="15A87933" w14:textId="77777777" w:rsidR="000B5F5C" w:rsidRPr="007C747A" w:rsidRDefault="000B5F5C" w:rsidP="000B5F5C">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Outcome</w:t>
            </w:r>
          </w:p>
        </w:tc>
        <w:tc>
          <w:tcPr>
            <w:tcW w:w="2977" w:type="dxa"/>
            <w:shd w:val="clear" w:color="auto" w:fill="C9C7E4"/>
            <w:tcMar>
              <w:top w:w="72" w:type="dxa"/>
              <w:left w:w="144" w:type="dxa"/>
              <w:bottom w:w="72" w:type="dxa"/>
              <w:right w:w="144" w:type="dxa"/>
            </w:tcMar>
            <w:vAlign w:val="center"/>
            <w:hideMark/>
          </w:tcPr>
          <w:p w14:paraId="7B3E58B0" w14:textId="77777777" w:rsidR="000B5F5C" w:rsidRPr="007C747A" w:rsidRDefault="000B5F5C" w:rsidP="000B5F5C">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Method</w:t>
            </w:r>
          </w:p>
        </w:tc>
      </w:tr>
      <w:tr w:rsidR="000B5F5C" w:rsidRPr="007C747A" w14:paraId="15F2FD25" w14:textId="77777777" w:rsidTr="00784C1B">
        <w:trPr>
          <w:trHeight w:val="170"/>
        </w:trPr>
        <w:tc>
          <w:tcPr>
            <w:tcW w:w="3109" w:type="dxa"/>
            <w:shd w:val="clear" w:color="auto" w:fill="auto"/>
            <w:tcMar>
              <w:top w:w="72" w:type="dxa"/>
              <w:left w:w="144" w:type="dxa"/>
              <w:bottom w:w="72" w:type="dxa"/>
              <w:right w:w="144" w:type="dxa"/>
            </w:tcMar>
            <w:hideMark/>
          </w:tcPr>
          <w:p w14:paraId="444046C1" w14:textId="77777777" w:rsidR="000B5F5C" w:rsidRPr="007C747A" w:rsidRDefault="000B5F5C" w:rsidP="000B5F5C">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General community sentiment and confidence (%)</w:t>
            </w:r>
          </w:p>
        </w:tc>
        <w:tc>
          <w:tcPr>
            <w:tcW w:w="1134" w:type="dxa"/>
            <w:shd w:val="clear" w:color="auto" w:fill="auto"/>
            <w:tcMar>
              <w:top w:w="72" w:type="dxa"/>
              <w:left w:w="144" w:type="dxa"/>
              <w:bottom w:w="72" w:type="dxa"/>
              <w:right w:w="144" w:type="dxa"/>
            </w:tcMar>
            <w:hideMark/>
          </w:tcPr>
          <w:p w14:paraId="70E723FD" w14:textId="77777777" w:rsidR="000B5F5C" w:rsidRPr="007C747A" w:rsidRDefault="000B5F5C" w:rsidP="000B5F5C">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70%</w:t>
            </w:r>
          </w:p>
        </w:tc>
        <w:tc>
          <w:tcPr>
            <w:tcW w:w="992" w:type="dxa"/>
            <w:shd w:val="clear" w:color="auto" w:fill="auto"/>
          </w:tcPr>
          <w:p w14:paraId="6E5CA4DB" w14:textId="77777777" w:rsidR="000B5F5C" w:rsidRPr="007C747A" w:rsidRDefault="000B5F5C" w:rsidP="000B5F5C">
            <w:pPr>
              <w:spacing w:before="120" w:after="12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66.3%</w:t>
            </w:r>
          </w:p>
        </w:tc>
        <w:tc>
          <w:tcPr>
            <w:tcW w:w="1843" w:type="dxa"/>
            <w:shd w:val="clear" w:color="auto" w:fill="auto"/>
          </w:tcPr>
          <w:p w14:paraId="732D60D0" w14:textId="09903946" w:rsidR="000B5F5C" w:rsidRPr="007C747A" w:rsidRDefault="000B5F5C" w:rsidP="000B5F5C">
            <w:pPr>
              <w:spacing w:before="120" w:after="120" w:line="240" w:lineRule="auto"/>
              <w:rPr>
                <w:rFonts w:eastAsia="Times New Roman" w:cs="Arial"/>
                <w:color w:val="000000"/>
                <w:kern w:val="24"/>
                <w:sz w:val="20"/>
                <w:szCs w:val="20"/>
                <w:lang w:val="en-AU" w:eastAsia="en-AU"/>
              </w:rPr>
            </w:pPr>
            <w:r w:rsidRPr="007C747A">
              <w:rPr>
                <w:rFonts w:eastAsia="Times New Roman" w:cs="Arial"/>
                <w:b/>
                <w:bCs/>
                <w:sz w:val="20"/>
                <w:szCs w:val="20"/>
                <w:lang w:val="en-AU" w:eastAsia="en-AU"/>
              </w:rPr>
              <w:t xml:space="preserve">Partially </w:t>
            </w:r>
            <w:r w:rsidR="003E3956"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2977" w:type="dxa"/>
            <w:shd w:val="clear" w:color="auto" w:fill="auto"/>
            <w:tcMar>
              <w:top w:w="72" w:type="dxa"/>
              <w:left w:w="144" w:type="dxa"/>
              <w:bottom w:w="72" w:type="dxa"/>
              <w:right w:w="144" w:type="dxa"/>
            </w:tcMar>
          </w:tcPr>
          <w:p w14:paraId="2EE80420" w14:textId="39C78F23" w:rsidR="000B5F5C" w:rsidRPr="007C747A" w:rsidRDefault="000B5F5C" w:rsidP="000B5F5C">
            <w:pPr>
              <w:spacing w:before="120" w:after="120" w:line="240" w:lineRule="auto"/>
              <w:rPr>
                <w:rFonts w:eastAsia="Times New Roman" w:cs="Arial"/>
                <w:color w:val="000000"/>
                <w:kern w:val="24"/>
                <w:sz w:val="20"/>
                <w:szCs w:val="20"/>
                <w:lang w:val="en-AU" w:eastAsia="en-AU"/>
              </w:rPr>
            </w:pPr>
            <w:r w:rsidRPr="007C747A">
              <w:rPr>
                <w:rFonts w:eastAsia="DengXian" w:cs="Arial"/>
                <w:sz w:val="20"/>
                <w:szCs w:val="20"/>
                <w:lang w:val="en-AU"/>
              </w:rPr>
              <w:t xml:space="preserve">Calculated monthly (internally), through data provided from the community sentiment survey conducted by Hall &amp; Partners, by converting the scores for the 4 brand sentiment measures – </w:t>
            </w:r>
            <w:r w:rsidR="003E3956" w:rsidRPr="007C747A">
              <w:rPr>
                <w:rFonts w:eastAsia="DengXian" w:cs="Arial"/>
                <w:sz w:val="20"/>
                <w:szCs w:val="20"/>
                <w:lang w:val="en-AU"/>
              </w:rPr>
              <w:t>r</w:t>
            </w:r>
            <w:r w:rsidRPr="007C747A">
              <w:rPr>
                <w:rFonts w:eastAsia="DengXian" w:cs="Arial"/>
                <w:sz w:val="20"/>
                <w:szCs w:val="20"/>
                <w:lang w:val="en-AU"/>
              </w:rPr>
              <w:t xml:space="preserve">eputation, </w:t>
            </w:r>
            <w:r w:rsidR="003E3956" w:rsidRPr="007C747A">
              <w:rPr>
                <w:rFonts w:eastAsia="DengXian" w:cs="Arial"/>
                <w:sz w:val="20"/>
                <w:szCs w:val="20"/>
                <w:lang w:val="en-AU"/>
              </w:rPr>
              <w:t>t</w:t>
            </w:r>
            <w:r w:rsidRPr="007C747A">
              <w:rPr>
                <w:rFonts w:eastAsia="DengXian" w:cs="Arial"/>
                <w:sz w:val="20"/>
                <w:szCs w:val="20"/>
                <w:lang w:val="en-AU"/>
              </w:rPr>
              <w:t xml:space="preserve">rust, </w:t>
            </w:r>
            <w:r w:rsidR="003E3956" w:rsidRPr="007C747A">
              <w:rPr>
                <w:rFonts w:eastAsia="DengXian" w:cs="Arial"/>
                <w:sz w:val="20"/>
                <w:szCs w:val="20"/>
                <w:lang w:val="en-AU"/>
              </w:rPr>
              <w:t>s</w:t>
            </w:r>
            <w:r w:rsidRPr="007C747A">
              <w:rPr>
                <w:rFonts w:eastAsia="DengXian" w:cs="Arial"/>
                <w:sz w:val="20"/>
                <w:szCs w:val="20"/>
                <w:lang w:val="en-AU"/>
              </w:rPr>
              <w:t xml:space="preserve">upport and </w:t>
            </w:r>
            <w:r w:rsidR="003E3956" w:rsidRPr="007C747A">
              <w:rPr>
                <w:rFonts w:eastAsia="DengXian" w:cs="Arial"/>
                <w:sz w:val="20"/>
                <w:szCs w:val="20"/>
                <w:lang w:val="en-AU"/>
              </w:rPr>
              <w:t>p</w:t>
            </w:r>
            <w:r w:rsidRPr="007C747A">
              <w:rPr>
                <w:rFonts w:eastAsia="DengXian" w:cs="Arial"/>
                <w:sz w:val="20"/>
                <w:szCs w:val="20"/>
                <w:lang w:val="en-AU"/>
              </w:rPr>
              <w:t xml:space="preserve">ositivity towards the Scheme </w:t>
            </w:r>
            <w:r w:rsidR="003E3956" w:rsidRPr="007C747A">
              <w:rPr>
                <w:rFonts w:eastAsia="DengXian" w:cs="Arial"/>
                <w:sz w:val="20"/>
                <w:szCs w:val="20"/>
                <w:lang w:val="en-AU"/>
              </w:rPr>
              <w:t>–</w:t>
            </w:r>
            <w:r w:rsidRPr="007C747A">
              <w:rPr>
                <w:rFonts w:eastAsia="DengXian" w:cs="Arial"/>
                <w:sz w:val="20"/>
                <w:szCs w:val="20"/>
                <w:lang w:val="en-AU"/>
              </w:rPr>
              <w:t xml:space="preserve"> to a percentage and then calculating the average of the 4 percentages.</w:t>
            </w:r>
          </w:p>
        </w:tc>
      </w:tr>
    </w:tbl>
    <w:p w14:paraId="59456CBB" w14:textId="77777777" w:rsidR="00EB3F0F" w:rsidRPr="007C747A" w:rsidRDefault="00EB3F0F" w:rsidP="005820C1">
      <w:pPr>
        <w:pStyle w:val="FGCHEADING4"/>
        <w:rPr>
          <w:lang w:val="en-AU"/>
        </w:rPr>
      </w:pPr>
      <w:bookmarkStart w:id="105" w:name="_Toc142573705"/>
      <w:r w:rsidRPr="007C747A">
        <w:rPr>
          <w:lang w:val="en-AU"/>
        </w:rPr>
        <w:t>Analysis of performance</w:t>
      </w:r>
      <w:bookmarkEnd w:id="105"/>
    </w:p>
    <w:p w14:paraId="4FC516B9" w14:textId="1EA06E37" w:rsidR="00BC25B0" w:rsidRPr="007C747A" w:rsidRDefault="00BC25B0" w:rsidP="00BC25B0">
      <w:pPr>
        <w:spacing w:after="0" w:line="240" w:lineRule="auto"/>
        <w:rPr>
          <w:sz w:val="22"/>
          <w:szCs w:val="22"/>
          <w:lang w:val="en-AU"/>
        </w:rPr>
      </w:pPr>
      <w:r w:rsidRPr="007C747A">
        <w:rPr>
          <w:sz w:val="22"/>
          <w:szCs w:val="22"/>
          <w:lang w:val="en-AU"/>
        </w:rPr>
        <w:t>The NDIA has engaged in co-design with the sector on important aspects of the delivery of the Scheme. To be successful and effective at delivering the Scheme</w:t>
      </w:r>
      <w:r w:rsidR="003E3956" w:rsidRPr="007C747A">
        <w:rPr>
          <w:sz w:val="22"/>
          <w:szCs w:val="22"/>
          <w:lang w:val="en-AU"/>
        </w:rPr>
        <w:t>,</w:t>
      </w:r>
      <w:r w:rsidRPr="007C747A">
        <w:rPr>
          <w:sz w:val="22"/>
          <w:szCs w:val="22"/>
          <w:lang w:val="en-AU"/>
        </w:rPr>
        <w:t xml:space="preserve"> the Agency requires the voices and input of participants in the development of policies, services and interactions. The NDIA continues to build its engagement capability (including co-design) through the NDIA Engagement Framework.</w:t>
      </w:r>
    </w:p>
    <w:p w14:paraId="019F9881" w14:textId="77777777" w:rsidR="003E3956" w:rsidRPr="007C747A" w:rsidRDefault="003E3956" w:rsidP="00BC25B0">
      <w:pPr>
        <w:spacing w:after="0" w:line="240" w:lineRule="auto"/>
        <w:rPr>
          <w:sz w:val="22"/>
          <w:szCs w:val="22"/>
          <w:lang w:val="en-AU"/>
        </w:rPr>
      </w:pPr>
    </w:p>
    <w:p w14:paraId="57058D00" w14:textId="77777777" w:rsidR="00BC25B0" w:rsidRPr="007C747A" w:rsidRDefault="00BC25B0" w:rsidP="00BC25B0">
      <w:pPr>
        <w:spacing w:after="0" w:line="240" w:lineRule="auto"/>
        <w:rPr>
          <w:sz w:val="22"/>
          <w:szCs w:val="22"/>
          <w:lang w:val="en-AU"/>
        </w:rPr>
      </w:pPr>
      <w:r w:rsidRPr="007C747A">
        <w:rPr>
          <w:sz w:val="22"/>
          <w:szCs w:val="22"/>
          <w:lang w:val="en-AU"/>
        </w:rPr>
        <w:t xml:space="preserve">Over the last year, co-design efforts have focused on 6 priority areas: </w:t>
      </w:r>
    </w:p>
    <w:p w14:paraId="0AFF1205" w14:textId="1EB48DC5" w:rsidR="00BC25B0" w:rsidRPr="007C747A" w:rsidRDefault="003E3956" w:rsidP="001E2D18">
      <w:pPr>
        <w:pStyle w:val="ListParagraph"/>
        <w:numPr>
          <w:ilvl w:val="0"/>
          <w:numId w:val="42"/>
        </w:numPr>
        <w:spacing w:after="0" w:line="240" w:lineRule="auto"/>
        <w:rPr>
          <w:sz w:val="22"/>
          <w:szCs w:val="22"/>
          <w:lang w:val="en-AU"/>
        </w:rPr>
      </w:pPr>
      <w:r w:rsidRPr="007C747A">
        <w:rPr>
          <w:sz w:val="22"/>
          <w:szCs w:val="22"/>
          <w:lang w:val="en-AU"/>
        </w:rPr>
        <w:t>p</w:t>
      </w:r>
      <w:r w:rsidR="00BC25B0" w:rsidRPr="007C747A">
        <w:rPr>
          <w:sz w:val="22"/>
          <w:szCs w:val="22"/>
          <w:lang w:val="en-AU"/>
        </w:rPr>
        <w:t xml:space="preserve">articipant </w:t>
      </w:r>
      <w:r w:rsidRPr="007C747A">
        <w:rPr>
          <w:sz w:val="22"/>
          <w:szCs w:val="22"/>
          <w:lang w:val="en-AU"/>
        </w:rPr>
        <w:t>s</w:t>
      </w:r>
      <w:r w:rsidR="00BC25B0" w:rsidRPr="007C747A">
        <w:rPr>
          <w:sz w:val="22"/>
          <w:szCs w:val="22"/>
          <w:lang w:val="en-AU"/>
        </w:rPr>
        <w:t xml:space="preserve">afeguarding </w:t>
      </w:r>
    </w:p>
    <w:p w14:paraId="7662F532" w14:textId="29B99E02" w:rsidR="00BC25B0" w:rsidRPr="007C747A" w:rsidRDefault="003E3956" w:rsidP="001E2D18">
      <w:pPr>
        <w:pStyle w:val="ListParagraph"/>
        <w:numPr>
          <w:ilvl w:val="0"/>
          <w:numId w:val="42"/>
        </w:numPr>
        <w:spacing w:after="0" w:line="240" w:lineRule="auto"/>
        <w:rPr>
          <w:sz w:val="22"/>
          <w:szCs w:val="22"/>
          <w:lang w:val="en-AU"/>
        </w:rPr>
      </w:pPr>
      <w:r w:rsidRPr="007C747A">
        <w:rPr>
          <w:sz w:val="22"/>
          <w:szCs w:val="22"/>
          <w:lang w:val="en-AU"/>
        </w:rPr>
        <w:t>s</w:t>
      </w:r>
      <w:r w:rsidR="00BC25B0" w:rsidRPr="007C747A">
        <w:rPr>
          <w:sz w:val="22"/>
          <w:szCs w:val="22"/>
          <w:lang w:val="en-AU"/>
        </w:rPr>
        <w:t xml:space="preserve">upported </w:t>
      </w:r>
      <w:r w:rsidRPr="007C747A">
        <w:rPr>
          <w:sz w:val="22"/>
          <w:szCs w:val="22"/>
          <w:lang w:val="en-AU"/>
        </w:rPr>
        <w:t>d</w:t>
      </w:r>
      <w:r w:rsidR="00BC25B0" w:rsidRPr="007C747A">
        <w:rPr>
          <w:sz w:val="22"/>
          <w:szCs w:val="22"/>
          <w:lang w:val="en-AU"/>
        </w:rPr>
        <w:t>ecision</w:t>
      </w:r>
      <w:r w:rsidRPr="007C747A">
        <w:rPr>
          <w:sz w:val="22"/>
          <w:szCs w:val="22"/>
          <w:lang w:val="en-AU"/>
        </w:rPr>
        <w:t>-m</w:t>
      </w:r>
      <w:r w:rsidR="00BC25B0" w:rsidRPr="007C747A">
        <w:rPr>
          <w:sz w:val="22"/>
          <w:szCs w:val="22"/>
          <w:lang w:val="en-AU"/>
        </w:rPr>
        <w:t xml:space="preserve">aking </w:t>
      </w:r>
    </w:p>
    <w:p w14:paraId="4D6585E2" w14:textId="67F28669" w:rsidR="00BC25B0" w:rsidRPr="007C747A" w:rsidRDefault="003E3956" w:rsidP="001E2D18">
      <w:pPr>
        <w:pStyle w:val="ListParagraph"/>
        <w:numPr>
          <w:ilvl w:val="0"/>
          <w:numId w:val="42"/>
        </w:numPr>
        <w:spacing w:after="0" w:line="240" w:lineRule="auto"/>
        <w:rPr>
          <w:sz w:val="22"/>
          <w:szCs w:val="22"/>
          <w:lang w:val="en-AU"/>
        </w:rPr>
      </w:pPr>
      <w:r w:rsidRPr="007C747A">
        <w:rPr>
          <w:sz w:val="22"/>
          <w:szCs w:val="22"/>
          <w:lang w:val="en-AU"/>
        </w:rPr>
        <w:t>i</w:t>
      </w:r>
      <w:r w:rsidR="00BC25B0" w:rsidRPr="007C747A">
        <w:rPr>
          <w:sz w:val="22"/>
          <w:szCs w:val="22"/>
          <w:lang w:val="en-AU"/>
        </w:rPr>
        <w:t xml:space="preserve">nformation </w:t>
      </w:r>
      <w:r w:rsidRPr="007C747A">
        <w:rPr>
          <w:sz w:val="22"/>
          <w:szCs w:val="22"/>
          <w:lang w:val="en-AU"/>
        </w:rPr>
        <w:t>g</w:t>
      </w:r>
      <w:r w:rsidR="00BC25B0" w:rsidRPr="007C747A">
        <w:rPr>
          <w:sz w:val="22"/>
          <w:szCs w:val="22"/>
          <w:lang w:val="en-AU"/>
        </w:rPr>
        <w:t xml:space="preserve">athering for </w:t>
      </w:r>
      <w:r w:rsidRPr="007C747A">
        <w:rPr>
          <w:sz w:val="22"/>
          <w:szCs w:val="22"/>
          <w:lang w:val="en-AU"/>
        </w:rPr>
        <w:t>a</w:t>
      </w:r>
      <w:r w:rsidR="00BC25B0" w:rsidRPr="007C747A">
        <w:rPr>
          <w:sz w:val="22"/>
          <w:szCs w:val="22"/>
          <w:lang w:val="en-AU"/>
        </w:rPr>
        <w:t xml:space="preserve">ccess and </w:t>
      </w:r>
      <w:r w:rsidRPr="007C747A">
        <w:rPr>
          <w:sz w:val="22"/>
          <w:szCs w:val="22"/>
          <w:lang w:val="en-AU"/>
        </w:rPr>
        <w:t>p</w:t>
      </w:r>
      <w:r w:rsidR="00BC25B0" w:rsidRPr="007C747A">
        <w:rPr>
          <w:sz w:val="22"/>
          <w:szCs w:val="22"/>
          <w:lang w:val="en-AU"/>
        </w:rPr>
        <w:t>lanning (IGAP)</w:t>
      </w:r>
    </w:p>
    <w:p w14:paraId="4ACE1FB8" w14:textId="5BAC36EF" w:rsidR="00BC25B0" w:rsidRPr="007C747A" w:rsidRDefault="003E3956" w:rsidP="001E2D18">
      <w:pPr>
        <w:pStyle w:val="ListParagraph"/>
        <w:numPr>
          <w:ilvl w:val="0"/>
          <w:numId w:val="42"/>
        </w:numPr>
        <w:spacing w:after="0" w:line="240" w:lineRule="auto"/>
        <w:rPr>
          <w:sz w:val="22"/>
          <w:szCs w:val="22"/>
          <w:lang w:val="en-AU"/>
        </w:rPr>
      </w:pPr>
      <w:r w:rsidRPr="007C747A">
        <w:rPr>
          <w:sz w:val="22"/>
          <w:szCs w:val="22"/>
          <w:lang w:val="en-AU"/>
        </w:rPr>
        <w:t>h</w:t>
      </w:r>
      <w:r w:rsidR="00BC25B0" w:rsidRPr="007C747A">
        <w:rPr>
          <w:sz w:val="22"/>
          <w:szCs w:val="22"/>
          <w:lang w:val="en-AU"/>
        </w:rPr>
        <w:t xml:space="preserve">ome and </w:t>
      </w:r>
      <w:r w:rsidRPr="007C747A">
        <w:rPr>
          <w:sz w:val="22"/>
          <w:szCs w:val="22"/>
          <w:lang w:val="en-AU"/>
        </w:rPr>
        <w:t>l</w:t>
      </w:r>
      <w:r w:rsidR="00BC25B0" w:rsidRPr="007C747A">
        <w:rPr>
          <w:sz w:val="22"/>
          <w:szCs w:val="22"/>
          <w:lang w:val="en-AU"/>
        </w:rPr>
        <w:t xml:space="preserve">iving </w:t>
      </w:r>
    </w:p>
    <w:p w14:paraId="60A3AFE8" w14:textId="78C464AF" w:rsidR="00BC25B0" w:rsidRPr="007C747A" w:rsidRDefault="003E3956" w:rsidP="001E2D18">
      <w:pPr>
        <w:pStyle w:val="ListParagraph"/>
        <w:numPr>
          <w:ilvl w:val="0"/>
          <w:numId w:val="42"/>
        </w:numPr>
        <w:spacing w:after="0" w:line="240" w:lineRule="auto"/>
        <w:rPr>
          <w:sz w:val="22"/>
          <w:szCs w:val="22"/>
          <w:lang w:val="en-AU"/>
        </w:rPr>
      </w:pPr>
      <w:r w:rsidRPr="007C747A">
        <w:rPr>
          <w:sz w:val="22"/>
          <w:szCs w:val="22"/>
          <w:lang w:val="en-AU"/>
        </w:rPr>
        <w:t xml:space="preserve">Cultural and Linguistic Diversity </w:t>
      </w:r>
      <w:r w:rsidR="00BC25B0" w:rsidRPr="007C747A">
        <w:rPr>
          <w:sz w:val="22"/>
          <w:szCs w:val="22"/>
          <w:lang w:val="en-AU"/>
        </w:rPr>
        <w:t xml:space="preserve">Strategy </w:t>
      </w:r>
      <w:r w:rsidRPr="007C747A">
        <w:rPr>
          <w:sz w:val="22"/>
          <w:szCs w:val="22"/>
          <w:lang w:val="en-AU"/>
        </w:rPr>
        <w:t>(CALD Strategy)</w:t>
      </w:r>
    </w:p>
    <w:p w14:paraId="02A03DDD" w14:textId="77777777" w:rsidR="00BC25B0" w:rsidRPr="007C747A" w:rsidRDefault="00BC25B0" w:rsidP="001E2D18">
      <w:pPr>
        <w:pStyle w:val="ListParagraph"/>
        <w:numPr>
          <w:ilvl w:val="0"/>
          <w:numId w:val="42"/>
        </w:numPr>
        <w:spacing w:after="0" w:line="240" w:lineRule="auto"/>
        <w:rPr>
          <w:sz w:val="22"/>
          <w:szCs w:val="22"/>
          <w:lang w:val="en-AU"/>
        </w:rPr>
      </w:pPr>
      <w:r w:rsidRPr="007C747A">
        <w:rPr>
          <w:sz w:val="22"/>
          <w:szCs w:val="22"/>
          <w:lang w:val="en-AU"/>
        </w:rPr>
        <w:t>First Nations Strategy.</w:t>
      </w:r>
    </w:p>
    <w:p w14:paraId="0E90F171" w14:textId="77777777" w:rsidR="003E3956" w:rsidRPr="007C747A" w:rsidRDefault="003E3956" w:rsidP="00BC25B0">
      <w:pPr>
        <w:spacing w:after="0" w:line="240" w:lineRule="auto"/>
        <w:rPr>
          <w:rFonts w:eastAsia="Calibri" w:cs="Arial"/>
          <w:sz w:val="22"/>
          <w:lang w:val="en-AU"/>
        </w:rPr>
      </w:pPr>
    </w:p>
    <w:p w14:paraId="5871EDF2" w14:textId="11554050" w:rsidR="00BC25B0" w:rsidRPr="007C747A" w:rsidRDefault="00BC25B0" w:rsidP="00BC25B0">
      <w:pPr>
        <w:spacing w:after="0" w:line="240" w:lineRule="auto"/>
        <w:rPr>
          <w:rFonts w:eastAsia="Calibri" w:cs="Arial"/>
          <w:sz w:val="22"/>
          <w:lang w:val="en-AU"/>
        </w:rPr>
      </w:pPr>
      <w:r w:rsidRPr="007C747A">
        <w:rPr>
          <w:rFonts w:eastAsia="Calibri" w:cs="Arial"/>
          <w:sz w:val="22"/>
          <w:lang w:val="en-AU"/>
        </w:rPr>
        <w:t xml:space="preserve">The Minister released the </w:t>
      </w:r>
      <w:hyperlink r:id="rId18" w:history="1">
        <w:r w:rsidRPr="00B74C35">
          <w:rPr>
            <w:rFonts w:eastAsia="Calibri" w:cs="Arial"/>
            <w:color w:val="6B2876" w:themeColor="text1"/>
            <w:sz w:val="22"/>
            <w:u w:val="single"/>
            <w:lang w:val="en-AU"/>
          </w:rPr>
          <w:t>NDIA Participant Safeguarding Policy</w:t>
        </w:r>
      </w:hyperlink>
      <w:r w:rsidRPr="007C747A">
        <w:rPr>
          <w:rFonts w:eastAsia="Calibri" w:cs="Arial"/>
          <w:sz w:val="22"/>
          <w:lang w:val="en-AU"/>
        </w:rPr>
        <w:t xml:space="preserve"> and Implementation Plan on </w:t>
      </w:r>
      <w:r w:rsidRPr="007C747A">
        <w:rPr>
          <w:rFonts w:eastAsia="Calibri" w:cs="Arial"/>
          <w:sz w:val="22"/>
          <w:lang w:val="en-AU"/>
        </w:rPr>
        <w:br/>
        <w:t xml:space="preserve">10 April 2023, and the </w:t>
      </w:r>
      <w:hyperlink r:id="rId19" w:history="1">
        <w:r w:rsidRPr="00B74C35">
          <w:rPr>
            <w:rFonts w:eastAsia="Calibri" w:cs="Arial"/>
            <w:color w:val="6B2876" w:themeColor="text1"/>
            <w:sz w:val="22"/>
            <w:u w:val="single"/>
            <w:lang w:val="en-AU"/>
          </w:rPr>
          <w:t>Supported Decision Making Policy</w:t>
        </w:r>
      </w:hyperlink>
      <w:r w:rsidRPr="007C747A">
        <w:rPr>
          <w:rFonts w:eastAsia="Calibri" w:cs="Arial"/>
          <w:sz w:val="22"/>
          <w:lang w:val="en-AU"/>
        </w:rPr>
        <w:t xml:space="preserve"> and Implementation Plan on 4 May 2023.</w:t>
      </w:r>
    </w:p>
    <w:p w14:paraId="1806B40E" w14:textId="77777777" w:rsidR="00C0049B" w:rsidRPr="007C747A" w:rsidRDefault="00C0049B" w:rsidP="00BC25B0">
      <w:pPr>
        <w:spacing w:after="0" w:line="240" w:lineRule="auto"/>
        <w:rPr>
          <w:sz w:val="22"/>
          <w:szCs w:val="22"/>
          <w:lang w:val="en-AU"/>
        </w:rPr>
      </w:pPr>
    </w:p>
    <w:p w14:paraId="25C252A1" w14:textId="3862A2C2" w:rsidR="00BC25B0" w:rsidRPr="007C747A" w:rsidRDefault="00BC25B0" w:rsidP="00BC25B0">
      <w:pPr>
        <w:spacing w:after="0" w:line="240" w:lineRule="auto"/>
        <w:rPr>
          <w:sz w:val="22"/>
          <w:szCs w:val="22"/>
          <w:lang w:val="en-AU"/>
        </w:rPr>
      </w:pPr>
      <w:r w:rsidRPr="007C747A">
        <w:rPr>
          <w:sz w:val="22"/>
          <w:szCs w:val="22"/>
          <w:lang w:val="en-AU"/>
        </w:rPr>
        <w:t>In May 2023, the IGAP Steering Committee agreed to pause the IGAP project until the recommendations of the NDIS Review have been delivered.</w:t>
      </w:r>
    </w:p>
    <w:p w14:paraId="38C519A8" w14:textId="77777777" w:rsidR="00C0049B" w:rsidRPr="007C747A" w:rsidRDefault="00C0049B" w:rsidP="00BC25B0">
      <w:pPr>
        <w:spacing w:after="0" w:line="240" w:lineRule="auto"/>
        <w:rPr>
          <w:sz w:val="22"/>
          <w:szCs w:val="22"/>
          <w:lang w:val="en-AU"/>
        </w:rPr>
      </w:pPr>
    </w:p>
    <w:p w14:paraId="2AE8C2AE" w14:textId="3B0AAB7E" w:rsidR="00BC25B0" w:rsidRPr="007C747A" w:rsidRDefault="00BC25B0" w:rsidP="00BC25B0">
      <w:pPr>
        <w:spacing w:after="0" w:line="240" w:lineRule="auto"/>
        <w:rPr>
          <w:sz w:val="22"/>
          <w:szCs w:val="22"/>
          <w:lang w:val="en-AU"/>
        </w:rPr>
      </w:pPr>
      <w:r w:rsidRPr="007C747A">
        <w:rPr>
          <w:sz w:val="22"/>
          <w:szCs w:val="22"/>
          <w:lang w:val="en-AU"/>
        </w:rPr>
        <w:t xml:space="preserve">The NDIA is co-designing a Home and Living Framework to inform the way the Scheme supports participants to pursue their home and living goals. The NDIA is currently working on an implementation plan to support the </w:t>
      </w:r>
      <w:r w:rsidR="00C0049B" w:rsidRPr="007C747A">
        <w:rPr>
          <w:sz w:val="22"/>
          <w:szCs w:val="22"/>
          <w:lang w:val="en-AU"/>
        </w:rPr>
        <w:t>f</w:t>
      </w:r>
      <w:r w:rsidRPr="007C747A">
        <w:rPr>
          <w:sz w:val="22"/>
          <w:szCs w:val="22"/>
          <w:lang w:val="en-AU"/>
        </w:rPr>
        <w:t>ramework. More than 120 hours of co-design has gone into the development of the framework.</w:t>
      </w:r>
    </w:p>
    <w:p w14:paraId="6880E518" w14:textId="77777777" w:rsidR="00C0049B" w:rsidRPr="007C747A" w:rsidRDefault="00C0049B" w:rsidP="00BC25B0">
      <w:pPr>
        <w:spacing w:after="0" w:line="240" w:lineRule="auto"/>
        <w:rPr>
          <w:sz w:val="22"/>
          <w:szCs w:val="22"/>
          <w:lang w:val="en-AU"/>
        </w:rPr>
      </w:pPr>
    </w:p>
    <w:p w14:paraId="3E815F08" w14:textId="0C5D3A98" w:rsidR="00BC25B0" w:rsidRPr="007C747A" w:rsidRDefault="00BC25B0" w:rsidP="00BC25B0">
      <w:pPr>
        <w:spacing w:after="0" w:line="240" w:lineRule="auto"/>
        <w:rPr>
          <w:sz w:val="22"/>
          <w:szCs w:val="22"/>
          <w:lang w:val="en-AU"/>
        </w:rPr>
      </w:pPr>
      <w:r w:rsidRPr="007C747A">
        <w:rPr>
          <w:sz w:val="22"/>
          <w:szCs w:val="22"/>
          <w:lang w:val="en-AU"/>
        </w:rPr>
        <w:t>The NDIA is co-designing a new CALD Strategy for 2023–2027 and corresponding Action Plan. In the last year, the NDIA has completed engagement with people with disability from CALD backgrounds, nominees, families, carers, providers, and sector stakeholders to co-design actions to address identified challenges. The final CALD Strategy and Action Plan will then be translated and designed, before being released and publicly available by November 2023.</w:t>
      </w:r>
    </w:p>
    <w:p w14:paraId="04279D3D" w14:textId="0D0B393B" w:rsidR="00BC25B0" w:rsidRPr="007C747A" w:rsidRDefault="00BC25B0" w:rsidP="00BC25B0">
      <w:pPr>
        <w:spacing w:after="0" w:line="240" w:lineRule="auto"/>
        <w:rPr>
          <w:sz w:val="22"/>
          <w:szCs w:val="22"/>
          <w:lang w:val="en-AU"/>
        </w:rPr>
      </w:pPr>
      <w:r w:rsidRPr="007C747A">
        <w:rPr>
          <w:sz w:val="22"/>
          <w:szCs w:val="22"/>
          <w:lang w:val="en-AU"/>
        </w:rPr>
        <w:t xml:space="preserve">The NDIA is progressing the development of a new First Nations Strategy, to replace the 2017 Aboriginal and Torres Strait Islander Strategy. Over the last year, the NDIA has established the NDIS First Nations Advisory Council. </w:t>
      </w:r>
    </w:p>
    <w:p w14:paraId="60702FCE" w14:textId="77777777" w:rsidR="00C0049B" w:rsidRPr="007C747A" w:rsidRDefault="00C0049B" w:rsidP="00BC25B0">
      <w:pPr>
        <w:spacing w:after="0" w:line="240" w:lineRule="auto"/>
        <w:rPr>
          <w:sz w:val="22"/>
          <w:szCs w:val="22"/>
          <w:lang w:val="en-AU"/>
        </w:rPr>
      </w:pPr>
    </w:p>
    <w:p w14:paraId="7EC7CCC7" w14:textId="4E4BEB2C" w:rsidR="00BC25B0" w:rsidRPr="007C747A" w:rsidRDefault="00BC25B0" w:rsidP="00BC25B0">
      <w:pPr>
        <w:spacing w:after="0" w:line="240" w:lineRule="auto"/>
        <w:rPr>
          <w:sz w:val="22"/>
          <w:szCs w:val="22"/>
          <w:lang w:val="en-AU"/>
        </w:rPr>
      </w:pPr>
      <w:r w:rsidRPr="007C747A">
        <w:rPr>
          <w:sz w:val="22"/>
          <w:szCs w:val="22"/>
          <w:lang w:val="en-AU"/>
        </w:rPr>
        <w:t xml:space="preserve">General </w:t>
      </w:r>
      <w:r w:rsidR="00C0049B" w:rsidRPr="007C747A">
        <w:rPr>
          <w:sz w:val="22"/>
          <w:szCs w:val="22"/>
          <w:lang w:val="en-AU"/>
        </w:rPr>
        <w:t>c</w:t>
      </w:r>
      <w:r w:rsidRPr="007C747A">
        <w:rPr>
          <w:sz w:val="22"/>
          <w:szCs w:val="22"/>
          <w:lang w:val="en-AU"/>
        </w:rPr>
        <w:t xml:space="preserve">ommunity </w:t>
      </w:r>
      <w:r w:rsidR="00C0049B" w:rsidRPr="007C747A">
        <w:rPr>
          <w:sz w:val="22"/>
          <w:szCs w:val="22"/>
          <w:lang w:val="en-AU"/>
        </w:rPr>
        <w:t>s</w:t>
      </w:r>
      <w:r w:rsidRPr="007C747A">
        <w:rPr>
          <w:sz w:val="22"/>
          <w:szCs w:val="22"/>
          <w:lang w:val="en-AU"/>
        </w:rPr>
        <w:t xml:space="preserve">entiment focuses on sentiment measures of </w:t>
      </w:r>
      <w:r w:rsidR="00C0049B" w:rsidRPr="007C747A">
        <w:rPr>
          <w:sz w:val="22"/>
          <w:szCs w:val="22"/>
          <w:lang w:val="en-AU"/>
        </w:rPr>
        <w:t>r</w:t>
      </w:r>
      <w:r w:rsidRPr="007C747A">
        <w:rPr>
          <w:sz w:val="22"/>
          <w:szCs w:val="22"/>
          <w:lang w:val="en-AU"/>
        </w:rPr>
        <w:t xml:space="preserve">eputation, </w:t>
      </w:r>
      <w:r w:rsidR="00C0049B" w:rsidRPr="007C747A">
        <w:rPr>
          <w:sz w:val="22"/>
          <w:szCs w:val="22"/>
          <w:lang w:val="en-AU"/>
        </w:rPr>
        <w:t>t</w:t>
      </w:r>
      <w:r w:rsidRPr="007C747A">
        <w:rPr>
          <w:sz w:val="22"/>
          <w:szCs w:val="22"/>
          <w:lang w:val="en-AU"/>
        </w:rPr>
        <w:t xml:space="preserve">rust, </w:t>
      </w:r>
      <w:r w:rsidR="00C0049B" w:rsidRPr="007C747A">
        <w:rPr>
          <w:sz w:val="22"/>
          <w:szCs w:val="22"/>
          <w:lang w:val="en-AU"/>
        </w:rPr>
        <w:t>s</w:t>
      </w:r>
      <w:r w:rsidRPr="007C747A">
        <w:rPr>
          <w:sz w:val="22"/>
          <w:szCs w:val="22"/>
          <w:lang w:val="en-AU"/>
        </w:rPr>
        <w:t>upport</w:t>
      </w:r>
      <w:r w:rsidR="00C0049B" w:rsidRPr="007C747A">
        <w:rPr>
          <w:sz w:val="22"/>
          <w:szCs w:val="22"/>
          <w:lang w:val="en-AU"/>
        </w:rPr>
        <w:t>,</w:t>
      </w:r>
      <w:r w:rsidRPr="007C747A">
        <w:rPr>
          <w:sz w:val="22"/>
          <w:szCs w:val="22"/>
          <w:lang w:val="en-AU"/>
        </w:rPr>
        <w:t xml:space="preserve"> and </w:t>
      </w:r>
      <w:r w:rsidR="00C0049B" w:rsidRPr="007C747A">
        <w:rPr>
          <w:sz w:val="22"/>
          <w:szCs w:val="22"/>
          <w:lang w:val="en-AU"/>
        </w:rPr>
        <w:t>p</w:t>
      </w:r>
      <w:r w:rsidRPr="007C747A">
        <w:rPr>
          <w:sz w:val="22"/>
          <w:szCs w:val="22"/>
          <w:lang w:val="en-AU"/>
        </w:rPr>
        <w:t xml:space="preserve">ositivity towards the Scheme. A decrease in community sentiment was observed in May coinciding with media coverage on the announcement of the </w:t>
      </w:r>
      <w:r w:rsidR="00C0049B" w:rsidRPr="007C747A">
        <w:rPr>
          <w:sz w:val="22"/>
          <w:szCs w:val="22"/>
          <w:lang w:val="en-AU"/>
        </w:rPr>
        <w:t>B</w:t>
      </w:r>
      <w:r w:rsidRPr="007C747A">
        <w:rPr>
          <w:sz w:val="22"/>
          <w:szCs w:val="22"/>
          <w:lang w:val="en-AU"/>
        </w:rPr>
        <w:t xml:space="preserve">udget. </w:t>
      </w:r>
    </w:p>
    <w:p w14:paraId="07C6FF30" w14:textId="77777777" w:rsidR="00C0049B" w:rsidRPr="007C747A" w:rsidRDefault="00C0049B" w:rsidP="00BC25B0">
      <w:pPr>
        <w:spacing w:after="0" w:line="240" w:lineRule="auto"/>
        <w:rPr>
          <w:sz w:val="22"/>
          <w:szCs w:val="22"/>
          <w:lang w:val="en-AU"/>
        </w:rPr>
      </w:pPr>
    </w:p>
    <w:p w14:paraId="5207E128" w14:textId="5189D16C" w:rsidR="00BC25B0" w:rsidRPr="007C747A" w:rsidRDefault="00BC25B0" w:rsidP="00BC25B0">
      <w:pPr>
        <w:spacing w:after="0" w:line="240" w:lineRule="auto"/>
        <w:rPr>
          <w:rFonts w:eastAsia="Calibri" w:cs="Arial"/>
          <w:sz w:val="22"/>
          <w:lang w:val="en-AU"/>
        </w:rPr>
      </w:pPr>
      <w:r w:rsidRPr="007C747A">
        <w:rPr>
          <w:sz w:val="22"/>
          <w:szCs w:val="22"/>
          <w:lang w:val="en-AU"/>
        </w:rPr>
        <w:t xml:space="preserve">The </w:t>
      </w:r>
      <w:r w:rsidR="00C0049B" w:rsidRPr="007C747A">
        <w:rPr>
          <w:sz w:val="22"/>
          <w:szCs w:val="22"/>
          <w:lang w:val="en-AU"/>
        </w:rPr>
        <w:t>p</w:t>
      </w:r>
      <w:r w:rsidRPr="007C747A">
        <w:rPr>
          <w:sz w:val="22"/>
          <w:szCs w:val="22"/>
          <w:lang w:val="en-AU"/>
        </w:rPr>
        <w:t>rovider sentiment survey was not conducted in the reporting period due to low provider engagement and</w:t>
      </w:r>
      <w:r w:rsidR="00C0049B" w:rsidRPr="007C747A">
        <w:rPr>
          <w:sz w:val="22"/>
          <w:szCs w:val="22"/>
          <w:lang w:val="en-AU"/>
        </w:rPr>
        <w:t xml:space="preserve"> response</w:t>
      </w:r>
      <w:r w:rsidRPr="007C747A">
        <w:rPr>
          <w:sz w:val="22"/>
          <w:szCs w:val="22"/>
          <w:lang w:val="en-AU"/>
        </w:rPr>
        <w:t xml:space="preserve"> frequency in previous years. The Agency is awaiting the outcomes of external reviews to inform the best measure of performance related to provider experience with the Scheme.</w:t>
      </w:r>
    </w:p>
    <w:p w14:paraId="40938CA1" w14:textId="7A7C0758" w:rsidR="00EB3F0F" w:rsidRPr="007C747A" w:rsidRDefault="00D30D40" w:rsidP="00D30D40">
      <w:pPr>
        <w:spacing w:line="240" w:lineRule="auto"/>
        <w:rPr>
          <w:b/>
          <w:sz w:val="22"/>
          <w:szCs w:val="22"/>
          <w:highlight w:val="cyan"/>
          <w:lang w:val="en-AU"/>
        </w:rPr>
      </w:pPr>
      <w:r w:rsidRPr="007C747A">
        <w:rPr>
          <w:rFonts w:eastAsia="DengXian" w:cs="Arial"/>
          <w:sz w:val="22"/>
          <w:szCs w:val="22"/>
          <w:lang w:val="en-AU"/>
        </w:rPr>
        <w:br w:type="page"/>
      </w:r>
    </w:p>
    <w:p w14:paraId="7786E4C9" w14:textId="77777777" w:rsidR="00EB3F0F" w:rsidRPr="007C747A" w:rsidRDefault="00EB3F0F" w:rsidP="00843D4E">
      <w:pPr>
        <w:pStyle w:val="FGCHEADING3"/>
        <w:numPr>
          <w:ilvl w:val="0"/>
          <w:numId w:val="0"/>
        </w:numPr>
      </w:pPr>
      <w:bookmarkStart w:id="106" w:name="_Toc142573706"/>
      <w:bookmarkStart w:id="107" w:name="_Toc146289439"/>
      <w:r w:rsidRPr="007C747A">
        <w:t>Aspiration 4 – A high-performing NDIA</w:t>
      </w:r>
      <w:bookmarkEnd w:id="106"/>
      <w:bookmarkEnd w:id="107"/>
    </w:p>
    <w:p w14:paraId="3AFDF4FB" w14:textId="6BCAEAA7" w:rsidR="008F30F3" w:rsidRPr="007C747A" w:rsidRDefault="00924B63" w:rsidP="00FA7C9D">
      <w:pPr>
        <w:rPr>
          <w:sz w:val="22"/>
          <w:szCs w:val="22"/>
          <w:lang w:val="en-AU" w:eastAsia="en-US"/>
        </w:rPr>
      </w:pPr>
      <w:r w:rsidRPr="007C747A">
        <w:rPr>
          <w:sz w:val="22"/>
          <w:szCs w:val="22"/>
          <w:lang w:val="en-AU"/>
        </w:rPr>
        <w:t>The Agency’s initiatives aimed to develop a high-performing NDIA that has an engaged workforce with systems and processes that facilitate service excellence</w:t>
      </w:r>
      <w:r w:rsidR="007B2F8B" w:rsidRPr="007C747A">
        <w:rPr>
          <w:sz w:val="22"/>
          <w:szCs w:val="22"/>
          <w:lang w:val="en-AU"/>
        </w:rPr>
        <w:t>.</w:t>
      </w:r>
    </w:p>
    <w:p w14:paraId="0D03ED3B" w14:textId="78D598AA" w:rsidR="00EB3F0F" w:rsidRPr="007C747A" w:rsidRDefault="00EB3F0F" w:rsidP="00D54875">
      <w:pPr>
        <w:pStyle w:val="Heading43"/>
        <w:ind w:left="0"/>
        <w:outlineLvl w:val="3"/>
      </w:pPr>
      <w:r w:rsidRPr="007C747A">
        <w:t>Table 2.2D</w:t>
      </w:r>
      <w:r w:rsidR="00BF0550" w:rsidRPr="007C747A">
        <w:t>:</w:t>
      </w:r>
      <w:r w:rsidRPr="007C747A">
        <w:t xml:space="preserve"> </w:t>
      </w:r>
      <w:r w:rsidR="00EC5327" w:rsidRPr="007C747A">
        <w:t>Aspiration 4 – p</w:t>
      </w:r>
      <w:r w:rsidRPr="007C747A">
        <w:t>erformance</w:t>
      </w:r>
      <w:r w:rsidR="00EC5327" w:rsidRPr="007C747A">
        <w:t xml:space="preserve"> targets,</w:t>
      </w:r>
      <w:r w:rsidRPr="007C747A">
        <w:t xml:space="preserve"> measures </w:t>
      </w:r>
      <w:r w:rsidR="00D30D40" w:rsidRPr="007C747A">
        <w:t>and functions</w:t>
      </w:r>
    </w:p>
    <w:tbl>
      <w:tblPr>
        <w:tblW w:w="1019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20" w:firstRow="1" w:lastRow="0" w:firstColumn="0" w:lastColumn="0" w:noHBand="0" w:noVBand="1"/>
      </w:tblPr>
      <w:tblGrid>
        <w:gridCol w:w="3109"/>
        <w:gridCol w:w="1134"/>
        <w:gridCol w:w="992"/>
        <w:gridCol w:w="1985"/>
        <w:gridCol w:w="2977"/>
      </w:tblGrid>
      <w:tr w:rsidR="006723E7" w:rsidRPr="007C747A" w14:paraId="0533D872" w14:textId="77777777" w:rsidTr="009A192E">
        <w:trPr>
          <w:trHeight w:val="340"/>
          <w:tblHeader/>
        </w:trPr>
        <w:tc>
          <w:tcPr>
            <w:tcW w:w="3109" w:type="dxa"/>
            <w:shd w:val="clear" w:color="auto" w:fill="C5E4E8"/>
            <w:tcMar>
              <w:top w:w="72" w:type="dxa"/>
              <w:left w:w="144" w:type="dxa"/>
              <w:bottom w:w="72" w:type="dxa"/>
              <w:right w:w="144" w:type="dxa"/>
            </w:tcMar>
            <w:vAlign w:val="center"/>
            <w:hideMark/>
          </w:tcPr>
          <w:p w14:paraId="5B228BE0" w14:textId="354EA958" w:rsidR="006723E7" w:rsidRPr="007C747A" w:rsidRDefault="006723E7" w:rsidP="006723E7">
            <w:pPr>
              <w:spacing w:after="0" w:line="240" w:lineRule="auto"/>
              <w:rPr>
                <w:rFonts w:eastAsia="Times New Roman" w:cs="Arial"/>
                <w:sz w:val="20"/>
                <w:szCs w:val="20"/>
                <w:lang w:val="en-AU" w:eastAsia="en-AU"/>
              </w:rPr>
            </w:pPr>
            <w:r w:rsidRPr="007C747A">
              <w:rPr>
                <w:rFonts w:eastAsia="Times New Roman" w:cs="Arial"/>
                <w:b/>
                <w:bCs/>
                <w:kern w:val="24"/>
                <w:sz w:val="20"/>
                <w:szCs w:val="20"/>
                <w:lang w:val="en-AU" w:eastAsia="en-AU"/>
              </w:rPr>
              <w:t xml:space="preserve">Performance </w:t>
            </w:r>
            <w:r w:rsidR="00C0049B" w:rsidRPr="007C747A">
              <w:rPr>
                <w:rFonts w:eastAsia="Times New Roman" w:cs="Arial"/>
                <w:b/>
                <w:bCs/>
                <w:kern w:val="24"/>
                <w:sz w:val="20"/>
                <w:szCs w:val="20"/>
                <w:lang w:val="en-AU" w:eastAsia="en-AU"/>
              </w:rPr>
              <w:t>m</w:t>
            </w:r>
            <w:r w:rsidRPr="007C747A">
              <w:rPr>
                <w:rFonts w:eastAsia="Times New Roman" w:cs="Arial"/>
                <w:b/>
                <w:bCs/>
                <w:kern w:val="24"/>
                <w:sz w:val="20"/>
                <w:szCs w:val="20"/>
                <w:lang w:val="en-AU" w:eastAsia="en-AU"/>
              </w:rPr>
              <w:t>easure</w:t>
            </w:r>
          </w:p>
        </w:tc>
        <w:tc>
          <w:tcPr>
            <w:tcW w:w="1134" w:type="dxa"/>
            <w:shd w:val="clear" w:color="auto" w:fill="C5E4E8"/>
            <w:tcMar>
              <w:top w:w="72" w:type="dxa"/>
              <w:left w:w="144" w:type="dxa"/>
              <w:bottom w:w="72" w:type="dxa"/>
              <w:right w:w="144" w:type="dxa"/>
            </w:tcMar>
            <w:vAlign w:val="center"/>
            <w:hideMark/>
          </w:tcPr>
          <w:p w14:paraId="575CFEE5" w14:textId="54E95398" w:rsidR="006723E7" w:rsidRPr="007C747A" w:rsidRDefault="006723E7" w:rsidP="006723E7">
            <w:pPr>
              <w:spacing w:after="0" w:line="240" w:lineRule="auto"/>
              <w:rPr>
                <w:rFonts w:eastAsia="Times New Roman" w:cs="Arial"/>
                <w:sz w:val="20"/>
                <w:szCs w:val="20"/>
                <w:lang w:val="en-AU" w:eastAsia="en-AU"/>
              </w:rPr>
            </w:pPr>
            <w:r w:rsidRPr="007C747A">
              <w:rPr>
                <w:rFonts w:eastAsia="Times New Roman" w:cs="Arial"/>
                <w:b/>
                <w:bCs/>
                <w:kern w:val="24"/>
                <w:sz w:val="20"/>
                <w:szCs w:val="20"/>
                <w:lang w:val="en-AU" w:eastAsia="en-AU"/>
              </w:rPr>
              <w:t>2022</w:t>
            </w:r>
            <w:r w:rsidR="00C0049B"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C0049B" w:rsidRPr="007C747A">
              <w:rPr>
                <w:rFonts w:eastAsia="Times New Roman" w:cs="Arial"/>
                <w:b/>
                <w:bCs/>
                <w:kern w:val="24"/>
                <w:sz w:val="20"/>
                <w:szCs w:val="20"/>
                <w:lang w:val="en-AU" w:eastAsia="en-AU"/>
              </w:rPr>
              <w:t>t</w:t>
            </w:r>
            <w:r w:rsidRPr="007C747A">
              <w:rPr>
                <w:rFonts w:eastAsia="Times New Roman" w:cs="Arial"/>
                <w:b/>
                <w:bCs/>
                <w:kern w:val="24"/>
                <w:sz w:val="20"/>
                <w:szCs w:val="20"/>
                <w:lang w:val="en-AU" w:eastAsia="en-AU"/>
              </w:rPr>
              <w:t>arget</w:t>
            </w:r>
          </w:p>
        </w:tc>
        <w:tc>
          <w:tcPr>
            <w:tcW w:w="992" w:type="dxa"/>
            <w:shd w:val="clear" w:color="auto" w:fill="C5E4E8"/>
            <w:vAlign w:val="center"/>
          </w:tcPr>
          <w:p w14:paraId="25AB6DF6" w14:textId="1EACD31A" w:rsidR="006723E7" w:rsidRPr="007C747A" w:rsidRDefault="006723E7" w:rsidP="006723E7">
            <w:pPr>
              <w:spacing w:after="0" w:line="240" w:lineRule="auto"/>
              <w:ind w:left="138"/>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C0049B"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C0049B" w:rsidRPr="007C747A">
              <w:rPr>
                <w:rFonts w:eastAsia="Times New Roman" w:cs="Arial"/>
                <w:b/>
                <w:bCs/>
                <w:kern w:val="24"/>
                <w:sz w:val="20"/>
                <w:szCs w:val="20"/>
                <w:lang w:val="en-AU" w:eastAsia="en-AU"/>
              </w:rPr>
              <w:t>r</w:t>
            </w:r>
            <w:r w:rsidRPr="007C747A">
              <w:rPr>
                <w:rFonts w:eastAsia="Times New Roman" w:cs="Arial"/>
                <w:b/>
                <w:bCs/>
                <w:kern w:val="24"/>
                <w:sz w:val="20"/>
                <w:szCs w:val="20"/>
                <w:lang w:val="en-AU" w:eastAsia="en-AU"/>
              </w:rPr>
              <w:t>esult</w:t>
            </w:r>
          </w:p>
        </w:tc>
        <w:tc>
          <w:tcPr>
            <w:tcW w:w="1985" w:type="dxa"/>
            <w:shd w:val="clear" w:color="auto" w:fill="C5E4E8"/>
            <w:vAlign w:val="center"/>
          </w:tcPr>
          <w:p w14:paraId="3CA636E2" w14:textId="77777777" w:rsidR="006723E7" w:rsidRPr="007C747A" w:rsidRDefault="006723E7" w:rsidP="006723E7">
            <w:pPr>
              <w:spacing w:after="0" w:line="240" w:lineRule="auto"/>
              <w:ind w:left="141"/>
              <w:rPr>
                <w:rFonts w:eastAsia="Times New Roman" w:cs="Arial"/>
                <w:kern w:val="24"/>
                <w:sz w:val="20"/>
                <w:szCs w:val="20"/>
                <w:lang w:val="en-AU" w:eastAsia="en-AU"/>
              </w:rPr>
            </w:pPr>
            <w:r w:rsidRPr="007C747A">
              <w:rPr>
                <w:rFonts w:eastAsia="Times New Roman" w:cs="Arial"/>
                <w:b/>
                <w:bCs/>
                <w:kern w:val="24"/>
                <w:sz w:val="20"/>
                <w:szCs w:val="20"/>
                <w:lang w:val="en-AU" w:eastAsia="en-AU"/>
              </w:rPr>
              <w:t>Outcome</w:t>
            </w:r>
          </w:p>
        </w:tc>
        <w:tc>
          <w:tcPr>
            <w:tcW w:w="2977" w:type="dxa"/>
            <w:shd w:val="clear" w:color="auto" w:fill="C5E4E8"/>
            <w:tcMar>
              <w:top w:w="72" w:type="dxa"/>
              <w:left w:w="144" w:type="dxa"/>
              <w:bottom w:w="72" w:type="dxa"/>
              <w:right w:w="144" w:type="dxa"/>
            </w:tcMar>
            <w:vAlign w:val="center"/>
            <w:hideMark/>
          </w:tcPr>
          <w:p w14:paraId="4F943EA3" w14:textId="77777777" w:rsidR="006723E7" w:rsidRPr="007C747A" w:rsidRDefault="006723E7" w:rsidP="006723E7">
            <w:pPr>
              <w:spacing w:after="0" w:line="240" w:lineRule="auto"/>
              <w:rPr>
                <w:rFonts w:eastAsia="Times New Roman" w:cs="Arial"/>
                <w:sz w:val="20"/>
                <w:szCs w:val="20"/>
                <w:lang w:val="en-AU" w:eastAsia="en-AU"/>
              </w:rPr>
            </w:pPr>
            <w:r w:rsidRPr="007C747A">
              <w:rPr>
                <w:rFonts w:eastAsia="Times New Roman" w:cs="Arial"/>
                <w:b/>
                <w:bCs/>
                <w:kern w:val="24"/>
                <w:sz w:val="20"/>
                <w:szCs w:val="20"/>
                <w:lang w:val="en-AU" w:eastAsia="en-AU"/>
              </w:rPr>
              <w:t>Method</w:t>
            </w:r>
          </w:p>
        </w:tc>
      </w:tr>
      <w:tr w:rsidR="006723E7" w:rsidRPr="007C747A" w14:paraId="09158618" w14:textId="77777777" w:rsidTr="009A192E">
        <w:trPr>
          <w:trHeight w:val="170"/>
        </w:trPr>
        <w:tc>
          <w:tcPr>
            <w:tcW w:w="3109" w:type="dxa"/>
            <w:shd w:val="clear" w:color="auto" w:fill="auto"/>
            <w:tcMar>
              <w:top w:w="72" w:type="dxa"/>
              <w:left w:w="144" w:type="dxa"/>
              <w:bottom w:w="72" w:type="dxa"/>
              <w:right w:w="144" w:type="dxa"/>
            </w:tcMar>
            <w:hideMark/>
          </w:tcPr>
          <w:p w14:paraId="3103501A"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NDIA spend (Program 1.2) compared to PBS (%)</w:t>
            </w:r>
          </w:p>
        </w:tc>
        <w:tc>
          <w:tcPr>
            <w:tcW w:w="1134" w:type="dxa"/>
            <w:shd w:val="clear" w:color="auto" w:fill="auto"/>
            <w:tcMar>
              <w:top w:w="72" w:type="dxa"/>
              <w:left w:w="144" w:type="dxa"/>
              <w:bottom w:w="72" w:type="dxa"/>
              <w:right w:w="144" w:type="dxa"/>
            </w:tcMar>
            <w:hideMark/>
          </w:tcPr>
          <w:p w14:paraId="6724C23F"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100%</w:t>
            </w:r>
          </w:p>
        </w:tc>
        <w:tc>
          <w:tcPr>
            <w:tcW w:w="992" w:type="dxa"/>
            <w:shd w:val="clear" w:color="auto" w:fill="auto"/>
          </w:tcPr>
          <w:p w14:paraId="083CCBB3"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103%</w:t>
            </w:r>
          </w:p>
        </w:tc>
        <w:tc>
          <w:tcPr>
            <w:tcW w:w="1985" w:type="dxa"/>
            <w:shd w:val="clear" w:color="auto" w:fill="auto"/>
          </w:tcPr>
          <w:p w14:paraId="1F5F3938" w14:textId="672B4F81" w:rsidR="006723E7" w:rsidRPr="007C747A" w:rsidRDefault="006723E7" w:rsidP="006723E7">
            <w:pPr>
              <w:spacing w:before="120" w:after="0" w:line="240" w:lineRule="auto"/>
              <w:ind w:left="141"/>
              <w:rPr>
                <w:rFonts w:eastAsia="Times New Roman" w:cs="Arial"/>
                <w:b/>
                <w:bCs/>
                <w:color w:val="000000"/>
                <w:kern w:val="24"/>
                <w:sz w:val="20"/>
                <w:szCs w:val="20"/>
                <w:lang w:val="en-AU" w:eastAsia="en-AU"/>
              </w:rPr>
            </w:pPr>
            <w:r w:rsidRPr="007C747A">
              <w:rPr>
                <w:rFonts w:eastAsia="Times New Roman" w:cs="Arial"/>
                <w:b/>
                <w:bCs/>
                <w:color w:val="000000"/>
                <w:kern w:val="24"/>
                <w:sz w:val="20"/>
                <w:szCs w:val="20"/>
                <w:lang w:val="en-AU" w:eastAsia="en-AU"/>
              </w:rPr>
              <w:t xml:space="preserve">Partially </w:t>
            </w:r>
            <w:r w:rsidR="00C0049B" w:rsidRPr="007C747A">
              <w:rPr>
                <w:rFonts w:eastAsia="Times New Roman" w:cs="Arial"/>
                <w:b/>
                <w:bCs/>
                <w:color w:val="000000"/>
                <w:kern w:val="24"/>
                <w:sz w:val="20"/>
                <w:szCs w:val="20"/>
                <w:lang w:val="en-AU" w:eastAsia="en-AU"/>
              </w:rPr>
              <w:t>a</w:t>
            </w:r>
            <w:r w:rsidRPr="007C747A">
              <w:rPr>
                <w:rFonts w:eastAsia="Times New Roman" w:cs="Arial"/>
                <w:b/>
                <w:bCs/>
                <w:color w:val="000000"/>
                <w:kern w:val="24"/>
                <w:sz w:val="20"/>
                <w:szCs w:val="20"/>
                <w:lang w:val="en-AU" w:eastAsia="en-AU"/>
              </w:rPr>
              <w:t>chieved</w:t>
            </w:r>
          </w:p>
        </w:tc>
        <w:tc>
          <w:tcPr>
            <w:tcW w:w="2977" w:type="dxa"/>
            <w:shd w:val="clear" w:color="auto" w:fill="auto"/>
            <w:tcMar>
              <w:top w:w="72" w:type="dxa"/>
              <w:left w:w="144" w:type="dxa"/>
              <w:bottom w:w="72" w:type="dxa"/>
              <w:right w:w="144" w:type="dxa"/>
            </w:tcMar>
          </w:tcPr>
          <w:p w14:paraId="2322CCBF" w14:textId="78EE99E8"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 xml:space="preserve">Calculation is equal to </w:t>
            </w:r>
            <w:r w:rsidR="00C0049B" w:rsidRPr="007C747A">
              <w:rPr>
                <w:rFonts w:eastAsia="DengXian" w:cs="Arial"/>
                <w:sz w:val="20"/>
                <w:szCs w:val="20"/>
                <w:lang w:val="en-AU"/>
              </w:rPr>
              <w:t>a</w:t>
            </w:r>
            <w:r w:rsidRPr="007C747A">
              <w:rPr>
                <w:rFonts w:eastAsia="DengXian" w:cs="Arial"/>
                <w:sz w:val="20"/>
                <w:szCs w:val="20"/>
                <w:lang w:val="en-AU"/>
              </w:rPr>
              <w:t xml:space="preserve">ctual Agency costs divided by Agency </w:t>
            </w:r>
            <w:r w:rsidR="003C38EA" w:rsidRPr="007C747A">
              <w:rPr>
                <w:rFonts w:eastAsia="DengXian" w:cs="Arial"/>
                <w:sz w:val="20"/>
                <w:szCs w:val="20"/>
                <w:lang w:val="en-AU"/>
              </w:rPr>
              <w:t xml:space="preserve">costs </w:t>
            </w:r>
            <w:r w:rsidRPr="007C747A">
              <w:rPr>
                <w:rFonts w:eastAsia="DengXian" w:cs="Arial"/>
                <w:sz w:val="20"/>
                <w:szCs w:val="20"/>
                <w:lang w:val="en-AU"/>
              </w:rPr>
              <w:t xml:space="preserve">in the </w:t>
            </w:r>
            <w:r w:rsidR="00C0049B" w:rsidRPr="007C747A">
              <w:rPr>
                <w:rFonts w:eastAsia="DengXian" w:cs="Arial"/>
                <w:sz w:val="20"/>
                <w:szCs w:val="20"/>
                <w:lang w:val="en-AU"/>
              </w:rPr>
              <w:t>PBS</w:t>
            </w:r>
            <w:r w:rsidRPr="007C747A">
              <w:rPr>
                <w:rFonts w:eastAsia="DengXian" w:cs="Arial"/>
                <w:sz w:val="20"/>
                <w:szCs w:val="20"/>
                <w:lang w:val="en-AU"/>
              </w:rPr>
              <w:t xml:space="preserve"> for the </w:t>
            </w:r>
            <w:r w:rsidR="00C0049B" w:rsidRPr="007C747A">
              <w:rPr>
                <w:rFonts w:eastAsia="DengXian" w:cs="Arial"/>
                <w:sz w:val="20"/>
                <w:szCs w:val="20"/>
                <w:lang w:val="en-AU"/>
              </w:rPr>
              <w:t>year to date (YTD)</w:t>
            </w:r>
            <w:r w:rsidRPr="007C747A">
              <w:rPr>
                <w:rFonts w:eastAsia="DengXian" w:cs="Arial"/>
                <w:sz w:val="20"/>
                <w:szCs w:val="20"/>
                <w:lang w:val="en-AU"/>
              </w:rPr>
              <w:t xml:space="preserve"> (from 1</w:t>
            </w:r>
            <w:r w:rsidR="00C0049B" w:rsidRPr="007C747A">
              <w:rPr>
                <w:rFonts w:eastAsia="DengXian" w:cs="Arial"/>
                <w:sz w:val="20"/>
                <w:szCs w:val="20"/>
                <w:lang w:val="en-AU"/>
              </w:rPr>
              <w:t> </w:t>
            </w:r>
            <w:r w:rsidRPr="007C747A">
              <w:rPr>
                <w:rFonts w:eastAsia="DengXian" w:cs="Arial"/>
                <w:sz w:val="20"/>
                <w:szCs w:val="20"/>
                <w:lang w:val="en-AU"/>
              </w:rPr>
              <w:t>July) on the PBS accrual basis.</w:t>
            </w:r>
          </w:p>
        </w:tc>
      </w:tr>
      <w:tr w:rsidR="006723E7" w:rsidRPr="007C747A" w14:paraId="38F2FB95" w14:textId="77777777" w:rsidTr="009A192E">
        <w:trPr>
          <w:trHeight w:val="361"/>
        </w:trPr>
        <w:tc>
          <w:tcPr>
            <w:tcW w:w="3109" w:type="dxa"/>
            <w:shd w:val="clear" w:color="auto" w:fill="EEF7F7"/>
            <w:tcMar>
              <w:top w:w="72" w:type="dxa"/>
              <w:left w:w="144" w:type="dxa"/>
              <w:bottom w:w="72" w:type="dxa"/>
              <w:right w:w="144" w:type="dxa"/>
            </w:tcMar>
            <w:hideMark/>
          </w:tcPr>
          <w:p w14:paraId="19C5FDDE"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NDIA spend (Program 1.2) as proportion of NDIS spend (%)</w:t>
            </w:r>
          </w:p>
        </w:tc>
        <w:tc>
          <w:tcPr>
            <w:tcW w:w="1134" w:type="dxa"/>
            <w:shd w:val="clear" w:color="auto" w:fill="EEF7F7"/>
            <w:tcMar>
              <w:top w:w="72" w:type="dxa"/>
              <w:left w:w="144" w:type="dxa"/>
              <w:bottom w:w="72" w:type="dxa"/>
              <w:right w:w="144" w:type="dxa"/>
            </w:tcMar>
            <w:hideMark/>
          </w:tcPr>
          <w:p w14:paraId="5BA8FB7F"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6%</w:t>
            </w:r>
          </w:p>
        </w:tc>
        <w:tc>
          <w:tcPr>
            <w:tcW w:w="992" w:type="dxa"/>
            <w:shd w:val="clear" w:color="auto" w:fill="EEF7F7"/>
          </w:tcPr>
          <w:p w14:paraId="7CC52CC5"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5.2%</w:t>
            </w:r>
          </w:p>
        </w:tc>
        <w:tc>
          <w:tcPr>
            <w:tcW w:w="1985" w:type="dxa"/>
            <w:shd w:val="clear" w:color="auto" w:fill="EEF7F7"/>
          </w:tcPr>
          <w:p w14:paraId="33538883" w14:textId="77777777" w:rsidR="006723E7" w:rsidRPr="007C747A" w:rsidRDefault="006723E7" w:rsidP="006723E7">
            <w:pPr>
              <w:spacing w:before="120" w:after="0" w:line="240" w:lineRule="auto"/>
              <w:ind w:left="141"/>
              <w:rPr>
                <w:rFonts w:eastAsia="Times New Roman" w:cs="Arial"/>
                <w:color w:val="000000"/>
                <w:kern w:val="24"/>
                <w:sz w:val="20"/>
                <w:szCs w:val="20"/>
                <w:lang w:val="en-AU" w:eastAsia="en-AU"/>
              </w:rPr>
            </w:pPr>
            <w:r w:rsidRPr="007C747A">
              <w:rPr>
                <w:rFonts w:eastAsia="Times New Roman" w:cs="Arial"/>
                <w:b/>
                <w:bCs/>
                <w:color w:val="000000"/>
                <w:kern w:val="24"/>
                <w:sz w:val="20"/>
                <w:szCs w:val="20"/>
                <w:lang w:val="en-AU" w:eastAsia="en-AU"/>
              </w:rPr>
              <w:t>Achieved</w:t>
            </w:r>
          </w:p>
        </w:tc>
        <w:tc>
          <w:tcPr>
            <w:tcW w:w="2977" w:type="dxa"/>
            <w:shd w:val="clear" w:color="auto" w:fill="EEF7F7"/>
            <w:tcMar>
              <w:top w:w="72" w:type="dxa"/>
              <w:left w:w="144" w:type="dxa"/>
              <w:bottom w:w="72" w:type="dxa"/>
              <w:right w:w="144" w:type="dxa"/>
            </w:tcMar>
          </w:tcPr>
          <w:p w14:paraId="26A8E8AD"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Calculation is equal to Agency costs as a percentage of Scheme costs for the YTD (from 1 July) on the PBS accrual basis.</w:t>
            </w:r>
          </w:p>
        </w:tc>
      </w:tr>
      <w:tr w:rsidR="006723E7" w:rsidRPr="007C747A" w14:paraId="7F43101E" w14:textId="77777777" w:rsidTr="009A192E">
        <w:trPr>
          <w:trHeight w:val="170"/>
        </w:trPr>
        <w:tc>
          <w:tcPr>
            <w:tcW w:w="3109" w:type="dxa"/>
            <w:shd w:val="clear" w:color="auto" w:fill="auto"/>
            <w:tcMar>
              <w:top w:w="72" w:type="dxa"/>
              <w:left w:w="144" w:type="dxa"/>
              <w:bottom w:w="72" w:type="dxa"/>
              <w:right w:w="144" w:type="dxa"/>
            </w:tcMar>
            <w:hideMark/>
          </w:tcPr>
          <w:p w14:paraId="5CAA4896"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Staff engagement (%)</w:t>
            </w:r>
          </w:p>
        </w:tc>
        <w:tc>
          <w:tcPr>
            <w:tcW w:w="1134" w:type="dxa"/>
            <w:shd w:val="clear" w:color="auto" w:fill="auto"/>
            <w:tcMar>
              <w:top w:w="72" w:type="dxa"/>
              <w:left w:w="144" w:type="dxa"/>
              <w:bottom w:w="72" w:type="dxa"/>
              <w:right w:w="144" w:type="dxa"/>
            </w:tcMar>
            <w:hideMark/>
          </w:tcPr>
          <w:p w14:paraId="0BAF8AF2"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76%</w:t>
            </w:r>
          </w:p>
        </w:tc>
        <w:tc>
          <w:tcPr>
            <w:tcW w:w="992" w:type="dxa"/>
            <w:shd w:val="clear" w:color="auto" w:fill="auto"/>
          </w:tcPr>
          <w:p w14:paraId="68722154"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77%</w:t>
            </w:r>
          </w:p>
        </w:tc>
        <w:tc>
          <w:tcPr>
            <w:tcW w:w="1985" w:type="dxa"/>
            <w:shd w:val="clear" w:color="auto" w:fill="auto"/>
          </w:tcPr>
          <w:p w14:paraId="7D75954A" w14:textId="77777777" w:rsidR="006723E7" w:rsidRPr="007C747A" w:rsidRDefault="006723E7" w:rsidP="006723E7">
            <w:pPr>
              <w:spacing w:before="120" w:after="0" w:line="240" w:lineRule="auto"/>
              <w:ind w:left="141"/>
              <w:rPr>
                <w:rFonts w:eastAsia="Times New Roman" w:cs="Arial"/>
                <w:color w:val="000000"/>
                <w:kern w:val="24"/>
                <w:sz w:val="20"/>
                <w:szCs w:val="20"/>
                <w:lang w:val="en-AU" w:eastAsia="en-AU"/>
              </w:rPr>
            </w:pPr>
            <w:r w:rsidRPr="007C747A">
              <w:rPr>
                <w:rFonts w:eastAsia="Times New Roman" w:cs="Arial"/>
                <w:b/>
                <w:bCs/>
                <w:color w:val="000000"/>
                <w:kern w:val="24"/>
                <w:sz w:val="20"/>
                <w:szCs w:val="20"/>
                <w:lang w:val="en-AU" w:eastAsia="en-AU"/>
              </w:rPr>
              <w:t>Achieved</w:t>
            </w:r>
          </w:p>
        </w:tc>
        <w:tc>
          <w:tcPr>
            <w:tcW w:w="2977" w:type="dxa"/>
            <w:shd w:val="clear" w:color="auto" w:fill="auto"/>
            <w:tcMar>
              <w:top w:w="72" w:type="dxa"/>
              <w:left w:w="144" w:type="dxa"/>
              <w:bottom w:w="72" w:type="dxa"/>
              <w:right w:w="144" w:type="dxa"/>
            </w:tcMar>
          </w:tcPr>
          <w:p w14:paraId="22ED28CD" w14:textId="257FE961"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Sourced from the annual APS Census survey</w:t>
            </w:r>
            <w:r w:rsidR="00C0049B" w:rsidRPr="007C747A">
              <w:rPr>
                <w:rFonts w:eastAsia="DengXian" w:cs="Arial"/>
                <w:sz w:val="20"/>
                <w:szCs w:val="20"/>
                <w:lang w:val="en-AU"/>
              </w:rPr>
              <w:t>.</w:t>
            </w:r>
          </w:p>
        </w:tc>
      </w:tr>
      <w:tr w:rsidR="006723E7" w:rsidRPr="007C747A" w14:paraId="349013A9" w14:textId="77777777" w:rsidTr="009A192E">
        <w:trPr>
          <w:trHeight w:val="170"/>
        </w:trPr>
        <w:tc>
          <w:tcPr>
            <w:tcW w:w="3109" w:type="dxa"/>
            <w:shd w:val="clear" w:color="auto" w:fill="EEF7F7"/>
            <w:tcMar>
              <w:top w:w="72" w:type="dxa"/>
              <w:left w:w="144" w:type="dxa"/>
              <w:bottom w:w="72" w:type="dxa"/>
              <w:right w:w="144" w:type="dxa"/>
            </w:tcMar>
            <w:hideMark/>
          </w:tcPr>
          <w:p w14:paraId="4ACE5253"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Staff wellbeing (%)</w:t>
            </w:r>
          </w:p>
        </w:tc>
        <w:tc>
          <w:tcPr>
            <w:tcW w:w="1134" w:type="dxa"/>
            <w:shd w:val="clear" w:color="auto" w:fill="EEF7F7"/>
            <w:tcMar>
              <w:top w:w="72" w:type="dxa"/>
              <w:left w:w="144" w:type="dxa"/>
              <w:bottom w:w="72" w:type="dxa"/>
              <w:right w:w="144" w:type="dxa"/>
            </w:tcMar>
            <w:hideMark/>
          </w:tcPr>
          <w:p w14:paraId="683904B4"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70%</w:t>
            </w:r>
          </w:p>
        </w:tc>
        <w:tc>
          <w:tcPr>
            <w:tcW w:w="992" w:type="dxa"/>
            <w:shd w:val="clear" w:color="auto" w:fill="EEF7F7"/>
          </w:tcPr>
          <w:p w14:paraId="6E766353"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73%</w:t>
            </w:r>
          </w:p>
        </w:tc>
        <w:tc>
          <w:tcPr>
            <w:tcW w:w="1985" w:type="dxa"/>
            <w:shd w:val="clear" w:color="auto" w:fill="EEF7F7"/>
          </w:tcPr>
          <w:p w14:paraId="4ECD639C" w14:textId="77777777" w:rsidR="006723E7" w:rsidRPr="007C747A" w:rsidRDefault="006723E7" w:rsidP="006723E7">
            <w:pPr>
              <w:spacing w:before="120" w:after="0" w:line="240" w:lineRule="auto"/>
              <w:ind w:left="141"/>
              <w:rPr>
                <w:rFonts w:eastAsia="Times New Roman" w:cs="Arial"/>
                <w:color w:val="000000"/>
                <w:kern w:val="24"/>
                <w:sz w:val="20"/>
                <w:szCs w:val="20"/>
                <w:lang w:val="en-AU" w:eastAsia="en-AU"/>
              </w:rPr>
            </w:pPr>
            <w:r w:rsidRPr="007C747A">
              <w:rPr>
                <w:rFonts w:eastAsia="Times New Roman" w:cs="Arial"/>
                <w:b/>
                <w:bCs/>
                <w:color w:val="000000"/>
                <w:kern w:val="24"/>
                <w:sz w:val="20"/>
                <w:szCs w:val="20"/>
                <w:lang w:val="en-AU" w:eastAsia="en-AU"/>
              </w:rPr>
              <w:t>Achieved</w:t>
            </w:r>
          </w:p>
        </w:tc>
        <w:tc>
          <w:tcPr>
            <w:tcW w:w="2977" w:type="dxa"/>
            <w:shd w:val="clear" w:color="auto" w:fill="EEF7F7"/>
            <w:tcMar>
              <w:top w:w="72" w:type="dxa"/>
              <w:left w:w="144" w:type="dxa"/>
              <w:bottom w:w="72" w:type="dxa"/>
              <w:right w:w="144" w:type="dxa"/>
            </w:tcMar>
          </w:tcPr>
          <w:p w14:paraId="38732646" w14:textId="12DFB1E4"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Sourced from the annual APS Census survey</w:t>
            </w:r>
            <w:r w:rsidR="00C0049B" w:rsidRPr="007C747A">
              <w:rPr>
                <w:rFonts w:eastAsia="DengXian" w:cs="Arial"/>
                <w:sz w:val="20"/>
                <w:szCs w:val="20"/>
                <w:lang w:val="en-AU"/>
              </w:rPr>
              <w:t>.</w:t>
            </w:r>
          </w:p>
        </w:tc>
      </w:tr>
      <w:tr w:rsidR="006723E7" w:rsidRPr="007C747A" w14:paraId="3741C194" w14:textId="77777777" w:rsidTr="009A192E">
        <w:trPr>
          <w:trHeight w:val="170"/>
        </w:trPr>
        <w:tc>
          <w:tcPr>
            <w:tcW w:w="3109" w:type="dxa"/>
            <w:shd w:val="clear" w:color="auto" w:fill="auto"/>
            <w:tcMar>
              <w:top w:w="72" w:type="dxa"/>
              <w:left w:w="144" w:type="dxa"/>
              <w:bottom w:w="72" w:type="dxa"/>
              <w:right w:w="144" w:type="dxa"/>
            </w:tcMar>
            <w:hideMark/>
          </w:tcPr>
          <w:p w14:paraId="164F1822"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Staff with disability (%)</w:t>
            </w:r>
          </w:p>
        </w:tc>
        <w:tc>
          <w:tcPr>
            <w:tcW w:w="1134" w:type="dxa"/>
            <w:shd w:val="clear" w:color="auto" w:fill="auto"/>
            <w:tcMar>
              <w:top w:w="72" w:type="dxa"/>
              <w:left w:w="144" w:type="dxa"/>
              <w:bottom w:w="72" w:type="dxa"/>
              <w:right w:w="144" w:type="dxa"/>
            </w:tcMar>
            <w:hideMark/>
          </w:tcPr>
          <w:p w14:paraId="735D8CBE"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19%</w:t>
            </w:r>
          </w:p>
        </w:tc>
        <w:tc>
          <w:tcPr>
            <w:tcW w:w="992" w:type="dxa"/>
            <w:shd w:val="clear" w:color="auto" w:fill="auto"/>
          </w:tcPr>
          <w:p w14:paraId="66ED3E4C"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20.8%</w:t>
            </w:r>
          </w:p>
        </w:tc>
        <w:tc>
          <w:tcPr>
            <w:tcW w:w="1985" w:type="dxa"/>
            <w:shd w:val="clear" w:color="auto" w:fill="auto"/>
          </w:tcPr>
          <w:p w14:paraId="367BCB64" w14:textId="77777777" w:rsidR="006723E7" w:rsidRPr="007C747A" w:rsidRDefault="006723E7" w:rsidP="006723E7">
            <w:pPr>
              <w:spacing w:before="120" w:after="0" w:line="240" w:lineRule="auto"/>
              <w:ind w:left="141"/>
              <w:rPr>
                <w:rFonts w:eastAsia="Times New Roman" w:cs="Arial"/>
                <w:color w:val="000000"/>
                <w:kern w:val="24"/>
                <w:sz w:val="20"/>
                <w:szCs w:val="20"/>
                <w:lang w:val="en-AU" w:eastAsia="en-AU"/>
              </w:rPr>
            </w:pPr>
            <w:r w:rsidRPr="007C747A">
              <w:rPr>
                <w:rFonts w:eastAsia="Times New Roman" w:cs="Arial"/>
                <w:b/>
                <w:bCs/>
                <w:color w:val="000000"/>
                <w:kern w:val="24"/>
                <w:sz w:val="20"/>
                <w:szCs w:val="20"/>
                <w:lang w:val="en-AU" w:eastAsia="en-AU"/>
              </w:rPr>
              <w:t>Achieved</w:t>
            </w:r>
          </w:p>
        </w:tc>
        <w:tc>
          <w:tcPr>
            <w:tcW w:w="2977" w:type="dxa"/>
            <w:shd w:val="clear" w:color="auto" w:fill="auto"/>
            <w:tcMar>
              <w:top w:w="72" w:type="dxa"/>
              <w:left w:w="144" w:type="dxa"/>
              <w:bottom w:w="72" w:type="dxa"/>
              <w:right w:w="144" w:type="dxa"/>
            </w:tcMar>
          </w:tcPr>
          <w:p w14:paraId="463696BE" w14:textId="5A98E48B"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Sourced from the annual APS Census survey</w:t>
            </w:r>
            <w:r w:rsidR="00C0049B" w:rsidRPr="007C747A">
              <w:rPr>
                <w:rFonts w:eastAsia="DengXian" w:cs="Arial"/>
                <w:sz w:val="20"/>
                <w:szCs w:val="20"/>
                <w:lang w:val="en-AU"/>
              </w:rPr>
              <w:t>.</w:t>
            </w:r>
          </w:p>
        </w:tc>
      </w:tr>
      <w:tr w:rsidR="006723E7" w:rsidRPr="007C747A" w14:paraId="18882E86" w14:textId="77777777" w:rsidTr="009A192E">
        <w:trPr>
          <w:trHeight w:val="170"/>
        </w:trPr>
        <w:tc>
          <w:tcPr>
            <w:tcW w:w="3109" w:type="dxa"/>
            <w:shd w:val="clear" w:color="auto" w:fill="EEF7F7"/>
            <w:tcMar>
              <w:top w:w="72" w:type="dxa"/>
              <w:left w:w="144" w:type="dxa"/>
              <w:bottom w:w="72" w:type="dxa"/>
              <w:right w:w="144" w:type="dxa"/>
            </w:tcMar>
            <w:hideMark/>
          </w:tcPr>
          <w:p w14:paraId="70AC1A56"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Senior Executive Service staff with disability (%)</w:t>
            </w:r>
          </w:p>
        </w:tc>
        <w:tc>
          <w:tcPr>
            <w:tcW w:w="1134" w:type="dxa"/>
            <w:shd w:val="clear" w:color="auto" w:fill="EEF7F7"/>
            <w:tcMar>
              <w:top w:w="72" w:type="dxa"/>
              <w:left w:w="144" w:type="dxa"/>
              <w:bottom w:w="72" w:type="dxa"/>
              <w:right w:w="144" w:type="dxa"/>
            </w:tcMar>
            <w:hideMark/>
          </w:tcPr>
          <w:p w14:paraId="157B51B3"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12%</w:t>
            </w:r>
          </w:p>
        </w:tc>
        <w:tc>
          <w:tcPr>
            <w:tcW w:w="992" w:type="dxa"/>
            <w:shd w:val="clear" w:color="auto" w:fill="EEF7F7"/>
          </w:tcPr>
          <w:p w14:paraId="36FA0EA1"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20.8%</w:t>
            </w:r>
          </w:p>
        </w:tc>
        <w:tc>
          <w:tcPr>
            <w:tcW w:w="1985" w:type="dxa"/>
            <w:shd w:val="clear" w:color="auto" w:fill="EEF7F7"/>
          </w:tcPr>
          <w:p w14:paraId="320FFEB8" w14:textId="77777777" w:rsidR="006723E7" w:rsidRPr="007C747A" w:rsidRDefault="006723E7" w:rsidP="006723E7">
            <w:pPr>
              <w:spacing w:before="120" w:after="0" w:line="240" w:lineRule="auto"/>
              <w:ind w:left="141"/>
              <w:rPr>
                <w:rFonts w:eastAsia="Times New Roman" w:cs="Arial"/>
                <w:color w:val="000000"/>
                <w:kern w:val="24"/>
                <w:sz w:val="20"/>
                <w:szCs w:val="20"/>
                <w:lang w:val="en-AU" w:eastAsia="en-AU"/>
              </w:rPr>
            </w:pPr>
            <w:r w:rsidRPr="007C747A">
              <w:rPr>
                <w:rFonts w:eastAsia="Times New Roman" w:cs="Arial"/>
                <w:b/>
                <w:bCs/>
                <w:color w:val="000000"/>
                <w:kern w:val="24"/>
                <w:sz w:val="20"/>
                <w:szCs w:val="20"/>
                <w:lang w:val="en-AU" w:eastAsia="en-AU"/>
              </w:rPr>
              <w:t>Achieved</w:t>
            </w:r>
          </w:p>
        </w:tc>
        <w:tc>
          <w:tcPr>
            <w:tcW w:w="2977" w:type="dxa"/>
            <w:shd w:val="clear" w:color="auto" w:fill="EEF7F7"/>
            <w:tcMar>
              <w:top w:w="72" w:type="dxa"/>
              <w:left w:w="144" w:type="dxa"/>
              <w:bottom w:w="72" w:type="dxa"/>
              <w:right w:w="144" w:type="dxa"/>
            </w:tcMar>
          </w:tcPr>
          <w:p w14:paraId="2AABB695" w14:textId="64FE4270"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Sourced from the annual APS Census survey</w:t>
            </w:r>
            <w:r w:rsidR="00C0049B" w:rsidRPr="007C747A">
              <w:rPr>
                <w:rFonts w:eastAsia="DengXian" w:cs="Arial"/>
                <w:sz w:val="20"/>
                <w:szCs w:val="20"/>
                <w:lang w:val="en-AU"/>
              </w:rPr>
              <w:t>.</w:t>
            </w:r>
          </w:p>
        </w:tc>
      </w:tr>
      <w:tr w:rsidR="006723E7" w:rsidRPr="007C747A" w14:paraId="62224086" w14:textId="77777777" w:rsidTr="009A192E">
        <w:trPr>
          <w:trHeight w:val="170"/>
        </w:trPr>
        <w:tc>
          <w:tcPr>
            <w:tcW w:w="3109" w:type="dxa"/>
            <w:shd w:val="clear" w:color="auto" w:fill="auto"/>
            <w:tcMar>
              <w:top w:w="72" w:type="dxa"/>
              <w:left w:w="144" w:type="dxa"/>
              <w:bottom w:w="72" w:type="dxa"/>
              <w:right w:w="144" w:type="dxa"/>
            </w:tcMar>
            <w:hideMark/>
          </w:tcPr>
          <w:p w14:paraId="3B6D8D97" w14:textId="77777777" w:rsidR="006723E7" w:rsidRPr="007C747A" w:rsidRDefault="006723E7" w:rsidP="006723E7">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Female representation in the Senior Executive Service (%)</w:t>
            </w:r>
          </w:p>
        </w:tc>
        <w:tc>
          <w:tcPr>
            <w:tcW w:w="1134" w:type="dxa"/>
            <w:shd w:val="clear" w:color="auto" w:fill="auto"/>
            <w:tcMar>
              <w:top w:w="72" w:type="dxa"/>
              <w:left w:w="144" w:type="dxa"/>
              <w:bottom w:w="72" w:type="dxa"/>
              <w:right w:w="144" w:type="dxa"/>
            </w:tcMar>
            <w:hideMark/>
          </w:tcPr>
          <w:p w14:paraId="74DDBB8F" w14:textId="77777777"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50%</w:t>
            </w:r>
          </w:p>
        </w:tc>
        <w:tc>
          <w:tcPr>
            <w:tcW w:w="992" w:type="dxa"/>
            <w:shd w:val="clear" w:color="auto" w:fill="auto"/>
          </w:tcPr>
          <w:p w14:paraId="797157C1" w14:textId="77777777" w:rsidR="006723E7" w:rsidRPr="007C747A" w:rsidRDefault="006723E7" w:rsidP="006723E7">
            <w:pPr>
              <w:spacing w:before="120" w:after="0" w:line="240" w:lineRule="auto"/>
              <w:ind w:left="138"/>
              <w:rPr>
                <w:rFonts w:eastAsia="Times New Roman" w:cs="Arial"/>
                <w:color w:val="000000"/>
                <w:kern w:val="24"/>
                <w:sz w:val="20"/>
                <w:szCs w:val="20"/>
                <w:lang w:val="en-AU" w:eastAsia="en-AU"/>
              </w:rPr>
            </w:pPr>
            <w:r w:rsidRPr="007C747A">
              <w:rPr>
                <w:rFonts w:eastAsia="Times New Roman" w:cs="Arial"/>
                <w:color w:val="000000"/>
                <w:kern w:val="24"/>
                <w:sz w:val="20"/>
                <w:szCs w:val="20"/>
                <w:lang w:val="en-AU" w:eastAsia="en-AU"/>
              </w:rPr>
              <w:t>54.8%</w:t>
            </w:r>
          </w:p>
        </w:tc>
        <w:tc>
          <w:tcPr>
            <w:tcW w:w="1985" w:type="dxa"/>
            <w:shd w:val="clear" w:color="auto" w:fill="auto"/>
          </w:tcPr>
          <w:p w14:paraId="0C407C3B" w14:textId="77777777" w:rsidR="006723E7" w:rsidRPr="007C747A" w:rsidRDefault="006723E7" w:rsidP="006723E7">
            <w:pPr>
              <w:spacing w:before="120" w:after="0" w:line="240" w:lineRule="auto"/>
              <w:ind w:left="141"/>
              <w:rPr>
                <w:rFonts w:eastAsia="Times New Roman" w:cs="Arial"/>
                <w:color w:val="000000"/>
                <w:kern w:val="24"/>
                <w:sz w:val="20"/>
                <w:szCs w:val="20"/>
                <w:lang w:val="en-AU" w:eastAsia="en-AU"/>
              </w:rPr>
            </w:pPr>
            <w:r w:rsidRPr="007C747A">
              <w:rPr>
                <w:rFonts w:eastAsia="Times New Roman" w:cs="Arial"/>
                <w:b/>
                <w:bCs/>
                <w:color w:val="000000"/>
                <w:kern w:val="24"/>
                <w:sz w:val="20"/>
                <w:szCs w:val="20"/>
                <w:lang w:val="en-AU" w:eastAsia="en-AU"/>
              </w:rPr>
              <w:t>Achieved</w:t>
            </w:r>
          </w:p>
        </w:tc>
        <w:tc>
          <w:tcPr>
            <w:tcW w:w="2977" w:type="dxa"/>
            <w:shd w:val="clear" w:color="auto" w:fill="auto"/>
            <w:tcMar>
              <w:top w:w="72" w:type="dxa"/>
              <w:left w:w="144" w:type="dxa"/>
              <w:bottom w:w="72" w:type="dxa"/>
              <w:right w:w="144" w:type="dxa"/>
            </w:tcMar>
          </w:tcPr>
          <w:p w14:paraId="20EA9351" w14:textId="431BF1CD" w:rsidR="006723E7" w:rsidRPr="007C747A" w:rsidRDefault="006723E7" w:rsidP="006723E7">
            <w:pPr>
              <w:spacing w:before="120" w:after="0" w:line="240" w:lineRule="auto"/>
              <w:rPr>
                <w:rFonts w:eastAsia="Times New Roman" w:cs="Arial"/>
                <w:color w:val="000000"/>
                <w:kern w:val="24"/>
                <w:sz w:val="20"/>
                <w:szCs w:val="20"/>
                <w:lang w:val="en-AU" w:eastAsia="en-AU"/>
              </w:rPr>
            </w:pPr>
            <w:r w:rsidRPr="007C747A">
              <w:rPr>
                <w:rFonts w:eastAsia="DengXian" w:cs="Arial"/>
                <w:sz w:val="20"/>
                <w:szCs w:val="20"/>
                <w:lang w:val="en-AU"/>
              </w:rPr>
              <w:t>Sourced from the annual APS Census survey</w:t>
            </w:r>
            <w:r w:rsidR="00C0049B" w:rsidRPr="007C747A">
              <w:rPr>
                <w:rFonts w:eastAsia="DengXian" w:cs="Arial"/>
                <w:sz w:val="20"/>
                <w:szCs w:val="20"/>
                <w:lang w:val="en-AU"/>
              </w:rPr>
              <w:t>.</w:t>
            </w:r>
          </w:p>
        </w:tc>
      </w:tr>
    </w:tbl>
    <w:p w14:paraId="7CE6600A" w14:textId="77777777" w:rsidR="00EB3F0F" w:rsidRPr="007C747A" w:rsidRDefault="00EB3F0F" w:rsidP="00B92072">
      <w:pPr>
        <w:pStyle w:val="FGCHEADING4"/>
        <w:rPr>
          <w:lang w:val="en-AU"/>
        </w:rPr>
      </w:pPr>
      <w:bookmarkStart w:id="108" w:name="_Toc142573707"/>
      <w:r w:rsidRPr="007C747A">
        <w:rPr>
          <w:lang w:val="en-AU"/>
        </w:rPr>
        <w:t>Analysis of performance</w:t>
      </w:r>
      <w:bookmarkEnd w:id="108"/>
    </w:p>
    <w:p w14:paraId="791AA9CD" w14:textId="35AF9C08" w:rsidR="00DB3384" w:rsidRPr="007C747A" w:rsidRDefault="00DB3384" w:rsidP="00DB3384">
      <w:pPr>
        <w:spacing w:after="160" w:line="240" w:lineRule="auto"/>
        <w:rPr>
          <w:sz w:val="22"/>
          <w:szCs w:val="22"/>
          <w:lang w:val="en-AU"/>
        </w:rPr>
      </w:pPr>
      <w:r w:rsidRPr="007C747A">
        <w:rPr>
          <w:sz w:val="22"/>
          <w:szCs w:val="22"/>
          <w:lang w:val="en-AU"/>
        </w:rPr>
        <w:t xml:space="preserve">The Agency has been undergoing considerable transformation over the reporting period. The transformation follows from the roadmap contained in the Corporate Plan. We set out in our </w:t>
      </w:r>
      <w:r w:rsidR="00C0049B" w:rsidRPr="007C747A">
        <w:rPr>
          <w:sz w:val="22"/>
          <w:szCs w:val="22"/>
          <w:lang w:val="en-AU"/>
        </w:rPr>
        <w:t>C</w:t>
      </w:r>
      <w:r w:rsidRPr="007C747A">
        <w:rPr>
          <w:sz w:val="22"/>
          <w:szCs w:val="22"/>
          <w:lang w:val="en-AU"/>
        </w:rPr>
        <w:t xml:space="preserve">orporate </w:t>
      </w:r>
      <w:r w:rsidR="00C0049B" w:rsidRPr="007C747A">
        <w:rPr>
          <w:sz w:val="22"/>
          <w:szCs w:val="22"/>
          <w:lang w:val="en-AU"/>
        </w:rPr>
        <w:t>P</w:t>
      </w:r>
      <w:r w:rsidRPr="007C747A">
        <w:rPr>
          <w:sz w:val="22"/>
          <w:szCs w:val="22"/>
          <w:lang w:val="en-AU"/>
        </w:rPr>
        <w:t>lan our approach to maintain</w:t>
      </w:r>
      <w:r w:rsidR="00C0049B" w:rsidRPr="007C747A">
        <w:rPr>
          <w:sz w:val="22"/>
          <w:szCs w:val="22"/>
          <w:lang w:val="en-AU"/>
        </w:rPr>
        <w:t>ing</w:t>
      </w:r>
      <w:r w:rsidRPr="007C747A">
        <w:rPr>
          <w:sz w:val="22"/>
          <w:szCs w:val="22"/>
          <w:lang w:val="en-AU"/>
        </w:rPr>
        <w:t xml:space="preserve"> strong staff engagement and building the </w:t>
      </w:r>
      <w:r w:rsidR="00C0049B" w:rsidRPr="007C747A">
        <w:rPr>
          <w:sz w:val="22"/>
          <w:szCs w:val="22"/>
          <w:lang w:val="en-AU"/>
        </w:rPr>
        <w:t>NDIA</w:t>
      </w:r>
      <w:r w:rsidRPr="007C747A">
        <w:rPr>
          <w:sz w:val="22"/>
          <w:szCs w:val="22"/>
          <w:lang w:val="en-AU"/>
        </w:rPr>
        <w:t xml:space="preserve"> workforce capability to support the achievement of our operational goals. The Agency has embedded its </w:t>
      </w:r>
      <w:r w:rsidR="00C0049B" w:rsidRPr="007C747A">
        <w:rPr>
          <w:sz w:val="22"/>
          <w:szCs w:val="22"/>
          <w:lang w:val="en-AU"/>
        </w:rPr>
        <w:t>P</w:t>
      </w:r>
      <w:r w:rsidRPr="007C747A">
        <w:rPr>
          <w:sz w:val="22"/>
          <w:szCs w:val="22"/>
          <w:lang w:val="en-AU"/>
        </w:rPr>
        <w:t xml:space="preserve">eople </w:t>
      </w:r>
      <w:r w:rsidR="00C0049B" w:rsidRPr="007C747A">
        <w:rPr>
          <w:sz w:val="22"/>
          <w:szCs w:val="22"/>
          <w:lang w:val="en-AU"/>
        </w:rPr>
        <w:t>S</w:t>
      </w:r>
      <w:r w:rsidRPr="007C747A">
        <w:rPr>
          <w:sz w:val="22"/>
          <w:szCs w:val="22"/>
          <w:lang w:val="en-AU"/>
        </w:rPr>
        <w:t xml:space="preserve">trategy and </w:t>
      </w:r>
      <w:r w:rsidR="00C0049B" w:rsidRPr="007C747A">
        <w:rPr>
          <w:sz w:val="22"/>
          <w:szCs w:val="22"/>
          <w:lang w:val="en-AU"/>
        </w:rPr>
        <w:t>I</w:t>
      </w:r>
      <w:r w:rsidRPr="007C747A">
        <w:rPr>
          <w:sz w:val="22"/>
          <w:szCs w:val="22"/>
          <w:lang w:val="en-AU"/>
        </w:rPr>
        <w:t xml:space="preserve">nclusion and </w:t>
      </w:r>
      <w:r w:rsidR="00C0049B" w:rsidRPr="007C747A">
        <w:rPr>
          <w:sz w:val="22"/>
          <w:szCs w:val="22"/>
          <w:lang w:val="en-AU"/>
        </w:rPr>
        <w:t>D</w:t>
      </w:r>
      <w:r w:rsidRPr="007C747A">
        <w:rPr>
          <w:sz w:val="22"/>
          <w:szCs w:val="22"/>
          <w:lang w:val="en-AU"/>
        </w:rPr>
        <w:t xml:space="preserve">iversity </w:t>
      </w:r>
      <w:r w:rsidR="00C0049B" w:rsidRPr="007C747A">
        <w:rPr>
          <w:sz w:val="22"/>
          <w:szCs w:val="22"/>
          <w:lang w:val="en-AU"/>
        </w:rPr>
        <w:t>F</w:t>
      </w:r>
      <w:r w:rsidRPr="007C747A">
        <w:rPr>
          <w:sz w:val="22"/>
          <w:szCs w:val="22"/>
          <w:lang w:val="en-AU"/>
        </w:rPr>
        <w:t xml:space="preserve">ramework. Each year the Agency reviews the results from the APS </w:t>
      </w:r>
      <w:r w:rsidR="00C0049B" w:rsidRPr="007C747A">
        <w:rPr>
          <w:sz w:val="22"/>
          <w:szCs w:val="22"/>
          <w:lang w:val="en-AU"/>
        </w:rPr>
        <w:t>C</w:t>
      </w:r>
      <w:r w:rsidRPr="007C747A">
        <w:rPr>
          <w:sz w:val="22"/>
          <w:szCs w:val="22"/>
          <w:lang w:val="en-AU"/>
        </w:rPr>
        <w:t>ensus. Each branch within the Agency works to address the results and implement change across the year.</w:t>
      </w:r>
    </w:p>
    <w:p w14:paraId="0EF10554" w14:textId="18387D7F" w:rsidR="00DB3384" w:rsidRPr="007C747A" w:rsidRDefault="00DB3384" w:rsidP="00DB3384">
      <w:pPr>
        <w:spacing w:after="160" w:line="240" w:lineRule="auto"/>
        <w:rPr>
          <w:sz w:val="22"/>
          <w:szCs w:val="22"/>
          <w:lang w:val="en-AU"/>
        </w:rPr>
      </w:pPr>
      <w:r w:rsidRPr="007C747A">
        <w:rPr>
          <w:sz w:val="22"/>
          <w:szCs w:val="22"/>
          <w:lang w:val="en-AU"/>
        </w:rPr>
        <w:t>The Agency has been progressing with the rollout of its new</w:t>
      </w:r>
      <w:r w:rsidR="00C0049B" w:rsidRPr="007C747A">
        <w:rPr>
          <w:sz w:val="22"/>
          <w:szCs w:val="22"/>
          <w:lang w:val="en-AU"/>
        </w:rPr>
        <w:t xml:space="preserve"> customer relationship management</w:t>
      </w:r>
      <w:r w:rsidRPr="007C747A">
        <w:rPr>
          <w:sz w:val="22"/>
          <w:szCs w:val="22"/>
          <w:lang w:val="en-AU"/>
        </w:rPr>
        <w:t xml:space="preserve"> system (PACE) and testing in Tasmania since November 2022. The test has been valuable for enhancing processes and systems in readiness for national expansion during 2023</w:t>
      </w:r>
      <w:r w:rsidR="00C0049B" w:rsidRPr="007C747A">
        <w:rPr>
          <w:sz w:val="22"/>
          <w:szCs w:val="22"/>
          <w:lang w:val="en-AU"/>
        </w:rPr>
        <w:t>–</w:t>
      </w:r>
      <w:r w:rsidRPr="007C747A">
        <w:rPr>
          <w:sz w:val="22"/>
          <w:szCs w:val="22"/>
          <w:lang w:val="en-AU"/>
        </w:rPr>
        <w:t xml:space="preserve">24. In addition, we have progressed projects looking at capability for claims at </w:t>
      </w:r>
      <w:r w:rsidR="00C0049B" w:rsidRPr="007C747A">
        <w:rPr>
          <w:sz w:val="22"/>
          <w:szCs w:val="22"/>
          <w:lang w:val="en-AU"/>
        </w:rPr>
        <w:t>p</w:t>
      </w:r>
      <w:r w:rsidRPr="007C747A">
        <w:rPr>
          <w:sz w:val="22"/>
          <w:szCs w:val="22"/>
          <w:lang w:val="en-AU"/>
        </w:rPr>
        <w:t xml:space="preserve">oint of </w:t>
      </w:r>
      <w:r w:rsidR="00C0049B" w:rsidRPr="007C747A">
        <w:rPr>
          <w:sz w:val="22"/>
          <w:szCs w:val="22"/>
          <w:lang w:val="en-AU"/>
        </w:rPr>
        <w:t>s</w:t>
      </w:r>
      <w:r w:rsidRPr="007C747A">
        <w:rPr>
          <w:sz w:val="22"/>
          <w:szCs w:val="22"/>
          <w:lang w:val="en-AU"/>
        </w:rPr>
        <w:t>upport and e</w:t>
      </w:r>
      <w:r w:rsidR="00501B0A" w:rsidRPr="007C747A">
        <w:rPr>
          <w:sz w:val="22"/>
          <w:szCs w:val="22"/>
          <w:lang w:val="en-AU"/>
        </w:rPr>
        <w:t>I</w:t>
      </w:r>
      <w:r w:rsidRPr="007C747A">
        <w:rPr>
          <w:sz w:val="22"/>
          <w:szCs w:val="22"/>
          <w:lang w:val="en-AU"/>
        </w:rPr>
        <w:t>nvoicing.</w:t>
      </w:r>
    </w:p>
    <w:p w14:paraId="49DDF81B" w14:textId="6BC1687B" w:rsidR="00CB233A" w:rsidRPr="007C747A" w:rsidRDefault="00DB3384" w:rsidP="00DB3384">
      <w:pPr>
        <w:spacing w:after="160" w:line="240" w:lineRule="auto"/>
        <w:rPr>
          <w:sz w:val="22"/>
          <w:szCs w:val="22"/>
          <w:lang w:val="en-AU"/>
        </w:rPr>
      </w:pPr>
      <w:r w:rsidRPr="007C747A">
        <w:rPr>
          <w:sz w:val="22"/>
          <w:szCs w:val="22"/>
          <w:lang w:val="en-AU"/>
        </w:rPr>
        <w:t xml:space="preserve">Changes to the measuring of performance </w:t>
      </w:r>
      <w:r w:rsidR="00E739E4" w:rsidRPr="007C747A">
        <w:rPr>
          <w:sz w:val="22"/>
          <w:szCs w:val="22"/>
          <w:lang w:val="en-AU"/>
        </w:rPr>
        <w:t xml:space="preserve">for </w:t>
      </w:r>
      <w:r w:rsidRPr="007C747A">
        <w:rPr>
          <w:sz w:val="22"/>
          <w:szCs w:val="22"/>
          <w:lang w:val="en-AU"/>
        </w:rPr>
        <w:t xml:space="preserve">this key activity include the removal of </w:t>
      </w:r>
      <w:r w:rsidR="003F59B4" w:rsidRPr="007C747A">
        <w:rPr>
          <w:sz w:val="22"/>
          <w:szCs w:val="22"/>
          <w:lang w:val="en-AU"/>
        </w:rPr>
        <w:t xml:space="preserve">the </w:t>
      </w:r>
      <w:r w:rsidR="00E739E4" w:rsidRPr="007C747A">
        <w:rPr>
          <w:sz w:val="22"/>
          <w:szCs w:val="22"/>
          <w:lang w:val="en-AU"/>
        </w:rPr>
        <w:t>p</w:t>
      </w:r>
      <w:r w:rsidRPr="007C747A">
        <w:rPr>
          <w:sz w:val="22"/>
          <w:szCs w:val="22"/>
          <w:lang w:val="en-AU"/>
        </w:rPr>
        <w:t>ayment error</w:t>
      </w:r>
      <w:r w:rsidR="00E739E4" w:rsidRPr="007C747A">
        <w:rPr>
          <w:sz w:val="22"/>
          <w:szCs w:val="22"/>
          <w:lang w:val="en-AU"/>
        </w:rPr>
        <w:t>s</w:t>
      </w:r>
      <w:r w:rsidRPr="007C747A">
        <w:rPr>
          <w:sz w:val="22"/>
          <w:szCs w:val="22"/>
          <w:lang w:val="en-AU"/>
        </w:rPr>
        <w:t>/anomalies</w:t>
      </w:r>
      <w:r w:rsidR="003F59B4" w:rsidRPr="007C747A">
        <w:rPr>
          <w:sz w:val="22"/>
          <w:szCs w:val="22"/>
          <w:lang w:val="en-AU"/>
        </w:rPr>
        <w:t xml:space="preserve"> measure</w:t>
      </w:r>
      <w:r w:rsidRPr="007C747A">
        <w:rPr>
          <w:sz w:val="22"/>
          <w:szCs w:val="22"/>
          <w:lang w:val="en-AU"/>
        </w:rPr>
        <w:t>. The performance measure was assessed and identified as not being directly linked to the key activity</w:t>
      </w:r>
      <w:r w:rsidR="00CB233A" w:rsidRPr="007C747A">
        <w:rPr>
          <w:sz w:val="22"/>
          <w:szCs w:val="22"/>
          <w:lang w:val="en-AU"/>
        </w:rPr>
        <w:t>.</w:t>
      </w:r>
    </w:p>
    <w:p w14:paraId="41121B56" w14:textId="6EAF790C" w:rsidR="005B4B56" w:rsidRPr="007C747A" w:rsidRDefault="005B4B56">
      <w:pPr>
        <w:spacing w:after="0" w:line="240" w:lineRule="auto"/>
        <w:rPr>
          <w:sz w:val="22"/>
          <w:szCs w:val="22"/>
          <w:lang w:val="en-AU"/>
        </w:rPr>
      </w:pPr>
      <w:r w:rsidRPr="007C747A">
        <w:rPr>
          <w:sz w:val="22"/>
          <w:szCs w:val="22"/>
          <w:lang w:val="en-AU"/>
        </w:rPr>
        <w:br w:type="page"/>
      </w:r>
    </w:p>
    <w:p w14:paraId="5B98D2AB" w14:textId="2A2FD8E2" w:rsidR="00EB3F0F" w:rsidRPr="007C747A" w:rsidRDefault="00EB3F0F" w:rsidP="00843D4E">
      <w:pPr>
        <w:pStyle w:val="FGCHEADING3"/>
        <w:numPr>
          <w:ilvl w:val="0"/>
          <w:numId w:val="0"/>
        </w:numPr>
      </w:pPr>
      <w:bookmarkStart w:id="109" w:name="_Toc142573708"/>
      <w:bookmarkStart w:id="110" w:name="_Toc146289440"/>
      <w:r w:rsidRPr="007C747A">
        <w:t>Aspiration 5 – A financially sustainable NDIS</w:t>
      </w:r>
      <w:bookmarkEnd w:id="109"/>
      <w:bookmarkEnd w:id="110"/>
    </w:p>
    <w:p w14:paraId="630DFAC7" w14:textId="45A918C7" w:rsidR="005F6C31" w:rsidRPr="007C747A" w:rsidRDefault="00255308" w:rsidP="00FA7C9D">
      <w:pPr>
        <w:rPr>
          <w:sz w:val="22"/>
          <w:szCs w:val="22"/>
          <w:lang w:val="en-AU" w:eastAsia="en-US"/>
        </w:rPr>
      </w:pPr>
      <w:r w:rsidRPr="007C747A">
        <w:rPr>
          <w:sz w:val="22"/>
          <w:szCs w:val="22"/>
          <w:lang w:val="en-AU"/>
        </w:rPr>
        <w:t>The Agency’s initiatives aimed to deliver a financially sustainable NDIS, based on insurance principles</w:t>
      </w:r>
      <w:r w:rsidR="000E3166" w:rsidRPr="007C747A">
        <w:rPr>
          <w:sz w:val="22"/>
          <w:szCs w:val="22"/>
          <w:lang w:val="en-AU"/>
        </w:rPr>
        <w:t>.</w:t>
      </w:r>
    </w:p>
    <w:p w14:paraId="10D6D665" w14:textId="1AD1E2AF" w:rsidR="00EB3F0F" w:rsidRPr="007C747A" w:rsidRDefault="00EB3F0F" w:rsidP="00D54875">
      <w:pPr>
        <w:pStyle w:val="Heading43"/>
        <w:ind w:left="0"/>
        <w:outlineLvl w:val="3"/>
      </w:pPr>
      <w:r w:rsidRPr="007C747A">
        <w:t>Table 2.2E</w:t>
      </w:r>
      <w:r w:rsidR="00BF0550" w:rsidRPr="007C747A">
        <w:t>:</w:t>
      </w:r>
      <w:r w:rsidRPr="007C747A">
        <w:t xml:space="preserve"> </w:t>
      </w:r>
      <w:r w:rsidR="00EC5327" w:rsidRPr="007C747A">
        <w:t>Aspiration 5 – p</w:t>
      </w:r>
      <w:r w:rsidRPr="007C747A">
        <w:t xml:space="preserve">erformance </w:t>
      </w:r>
      <w:r w:rsidR="00EC5327" w:rsidRPr="007C747A">
        <w:t xml:space="preserve">targets, </w:t>
      </w:r>
      <w:r w:rsidRPr="007C747A">
        <w:t xml:space="preserve">measures and </w:t>
      </w:r>
      <w:r w:rsidR="005B4B56" w:rsidRPr="007C747A">
        <w:t>functions</w:t>
      </w: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20" w:firstRow="1" w:lastRow="0" w:firstColumn="0" w:lastColumn="0" w:noHBand="0" w:noVBand="1"/>
      </w:tblPr>
      <w:tblGrid>
        <w:gridCol w:w="3109"/>
        <w:gridCol w:w="1134"/>
        <w:gridCol w:w="992"/>
        <w:gridCol w:w="1985"/>
        <w:gridCol w:w="3260"/>
      </w:tblGrid>
      <w:tr w:rsidR="0074128B" w:rsidRPr="007C747A" w14:paraId="6825397A" w14:textId="77777777" w:rsidTr="009A192E">
        <w:trPr>
          <w:trHeight w:val="340"/>
        </w:trPr>
        <w:tc>
          <w:tcPr>
            <w:tcW w:w="3109" w:type="dxa"/>
            <w:shd w:val="clear" w:color="auto" w:fill="EED0D7"/>
            <w:tcMar>
              <w:top w:w="72" w:type="dxa"/>
              <w:left w:w="144" w:type="dxa"/>
              <w:bottom w:w="72" w:type="dxa"/>
              <w:right w:w="144" w:type="dxa"/>
            </w:tcMar>
            <w:vAlign w:val="center"/>
            <w:hideMark/>
          </w:tcPr>
          <w:p w14:paraId="2B3402F0" w14:textId="00F20362" w:rsidR="0074128B" w:rsidRPr="007C747A" w:rsidRDefault="0074128B" w:rsidP="0074128B">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 xml:space="preserve">Performance </w:t>
            </w:r>
            <w:r w:rsidR="003F59B4" w:rsidRPr="007C747A">
              <w:rPr>
                <w:rFonts w:eastAsia="Times New Roman" w:cs="Arial"/>
                <w:b/>
                <w:bCs/>
                <w:kern w:val="24"/>
                <w:sz w:val="20"/>
                <w:szCs w:val="20"/>
                <w:lang w:val="en-AU" w:eastAsia="en-AU"/>
              </w:rPr>
              <w:t>m</w:t>
            </w:r>
            <w:r w:rsidRPr="007C747A">
              <w:rPr>
                <w:rFonts w:eastAsia="Times New Roman" w:cs="Arial"/>
                <w:b/>
                <w:bCs/>
                <w:kern w:val="24"/>
                <w:sz w:val="20"/>
                <w:szCs w:val="20"/>
                <w:lang w:val="en-AU" w:eastAsia="en-AU"/>
              </w:rPr>
              <w:t>easure</w:t>
            </w:r>
          </w:p>
        </w:tc>
        <w:tc>
          <w:tcPr>
            <w:tcW w:w="1134" w:type="dxa"/>
            <w:shd w:val="clear" w:color="auto" w:fill="EED0D7"/>
            <w:tcMar>
              <w:top w:w="72" w:type="dxa"/>
              <w:left w:w="144" w:type="dxa"/>
              <w:bottom w:w="72" w:type="dxa"/>
              <w:right w:w="144" w:type="dxa"/>
            </w:tcMar>
            <w:vAlign w:val="center"/>
            <w:hideMark/>
          </w:tcPr>
          <w:p w14:paraId="05617141" w14:textId="2B496A71" w:rsidR="0074128B" w:rsidRPr="007C747A" w:rsidRDefault="0074128B" w:rsidP="0074128B">
            <w:pPr>
              <w:spacing w:after="0" w:line="240" w:lineRule="auto"/>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3F59B4"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3F59B4" w:rsidRPr="007C747A">
              <w:rPr>
                <w:rFonts w:eastAsia="Times New Roman" w:cs="Arial"/>
                <w:b/>
                <w:bCs/>
                <w:kern w:val="24"/>
                <w:sz w:val="20"/>
                <w:szCs w:val="20"/>
                <w:lang w:val="en-AU" w:eastAsia="en-AU"/>
              </w:rPr>
              <w:t>t</w:t>
            </w:r>
            <w:r w:rsidRPr="007C747A">
              <w:rPr>
                <w:rFonts w:eastAsia="Times New Roman" w:cs="Arial"/>
                <w:b/>
                <w:bCs/>
                <w:kern w:val="24"/>
                <w:sz w:val="20"/>
                <w:szCs w:val="20"/>
                <w:lang w:val="en-AU" w:eastAsia="en-AU"/>
              </w:rPr>
              <w:t xml:space="preserve">arget </w:t>
            </w:r>
          </w:p>
        </w:tc>
        <w:tc>
          <w:tcPr>
            <w:tcW w:w="992" w:type="dxa"/>
            <w:shd w:val="clear" w:color="auto" w:fill="EED0D7"/>
            <w:vAlign w:val="center"/>
          </w:tcPr>
          <w:p w14:paraId="064289B5" w14:textId="23D0DE72" w:rsidR="0074128B" w:rsidRPr="007C747A" w:rsidRDefault="0074128B" w:rsidP="0074128B">
            <w:pPr>
              <w:spacing w:after="0" w:line="240" w:lineRule="auto"/>
              <w:ind w:left="138"/>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2022</w:t>
            </w:r>
            <w:r w:rsidR="003F59B4" w:rsidRPr="007C747A">
              <w:rPr>
                <w:rFonts w:eastAsia="Times New Roman" w:cs="Arial"/>
                <w:b/>
                <w:bCs/>
                <w:kern w:val="24"/>
                <w:sz w:val="20"/>
                <w:szCs w:val="20"/>
                <w:lang w:val="en-AU" w:eastAsia="en-AU"/>
              </w:rPr>
              <w:t>–</w:t>
            </w:r>
            <w:r w:rsidRPr="007C747A">
              <w:rPr>
                <w:rFonts w:eastAsia="Times New Roman" w:cs="Arial"/>
                <w:b/>
                <w:bCs/>
                <w:kern w:val="24"/>
                <w:sz w:val="20"/>
                <w:szCs w:val="20"/>
                <w:lang w:val="en-AU" w:eastAsia="en-AU"/>
              </w:rPr>
              <w:t xml:space="preserve">23 </w:t>
            </w:r>
            <w:r w:rsidR="003F59B4" w:rsidRPr="007C747A">
              <w:rPr>
                <w:rFonts w:eastAsia="Times New Roman" w:cs="Arial"/>
                <w:b/>
                <w:bCs/>
                <w:kern w:val="24"/>
                <w:sz w:val="20"/>
                <w:szCs w:val="20"/>
                <w:lang w:val="en-AU" w:eastAsia="en-AU"/>
              </w:rPr>
              <w:t>r</w:t>
            </w:r>
            <w:r w:rsidRPr="007C747A">
              <w:rPr>
                <w:rFonts w:eastAsia="Times New Roman" w:cs="Arial"/>
                <w:b/>
                <w:bCs/>
                <w:kern w:val="24"/>
                <w:sz w:val="20"/>
                <w:szCs w:val="20"/>
                <w:lang w:val="en-AU" w:eastAsia="en-AU"/>
              </w:rPr>
              <w:t>esult</w:t>
            </w:r>
          </w:p>
        </w:tc>
        <w:tc>
          <w:tcPr>
            <w:tcW w:w="1985" w:type="dxa"/>
            <w:shd w:val="clear" w:color="auto" w:fill="EED0D7"/>
            <w:vAlign w:val="center"/>
          </w:tcPr>
          <w:p w14:paraId="41A995FB" w14:textId="77777777" w:rsidR="0074128B" w:rsidRPr="007C747A" w:rsidRDefault="0074128B" w:rsidP="0074128B">
            <w:pPr>
              <w:spacing w:after="0" w:line="240" w:lineRule="auto"/>
              <w:ind w:left="141"/>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Outcome</w:t>
            </w:r>
          </w:p>
        </w:tc>
        <w:tc>
          <w:tcPr>
            <w:tcW w:w="3260" w:type="dxa"/>
            <w:shd w:val="clear" w:color="auto" w:fill="EED0D7"/>
            <w:vAlign w:val="center"/>
          </w:tcPr>
          <w:p w14:paraId="21EBA4FD" w14:textId="77777777" w:rsidR="0074128B" w:rsidRPr="007C747A" w:rsidRDefault="0074128B" w:rsidP="0074128B">
            <w:pPr>
              <w:spacing w:after="0" w:line="240" w:lineRule="auto"/>
              <w:ind w:left="144"/>
              <w:rPr>
                <w:rFonts w:eastAsia="Times New Roman" w:cs="Arial"/>
                <w:b/>
                <w:bCs/>
                <w:kern w:val="24"/>
                <w:sz w:val="20"/>
                <w:szCs w:val="20"/>
                <w:lang w:val="en-AU" w:eastAsia="en-AU"/>
              </w:rPr>
            </w:pPr>
            <w:r w:rsidRPr="007C747A">
              <w:rPr>
                <w:rFonts w:eastAsia="Times New Roman" w:cs="Arial"/>
                <w:b/>
                <w:bCs/>
                <w:kern w:val="24"/>
                <w:sz w:val="20"/>
                <w:szCs w:val="20"/>
                <w:lang w:val="en-AU" w:eastAsia="en-AU"/>
              </w:rPr>
              <w:t>Method</w:t>
            </w:r>
          </w:p>
        </w:tc>
      </w:tr>
      <w:tr w:rsidR="0074128B" w:rsidRPr="007C747A" w14:paraId="0C11ABCD" w14:textId="77777777" w:rsidTr="009A192E">
        <w:trPr>
          <w:trHeight w:val="170"/>
        </w:trPr>
        <w:tc>
          <w:tcPr>
            <w:tcW w:w="3109" w:type="dxa"/>
            <w:shd w:val="clear" w:color="auto" w:fill="auto"/>
            <w:tcMar>
              <w:top w:w="72" w:type="dxa"/>
              <w:left w:w="144" w:type="dxa"/>
              <w:bottom w:w="72" w:type="dxa"/>
              <w:right w:w="144" w:type="dxa"/>
            </w:tcMar>
            <w:hideMark/>
          </w:tcPr>
          <w:p w14:paraId="771AE6AB" w14:textId="1EF282E6" w:rsidR="0074128B" w:rsidRPr="007C747A" w:rsidRDefault="0074128B" w:rsidP="0074128B">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Children benefiting from the NDIS and no longer needing supports (%)</w:t>
            </w:r>
          </w:p>
        </w:tc>
        <w:tc>
          <w:tcPr>
            <w:tcW w:w="1134" w:type="dxa"/>
            <w:shd w:val="clear" w:color="auto" w:fill="auto"/>
            <w:tcMar>
              <w:top w:w="72" w:type="dxa"/>
              <w:left w:w="144" w:type="dxa"/>
              <w:bottom w:w="72" w:type="dxa"/>
              <w:right w:w="144" w:type="dxa"/>
            </w:tcMar>
            <w:hideMark/>
          </w:tcPr>
          <w:p w14:paraId="5E1016CB" w14:textId="77777777" w:rsidR="0074128B" w:rsidRPr="007C747A" w:rsidRDefault="0074128B" w:rsidP="0074128B">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6%</w:t>
            </w:r>
          </w:p>
        </w:tc>
        <w:tc>
          <w:tcPr>
            <w:tcW w:w="992" w:type="dxa"/>
            <w:shd w:val="clear" w:color="auto" w:fill="auto"/>
          </w:tcPr>
          <w:p w14:paraId="2A476082" w14:textId="77777777" w:rsidR="0074128B" w:rsidRPr="007C747A" w:rsidRDefault="0074128B" w:rsidP="0074128B">
            <w:pPr>
              <w:spacing w:before="120" w:after="120" w:line="240" w:lineRule="auto"/>
              <w:ind w:left="138"/>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4.7%</w:t>
            </w:r>
          </w:p>
        </w:tc>
        <w:tc>
          <w:tcPr>
            <w:tcW w:w="1985" w:type="dxa"/>
            <w:shd w:val="clear" w:color="auto" w:fill="auto"/>
          </w:tcPr>
          <w:p w14:paraId="0F4E313F" w14:textId="58946FF8" w:rsidR="0074128B" w:rsidRPr="007C747A" w:rsidRDefault="0074128B" w:rsidP="0074128B">
            <w:pPr>
              <w:spacing w:before="120" w:after="120" w:line="240" w:lineRule="auto"/>
              <w:ind w:left="141"/>
              <w:rPr>
                <w:rFonts w:eastAsia="Times New Roman" w:cs="Arial"/>
                <w:color w:val="000000"/>
                <w:kern w:val="24"/>
                <w:sz w:val="22"/>
                <w:szCs w:val="22"/>
                <w:lang w:val="en-AU" w:eastAsia="en-AU"/>
              </w:rPr>
            </w:pPr>
            <w:r w:rsidRPr="007C747A">
              <w:rPr>
                <w:rFonts w:eastAsia="Times New Roman" w:cs="Arial"/>
                <w:b/>
                <w:bCs/>
                <w:sz w:val="20"/>
                <w:szCs w:val="20"/>
                <w:lang w:val="en-AU" w:eastAsia="en-AU"/>
              </w:rPr>
              <w:t xml:space="preserve">Partially </w:t>
            </w:r>
            <w:r w:rsidR="003F59B4"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3260" w:type="dxa"/>
            <w:shd w:val="clear" w:color="auto" w:fill="auto"/>
          </w:tcPr>
          <w:p w14:paraId="45C40571" w14:textId="519862B2" w:rsidR="0074128B" w:rsidRPr="007C747A" w:rsidRDefault="0074128B" w:rsidP="0074128B">
            <w:pPr>
              <w:spacing w:before="120" w:after="120" w:line="240" w:lineRule="auto"/>
              <w:ind w:left="136"/>
              <w:rPr>
                <w:rFonts w:eastAsia="Times New Roman" w:cs="Arial"/>
                <w:color w:val="000000"/>
                <w:kern w:val="24"/>
                <w:sz w:val="20"/>
                <w:szCs w:val="20"/>
                <w:lang w:val="en-AU" w:eastAsia="en-AU"/>
              </w:rPr>
            </w:pPr>
            <w:r w:rsidRPr="007C747A">
              <w:rPr>
                <w:rFonts w:eastAsia="DengXian" w:cs="Arial"/>
                <w:sz w:val="20"/>
                <w:szCs w:val="20"/>
                <w:lang w:val="en-AU"/>
              </w:rPr>
              <w:t>Calculated for the full financial year as the average of 12 monthly results for 2022</w:t>
            </w:r>
            <w:r w:rsidR="003F59B4" w:rsidRPr="007C747A">
              <w:rPr>
                <w:rFonts w:eastAsia="DengXian" w:cs="Arial"/>
                <w:sz w:val="20"/>
                <w:szCs w:val="20"/>
                <w:lang w:val="en-AU"/>
              </w:rPr>
              <w:t>–</w:t>
            </w:r>
            <w:r w:rsidRPr="007C747A">
              <w:rPr>
                <w:rFonts w:eastAsia="DengXian" w:cs="Arial"/>
                <w:sz w:val="20"/>
                <w:szCs w:val="20"/>
                <w:lang w:val="en-AU"/>
              </w:rPr>
              <w:t>23 of children aged 0 to 14 who have received supports from the Scheme under the Early Childhood Approach and are now no longer receiving support.</w:t>
            </w:r>
          </w:p>
        </w:tc>
      </w:tr>
      <w:tr w:rsidR="0074128B" w:rsidRPr="007C747A" w14:paraId="326D742B" w14:textId="77777777" w:rsidTr="009A192E">
        <w:trPr>
          <w:trHeight w:val="170"/>
        </w:trPr>
        <w:tc>
          <w:tcPr>
            <w:tcW w:w="3109" w:type="dxa"/>
            <w:shd w:val="clear" w:color="auto" w:fill="FAF1F2"/>
            <w:tcMar>
              <w:top w:w="72" w:type="dxa"/>
              <w:left w:w="144" w:type="dxa"/>
              <w:bottom w:w="72" w:type="dxa"/>
              <w:right w:w="144" w:type="dxa"/>
            </w:tcMar>
            <w:hideMark/>
          </w:tcPr>
          <w:p w14:paraId="1CF89298" w14:textId="5E0F2C31" w:rsidR="0074128B" w:rsidRPr="007C747A" w:rsidRDefault="0074128B" w:rsidP="0074128B">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 xml:space="preserve">Socioeconomic </w:t>
            </w:r>
            <w:r w:rsidR="003F59B4" w:rsidRPr="007C747A">
              <w:rPr>
                <w:rFonts w:eastAsia="Times New Roman" w:cs="Arial"/>
                <w:color w:val="000000"/>
                <w:kern w:val="24"/>
                <w:sz w:val="22"/>
                <w:szCs w:val="22"/>
                <w:lang w:val="en-AU" w:eastAsia="en-AU"/>
              </w:rPr>
              <w:t>e</w:t>
            </w:r>
            <w:r w:rsidRPr="007C747A">
              <w:rPr>
                <w:rFonts w:eastAsia="Times New Roman" w:cs="Arial"/>
                <w:color w:val="000000"/>
                <w:kern w:val="24"/>
                <w:sz w:val="22"/>
                <w:szCs w:val="22"/>
                <w:lang w:val="en-AU" w:eastAsia="en-AU"/>
              </w:rPr>
              <w:t>quity (%)</w:t>
            </w:r>
          </w:p>
        </w:tc>
        <w:tc>
          <w:tcPr>
            <w:tcW w:w="1134" w:type="dxa"/>
            <w:shd w:val="clear" w:color="auto" w:fill="FAF1F2"/>
            <w:tcMar>
              <w:top w:w="72" w:type="dxa"/>
              <w:left w:w="144" w:type="dxa"/>
              <w:bottom w:w="72" w:type="dxa"/>
              <w:right w:w="144" w:type="dxa"/>
            </w:tcMar>
            <w:hideMark/>
          </w:tcPr>
          <w:p w14:paraId="071C90C3" w14:textId="77777777" w:rsidR="0074128B" w:rsidRPr="007C747A" w:rsidRDefault="0074128B" w:rsidP="0074128B">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104%</w:t>
            </w:r>
          </w:p>
        </w:tc>
        <w:tc>
          <w:tcPr>
            <w:tcW w:w="992" w:type="dxa"/>
            <w:shd w:val="clear" w:color="auto" w:fill="FAF1F2"/>
          </w:tcPr>
          <w:p w14:paraId="6DEA3D83" w14:textId="77777777" w:rsidR="0074128B" w:rsidRPr="007C747A" w:rsidRDefault="0074128B" w:rsidP="0074128B">
            <w:pPr>
              <w:spacing w:before="120" w:after="120" w:line="240" w:lineRule="auto"/>
              <w:ind w:left="138"/>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101.7%</w:t>
            </w:r>
          </w:p>
        </w:tc>
        <w:tc>
          <w:tcPr>
            <w:tcW w:w="1985" w:type="dxa"/>
            <w:shd w:val="clear" w:color="auto" w:fill="FAF1F2"/>
          </w:tcPr>
          <w:p w14:paraId="4E46BF07" w14:textId="77777777" w:rsidR="0074128B" w:rsidRPr="007C747A" w:rsidRDefault="0074128B" w:rsidP="0074128B">
            <w:pPr>
              <w:spacing w:before="120" w:after="120" w:line="240" w:lineRule="auto"/>
              <w:ind w:left="136"/>
              <w:rPr>
                <w:rFonts w:eastAsia="Times New Roman" w:cs="Arial"/>
                <w:color w:val="000000"/>
                <w:kern w:val="24"/>
                <w:sz w:val="22"/>
                <w:szCs w:val="22"/>
                <w:lang w:val="en-AU" w:eastAsia="en-AU"/>
              </w:rPr>
            </w:pPr>
            <w:r w:rsidRPr="007C747A">
              <w:rPr>
                <w:rFonts w:eastAsia="Times New Roman" w:cs="Arial"/>
                <w:b/>
                <w:bCs/>
                <w:sz w:val="20"/>
                <w:szCs w:val="20"/>
                <w:lang w:val="en-AU" w:eastAsia="en-AU"/>
              </w:rPr>
              <w:t>Achieved</w:t>
            </w:r>
          </w:p>
        </w:tc>
        <w:tc>
          <w:tcPr>
            <w:tcW w:w="3260" w:type="dxa"/>
            <w:shd w:val="clear" w:color="auto" w:fill="FAF1F2"/>
          </w:tcPr>
          <w:p w14:paraId="0B1B53E0" w14:textId="79FCE9CB" w:rsidR="0074128B" w:rsidRPr="007C747A" w:rsidRDefault="0074128B" w:rsidP="0074128B">
            <w:pPr>
              <w:spacing w:before="120" w:after="120" w:line="240" w:lineRule="auto"/>
              <w:ind w:left="136"/>
              <w:rPr>
                <w:rFonts w:eastAsia="Times New Roman" w:cs="Arial"/>
                <w:color w:val="000000"/>
                <w:kern w:val="24"/>
                <w:sz w:val="20"/>
                <w:szCs w:val="20"/>
                <w:lang w:val="en-AU" w:eastAsia="en-AU"/>
              </w:rPr>
            </w:pPr>
            <w:r w:rsidRPr="007C747A">
              <w:rPr>
                <w:rFonts w:eastAsia="DengXian" w:cs="Arial"/>
                <w:sz w:val="20"/>
                <w:szCs w:val="20"/>
                <w:lang w:val="en-AU"/>
              </w:rPr>
              <w:t xml:space="preserve">Calculated as the average annualised plan budget for participants in the top </w:t>
            </w:r>
            <w:r w:rsidR="003F59B4" w:rsidRPr="007C747A">
              <w:rPr>
                <w:rFonts w:eastAsia="DengXian" w:cs="Arial"/>
                <w:sz w:val="20"/>
                <w:szCs w:val="20"/>
                <w:lang w:val="en-AU"/>
              </w:rPr>
              <w:t>2</w:t>
            </w:r>
            <w:r w:rsidRPr="007C747A">
              <w:rPr>
                <w:rFonts w:eastAsia="DengXian" w:cs="Arial"/>
                <w:sz w:val="20"/>
                <w:szCs w:val="20"/>
                <w:lang w:val="en-AU"/>
              </w:rPr>
              <w:t xml:space="preserve"> deciles (based on the </w:t>
            </w:r>
            <w:r w:rsidR="003F59B4" w:rsidRPr="007C747A">
              <w:rPr>
                <w:rFonts w:eastAsia="DengXian" w:cs="Arial"/>
                <w:sz w:val="20"/>
                <w:szCs w:val="20"/>
                <w:lang w:val="en-AU"/>
              </w:rPr>
              <w:t>Australian Bureau of Statistics (</w:t>
            </w:r>
            <w:r w:rsidRPr="007C747A">
              <w:rPr>
                <w:rFonts w:eastAsia="DengXian" w:cs="Arial"/>
                <w:sz w:val="20"/>
                <w:szCs w:val="20"/>
                <w:lang w:val="en-AU"/>
              </w:rPr>
              <w:t>ABS</w:t>
            </w:r>
            <w:r w:rsidR="003F59B4" w:rsidRPr="007C747A">
              <w:rPr>
                <w:rFonts w:eastAsia="DengXian" w:cs="Arial"/>
                <w:sz w:val="20"/>
                <w:szCs w:val="20"/>
                <w:lang w:val="en-AU"/>
              </w:rPr>
              <w:t>)</w:t>
            </w:r>
            <w:r w:rsidRPr="007C747A">
              <w:rPr>
                <w:rFonts w:eastAsia="DengXian" w:cs="Arial"/>
                <w:sz w:val="20"/>
                <w:szCs w:val="20"/>
                <w:lang w:val="en-AU"/>
              </w:rPr>
              <w:t xml:space="preserve"> </w:t>
            </w:r>
            <w:r w:rsidR="003F59B4" w:rsidRPr="007C747A">
              <w:rPr>
                <w:rFonts w:eastAsia="DengXian" w:cs="Arial"/>
                <w:sz w:val="20"/>
                <w:szCs w:val="20"/>
                <w:lang w:val="en-AU"/>
              </w:rPr>
              <w:t>Index of Education and Occupation</w:t>
            </w:r>
            <w:r w:rsidR="003F59B4" w:rsidRPr="007C747A" w:rsidDel="003F59B4">
              <w:rPr>
                <w:rFonts w:eastAsia="DengXian" w:cs="Arial"/>
                <w:sz w:val="20"/>
                <w:szCs w:val="20"/>
                <w:lang w:val="en-AU"/>
              </w:rPr>
              <w:t xml:space="preserve"> </w:t>
            </w:r>
            <w:r w:rsidRPr="007C747A">
              <w:rPr>
                <w:rFonts w:eastAsia="DengXian" w:cs="Arial"/>
                <w:sz w:val="20"/>
                <w:szCs w:val="20"/>
                <w:lang w:val="en-AU"/>
              </w:rPr>
              <w:t xml:space="preserve">classification) divided by the average annualised plan budget for participants in the bottom </w:t>
            </w:r>
            <w:r w:rsidR="003F59B4" w:rsidRPr="007C747A">
              <w:rPr>
                <w:rFonts w:eastAsia="DengXian" w:cs="Arial"/>
                <w:sz w:val="20"/>
                <w:szCs w:val="20"/>
                <w:lang w:val="en-AU"/>
              </w:rPr>
              <w:t xml:space="preserve">2 </w:t>
            </w:r>
            <w:r w:rsidRPr="007C747A">
              <w:rPr>
                <w:rFonts w:eastAsia="DengXian" w:cs="Arial"/>
                <w:sz w:val="20"/>
                <w:szCs w:val="20"/>
                <w:lang w:val="en-AU"/>
              </w:rPr>
              <w:t xml:space="preserve">deciles for all </w:t>
            </w:r>
            <w:r w:rsidR="003F59B4" w:rsidRPr="007C747A">
              <w:rPr>
                <w:rFonts w:eastAsia="DengXian" w:cs="Arial"/>
                <w:sz w:val="20"/>
                <w:szCs w:val="20"/>
                <w:lang w:val="en-AU"/>
              </w:rPr>
              <w:t>s</w:t>
            </w:r>
            <w:r w:rsidRPr="007C747A">
              <w:rPr>
                <w:rFonts w:eastAsia="DengXian" w:cs="Arial"/>
                <w:sz w:val="20"/>
                <w:szCs w:val="20"/>
                <w:lang w:val="en-AU"/>
              </w:rPr>
              <w:t xml:space="preserve">tates (except </w:t>
            </w:r>
            <w:r w:rsidR="003F59B4" w:rsidRPr="007C747A">
              <w:rPr>
                <w:rFonts w:eastAsia="DengXian" w:cs="Arial"/>
                <w:sz w:val="20"/>
                <w:szCs w:val="20"/>
                <w:lang w:val="en-AU"/>
              </w:rPr>
              <w:t xml:space="preserve">the </w:t>
            </w:r>
            <w:r w:rsidRPr="007C747A">
              <w:rPr>
                <w:rFonts w:eastAsia="DengXian" w:cs="Arial"/>
                <w:sz w:val="20"/>
                <w:szCs w:val="20"/>
                <w:lang w:val="en-AU"/>
              </w:rPr>
              <w:t>ACT</w:t>
            </w:r>
            <w:r w:rsidR="003F59B4" w:rsidRPr="007C747A">
              <w:rPr>
                <w:rFonts w:eastAsia="DengXian" w:cs="Arial"/>
                <w:sz w:val="20"/>
                <w:szCs w:val="20"/>
                <w:lang w:val="en-AU"/>
              </w:rPr>
              <w:t>, for which</w:t>
            </w:r>
            <w:r w:rsidRPr="007C747A">
              <w:rPr>
                <w:rFonts w:eastAsia="DengXian" w:cs="Arial"/>
                <w:sz w:val="20"/>
                <w:szCs w:val="20"/>
                <w:lang w:val="en-AU"/>
              </w:rPr>
              <w:t xml:space="preserve"> the top and bottom </w:t>
            </w:r>
            <w:r w:rsidR="003F59B4" w:rsidRPr="007C747A">
              <w:rPr>
                <w:rFonts w:eastAsia="DengXian" w:cs="Arial"/>
                <w:sz w:val="20"/>
                <w:szCs w:val="20"/>
                <w:lang w:val="en-AU"/>
              </w:rPr>
              <w:t xml:space="preserve">4 </w:t>
            </w:r>
            <w:r w:rsidRPr="007C747A">
              <w:rPr>
                <w:rFonts w:eastAsia="DengXian" w:cs="Arial"/>
                <w:sz w:val="20"/>
                <w:szCs w:val="20"/>
                <w:lang w:val="en-AU"/>
              </w:rPr>
              <w:t>deciles</w:t>
            </w:r>
            <w:r w:rsidR="003F59B4" w:rsidRPr="007C747A">
              <w:rPr>
                <w:rFonts w:eastAsia="DengXian" w:cs="Arial"/>
                <w:sz w:val="20"/>
                <w:szCs w:val="20"/>
                <w:lang w:val="en-AU"/>
              </w:rPr>
              <w:t xml:space="preserve"> are used</w:t>
            </w:r>
            <w:r w:rsidRPr="007C747A">
              <w:rPr>
                <w:rFonts w:eastAsia="DengXian" w:cs="Arial"/>
                <w:sz w:val="20"/>
                <w:szCs w:val="20"/>
                <w:lang w:val="en-AU"/>
              </w:rPr>
              <w:t xml:space="preserve">). Participants aged 0 to 64 who are not in </w:t>
            </w:r>
            <w:r w:rsidR="003F59B4" w:rsidRPr="007C747A">
              <w:rPr>
                <w:rFonts w:eastAsia="DengXian" w:cs="Arial"/>
                <w:sz w:val="20"/>
                <w:szCs w:val="20"/>
                <w:lang w:val="en-AU"/>
              </w:rPr>
              <w:t xml:space="preserve">supported independent living </w:t>
            </w:r>
            <w:r w:rsidRPr="007C747A">
              <w:rPr>
                <w:rFonts w:eastAsia="DengXian" w:cs="Arial"/>
                <w:sz w:val="20"/>
                <w:szCs w:val="20"/>
                <w:lang w:val="en-AU"/>
              </w:rPr>
              <w:t>are included in the calculation.</w:t>
            </w:r>
          </w:p>
        </w:tc>
      </w:tr>
      <w:tr w:rsidR="0074128B" w:rsidRPr="007C747A" w14:paraId="23FE46C1" w14:textId="77777777" w:rsidTr="009A192E">
        <w:trPr>
          <w:trHeight w:val="170"/>
        </w:trPr>
        <w:tc>
          <w:tcPr>
            <w:tcW w:w="3109" w:type="dxa"/>
            <w:shd w:val="clear" w:color="auto" w:fill="auto"/>
            <w:tcMar>
              <w:top w:w="72" w:type="dxa"/>
              <w:left w:w="144" w:type="dxa"/>
              <w:bottom w:w="72" w:type="dxa"/>
              <w:right w:w="144" w:type="dxa"/>
            </w:tcMar>
            <w:hideMark/>
          </w:tcPr>
          <w:p w14:paraId="2C0E6D83" w14:textId="77777777" w:rsidR="0074128B" w:rsidRPr="007C747A" w:rsidRDefault="0074128B" w:rsidP="0074128B">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Payment growth compared to healthcare and social assistance wages growth</w:t>
            </w:r>
          </w:p>
        </w:tc>
        <w:tc>
          <w:tcPr>
            <w:tcW w:w="1134" w:type="dxa"/>
            <w:shd w:val="clear" w:color="auto" w:fill="auto"/>
            <w:tcMar>
              <w:top w:w="72" w:type="dxa"/>
              <w:left w:w="144" w:type="dxa"/>
              <w:bottom w:w="72" w:type="dxa"/>
              <w:right w:w="144" w:type="dxa"/>
            </w:tcMar>
            <w:hideMark/>
          </w:tcPr>
          <w:p w14:paraId="408C16E7" w14:textId="77777777" w:rsidR="0074128B" w:rsidRPr="007C747A" w:rsidRDefault="0074128B" w:rsidP="0074128B">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&lt;2</w:t>
            </w:r>
          </w:p>
        </w:tc>
        <w:tc>
          <w:tcPr>
            <w:tcW w:w="992" w:type="dxa"/>
            <w:shd w:val="clear" w:color="auto" w:fill="auto"/>
          </w:tcPr>
          <w:p w14:paraId="59576D5D" w14:textId="77777777" w:rsidR="0074128B" w:rsidRPr="007C747A" w:rsidRDefault="0074128B" w:rsidP="0074128B">
            <w:pPr>
              <w:spacing w:before="120" w:after="0" w:line="240" w:lineRule="auto"/>
              <w:ind w:left="138"/>
              <w:rPr>
                <w:rFonts w:eastAsia="Times New Roman" w:cs="Arial"/>
                <w:sz w:val="22"/>
                <w:szCs w:val="22"/>
                <w:lang w:val="en-AU" w:eastAsia="en-AU"/>
              </w:rPr>
            </w:pPr>
            <w:r w:rsidRPr="007C747A">
              <w:rPr>
                <w:rFonts w:eastAsia="Times New Roman" w:cs="Arial"/>
                <w:sz w:val="22"/>
                <w:szCs w:val="22"/>
                <w:lang w:val="en-AU" w:eastAsia="en-AU"/>
              </w:rPr>
              <w:t>2.3</w:t>
            </w:r>
          </w:p>
        </w:tc>
        <w:tc>
          <w:tcPr>
            <w:tcW w:w="1985" w:type="dxa"/>
            <w:shd w:val="clear" w:color="auto" w:fill="auto"/>
          </w:tcPr>
          <w:p w14:paraId="0A0B73A3" w14:textId="76A2063B" w:rsidR="0074128B" w:rsidRPr="007C747A" w:rsidRDefault="0074128B" w:rsidP="0074128B">
            <w:pPr>
              <w:spacing w:before="120" w:after="0" w:line="240" w:lineRule="auto"/>
              <w:ind w:left="141"/>
              <w:rPr>
                <w:rFonts w:eastAsia="Times New Roman" w:cs="Arial"/>
                <w:sz w:val="22"/>
                <w:szCs w:val="22"/>
                <w:lang w:val="en-AU" w:eastAsia="en-AU"/>
              </w:rPr>
            </w:pPr>
            <w:r w:rsidRPr="007C747A">
              <w:rPr>
                <w:rFonts w:eastAsia="Times New Roman" w:cs="Arial"/>
                <w:b/>
                <w:bCs/>
                <w:sz w:val="20"/>
                <w:szCs w:val="20"/>
                <w:lang w:val="en-AU" w:eastAsia="en-AU"/>
              </w:rPr>
              <w:t xml:space="preserve">Partially </w:t>
            </w:r>
            <w:r w:rsidR="003F59B4"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3260" w:type="dxa"/>
            <w:shd w:val="clear" w:color="auto" w:fill="auto"/>
          </w:tcPr>
          <w:p w14:paraId="745FE870" w14:textId="77777777" w:rsidR="0074128B" w:rsidRPr="007C747A" w:rsidRDefault="0074128B" w:rsidP="0074128B">
            <w:pPr>
              <w:spacing w:before="120" w:after="0" w:line="240" w:lineRule="auto"/>
              <w:ind w:left="136"/>
              <w:rPr>
                <w:rFonts w:eastAsia="DengXian" w:cs="Arial"/>
                <w:sz w:val="20"/>
                <w:szCs w:val="20"/>
                <w:lang w:val="en-AU"/>
              </w:rPr>
            </w:pPr>
            <w:r w:rsidRPr="007C747A">
              <w:rPr>
                <w:rFonts w:eastAsia="DengXian" w:cs="Arial"/>
                <w:sz w:val="20"/>
                <w:szCs w:val="20"/>
                <w:lang w:val="en-AU"/>
              </w:rPr>
              <w:t xml:space="preserve">Calculated quarterly using a participant payments inflation rate for the quarter (with a 3-month delay) divided by an ABS wages inflation rate.  </w:t>
            </w:r>
          </w:p>
          <w:p w14:paraId="1E6501AF" w14:textId="77777777" w:rsidR="0074128B" w:rsidRPr="007C747A" w:rsidRDefault="0074128B" w:rsidP="0074128B">
            <w:pPr>
              <w:spacing w:before="120" w:after="0" w:line="240" w:lineRule="auto"/>
              <w:ind w:left="136"/>
              <w:rPr>
                <w:rFonts w:eastAsia="Times New Roman" w:cs="Arial"/>
                <w:sz w:val="20"/>
                <w:szCs w:val="20"/>
                <w:lang w:val="en-AU" w:eastAsia="en-AU"/>
              </w:rPr>
            </w:pPr>
            <w:r w:rsidRPr="007C747A">
              <w:rPr>
                <w:rFonts w:eastAsia="DengXian" w:cs="Arial"/>
                <w:sz w:val="20"/>
                <w:szCs w:val="20"/>
                <w:lang w:val="en-AU"/>
              </w:rPr>
              <w:t xml:space="preserve">Measure compares the actual inflation rate being experienced on participant payments to the relevant published industry wages inflation index.  </w:t>
            </w:r>
          </w:p>
        </w:tc>
      </w:tr>
      <w:tr w:rsidR="0074128B" w:rsidRPr="007C747A" w14:paraId="7C4F1CEB" w14:textId="77777777" w:rsidTr="009A192E">
        <w:trPr>
          <w:trHeight w:val="170"/>
        </w:trPr>
        <w:tc>
          <w:tcPr>
            <w:tcW w:w="3109" w:type="dxa"/>
            <w:shd w:val="clear" w:color="auto" w:fill="FAF1F2"/>
            <w:tcMar>
              <w:top w:w="72" w:type="dxa"/>
              <w:left w:w="144" w:type="dxa"/>
              <w:bottom w:w="72" w:type="dxa"/>
              <w:right w:w="144" w:type="dxa"/>
            </w:tcMar>
            <w:hideMark/>
          </w:tcPr>
          <w:p w14:paraId="6CED2C15" w14:textId="77777777" w:rsidR="0074128B" w:rsidRPr="007C747A" w:rsidRDefault="0074128B" w:rsidP="0074128B">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NDIS annual spend (Program 1.1) compared to PBS (%)</w:t>
            </w:r>
          </w:p>
        </w:tc>
        <w:tc>
          <w:tcPr>
            <w:tcW w:w="1134" w:type="dxa"/>
            <w:shd w:val="clear" w:color="auto" w:fill="FAF1F2"/>
            <w:tcMar>
              <w:top w:w="72" w:type="dxa"/>
              <w:left w:w="144" w:type="dxa"/>
              <w:bottom w:w="72" w:type="dxa"/>
              <w:right w:w="144" w:type="dxa"/>
            </w:tcMar>
            <w:hideMark/>
          </w:tcPr>
          <w:p w14:paraId="61C116E4" w14:textId="77777777" w:rsidR="0074128B" w:rsidRPr="007C747A" w:rsidRDefault="0074128B" w:rsidP="0074128B">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100%</w:t>
            </w:r>
          </w:p>
        </w:tc>
        <w:tc>
          <w:tcPr>
            <w:tcW w:w="992" w:type="dxa"/>
            <w:shd w:val="clear" w:color="auto" w:fill="FAF1F2"/>
          </w:tcPr>
          <w:p w14:paraId="47980D02" w14:textId="77777777" w:rsidR="0074128B" w:rsidRPr="007C747A" w:rsidRDefault="0074128B" w:rsidP="0074128B">
            <w:pPr>
              <w:spacing w:before="120" w:after="0" w:line="240" w:lineRule="auto"/>
              <w:ind w:left="138"/>
              <w:rPr>
                <w:rFonts w:eastAsia="Times New Roman" w:cs="Arial"/>
                <w:sz w:val="22"/>
                <w:szCs w:val="22"/>
                <w:lang w:val="en-AU" w:eastAsia="en-AU"/>
              </w:rPr>
            </w:pPr>
            <w:r w:rsidRPr="007C747A">
              <w:rPr>
                <w:rFonts w:eastAsia="Times New Roman" w:cs="Arial"/>
                <w:sz w:val="22"/>
                <w:szCs w:val="22"/>
                <w:lang w:val="en-AU" w:eastAsia="en-AU"/>
              </w:rPr>
              <w:t>103.6%</w:t>
            </w:r>
          </w:p>
        </w:tc>
        <w:tc>
          <w:tcPr>
            <w:tcW w:w="1985" w:type="dxa"/>
            <w:shd w:val="clear" w:color="auto" w:fill="FAF1F2"/>
          </w:tcPr>
          <w:p w14:paraId="2F37D9F3" w14:textId="40D5FE71" w:rsidR="0074128B" w:rsidRPr="007C747A" w:rsidRDefault="0074128B" w:rsidP="0074128B">
            <w:pPr>
              <w:spacing w:before="120" w:after="0" w:line="240" w:lineRule="auto"/>
              <w:ind w:left="136"/>
              <w:rPr>
                <w:rFonts w:eastAsia="Times New Roman" w:cs="Arial"/>
                <w:sz w:val="22"/>
                <w:szCs w:val="22"/>
                <w:lang w:val="en-AU" w:eastAsia="en-AU"/>
              </w:rPr>
            </w:pPr>
            <w:r w:rsidRPr="007C747A">
              <w:rPr>
                <w:rFonts w:eastAsia="Times New Roman" w:cs="Arial"/>
                <w:b/>
                <w:bCs/>
                <w:sz w:val="20"/>
                <w:szCs w:val="20"/>
                <w:lang w:val="en-AU" w:eastAsia="en-AU"/>
              </w:rPr>
              <w:t xml:space="preserve">Not </w:t>
            </w:r>
            <w:r w:rsidR="003F59B4"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3260" w:type="dxa"/>
            <w:shd w:val="clear" w:color="auto" w:fill="FAF1F2"/>
          </w:tcPr>
          <w:p w14:paraId="0CB0F90D" w14:textId="77777777" w:rsidR="0074128B" w:rsidRPr="007C747A" w:rsidRDefault="0074128B" w:rsidP="0074128B">
            <w:pPr>
              <w:spacing w:before="120" w:after="0" w:line="240" w:lineRule="auto"/>
              <w:ind w:left="136"/>
              <w:rPr>
                <w:rFonts w:eastAsia="Times New Roman" w:cs="Arial"/>
                <w:sz w:val="20"/>
                <w:szCs w:val="20"/>
                <w:lang w:val="en-AU" w:eastAsia="en-AU"/>
              </w:rPr>
            </w:pPr>
            <w:r w:rsidRPr="007C747A">
              <w:rPr>
                <w:rFonts w:eastAsia="DengXian" w:cs="Arial"/>
                <w:sz w:val="20"/>
                <w:szCs w:val="20"/>
                <w:lang w:val="en-AU"/>
              </w:rPr>
              <w:t>Actual YTD payments divided by PBS YTD payments. Payments are calculated on an accrual basis.</w:t>
            </w:r>
          </w:p>
        </w:tc>
      </w:tr>
      <w:tr w:rsidR="0074128B" w:rsidRPr="007C747A" w14:paraId="214BC64B" w14:textId="77777777" w:rsidTr="009A192E">
        <w:trPr>
          <w:trHeight w:val="170"/>
        </w:trPr>
        <w:tc>
          <w:tcPr>
            <w:tcW w:w="3109" w:type="dxa"/>
            <w:shd w:val="clear" w:color="auto" w:fill="auto"/>
            <w:tcMar>
              <w:top w:w="72" w:type="dxa"/>
              <w:left w:w="144" w:type="dxa"/>
              <w:bottom w:w="72" w:type="dxa"/>
              <w:right w:w="144" w:type="dxa"/>
            </w:tcMar>
            <w:hideMark/>
          </w:tcPr>
          <w:p w14:paraId="0215623B" w14:textId="6C8F1C60" w:rsidR="0074128B" w:rsidRPr="007C747A" w:rsidRDefault="0074128B" w:rsidP="0074128B">
            <w:pPr>
              <w:tabs>
                <w:tab w:val="left" w:pos="1000"/>
              </w:tabs>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Payment errors/anomalies (% of program outlay)</w:t>
            </w:r>
          </w:p>
        </w:tc>
        <w:tc>
          <w:tcPr>
            <w:tcW w:w="1134" w:type="dxa"/>
            <w:shd w:val="clear" w:color="auto" w:fill="auto"/>
            <w:tcMar>
              <w:top w:w="72" w:type="dxa"/>
              <w:left w:w="144" w:type="dxa"/>
              <w:bottom w:w="72" w:type="dxa"/>
              <w:right w:w="144" w:type="dxa"/>
            </w:tcMar>
            <w:hideMark/>
          </w:tcPr>
          <w:p w14:paraId="0966127B" w14:textId="77777777" w:rsidR="0074128B" w:rsidRPr="007C747A" w:rsidRDefault="0074128B" w:rsidP="0074128B">
            <w:pPr>
              <w:spacing w:before="120" w:after="0" w:line="240" w:lineRule="auto"/>
              <w:rPr>
                <w:rFonts w:eastAsia="Times New Roman" w:cs="Arial"/>
                <w:color w:val="000000"/>
                <w:kern w:val="24"/>
                <w:sz w:val="22"/>
                <w:szCs w:val="22"/>
                <w:lang w:val="en-AU" w:eastAsia="en-AU"/>
              </w:rPr>
            </w:pPr>
            <w:r w:rsidRPr="007C747A">
              <w:rPr>
                <w:rFonts w:eastAsia="Times New Roman" w:cs="Arial"/>
                <w:color w:val="000000"/>
                <w:kern w:val="24"/>
                <w:sz w:val="22"/>
                <w:szCs w:val="22"/>
                <w:lang w:val="en-AU" w:eastAsia="en-AU"/>
              </w:rPr>
              <w:t>&lt;1%</w:t>
            </w:r>
          </w:p>
        </w:tc>
        <w:tc>
          <w:tcPr>
            <w:tcW w:w="992" w:type="dxa"/>
            <w:shd w:val="clear" w:color="auto" w:fill="auto"/>
          </w:tcPr>
          <w:p w14:paraId="2BDFB022" w14:textId="77777777" w:rsidR="0074128B" w:rsidRPr="007C747A" w:rsidRDefault="0074128B" w:rsidP="0074128B">
            <w:pPr>
              <w:spacing w:before="120" w:after="0" w:line="240" w:lineRule="auto"/>
              <w:ind w:left="138"/>
              <w:rPr>
                <w:rFonts w:eastAsia="Times New Roman" w:cs="Arial"/>
                <w:sz w:val="22"/>
                <w:szCs w:val="22"/>
                <w:lang w:val="en-AU" w:eastAsia="en-AU"/>
              </w:rPr>
            </w:pPr>
            <w:r w:rsidRPr="007C747A">
              <w:rPr>
                <w:rFonts w:eastAsia="Times New Roman" w:cs="Arial"/>
                <w:sz w:val="22"/>
                <w:szCs w:val="22"/>
                <w:lang w:val="en-AU" w:eastAsia="en-AU"/>
              </w:rPr>
              <w:t>4.2%</w:t>
            </w:r>
          </w:p>
        </w:tc>
        <w:tc>
          <w:tcPr>
            <w:tcW w:w="1985" w:type="dxa"/>
            <w:shd w:val="clear" w:color="auto" w:fill="auto"/>
          </w:tcPr>
          <w:p w14:paraId="3F74E2B5" w14:textId="49407B39" w:rsidR="0074128B" w:rsidRPr="007C747A" w:rsidRDefault="0074128B" w:rsidP="0074128B">
            <w:pPr>
              <w:spacing w:before="120" w:after="0" w:line="240" w:lineRule="auto"/>
              <w:ind w:left="136"/>
              <w:rPr>
                <w:rFonts w:eastAsia="Times New Roman" w:cs="Arial"/>
                <w:sz w:val="22"/>
                <w:szCs w:val="22"/>
                <w:lang w:val="en-AU" w:eastAsia="en-AU"/>
              </w:rPr>
            </w:pPr>
            <w:r w:rsidRPr="007C747A">
              <w:rPr>
                <w:rFonts w:eastAsia="Times New Roman" w:cs="Arial"/>
                <w:b/>
                <w:bCs/>
                <w:sz w:val="20"/>
                <w:szCs w:val="20"/>
                <w:lang w:val="en-AU" w:eastAsia="en-AU"/>
              </w:rPr>
              <w:t xml:space="preserve">Not </w:t>
            </w:r>
            <w:r w:rsidR="003F59B4" w:rsidRPr="007C747A">
              <w:rPr>
                <w:rFonts w:eastAsia="Times New Roman" w:cs="Arial"/>
                <w:b/>
                <w:bCs/>
                <w:sz w:val="20"/>
                <w:szCs w:val="20"/>
                <w:lang w:val="en-AU" w:eastAsia="en-AU"/>
              </w:rPr>
              <w:t>a</w:t>
            </w:r>
            <w:r w:rsidRPr="007C747A">
              <w:rPr>
                <w:rFonts w:eastAsia="Times New Roman" w:cs="Arial"/>
                <w:b/>
                <w:bCs/>
                <w:sz w:val="20"/>
                <w:szCs w:val="20"/>
                <w:lang w:val="en-AU" w:eastAsia="en-AU"/>
              </w:rPr>
              <w:t>chieved</w:t>
            </w:r>
          </w:p>
        </w:tc>
        <w:tc>
          <w:tcPr>
            <w:tcW w:w="3260" w:type="dxa"/>
            <w:shd w:val="clear" w:color="auto" w:fill="auto"/>
          </w:tcPr>
          <w:p w14:paraId="022A0699" w14:textId="49C4065C" w:rsidR="0074128B" w:rsidRPr="007C747A" w:rsidRDefault="0074128B" w:rsidP="0074128B">
            <w:pPr>
              <w:spacing w:before="120" w:after="0" w:line="240" w:lineRule="auto"/>
              <w:ind w:left="136"/>
              <w:rPr>
                <w:rFonts w:eastAsia="Times New Roman" w:cs="Arial"/>
                <w:sz w:val="20"/>
                <w:szCs w:val="20"/>
                <w:lang w:val="en-AU" w:eastAsia="en-AU"/>
              </w:rPr>
            </w:pPr>
            <w:r w:rsidRPr="007C747A">
              <w:rPr>
                <w:rFonts w:eastAsia="DengXian" w:cs="Arial"/>
                <w:sz w:val="20"/>
                <w:szCs w:val="20"/>
                <w:lang w:val="en-AU"/>
              </w:rPr>
              <w:t>Calculated monthly, inclusive of payments in the financial year to date</w:t>
            </w:r>
            <w:r w:rsidR="003F59B4" w:rsidRPr="007C747A">
              <w:rPr>
                <w:rFonts w:eastAsia="DengXian" w:cs="Arial"/>
                <w:sz w:val="20"/>
                <w:szCs w:val="20"/>
                <w:lang w:val="en-AU"/>
              </w:rPr>
              <w:t>,</w:t>
            </w:r>
            <w:r w:rsidRPr="007C747A">
              <w:rPr>
                <w:rFonts w:eastAsia="DengXian" w:cs="Arial"/>
                <w:sz w:val="20"/>
                <w:szCs w:val="20"/>
                <w:lang w:val="en-AU"/>
              </w:rPr>
              <w:t xml:space="preserve"> and weighted. </w:t>
            </w:r>
          </w:p>
        </w:tc>
      </w:tr>
    </w:tbl>
    <w:p w14:paraId="39C8F5C4" w14:textId="77777777" w:rsidR="00EB3F0F" w:rsidRPr="007C747A" w:rsidRDefault="00EB3F0F" w:rsidP="00EA6AF4">
      <w:pPr>
        <w:pStyle w:val="FGCHEADING4"/>
        <w:rPr>
          <w:lang w:val="en-AU"/>
        </w:rPr>
      </w:pPr>
      <w:bookmarkStart w:id="111" w:name="_Toc142573709"/>
      <w:r w:rsidRPr="007C747A">
        <w:rPr>
          <w:lang w:val="en-AU"/>
        </w:rPr>
        <w:t>Analysis of performance</w:t>
      </w:r>
      <w:bookmarkEnd w:id="111"/>
    </w:p>
    <w:p w14:paraId="6E6DB2C0" w14:textId="0441750B" w:rsidR="002B4C79" w:rsidRPr="007C747A" w:rsidRDefault="002B4C79" w:rsidP="002B4C79">
      <w:pPr>
        <w:pStyle w:val="TalkingPoints"/>
        <w:numPr>
          <w:ilvl w:val="0"/>
          <w:numId w:val="0"/>
        </w:numPr>
        <w:spacing w:before="0" w:after="0"/>
        <w:rPr>
          <w:rFonts w:cs="Arial"/>
          <w:sz w:val="22"/>
          <w:szCs w:val="22"/>
        </w:rPr>
      </w:pPr>
      <w:bookmarkStart w:id="112" w:name="_Toc142039624"/>
      <w:bookmarkStart w:id="113" w:name="_Toc142047731"/>
      <w:bookmarkStart w:id="114" w:name="_Toc142478381"/>
      <w:bookmarkStart w:id="115" w:name="_Toc142573710"/>
      <w:bookmarkEnd w:id="93"/>
      <w:bookmarkEnd w:id="94"/>
      <w:bookmarkEnd w:id="95"/>
      <w:bookmarkEnd w:id="96"/>
      <w:r w:rsidRPr="007C747A">
        <w:rPr>
          <w:rFonts w:cs="Arial"/>
          <w:sz w:val="22"/>
          <w:szCs w:val="22"/>
        </w:rPr>
        <w:t>The NDIS continues to be demand driven, and the Government’s investment in the NDIS will continue to grow. </w:t>
      </w:r>
    </w:p>
    <w:p w14:paraId="24BA5431" w14:textId="77777777" w:rsidR="003F59B4" w:rsidRPr="007C747A" w:rsidRDefault="003F59B4" w:rsidP="002B4C79">
      <w:pPr>
        <w:pStyle w:val="TalkingPoints"/>
        <w:numPr>
          <w:ilvl w:val="0"/>
          <w:numId w:val="0"/>
        </w:numPr>
        <w:spacing w:before="0" w:after="0"/>
        <w:rPr>
          <w:rFonts w:cs="Arial"/>
          <w:sz w:val="22"/>
          <w:szCs w:val="22"/>
        </w:rPr>
      </w:pPr>
    </w:p>
    <w:p w14:paraId="016F6F35" w14:textId="19B815E5" w:rsidR="002B4C79" w:rsidRPr="007C747A" w:rsidRDefault="002B4C79" w:rsidP="002B4C79">
      <w:pPr>
        <w:pStyle w:val="TalkingPoints"/>
        <w:numPr>
          <w:ilvl w:val="0"/>
          <w:numId w:val="0"/>
        </w:numPr>
        <w:spacing w:before="0" w:after="0"/>
        <w:rPr>
          <w:rFonts w:cs="Arial"/>
          <w:sz w:val="22"/>
          <w:szCs w:val="22"/>
        </w:rPr>
      </w:pPr>
      <w:r w:rsidRPr="007C747A">
        <w:rPr>
          <w:rFonts w:cs="Arial"/>
          <w:sz w:val="22"/>
          <w:szCs w:val="22"/>
        </w:rPr>
        <w:t>Scheme costs were higher than target</w:t>
      </w:r>
      <w:r w:rsidR="003F59B4" w:rsidRPr="007C747A">
        <w:rPr>
          <w:rFonts w:cs="Arial"/>
          <w:sz w:val="22"/>
          <w:szCs w:val="22"/>
        </w:rPr>
        <w:t>,</w:t>
      </w:r>
      <w:r w:rsidRPr="007C747A">
        <w:rPr>
          <w:rFonts w:cs="Arial"/>
          <w:sz w:val="22"/>
          <w:szCs w:val="22"/>
        </w:rPr>
        <w:t xml:space="preserve"> driven by a higher average cost per participant of $60,700 compared to budget of $59,500 and a higher participant intake for the financial year than budgeted by </w:t>
      </w:r>
      <w:r w:rsidR="003F59B4" w:rsidRPr="007C747A">
        <w:rPr>
          <w:rFonts w:cs="Arial"/>
          <w:sz w:val="22"/>
          <w:szCs w:val="22"/>
        </w:rPr>
        <w:t>$</w:t>
      </w:r>
      <w:r w:rsidRPr="007C747A">
        <w:rPr>
          <w:rFonts w:cs="Arial"/>
          <w:sz w:val="22"/>
          <w:szCs w:val="22"/>
        </w:rPr>
        <w:t>18,208.</w:t>
      </w:r>
    </w:p>
    <w:p w14:paraId="2EE5AEA8" w14:textId="77777777" w:rsidR="003F59B4" w:rsidRPr="007C747A" w:rsidRDefault="003F59B4" w:rsidP="002B4C79">
      <w:pPr>
        <w:pStyle w:val="TalkingPoints"/>
        <w:numPr>
          <w:ilvl w:val="0"/>
          <w:numId w:val="0"/>
        </w:numPr>
        <w:spacing w:before="0" w:after="0"/>
        <w:rPr>
          <w:rFonts w:cs="Arial"/>
          <w:sz w:val="22"/>
          <w:szCs w:val="22"/>
        </w:rPr>
      </w:pPr>
    </w:p>
    <w:p w14:paraId="2B09F6AF" w14:textId="1C337AB0" w:rsidR="002B4C79" w:rsidRPr="007C747A" w:rsidRDefault="002B4C79" w:rsidP="002B4C79">
      <w:pPr>
        <w:pStyle w:val="TalkingPoints"/>
        <w:numPr>
          <w:ilvl w:val="0"/>
          <w:numId w:val="0"/>
        </w:numPr>
        <w:spacing w:before="0" w:after="0"/>
        <w:rPr>
          <w:rFonts w:cs="Arial"/>
          <w:sz w:val="22"/>
          <w:szCs w:val="22"/>
        </w:rPr>
      </w:pPr>
      <w:r w:rsidRPr="007C747A">
        <w:rPr>
          <w:rFonts w:cs="Arial"/>
          <w:sz w:val="22"/>
          <w:szCs w:val="22"/>
        </w:rPr>
        <w:t>The payment error</w:t>
      </w:r>
      <w:r w:rsidR="003F59B4" w:rsidRPr="007C747A">
        <w:rPr>
          <w:rFonts w:cs="Arial"/>
          <w:sz w:val="22"/>
          <w:szCs w:val="22"/>
        </w:rPr>
        <w:t>s</w:t>
      </w:r>
      <w:r w:rsidRPr="007C747A">
        <w:rPr>
          <w:rFonts w:cs="Arial"/>
          <w:sz w:val="22"/>
          <w:szCs w:val="22"/>
        </w:rPr>
        <w:t xml:space="preserve">/anomalies percentage has increased over the past </w:t>
      </w:r>
      <w:r w:rsidR="003F59B4" w:rsidRPr="007C747A">
        <w:rPr>
          <w:rFonts w:cs="Arial"/>
          <w:sz w:val="22"/>
          <w:szCs w:val="22"/>
        </w:rPr>
        <w:t xml:space="preserve">2 </w:t>
      </w:r>
      <w:r w:rsidRPr="007C747A">
        <w:rPr>
          <w:rFonts w:cs="Arial"/>
          <w:sz w:val="22"/>
          <w:szCs w:val="22"/>
        </w:rPr>
        <w:t>years from 1.23% in 2020</w:t>
      </w:r>
      <w:r w:rsidR="003F59B4" w:rsidRPr="007C747A">
        <w:rPr>
          <w:rFonts w:cs="Arial"/>
          <w:sz w:val="22"/>
          <w:szCs w:val="22"/>
        </w:rPr>
        <w:t>–</w:t>
      </w:r>
      <w:r w:rsidRPr="007C747A">
        <w:rPr>
          <w:rFonts w:cs="Arial"/>
          <w:sz w:val="22"/>
          <w:szCs w:val="22"/>
        </w:rPr>
        <w:t>21 to 4.17% in 2022</w:t>
      </w:r>
      <w:r w:rsidR="003F59B4" w:rsidRPr="007C747A">
        <w:rPr>
          <w:rFonts w:cs="Arial"/>
          <w:sz w:val="22"/>
          <w:szCs w:val="22"/>
        </w:rPr>
        <w:t>–</w:t>
      </w:r>
      <w:r w:rsidRPr="007C747A">
        <w:rPr>
          <w:rFonts w:cs="Arial"/>
          <w:sz w:val="22"/>
          <w:szCs w:val="22"/>
        </w:rPr>
        <w:t xml:space="preserve">23. This has particularly been observed for </w:t>
      </w:r>
      <w:r w:rsidR="003F59B4" w:rsidRPr="007C747A">
        <w:rPr>
          <w:rFonts w:cs="Arial"/>
          <w:sz w:val="22"/>
          <w:szCs w:val="22"/>
        </w:rPr>
        <w:t>s</w:t>
      </w:r>
      <w:r w:rsidRPr="007C747A">
        <w:rPr>
          <w:rFonts w:cs="Arial"/>
          <w:sz w:val="22"/>
          <w:szCs w:val="22"/>
        </w:rPr>
        <w:t xml:space="preserve">upported </w:t>
      </w:r>
      <w:r w:rsidR="003F59B4" w:rsidRPr="007C747A">
        <w:rPr>
          <w:rFonts w:cs="Arial"/>
          <w:sz w:val="22"/>
          <w:szCs w:val="22"/>
        </w:rPr>
        <w:t>i</w:t>
      </w:r>
      <w:r w:rsidRPr="007C747A">
        <w:rPr>
          <w:rFonts w:cs="Arial"/>
          <w:sz w:val="22"/>
          <w:szCs w:val="22"/>
        </w:rPr>
        <w:t xml:space="preserve">ndependent </w:t>
      </w:r>
      <w:r w:rsidR="003F59B4" w:rsidRPr="007C747A">
        <w:rPr>
          <w:rFonts w:cs="Arial"/>
          <w:sz w:val="22"/>
          <w:szCs w:val="22"/>
        </w:rPr>
        <w:t>l</w:t>
      </w:r>
      <w:r w:rsidRPr="007C747A">
        <w:rPr>
          <w:rFonts w:cs="Arial"/>
          <w:sz w:val="22"/>
          <w:szCs w:val="22"/>
        </w:rPr>
        <w:t xml:space="preserve">iving </w:t>
      </w:r>
      <w:r w:rsidR="003F59B4" w:rsidRPr="007C747A">
        <w:rPr>
          <w:rFonts w:cs="Arial"/>
          <w:sz w:val="22"/>
          <w:szCs w:val="22"/>
        </w:rPr>
        <w:t>p</w:t>
      </w:r>
      <w:r w:rsidRPr="007C747A">
        <w:rPr>
          <w:rFonts w:cs="Arial"/>
          <w:sz w:val="22"/>
          <w:szCs w:val="22"/>
        </w:rPr>
        <w:t>roviders where amounts claimed exceeded the agreed rate in</w:t>
      </w:r>
      <w:r w:rsidR="003F59B4" w:rsidRPr="007C747A">
        <w:rPr>
          <w:rFonts w:cs="Arial"/>
          <w:sz w:val="22"/>
          <w:szCs w:val="22"/>
        </w:rPr>
        <w:t xml:space="preserve"> the</w:t>
      </w:r>
      <w:r w:rsidRPr="007C747A">
        <w:rPr>
          <w:rFonts w:cs="Arial"/>
          <w:sz w:val="22"/>
          <w:szCs w:val="22"/>
        </w:rPr>
        <w:t xml:space="preserve"> participant’s plan</w:t>
      </w:r>
      <w:r w:rsidR="003F59B4" w:rsidRPr="007C747A">
        <w:rPr>
          <w:rFonts w:cs="Arial"/>
          <w:sz w:val="22"/>
          <w:szCs w:val="22"/>
        </w:rPr>
        <w:t>,</w:t>
      </w:r>
      <w:r w:rsidRPr="007C747A">
        <w:rPr>
          <w:rFonts w:cs="Arial"/>
          <w:sz w:val="22"/>
          <w:szCs w:val="22"/>
        </w:rPr>
        <w:t xml:space="preserve"> and </w:t>
      </w:r>
      <w:r w:rsidR="003F59B4" w:rsidRPr="007C747A">
        <w:rPr>
          <w:rFonts w:cs="Arial"/>
          <w:sz w:val="22"/>
          <w:szCs w:val="22"/>
        </w:rPr>
        <w:t>for s</w:t>
      </w:r>
      <w:r w:rsidRPr="007C747A">
        <w:rPr>
          <w:rFonts w:cs="Arial"/>
          <w:sz w:val="22"/>
          <w:szCs w:val="22"/>
        </w:rPr>
        <w:t>elf-</w:t>
      </w:r>
      <w:r w:rsidR="003F59B4" w:rsidRPr="007C747A">
        <w:rPr>
          <w:rFonts w:cs="Arial"/>
          <w:sz w:val="22"/>
          <w:szCs w:val="22"/>
        </w:rPr>
        <w:t>m</w:t>
      </w:r>
      <w:r w:rsidRPr="007C747A">
        <w:rPr>
          <w:rFonts w:cs="Arial"/>
          <w:sz w:val="22"/>
          <w:szCs w:val="22"/>
        </w:rPr>
        <w:t>anaged participants where the amount paid was not supported by the evidence provided.</w:t>
      </w:r>
    </w:p>
    <w:p w14:paraId="267BB48D" w14:textId="77777777" w:rsidR="003F59B4" w:rsidRPr="007C747A" w:rsidRDefault="003F59B4" w:rsidP="002B4C79">
      <w:pPr>
        <w:pStyle w:val="TalkingPoints"/>
        <w:numPr>
          <w:ilvl w:val="0"/>
          <w:numId w:val="0"/>
        </w:numPr>
        <w:spacing w:before="0" w:after="0"/>
        <w:rPr>
          <w:rFonts w:cs="Arial"/>
          <w:sz w:val="22"/>
          <w:szCs w:val="22"/>
        </w:rPr>
      </w:pPr>
    </w:p>
    <w:p w14:paraId="3849546B" w14:textId="15351103" w:rsidR="002B4C79" w:rsidRPr="007C747A" w:rsidRDefault="002B4C79" w:rsidP="002B4C79">
      <w:pPr>
        <w:keepNext/>
        <w:tabs>
          <w:tab w:val="right" w:pos="10188"/>
        </w:tabs>
        <w:spacing w:after="0" w:line="240" w:lineRule="auto"/>
        <w:outlineLvl w:val="2"/>
        <w:rPr>
          <w:rFonts w:eastAsia="Georgia" w:cs="Arial"/>
          <w:b/>
          <w:color w:val="6A2875"/>
          <w:sz w:val="26"/>
          <w:szCs w:val="28"/>
          <w:lang w:val="en-AU" w:eastAsia="en-US"/>
        </w:rPr>
      </w:pPr>
      <w:r w:rsidRPr="007C747A">
        <w:rPr>
          <w:rFonts w:cs="Arial"/>
          <w:sz w:val="22"/>
          <w:szCs w:val="22"/>
          <w:lang w:val="en-AU"/>
        </w:rPr>
        <w:t xml:space="preserve">A reduction in eligibility reassessments due to resources being diverted to other activities has resulted in fewer children leaving the </w:t>
      </w:r>
      <w:r w:rsidR="003F59B4" w:rsidRPr="007C747A">
        <w:rPr>
          <w:rFonts w:cs="Arial"/>
          <w:sz w:val="22"/>
          <w:szCs w:val="22"/>
          <w:lang w:val="en-AU"/>
        </w:rPr>
        <w:t>S</w:t>
      </w:r>
      <w:r w:rsidRPr="007C747A">
        <w:rPr>
          <w:rFonts w:cs="Arial"/>
          <w:sz w:val="22"/>
          <w:szCs w:val="22"/>
          <w:lang w:val="en-AU"/>
        </w:rPr>
        <w:t>cheme than expected. The 2023</w:t>
      </w:r>
      <w:r w:rsidR="003F59B4" w:rsidRPr="007C747A">
        <w:rPr>
          <w:rFonts w:cs="Arial"/>
          <w:sz w:val="22"/>
          <w:szCs w:val="22"/>
          <w:lang w:val="en-AU"/>
        </w:rPr>
        <w:t>–</w:t>
      </w:r>
      <w:r w:rsidRPr="007C747A">
        <w:rPr>
          <w:rFonts w:cs="Arial"/>
          <w:sz w:val="22"/>
          <w:szCs w:val="22"/>
          <w:lang w:val="en-AU"/>
        </w:rPr>
        <w:t>24 Budget included a range of measures to address these areas</w:t>
      </w:r>
      <w:r w:rsidR="003F59B4" w:rsidRPr="007C747A">
        <w:rPr>
          <w:rFonts w:cs="Arial"/>
          <w:sz w:val="22"/>
          <w:szCs w:val="22"/>
          <w:lang w:val="en-AU"/>
        </w:rPr>
        <w:t>,</w:t>
      </w:r>
      <w:r w:rsidRPr="007C747A">
        <w:rPr>
          <w:rFonts w:cs="Arial"/>
          <w:sz w:val="22"/>
          <w:szCs w:val="22"/>
          <w:lang w:val="en-AU"/>
        </w:rPr>
        <w:t xml:space="preserve"> including an increase in workforce capability and capacity and implementation of a dedicated eligibility reassessment workforce to increase the Agency’s capacity to process eligibility reassessments.</w:t>
      </w:r>
    </w:p>
    <w:p w14:paraId="4C2C23A4" w14:textId="5C67CC66" w:rsidR="00111D5B" w:rsidRPr="007C747A" w:rsidRDefault="00111D5B" w:rsidP="00D20E1F">
      <w:pPr>
        <w:pStyle w:val="TalkingPoints"/>
        <w:numPr>
          <w:ilvl w:val="0"/>
          <w:numId w:val="0"/>
        </w:numPr>
        <w:spacing w:before="120" w:after="120"/>
        <w:rPr>
          <w:rFonts w:cs="Arial"/>
          <w:sz w:val="22"/>
          <w:szCs w:val="22"/>
        </w:rPr>
      </w:pPr>
    </w:p>
    <w:p w14:paraId="7F509655" w14:textId="0D65690B" w:rsidR="00B13B03" w:rsidRPr="007C747A" w:rsidRDefault="00BE10FB">
      <w:pPr>
        <w:pStyle w:val="FGCHEADING1"/>
        <w:numPr>
          <w:ilvl w:val="0"/>
          <w:numId w:val="35"/>
        </w:numPr>
      </w:pPr>
      <w:bookmarkStart w:id="116" w:name="_Toc146289441"/>
      <w:bookmarkStart w:id="117" w:name="_Toc148108393"/>
      <w:r w:rsidRPr="007C747A">
        <w:t>Financial</w:t>
      </w:r>
      <w:r w:rsidR="002304A2" w:rsidRPr="007C747A">
        <w:t>s</w:t>
      </w:r>
      <w:bookmarkEnd w:id="116"/>
      <w:bookmarkEnd w:id="117"/>
      <w:r w:rsidR="005D7C18" w:rsidRPr="007C747A">
        <w:t xml:space="preserve"> </w:t>
      </w:r>
      <w:bookmarkStart w:id="118" w:name="_Toc146195309"/>
      <w:bookmarkStart w:id="119" w:name="_Toc146289442"/>
      <w:bookmarkStart w:id="120" w:name="_Toc142039625"/>
      <w:bookmarkStart w:id="121" w:name="_Toc142047732"/>
      <w:bookmarkStart w:id="122" w:name="_Toc142478382"/>
      <w:bookmarkStart w:id="123" w:name="_Toc142573711"/>
      <w:bookmarkStart w:id="124" w:name="_Toc146289443"/>
      <w:bookmarkEnd w:id="112"/>
      <w:bookmarkEnd w:id="113"/>
      <w:bookmarkEnd w:id="114"/>
      <w:bookmarkEnd w:id="115"/>
      <w:bookmarkEnd w:id="118"/>
    </w:p>
    <w:p w14:paraId="37F5AE3A" w14:textId="2A8C8C96" w:rsidR="00A60036" w:rsidRPr="007C747A" w:rsidRDefault="00A60036" w:rsidP="001A7E50">
      <w:pPr>
        <w:pStyle w:val="FGCHEADING2"/>
      </w:pPr>
      <w:bookmarkStart w:id="125" w:name="_Toc148108394"/>
      <w:r w:rsidRPr="007C747A">
        <w:t>Independent audit report</w:t>
      </w:r>
      <w:bookmarkEnd w:id="119"/>
      <w:bookmarkEnd w:id="125"/>
    </w:p>
    <w:p w14:paraId="6CFA24B7" w14:textId="1E65F970" w:rsidR="001A7E50" w:rsidRPr="007C747A" w:rsidRDefault="001A7E50" w:rsidP="001A7E50">
      <w:pPr>
        <w:rPr>
          <w:lang w:val="en-AU"/>
        </w:rPr>
      </w:pPr>
      <w:r w:rsidRPr="007C747A">
        <w:rPr>
          <w:i/>
          <w:iCs/>
          <w:noProof/>
          <w:lang w:val="en-AU"/>
        </w:rPr>
        <w:drawing>
          <wp:inline distT="0" distB="0" distL="0" distR="0" wp14:anchorId="491EED31" wp14:editId="313A2683">
            <wp:extent cx="5899785" cy="8665210"/>
            <wp:effectExtent l="0" t="0" r="5715" b="2540"/>
            <wp:docPr id="14" name="Picture 14" descr="Page from Independent Auditor’s report.&#10;Australian Government crest.&#10;Australian National Audit Office logo.&#10;INDEPENDENT AUDITOR’S REPORT.&#10;To the Minister for the National Disability Insurance Scheme.&#10;Opinion.&#10;In my opinion, the financial statements of the National Disability Insurance Agency (the Entity) for the year ended 30 June 2023:&#10;(a) comply with Australian Accounting Standards – Simplified Disclosures and the Public Governance, Performance and Accountability (Financial Reporting) Rule 2015; and&#10;(b) present fairly the financial position of the Entity as at 30 June 2023 and its financial performance and cash flows for the year then ended.&#10;The financial statements of the Entity, which I have audited, comprise the following as at 30 June 2023 and for the year then ended:&#10;Statement by the Chair of the Board, Chief Executive Officer, Chief Financial Officer and Chair of the Audit Committee;&#10;Statement of Comprehensive Income;&#10;Statement of Financial Position;&#10;Statement of Changes in Equity;&#10;Cash Flow Statement; and&#10;Notes to and forming part of the financial statements, comprising a summary of significant accounting policies and other explanatory information.&#10;Basis for opinion.&#10;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of my report. I am independent of the Ent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including Independence Standards) (the Code) to the extent that they are not in conflict with the Auditor- General Act 1997. I have also fulfilled my other responsibilities in accordance with the Code. I believe that the audit evidence I have obtained is sufficient and appropriate to provide a basis for my opinion.&#10;Key audit matters.&#10;Key audit matters are those matters that, in my professional judgement, were of most significance in my audit of the financial statements of the current period. These matters were addressed in the context of my audit of the financial statements as a whole, and in forming my opinion thereon, and I do not provide a separate opinion on these matter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Page from Independent Auditor’s report.&#10;Australian Government crest.&#10;Australian National Audit Office logo.&#10;INDEPENDENT AUDITOR’S REPORT.&#10;To the Minister for the National Disability Insurance Scheme.&#10;Opinion.&#10;In my opinion, the financial statements of the National Disability Insurance Agency (the Entity) for the year ended 30 June 2023:&#10;(a) comply with Australian Accounting Standards – Simplified Disclosures and the Public Governance, Performance and Accountability (Financial Reporting) Rule 2015; and&#10;(b) present fairly the financial position of the Entity as at 30 June 2023 and its financial performance and cash flows for the year then ended.&#10;The financial statements of the Entity, which I have audited, comprise the following as at 30 June 2023 and for the year then ended:&#10;Statement by the Chair of the Board, Chief Executive Officer, Chief Financial Officer and Chair of the Audit Committee;&#10;Statement of Comprehensive Income;&#10;Statement of Financial Position;&#10;Statement of Changes in Equity;&#10;Cash Flow Statement; and&#10;Notes to and forming part of the financial statements, comprising a summary of significant accounting policies and other explanatory information.&#10;Basis for opinion.&#10;I conducted my audit in accordance with the Australian National Audit Office Auditing Standards, which incorporate the Australian Auditing Standards. My responsibilities under those standards are further described in the Auditor’s Responsibilities for the Audit of the Financial Statements section of my report. I am independent of the Entity in accordance with the relevant ethical requirements for financial statement audits conducted by the Auditor-General and his delegates. These include the relevant independence requirements of the Accounting Professional and Ethical Standards Board’s APES 110 Code of Ethics for Professional Accountants (including Independence Standards) (the Code) to the extent that they are not in conflict with the Auditor- General Act 1997. I have also fulfilled my other responsibilities in accordance with the Code. I believe that the audit evidence I have obtained is sufficient and appropriate to provide a basis for my opinion.&#10;Key audit matters.&#10;Key audit matters are those matters that, in my professional judgement, were of most significance in my audit of the financial statements of the current period. These matters were addressed in the context of my audit of the financial statements as a whole, and in forming my opinion thereon, and I do not provide a separate opinion on these matters.&#10;">
                      <a:extLst>
                        <a:ext uri="{C183D7F6-B498-43B3-948B-1728B52AA6E4}">
                          <adec:decorative xmlns:adec="http://schemas.microsoft.com/office/drawing/2017/decorative" val="0"/>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5899785" cy="8665210"/>
                    </a:xfrm>
                    <a:prstGeom prst="rect">
                      <a:avLst/>
                    </a:prstGeom>
                  </pic:spPr>
                </pic:pic>
              </a:graphicData>
            </a:graphic>
          </wp:inline>
        </w:drawing>
      </w:r>
    </w:p>
    <w:p w14:paraId="6729C148" w14:textId="77777777" w:rsidR="00A60036" w:rsidRPr="007C747A" w:rsidRDefault="00A60036" w:rsidP="00A60036">
      <w:pPr>
        <w:spacing w:after="0" w:line="240" w:lineRule="auto"/>
        <w:rPr>
          <w:lang w:val="en-AU"/>
        </w:rPr>
      </w:pPr>
      <w:r w:rsidRPr="007C747A">
        <w:rPr>
          <w:noProof/>
          <w:lang w:val="en-AU"/>
        </w:rPr>
        <w:drawing>
          <wp:inline distT="0" distB="0" distL="0" distR="0" wp14:anchorId="4BE32C06" wp14:editId="70AEA96E">
            <wp:extent cx="6598894" cy="9715500"/>
            <wp:effectExtent l="0" t="0" r="0" b="0"/>
            <wp:docPr id="15" name="Picture 15" descr="Independent auditor’s report continued.&#10;Key audit matter.&#10;Accuracy and occurrence of participant plan expenses.&#10;Refer to Note 1.1H Participants’ plan expenses&#10;I focused on participant plan expenses due to the continued growth in participant numbers entering the National Disability Insurance Scheme (the Scheme), the high volume of transactions and the significance of the balance to the financial statements. Decisions as to the appropriate level of support and therefore the associated expenses are complex as the Scheme participants have varying needs.&#10;For the year ended 30 June 2023, participant plan expenses were $35.19 billion.&#10;How the audit addressed the matter.&#10;The audit procedures I undertook to address this included:&#10;Testing the design, implementation and operating effectiveness of key controls related to the assessment of whether a participant meets the Scheme eligibility requirements, participant plan approvals, and claim validation and processing; and&#10;Examining the quality assurance framework implemented by the Entity including a compliance and assurance program over payment accuracy and integrity, scheme access and participant plan approvals.&#10;Key audit matter.&#10;Valuation of participant plan provision.&#10;Refer to Note 2.6 Participant plan provisions.&#10;The Entity recognises a provision to pay disability service providers or participants when a service under a participant plan is delivered but not yet notified to the Entity. As there can be a time lag between the provision of services and lodgement of a claim, the financial statements include an estimate of the expenditure required to settle the obligations at the end of the reporting period.&#10;I focused on this area because, in estimating this provision, the Entity needs to make significant judgements and assumptions about the timing and amount of cashflows due to the complexity of estimating the pattern of support claimed by participants or providers.&#10;For the year ended 30 June 2023, the participant plan provision was $1.95 billion.&#10;How the audit addressed the matter.&#10;The audit procedures I undertook to address this included:&#10;Assessing the competence and capability of the Scheme Actuary in making the estimation;&#10;Evaluating the reasonableness of the judgements and assumptions made on the advice of the Scheme Actuary in the estimation of the provision; and&#10;Assessing the data used in the estimation process for accuracy and completeness.&#10;Key audit matter.&#10;Completeness, occurrence and accuracy of in-kind revenues and expenses.&#10;Refer to Note 1.2D Other gains.&#10;Refer to Note 1.1H Participant plan expenses.&#10;Terms and conditions for determining the cash and in-kind contributions for the funding of the Scheme are set out in the bilateral agreements between each State and Territory and the Commonwealth. In-kind contributions relate to services provided by the States and Territories directly to organisations providing disability services. The contribution is accounted for as revenue received free of charge at the date the services are provided. The use of these services is also recognised as an equivalent expense.&#10;I focused on this area due to the significance to the financial statements and the reliance on data from the States and Territories around the completeness, occurrence and accuracy of agreed services provided to people with a disability.&#10;For the year ended 30 June 2023, in-kind revenue and expenses were $1.09 billion.&#10;How the audit addressed the matter.&#10;The audit procedures I undertook to address this included:&#10;Evaluated the reasonableness of the in-kind revenue and expenses recorded in the financial year in accordance with the data provided by the States and Territories and the bilateral agreements;&#10;Tested the accuracy and completeness of in-kind adjustments made in the quarterly reconciliations for State and Territory contributions; and&#10;Tested the accuracy and completeness of the in-kind reconciliation at year-end.&#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ndependent auditor’s report continued.&#10;Key audit matter.&#10;Accuracy and occurrence of participant plan expenses.&#10;Refer to Note 1.1H Participants’ plan expenses&#10;I focused on participant plan expenses due to the continued growth in participant numbers entering the National Disability Insurance Scheme (the Scheme), the high volume of transactions and the significance of the balance to the financial statements. Decisions as to the appropriate level of support and therefore the associated expenses are complex as the Scheme participants have varying needs.&#10;For the year ended 30 June 2023, participant plan expenses were $35.19 billion.&#10;How the audit addressed the matter.&#10;The audit procedures I undertook to address this included:&#10;Testing the design, implementation and operating effectiveness of key controls related to the assessment of whether a participant meets the Scheme eligibility requirements, participant plan approvals, and claim validation and processing; and&#10;Examining the quality assurance framework implemented by the Entity including a compliance and assurance program over payment accuracy and integrity, scheme access and participant plan approvals.&#10;Key audit matter.&#10;Valuation of participant plan provision.&#10;Refer to Note 2.6 Participant plan provisions.&#10;The Entity recognises a provision to pay disability service providers or participants when a service under a participant plan is delivered but not yet notified to the Entity. As there can be a time lag between the provision of services and lodgement of a claim, the financial statements include an estimate of the expenditure required to settle the obligations at the end of the reporting period.&#10;I focused on this area because, in estimating this provision, the Entity needs to make significant judgements and assumptions about the timing and amount of cashflows due to the complexity of estimating the pattern of support claimed by participants or providers.&#10;For the year ended 30 June 2023, the participant plan provision was $1.95 billion.&#10;How the audit addressed the matter.&#10;The audit procedures I undertook to address this included:&#10;Assessing the competence and capability of the Scheme Actuary in making the estimation;&#10;Evaluating the reasonableness of the judgements and assumptions made on the advice of the Scheme Actuary in the estimation of the provision; and&#10;Assessing the data used in the estimation process for accuracy and completeness.&#10;Key audit matter.&#10;Completeness, occurrence and accuracy of in-kind revenues and expenses.&#10;Refer to Note 1.2D Other gains.&#10;Refer to Note 1.1H Participant plan expenses.&#10;Terms and conditions for determining the cash and in-kind contributions for the funding of the Scheme are set out in the bilateral agreements between each State and Territory and the Commonwealth. In-kind contributions relate to services provided by the States and Territories directly to organisations providing disability services. The contribution is accounted for as revenue received free of charge at the date the services are provided. The use of these services is also recognised as an equivalent expense.&#10;I focused on this area due to the significance to the financial statements and the reliance on data from the States and Territories around the completeness, occurrence and accuracy of agreed services provided to people with a disability.&#10;For the year ended 30 June 2023, in-kind revenue and expenses were $1.09 billion.&#10;How the audit addressed the matter.&#10;The audit procedures I undertook to address this included:&#10;Evaluated the reasonableness of the in-kind revenue and expenses recorded in the financial year in accordance with the data provided by the States and Territories and the bilateral agreements;&#10;Tested the accuracy and completeness of in-kind adjustments made in the quarterly reconciliations for State and Territory contributions; and&#10;Tested the accuracy and completeness of the in-kind reconciliation at year-end.&#10;&#10;">
                      <a:extLst>
                        <a:ext uri="{C183D7F6-B498-43B3-948B-1728B52AA6E4}">
                          <adec:decorative xmlns:adec="http://schemas.microsoft.com/office/drawing/2017/decorative" val="0"/>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6598894" cy="9715500"/>
                    </a:xfrm>
                    <a:prstGeom prst="rect">
                      <a:avLst/>
                    </a:prstGeom>
                  </pic:spPr>
                </pic:pic>
              </a:graphicData>
            </a:graphic>
          </wp:inline>
        </w:drawing>
      </w:r>
      <w:r w:rsidRPr="007C747A">
        <w:rPr>
          <w:lang w:val="en-AU"/>
        </w:rPr>
        <w:br w:type="page"/>
      </w:r>
    </w:p>
    <w:p w14:paraId="47E8DBAB" w14:textId="77777777" w:rsidR="00A60036" w:rsidRPr="007C747A" w:rsidRDefault="00A60036" w:rsidP="00A60036">
      <w:pPr>
        <w:spacing w:after="0" w:line="240" w:lineRule="auto"/>
        <w:rPr>
          <w:lang w:val="en-AU"/>
        </w:rPr>
      </w:pPr>
      <w:r w:rsidRPr="007C747A">
        <w:rPr>
          <w:noProof/>
          <w:lang w:val="en-AU"/>
        </w:rPr>
        <w:drawing>
          <wp:inline distT="0" distB="0" distL="0" distR="0" wp14:anchorId="1A829C33" wp14:editId="0C28628E">
            <wp:extent cx="6662805" cy="9779000"/>
            <wp:effectExtent l="0" t="0" r="5080" b="0"/>
            <wp:docPr id="16" name="Picture 16" descr="Independent auditor’s report continued.&#10;Accountable Authority’s responsibility for the financial statements.&#10;As the Accountable Authority of the Entity, the Board is responsible under the Public Governance, Performance and Accountability Act 2013 (the Act) for the preparation and fair presentation of annual financial statements that comply with Australian Accounting Standards – Simplified Disclosures and the rules made under the Act. The Board is also responsible for such internal control as the Board determines is necessary to enable the preparation of financial statements that are free from material misstatement, whether due to fraud or error.&#10;In preparing the financial statements, the Board is responsible for assessing the ability of the Entity to continue as a going concern, taking into account whether the Entity’s operations will cease as a result of an administrative restructure or for any other reason. The Board is also responsible for disclosing, as applicable, matters related to going concern and using the going concern basis of accounting unless the assessment indicates that it is not appropriate.&#10;Auditor’s responsibilities for the audit of the financial statements.&#10;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10;As part of an audit in accordance with the Australian National Audit Office Auditing Standards, I exercise professional judgement and maintain professional scepticism throughout the audit. I also:&#10;• 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10;Obtain an understanding of internal control relevant to the audit in order to design audit procedures that are appropriate in the circumstances, but not for the purpose of expressing an opinion on the effectiveness of the Entity’s internal control;&#10;Evaluate the appropriateness of accounting policies used and the reasonableness of accounting estimates and related disclosures made by the Accountable Authority;&#10;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10;Evaluate the overall presentation, structure and content of the financial statements, including the disclosures, and whether the financial statements represent the underlying transactions and events in a manner that achieves fair presentation.&#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ndependent auditor’s report continued.&#10;Accountable Authority’s responsibility for the financial statements.&#10;As the Accountable Authority of the Entity, the Board is responsible under the Public Governance, Performance and Accountability Act 2013 (the Act) for the preparation and fair presentation of annual financial statements that comply with Australian Accounting Standards – Simplified Disclosures and the rules made under the Act. The Board is also responsible for such internal control as the Board determines is necessary to enable the preparation of financial statements that are free from material misstatement, whether due to fraud or error.&#10;In preparing the financial statements, the Board is responsible for assessing the ability of the Entity to continue as a going concern, taking into account whether the Entity’s operations will cease as a result of an administrative restructure or for any other reason. The Board is also responsible for disclosing, as applicable, matters related to going concern and using the going concern basis of accounting unless the assessment indicates that it is not appropriate.&#10;Auditor’s responsibilities for the audit of the financial statements.&#10;My objective is to obtain reasonable assurance about whether the financial statements as a whole are free from material misstatement, whether due to fraud or error, and to issue an auditor’s report that includes my opinion. Reasonable assurance is a high level of assurance, but is not a guarantee that an audit conducted in accordance with the Australian National Audit Office Auditing Standards will always detect a material misstatement when it exists. Misstatements can arise from fraud or error and are considered material if, individually or in the aggregate, they could reasonably be expected to influence the economic decisions of users taken on the basis of the financial statements.&#10;As part of an audit in accordance with the Australian National Audit Office Auditing Standards, I exercise professional judgement and maintain professional scepticism throughout the audit. I also:&#10;• identify and assess the risks of material misstatement of the financial statements, whether due to fraud or error, design and perform audit procedures responsive to those risks, and obtain audit evidence that is sufficient and appropriate to provide a basis for my opinion. The risk of not detecting a material misstatement resulting from fraud is higher than for one resulting from error, as fraud may involve collusion, forgery, intentional omissions, misrepresentations, or the override of internal control;&#10;Obtain an understanding of internal control relevant to the audit in order to design audit procedures that are appropriate in the circumstances, but not for the purpose of expressing an opinion on the effectiveness of the Entity’s internal control;&#10;Evaluate the appropriateness of accounting policies used and the reasonableness of accounting estimates and related disclosures made by the Accountable Authority;&#10;Conclude on the appropriateness of the Accountable Authority’s use of the going concern basis of accounting and, based on the audit evidence obtained, whether a material uncertainty exists related to events or conditions that may cast significant doubt on the Entity’s ability to continue as a going concern. If I conclude that a material uncertainty exists, I am required to draw attention in my auditor’s report to the related disclosures in the financial statements or, if such disclosures are inadequate, to modify my opinion. My conclusions are based on the audit evidence obtained up to the date of my auditor’s report. However, future events or conditions may cause the Entity to cease to continue as a going concern; and&#10;Evaluate the overall presentation, structure and content of the financial statements, including the disclosures, and whether the financial statements represent the underlying transactions and events in a manner that achieves fair presentation.&#10;&#10;">
                      <a:extLst>
                        <a:ext uri="{C183D7F6-B498-43B3-948B-1728B52AA6E4}">
                          <adec:decorative xmlns:adec="http://schemas.microsoft.com/office/drawing/2017/decorative" val="0"/>
                        </a:ext>
                      </a:extLst>
                    </pic:cNvPr>
                    <pic:cNvPicPr/>
                  </pic:nvPicPr>
                  <pic:blipFill>
                    <a:blip r:embed="rId22">
                      <a:extLst>
                        <a:ext uri="{28A0092B-C50C-407E-A947-70E740481C1C}">
                          <a14:useLocalDpi xmlns:a14="http://schemas.microsoft.com/office/drawing/2010/main" val="0"/>
                        </a:ext>
                      </a:extLst>
                    </a:blip>
                    <a:stretch>
                      <a:fillRect/>
                    </a:stretch>
                  </pic:blipFill>
                  <pic:spPr>
                    <a:xfrm>
                      <a:off x="0" y="0"/>
                      <a:ext cx="6662805" cy="9779000"/>
                    </a:xfrm>
                    <a:prstGeom prst="rect">
                      <a:avLst/>
                    </a:prstGeom>
                  </pic:spPr>
                </pic:pic>
              </a:graphicData>
            </a:graphic>
          </wp:inline>
        </w:drawing>
      </w:r>
    </w:p>
    <w:p w14:paraId="4B401A45" w14:textId="77777777" w:rsidR="00A60036" w:rsidRPr="007C747A" w:rsidRDefault="00A60036" w:rsidP="00A60036">
      <w:pPr>
        <w:spacing w:after="0" w:line="240" w:lineRule="auto"/>
        <w:rPr>
          <w:lang w:val="en-AU"/>
        </w:rPr>
      </w:pPr>
    </w:p>
    <w:p w14:paraId="753C9929" w14:textId="77777777" w:rsidR="00A60036" w:rsidRPr="007C747A" w:rsidRDefault="00A60036" w:rsidP="00A60036">
      <w:pPr>
        <w:spacing w:after="0" w:line="240" w:lineRule="auto"/>
        <w:rPr>
          <w:lang w:val="en-AU"/>
        </w:rPr>
      </w:pPr>
      <w:r w:rsidRPr="007C747A">
        <w:rPr>
          <w:noProof/>
          <w:lang w:val="en-AU"/>
        </w:rPr>
        <w:drawing>
          <wp:inline distT="0" distB="0" distL="0" distR="0" wp14:anchorId="17BAF1BA" wp14:editId="4AA3D08D">
            <wp:extent cx="6868160" cy="8851900"/>
            <wp:effectExtent l="0" t="0" r="8890" b="6350"/>
            <wp:docPr id="18" name="Picture 18" descr="Independent auditor’s report continued.&#10;I communicate with the Accountable Authority regarding, among other matters, the planned scope and timing of the audit and significant audit findings, including any significant deficiencies in internal control that I identify during my audit.&#10;From the matters communicated with the Accountable Authority, I determine those matters that were of most significance in the audit of the financial statements of the current period and are therefore the key audit matters. I describe these matters in my auditor’s report unless law or regulation precludes public disclosure about the matter or when, in extremely rare circumstances, I determine that a matter should not be communicated in my report because the adverse consequences of doing so would reasonably be expected to outweigh the public interest benefits of such communication.&#10;Australian National Audit Office&#10;Rona Mellor PSM&#10;Acting Auditor-General&#10;Canberra&#10;18 September 2023&#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Independent auditor’s report continued.&#10;I communicate with the Accountable Authority regarding, among other matters, the planned scope and timing of the audit and significant audit findings, including any significant deficiencies in internal control that I identify during my audit.&#10;From the matters communicated with the Accountable Authority, I determine those matters that were of most significance in the audit of the financial statements of the current period and are therefore the key audit matters. I describe these matters in my auditor’s report unless law or regulation precludes public disclosure about the matter or when, in extremely rare circumstances, I determine that a matter should not be communicated in my report because the adverse consequences of doing so would reasonably be expected to outweigh the public interest benefits of such communication.&#10;Australian National Audit Office&#10;Rona Mellor PSM&#10;Acting Auditor-General&#10;Canberra&#10;18 September 2023&#10;">
                      <a:extLst>
                        <a:ext uri="{C183D7F6-B498-43B3-948B-1728B52AA6E4}">
                          <adec:decorative xmlns:adec="http://schemas.microsoft.com/office/drawing/2017/decorative" val="0"/>
                        </a:ext>
                      </a:extLst>
                    </pic:cNvPr>
                    <pic:cNvPicPr/>
                  </pic:nvPicPr>
                  <pic:blipFill>
                    <a:blip r:embed="rId23">
                      <a:extLst>
                        <a:ext uri="{28A0092B-C50C-407E-A947-70E740481C1C}">
                          <a14:useLocalDpi xmlns:a14="http://schemas.microsoft.com/office/drawing/2010/main" val="0"/>
                        </a:ext>
                      </a:extLst>
                    </a:blip>
                    <a:stretch>
                      <a:fillRect/>
                    </a:stretch>
                  </pic:blipFill>
                  <pic:spPr>
                    <a:xfrm>
                      <a:off x="0" y="0"/>
                      <a:ext cx="6868160" cy="8851900"/>
                    </a:xfrm>
                    <a:prstGeom prst="rect">
                      <a:avLst/>
                    </a:prstGeom>
                  </pic:spPr>
                </pic:pic>
              </a:graphicData>
            </a:graphic>
          </wp:inline>
        </w:drawing>
      </w:r>
    </w:p>
    <w:p w14:paraId="30CCC0C4" w14:textId="77777777" w:rsidR="00A60036" w:rsidRPr="007C747A" w:rsidRDefault="00A60036" w:rsidP="00A60036">
      <w:pPr>
        <w:spacing w:after="0" w:line="240" w:lineRule="auto"/>
        <w:rPr>
          <w:lang w:val="en-AU"/>
        </w:rPr>
      </w:pPr>
    </w:p>
    <w:p w14:paraId="3A0BF73F" w14:textId="77777777" w:rsidR="00A60036" w:rsidRPr="007C747A" w:rsidRDefault="00A60036" w:rsidP="00A60036">
      <w:pPr>
        <w:spacing w:after="0" w:line="240" w:lineRule="auto"/>
        <w:rPr>
          <w:lang w:val="en-AU"/>
        </w:rPr>
        <w:sectPr w:rsidR="00A60036" w:rsidRPr="007C747A" w:rsidSect="00AE4B3C">
          <w:footerReference w:type="default" r:id="rId24"/>
          <w:headerReference w:type="first" r:id="rId25"/>
          <w:footerReference w:type="first" r:id="rId26"/>
          <w:pgSz w:w="11907" w:h="16840" w:code="9"/>
          <w:pgMar w:top="284" w:right="1440" w:bottom="284" w:left="964" w:header="510" w:footer="0" w:gutter="0"/>
          <w:cols w:space="708"/>
          <w:titlePg/>
          <w:docGrid w:linePitch="360"/>
        </w:sectPr>
      </w:pPr>
    </w:p>
    <w:p w14:paraId="20BA10BC" w14:textId="62999286" w:rsidR="0015219C" w:rsidRPr="007C747A" w:rsidRDefault="0015219C" w:rsidP="00B92072">
      <w:pPr>
        <w:pStyle w:val="FGCHEADING2"/>
      </w:pPr>
      <w:bookmarkStart w:id="128" w:name="_Toc148108395"/>
      <w:r w:rsidRPr="007C747A">
        <w:t xml:space="preserve">Financial </w:t>
      </w:r>
      <w:r w:rsidR="00D70A79" w:rsidRPr="007C747A">
        <w:t>s</w:t>
      </w:r>
      <w:r w:rsidRPr="007C747A">
        <w:t>tatements</w:t>
      </w:r>
      <w:bookmarkEnd w:id="120"/>
      <w:bookmarkEnd w:id="121"/>
      <w:bookmarkEnd w:id="122"/>
      <w:bookmarkEnd w:id="123"/>
      <w:bookmarkEnd w:id="124"/>
      <w:bookmarkEnd w:id="128"/>
    </w:p>
    <w:p w14:paraId="5219FFBE" w14:textId="7B45DA08" w:rsidR="00F2518A" w:rsidRPr="007C747A" w:rsidRDefault="00744825" w:rsidP="00463D81">
      <w:pPr>
        <w:spacing w:after="0" w:line="240" w:lineRule="auto"/>
        <w:rPr>
          <w:rFonts w:eastAsia="Times New Roman"/>
          <w:sz w:val="18"/>
          <w:szCs w:val="20"/>
          <w:lang w:val="en-AU" w:eastAsia="en-AU"/>
        </w:rPr>
      </w:pPr>
      <w:bookmarkStart w:id="129" w:name="_Hlk144295809"/>
      <w:r w:rsidRPr="007C747A">
        <w:rPr>
          <w:rFonts w:eastAsia="Times New Roman"/>
          <w:noProof/>
          <w:sz w:val="18"/>
          <w:szCs w:val="20"/>
          <w:lang w:val="en-AU" w:eastAsia="en-AU"/>
        </w:rPr>
        <w:drawing>
          <wp:inline distT="0" distB="0" distL="0" distR="0" wp14:anchorId="41CA6F00" wp14:editId="6746C642">
            <wp:extent cx="5760720" cy="5963920"/>
            <wp:effectExtent l="0" t="0" r="0" b="0"/>
            <wp:docPr id="11" name="Picture 11" descr="Financial statement.&#10;National Disability Insurance Agency.&#10;STATEMENT BY THE CHAIR OF THE BOARD, CHIEF EXECUTIVE OFFICER, CHIEF FINANCIAL OFFICER AND CHAIR OF THE AUDIT COMMITTEE.&#10;In our opinion, the attached financial statements for the year ended 30 June 2023 comply with subsection 42(2) of the Public Governance, Performance and Accountability Act 2013 (PGPA Act), and are based on properly maintained financial records as per subsection 41(2) of the PGPA Act.&#10;In our opinion, at the date of this statement, there are reasonable grounds to believe that the National Disability Insurance Agency will be able to pay its debts as and when they fall due.&#10;This statement is made in accordance with a resolution of the directors.&#10;Signed, Kurt Fearnley AO&#10;Chair of the Board&#10;15 September 2023.&#10;Signed, Rebecca Falkingham PSM&#10;Chief Executive Officer&#10;15 September 2023.&#10;Signed, Chris Breitkreuz&#10;Chief Financial Officer&#10;15 September 2023.&#10;Signed, Graeme Innes AO&#10;Chair, Audit Committee&#10;15 September 202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nancial statement.&#10;National Disability Insurance Agency.&#10;STATEMENT BY THE CHAIR OF THE BOARD, CHIEF EXECUTIVE OFFICER, CHIEF FINANCIAL OFFICER AND CHAIR OF THE AUDIT COMMITTEE.&#10;In our opinion, the attached financial statements for the year ended 30 June 2023 comply with subsection 42(2) of the Public Governance, Performance and Accountability Act 2013 (PGPA Act), and are based on properly maintained financial records as per subsection 41(2) of the PGPA Act.&#10;In our opinion, at the date of this statement, there are reasonable grounds to believe that the National Disability Insurance Agency will be able to pay its debts as and when they fall due.&#10;This statement is made in accordance with a resolution of the directors.&#10;Signed, Kurt Fearnley AO&#10;Chair of the Board&#10;15 September 2023.&#10;Signed, Rebecca Falkingham PSM&#10;Chief Executive Officer&#10;15 September 2023.&#10;Signed, Chris Breitkreuz&#10;Chief Financial Officer&#10;15 September 2023.&#10;Signed, Graeme Innes AO&#10;Chair, Audit Committee&#10;15 September 2023.">
                      <a:extLst>
                        <a:ext uri="{C183D7F6-B498-43B3-948B-1728B52AA6E4}">
                          <adec:decorative xmlns:adec="http://schemas.microsoft.com/office/drawing/2017/decorative" val="0"/>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5963920"/>
                    </a:xfrm>
                    <a:prstGeom prst="rect">
                      <a:avLst/>
                    </a:prstGeom>
                  </pic:spPr>
                </pic:pic>
              </a:graphicData>
            </a:graphic>
          </wp:inline>
        </w:drawing>
      </w:r>
    </w:p>
    <w:p w14:paraId="5F364458" w14:textId="521147F1" w:rsidR="006F1AB2" w:rsidRPr="007C747A" w:rsidRDefault="006F1AB2">
      <w:pPr>
        <w:spacing w:after="0" w:line="240" w:lineRule="auto"/>
        <w:rPr>
          <w:rFonts w:eastAsia="Times New Roman"/>
          <w:sz w:val="18"/>
          <w:szCs w:val="20"/>
          <w:lang w:val="en-AU" w:eastAsia="en-AU"/>
        </w:rPr>
      </w:pPr>
      <w:r w:rsidRPr="007C747A">
        <w:rPr>
          <w:rFonts w:eastAsia="Times New Roman"/>
          <w:sz w:val="18"/>
          <w:szCs w:val="20"/>
          <w:lang w:val="en-AU" w:eastAsia="en-AU"/>
        </w:rPr>
        <w:br w:type="page"/>
      </w:r>
    </w:p>
    <w:tbl>
      <w:tblPr>
        <w:tblW w:w="9087" w:type="dxa"/>
        <w:tblLayout w:type="fixed"/>
        <w:tblCellMar>
          <w:left w:w="57" w:type="dxa"/>
          <w:right w:w="57" w:type="dxa"/>
        </w:tblCellMar>
        <w:tblLook w:val="04A0" w:firstRow="1" w:lastRow="0" w:firstColumn="1" w:lastColumn="0" w:noHBand="0" w:noVBand="1"/>
      </w:tblPr>
      <w:tblGrid>
        <w:gridCol w:w="4164"/>
        <w:gridCol w:w="961"/>
        <w:gridCol w:w="1130"/>
        <w:gridCol w:w="236"/>
        <w:gridCol w:w="1127"/>
        <w:gridCol w:w="236"/>
        <w:gridCol w:w="1233"/>
      </w:tblGrid>
      <w:tr w:rsidR="006165BC" w:rsidRPr="007C747A" w14:paraId="7824BB67" w14:textId="77777777">
        <w:trPr>
          <w:trHeight w:val="270"/>
        </w:trPr>
        <w:tc>
          <w:tcPr>
            <w:tcW w:w="4164" w:type="dxa"/>
            <w:tcBorders>
              <w:top w:val="nil"/>
              <w:left w:val="nil"/>
              <w:bottom w:val="single" w:sz="8" w:space="0" w:color="800080"/>
              <w:right w:val="nil"/>
            </w:tcBorders>
            <w:shd w:val="clear" w:color="FFFFFF" w:fill="FFFFFF"/>
            <w:noWrap/>
            <w:vAlign w:val="bottom"/>
            <w:hideMark/>
          </w:tcPr>
          <w:p w14:paraId="129C672F"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single" w:sz="8" w:space="0" w:color="800080"/>
              <w:right w:val="nil"/>
            </w:tcBorders>
            <w:shd w:val="clear" w:color="FFFFFF" w:fill="FFFFFF"/>
            <w:noWrap/>
            <w:vAlign w:val="bottom"/>
            <w:hideMark/>
          </w:tcPr>
          <w:p w14:paraId="152F3372" w14:textId="77777777" w:rsidR="006165BC" w:rsidRPr="007C747A" w:rsidRDefault="006165BC" w:rsidP="006165BC">
            <w:pPr>
              <w:spacing w:after="0" w:line="260" w:lineRule="atLeast"/>
              <w:jc w:val="center"/>
              <w:rPr>
                <w:rFonts w:eastAsia="Times New Roman" w:cs="Arial"/>
                <w:b/>
                <w:bCs/>
                <w:sz w:val="18"/>
                <w:szCs w:val="18"/>
                <w:lang w:val="en-AU" w:eastAsia="en-US"/>
              </w:rPr>
            </w:pPr>
            <w:r w:rsidRPr="007C747A">
              <w:rPr>
                <w:rFonts w:eastAsia="Times New Roman" w:cs="Arial"/>
                <w:b/>
                <w:bCs/>
                <w:sz w:val="18"/>
                <w:szCs w:val="18"/>
                <w:lang w:val="en-AU" w:eastAsia="en-US"/>
              </w:rPr>
              <w:t>Notes</w:t>
            </w:r>
          </w:p>
        </w:tc>
        <w:tc>
          <w:tcPr>
            <w:tcW w:w="1130" w:type="dxa"/>
            <w:tcBorders>
              <w:top w:val="nil"/>
              <w:left w:val="nil"/>
              <w:bottom w:val="single" w:sz="8" w:space="0" w:color="800080"/>
              <w:right w:val="nil"/>
            </w:tcBorders>
            <w:shd w:val="clear" w:color="FFFFFF" w:fill="FFFFFF"/>
            <w:noWrap/>
            <w:vAlign w:val="bottom"/>
            <w:hideMark/>
          </w:tcPr>
          <w:p w14:paraId="4ED546D3" w14:textId="7E0D0746" w:rsidR="006165BC" w:rsidRPr="007C747A" w:rsidRDefault="00F24957"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6165BC" w:rsidRPr="007C747A">
              <w:rPr>
                <w:rFonts w:eastAsia="Times New Roman" w:cs="Arial"/>
                <w:b/>
                <w:bCs/>
                <w:sz w:val="18"/>
                <w:szCs w:val="18"/>
                <w:lang w:val="en-AU" w:eastAsia="en-US"/>
              </w:rPr>
              <w:t>$'000</w:t>
            </w:r>
          </w:p>
        </w:tc>
        <w:tc>
          <w:tcPr>
            <w:tcW w:w="236" w:type="dxa"/>
            <w:tcBorders>
              <w:top w:val="nil"/>
              <w:left w:val="nil"/>
              <w:bottom w:val="single" w:sz="8" w:space="0" w:color="800080"/>
              <w:right w:val="nil"/>
            </w:tcBorders>
            <w:shd w:val="clear" w:color="FFFFFF" w:fill="FFFFFF"/>
            <w:noWrap/>
            <w:vAlign w:val="bottom"/>
            <w:hideMark/>
          </w:tcPr>
          <w:p w14:paraId="670ADF2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single" w:sz="8" w:space="0" w:color="800080"/>
              <w:right w:val="nil"/>
            </w:tcBorders>
            <w:shd w:val="clear" w:color="FFFFFF" w:fill="FFFFFF"/>
            <w:noWrap/>
            <w:vAlign w:val="bottom"/>
            <w:hideMark/>
          </w:tcPr>
          <w:p w14:paraId="271F8E1F" w14:textId="3EFD3C2D" w:rsidR="006165BC" w:rsidRPr="007C747A" w:rsidRDefault="00F24957"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6165BC" w:rsidRPr="007C747A">
              <w:rPr>
                <w:rFonts w:eastAsia="Times New Roman" w:cs="Arial"/>
                <w:sz w:val="18"/>
                <w:szCs w:val="18"/>
                <w:lang w:val="en-AU" w:eastAsia="en-US"/>
              </w:rPr>
              <w:t>$'000</w:t>
            </w:r>
          </w:p>
        </w:tc>
        <w:tc>
          <w:tcPr>
            <w:tcW w:w="236" w:type="dxa"/>
            <w:tcBorders>
              <w:top w:val="nil"/>
              <w:left w:val="nil"/>
              <w:bottom w:val="single" w:sz="8" w:space="0" w:color="800080"/>
              <w:right w:val="nil"/>
            </w:tcBorders>
            <w:shd w:val="clear" w:color="FFFFFF" w:fill="FFFFFF"/>
            <w:noWrap/>
            <w:vAlign w:val="bottom"/>
            <w:hideMark/>
          </w:tcPr>
          <w:p w14:paraId="009C028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single" w:sz="8" w:space="0" w:color="800080"/>
              <w:right w:val="nil"/>
            </w:tcBorders>
            <w:shd w:val="clear" w:color="FFFFFF" w:fill="FFFFFF"/>
            <w:noWrap/>
            <w:vAlign w:val="bottom"/>
            <w:hideMark/>
          </w:tcPr>
          <w:p w14:paraId="7C197830" w14:textId="6CE3DFCF" w:rsidR="006165BC" w:rsidRPr="007C747A" w:rsidRDefault="00F24957" w:rsidP="006165BC">
            <w:pPr>
              <w:spacing w:after="0" w:line="260" w:lineRule="atLeast"/>
              <w:jc w:val="right"/>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 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vertAlign w:val="superscript"/>
                <w:lang w:val="en-AU" w:eastAsia="en-US"/>
              </w:rPr>
              <w:br/>
            </w:r>
            <w:r w:rsidRPr="007C747A">
              <w:rPr>
                <w:rFonts w:eastAsia="Times New Roman" w:cs="Arial"/>
                <w:color w:val="800080"/>
                <w:sz w:val="18"/>
                <w:szCs w:val="18"/>
                <w:lang w:val="en-AU" w:eastAsia="en-US"/>
              </w:rPr>
              <w:t>2023</w:t>
            </w:r>
            <w:r w:rsidRPr="007C747A">
              <w:rPr>
                <w:rFonts w:eastAsia="Times New Roman" w:cs="Arial"/>
                <w:color w:val="800080"/>
                <w:sz w:val="18"/>
                <w:szCs w:val="18"/>
                <w:lang w:val="en-AU" w:eastAsia="en-US"/>
              </w:rPr>
              <w:br/>
            </w:r>
            <w:r w:rsidR="006165BC" w:rsidRPr="007C747A">
              <w:rPr>
                <w:rFonts w:eastAsia="Times New Roman" w:cs="Arial"/>
                <w:color w:val="800080"/>
                <w:sz w:val="18"/>
                <w:szCs w:val="18"/>
                <w:lang w:val="en-AU" w:eastAsia="en-US"/>
              </w:rPr>
              <w:t>$'000</w:t>
            </w:r>
          </w:p>
        </w:tc>
      </w:tr>
      <w:tr w:rsidR="006165BC" w:rsidRPr="007C747A" w14:paraId="55F3DA36" w14:textId="77777777">
        <w:trPr>
          <w:trHeight w:val="250"/>
        </w:trPr>
        <w:tc>
          <w:tcPr>
            <w:tcW w:w="4164" w:type="dxa"/>
            <w:tcBorders>
              <w:top w:val="nil"/>
              <w:left w:val="nil"/>
              <w:bottom w:val="nil"/>
              <w:right w:val="nil"/>
            </w:tcBorders>
            <w:shd w:val="clear" w:color="FFFFFF" w:fill="FFFFFF"/>
            <w:noWrap/>
            <w:vAlign w:val="bottom"/>
            <w:hideMark/>
          </w:tcPr>
          <w:p w14:paraId="34364E70"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COST OF SERVICES</w:t>
            </w:r>
          </w:p>
        </w:tc>
        <w:tc>
          <w:tcPr>
            <w:tcW w:w="961" w:type="dxa"/>
            <w:tcBorders>
              <w:top w:val="nil"/>
              <w:left w:val="nil"/>
              <w:bottom w:val="nil"/>
              <w:right w:val="nil"/>
            </w:tcBorders>
            <w:shd w:val="clear" w:color="FFFFFF" w:fill="FFFFFF"/>
            <w:noWrap/>
            <w:vAlign w:val="bottom"/>
            <w:hideMark/>
          </w:tcPr>
          <w:p w14:paraId="226BE772" w14:textId="77777777" w:rsidR="006165BC" w:rsidRPr="007C747A" w:rsidRDefault="006165BC" w:rsidP="006165BC">
            <w:pPr>
              <w:spacing w:after="0" w:line="260" w:lineRule="atLeast"/>
              <w:jc w:val="center"/>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209AC234"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C190ACC"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17C02002"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098B5C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3D82975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1FF27DF0" w14:textId="77777777">
        <w:trPr>
          <w:trHeight w:val="250"/>
        </w:trPr>
        <w:tc>
          <w:tcPr>
            <w:tcW w:w="4164" w:type="dxa"/>
            <w:tcBorders>
              <w:top w:val="nil"/>
              <w:left w:val="nil"/>
              <w:bottom w:val="nil"/>
              <w:right w:val="nil"/>
            </w:tcBorders>
            <w:shd w:val="clear" w:color="FFFFFF" w:fill="FFFFFF"/>
            <w:vAlign w:val="bottom"/>
            <w:hideMark/>
          </w:tcPr>
          <w:p w14:paraId="07073704"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Expenses</w:t>
            </w:r>
          </w:p>
        </w:tc>
        <w:tc>
          <w:tcPr>
            <w:tcW w:w="961" w:type="dxa"/>
            <w:tcBorders>
              <w:top w:val="nil"/>
              <w:left w:val="nil"/>
              <w:bottom w:val="nil"/>
              <w:right w:val="nil"/>
            </w:tcBorders>
            <w:shd w:val="clear" w:color="FFFFFF" w:fill="FFFFFF"/>
            <w:noWrap/>
            <w:vAlign w:val="bottom"/>
            <w:hideMark/>
          </w:tcPr>
          <w:p w14:paraId="3AD64F6C"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4AB1BA33"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F4119CF"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1F87E787"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BC9EAE7"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4C4576FC"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3C676AD0" w14:textId="77777777">
        <w:trPr>
          <w:trHeight w:val="250"/>
        </w:trPr>
        <w:tc>
          <w:tcPr>
            <w:tcW w:w="4164" w:type="dxa"/>
            <w:tcBorders>
              <w:top w:val="nil"/>
              <w:left w:val="nil"/>
              <w:bottom w:val="nil"/>
              <w:right w:val="nil"/>
            </w:tcBorders>
            <w:shd w:val="clear" w:color="FFFFFF" w:fill="FFFFFF"/>
            <w:vAlign w:val="bottom"/>
            <w:hideMark/>
          </w:tcPr>
          <w:p w14:paraId="34D6123E"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Employee benefits</w:t>
            </w:r>
          </w:p>
        </w:tc>
        <w:tc>
          <w:tcPr>
            <w:tcW w:w="961" w:type="dxa"/>
            <w:tcBorders>
              <w:top w:val="nil"/>
              <w:left w:val="nil"/>
              <w:bottom w:val="nil"/>
              <w:right w:val="nil"/>
            </w:tcBorders>
            <w:shd w:val="clear" w:color="FFFFFF" w:fill="FFFFFF"/>
            <w:noWrap/>
            <w:vAlign w:val="bottom"/>
            <w:hideMark/>
          </w:tcPr>
          <w:p w14:paraId="138694E4"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1.1A</w:t>
            </w:r>
          </w:p>
        </w:tc>
        <w:tc>
          <w:tcPr>
            <w:tcW w:w="1130" w:type="dxa"/>
            <w:tcBorders>
              <w:top w:val="nil"/>
              <w:left w:val="nil"/>
              <w:bottom w:val="nil"/>
              <w:right w:val="nil"/>
            </w:tcBorders>
            <w:shd w:val="clear" w:color="FFFFFF" w:fill="FFFFFF"/>
            <w:noWrap/>
            <w:vAlign w:val="bottom"/>
            <w:hideMark/>
          </w:tcPr>
          <w:p w14:paraId="2D0AA36E"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551,640</w:t>
            </w:r>
          </w:p>
        </w:tc>
        <w:tc>
          <w:tcPr>
            <w:tcW w:w="236" w:type="dxa"/>
            <w:tcBorders>
              <w:top w:val="nil"/>
              <w:left w:val="nil"/>
              <w:bottom w:val="nil"/>
              <w:right w:val="nil"/>
            </w:tcBorders>
            <w:shd w:val="clear" w:color="FFFFFF" w:fill="FFFFFF"/>
            <w:noWrap/>
            <w:vAlign w:val="bottom"/>
            <w:hideMark/>
          </w:tcPr>
          <w:p w14:paraId="0C2C7A12"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2153C67A"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482,219</w:t>
            </w:r>
          </w:p>
        </w:tc>
        <w:tc>
          <w:tcPr>
            <w:tcW w:w="236" w:type="dxa"/>
            <w:tcBorders>
              <w:top w:val="nil"/>
              <w:left w:val="nil"/>
              <w:bottom w:val="nil"/>
              <w:right w:val="nil"/>
            </w:tcBorders>
            <w:shd w:val="clear" w:color="FFFFFF" w:fill="FFFFFF"/>
            <w:noWrap/>
            <w:vAlign w:val="bottom"/>
            <w:hideMark/>
          </w:tcPr>
          <w:p w14:paraId="25F20A2B"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17CD0E9"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481,228</w:t>
            </w:r>
          </w:p>
        </w:tc>
      </w:tr>
      <w:tr w:rsidR="006165BC" w:rsidRPr="007C747A" w14:paraId="598F0629" w14:textId="77777777">
        <w:trPr>
          <w:trHeight w:val="250"/>
        </w:trPr>
        <w:tc>
          <w:tcPr>
            <w:tcW w:w="4164" w:type="dxa"/>
            <w:tcBorders>
              <w:top w:val="nil"/>
              <w:left w:val="nil"/>
              <w:bottom w:val="nil"/>
              <w:right w:val="nil"/>
            </w:tcBorders>
            <w:shd w:val="clear" w:color="FFFFFF" w:fill="FFFFFF"/>
            <w:vAlign w:val="bottom"/>
            <w:hideMark/>
          </w:tcPr>
          <w:p w14:paraId="6679842D"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Suppliers</w:t>
            </w:r>
          </w:p>
        </w:tc>
        <w:tc>
          <w:tcPr>
            <w:tcW w:w="961" w:type="dxa"/>
            <w:tcBorders>
              <w:top w:val="nil"/>
              <w:left w:val="nil"/>
              <w:bottom w:val="nil"/>
              <w:right w:val="nil"/>
            </w:tcBorders>
            <w:shd w:val="clear" w:color="FFFFFF" w:fill="FFFFFF"/>
            <w:noWrap/>
            <w:vAlign w:val="bottom"/>
            <w:hideMark/>
          </w:tcPr>
          <w:p w14:paraId="5ED0B1A6"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1.1B</w:t>
            </w:r>
          </w:p>
        </w:tc>
        <w:tc>
          <w:tcPr>
            <w:tcW w:w="1130" w:type="dxa"/>
            <w:tcBorders>
              <w:top w:val="nil"/>
              <w:left w:val="nil"/>
              <w:bottom w:val="nil"/>
              <w:right w:val="nil"/>
            </w:tcBorders>
            <w:shd w:val="clear" w:color="FFFFFF" w:fill="FFFFFF"/>
            <w:noWrap/>
            <w:vAlign w:val="bottom"/>
            <w:hideMark/>
          </w:tcPr>
          <w:p w14:paraId="073C1E73"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604,046</w:t>
            </w:r>
          </w:p>
        </w:tc>
        <w:tc>
          <w:tcPr>
            <w:tcW w:w="236" w:type="dxa"/>
            <w:tcBorders>
              <w:top w:val="nil"/>
              <w:left w:val="nil"/>
              <w:bottom w:val="nil"/>
              <w:right w:val="nil"/>
            </w:tcBorders>
            <w:shd w:val="clear" w:color="FFFFFF" w:fill="FFFFFF"/>
            <w:noWrap/>
            <w:vAlign w:val="bottom"/>
            <w:hideMark/>
          </w:tcPr>
          <w:p w14:paraId="2868DFE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A621DE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480,327</w:t>
            </w:r>
          </w:p>
        </w:tc>
        <w:tc>
          <w:tcPr>
            <w:tcW w:w="236" w:type="dxa"/>
            <w:tcBorders>
              <w:top w:val="nil"/>
              <w:left w:val="nil"/>
              <w:bottom w:val="nil"/>
              <w:right w:val="nil"/>
            </w:tcBorders>
            <w:shd w:val="clear" w:color="FFFFFF" w:fill="FFFFFF"/>
            <w:noWrap/>
            <w:vAlign w:val="bottom"/>
            <w:hideMark/>
          </w:tcPr>
          <w:p w14:paraId="0122B66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2BBBAAAA"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1,219,864</w:t>
            </w:r>
          </w:p>
        </w:tc>
      </w:tr>
      <w:tr w:rsidR="006165BC" w:rsidRPr="007C747A" w14:paraId="6E0C56E9" w14:textId="77777777">
        <w:trPr>
          <w:trHeight w:val="250"/>
        </w:trPr>
        <w:tc>
          <w:tcPr>
            <w:tcW w:w="4164" w:type="dxa"/>
            <w:tcBorders>
              <w:top w:val="nil"/>
              <w:left w:val="nil"/>
              <w:bottom w:val="nil"/>
              <w:right w:val="nil"/>
            </w:tcBorders>
            <w:shd w:val="clear" w:color="FFFFFF" w:fill="FFFFFF"/>
            <w:vAlign w:val="bottom"/>
            <w:hideMark/>
          </w:tcPr>
          <w:p w14:paraId="5EEC4665"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Community partnership costs</w:t>
            </w:r>
          </w:p>
        </w:tc>
        <w:tc>
          <w:tcPr>
            <w:tcW w:w="961" w:type="dxa"/>
            <w:tcBorders>
              <w:top w:val="nil"/>
              <w:left w:val="nil"/>
              <w:bottom w:val="nil"/>
              <w:right w:val="nil"/>
            </w:tcBorders>
            <w:shd w:val="clear" w:color="FFFFFF" w:fill="FFFFFF"/>
            <w:noWrap/>
            <w:vAlign w:val="bottom"/>
            <w:hideMark/>
          </w:tcPr>
          <w:p w14:paraId="29557DA4"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1.1G</w:t>
            </w:r>
          </w:p>
        </w:tc>
        <w:tc>
          <w:tcPr>
            <w:tcW w:w="1130" w:type="dxa"/>
            <w:tcBorders>
              <w:top w:val="nil"/>
              <w:left w:val="nil"/>
              <w:bottom w:val="nil"/>
              <w:right w:val="nil"/>
            </w:tcBorders>
            <w:shd w:val="clear" w:color="FFFFFF" w:fill="FFFFFF"/>
            <w:noWrap/>
            <w:vAlign w:val="bottom"/>
            <w:hideMark/>
          </w:tcPr>
          <w:p w14:paraId="4FC1B419"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604,346</w:t>
            </w:r>
          </w:p>
        </w:tc>
        <w:tc>
          <w:tcPr>
            <w:tcW w:w="236" w:type="dxa"/>
            <w:tcBorders>
              <w:top w:val="nil"/>
              <w:left w:val="nil"/>
              <w:bottom w:val="nil"/>
              <w:right w:val="nil"/>
            </w:tcBorders>
            <w:shd w:val="clear" w:color="FFFFFF" w:fill="FFFFFF"/>
            <w:noWrap/>
            <w:vAlign w:val="bottom"/>
            <w:hideMark/>
          </w:tcPr>
          <w:p w14:paraId="552713C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72E73F6"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560,131</w:t>
            </w:r>
          </w:p>
        </w:tc>
        <w:tc>
          <w:tcPr>
            <w:tcW w:w="236" w:type="dxa"/>
            <w:tcBorders>
              <w:top w:val="nil"/>
              <w:left w:val="nil"/>
              <w:bottom w:val="nil"/>
              <w:right w:val="nil"/>
            </w:tcBorders>
            <w:shd w:val="clear" w:color="FFFFFF" w:fill="FFFFFF"/>
            <w:noWrap/>
            <w:vAlign w:val="bottom"/>
            <w:hideMark/>
          </w:tcPr>
          <w:p w14:paraId="2C2386D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69F81A0D"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6165BC" w:rsidRPr="007C747A" w14:paraId="119C1970" w14:textId="77777777">
        <w:trPr>
          <w:trHeight w:val="250"/>
        </w:trPr>
        <w:tc>
          <w:tcPr>
            <w:tcW w:w="4164" w:type="dxa"/>
            <w:tcBorders>
              <w:top w:val="nil"/>
              <w:left w:val="nil"/>
              <w:bottom w:val="nil"/>
              <w:right w:val="nil"/>
            </w:tcBorders>
            <w:shd w:val="clear" w:color="FFFFFF" w:fill="FFFFFF"/>
            <w:vAlign w:val="bottom"/>
            <w:hideMark/>
          </w:tcPr>
          <w:p w14:paraId="6A6F21F4"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Grants</w:t>
            </w:r>
          </w:p>
        </w:tc>
        <w:tc>
          <w:tcPr>
            <w:tcW w:w="961" w:type="dxa"/>
            <w:tcBorders>
              <w:top w:val="nil"/>
              <w:left w:val="nil"/>
              <w:bottom w:val="nil"/>
              <w:right w:val="nil"/>
            </w:tcBorders>
            <w:shd w:val="clear" w:color="FFFFFF" w:fill="FFFFFF"/>
            <w:noWrap/>
            <w:vAlign w:val="bottom"/>
            <w:hideMark/>
          </w:tcPr>
          <w:p w14:paraId="44766A7A"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1.1C</w:t>
            </w:r>
          </w:p>
        </w:tc>
        <w:tc>
          <w:tcPr>
            <w:tcW w:w="1130" w:type="dxa"/>
            <w:tcBorders>
              <w:top w:val="nil"/>
              <w:left w:val="nil"/>
              <w:bottom w:val="nil"/>
              <w:right w:val="nil"/>
            </w:tcBorders>
            <w:shd w:val="clear" w:color="FFFFFF" w:fill="FFFFFF"/>
            <w:noWrap/>
            <w:vAlign w:val="bottom"/>
            <w:hideMark/>
          </w:tcPr>
          <w:p w14:paraId="0DDFA630"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347</w:t>
            </w:r>
          </w:p>
        </w:tc>
        <w:tc>
          <w:tcPr>
            <w:tcW w:w="236" w:type="dxa"/>
            <w:tcBorders>
              <w:top w:val="nil"/>
              <w:left w:val="nil"/>
              <w:bottom w:val="nil"/>
              <w:right w:val="nil"/>
            </w:tcBorders>
            <w:shd w:val="clear" w:color="FFFFFF" w:fill="FFFFFF"/>
            <w:noWrap/>
            <w:vAlign w:val="bottom"/>
            <w:hideMark/>
          </w:tcPr>
          <w:p w14:paraId="57F7271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3FA2E11D"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262</w:t>
            </w:r>
          </w:p>
        </w:tc>
        <w:tc>
          <w:tcPr>
            <w:tcW w:w="236" w:type="dxa"/>
            <w:tcBorders>
              <w:top w:val="nil"/>
              <w:left w:val="nil"/>
              <w:bottom w:val="nil"/>
              <w:right w:val="nil"/>
            </w:tcBorders>
            <w:shd w:val="clear" w:color="FFFFFF" w:fill="FFFFFF"/>
            <w:noWrap/>
            <w:vAlign w:val="bottom"/>
            <w:hideMark/>
          </w:tcPr>
          <w:p w14:paraId="66A2EDE0"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138C8A23"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6165BC" w:rsidRPr="007C747A" w14:paraId="52F8F54A" w14:textId="77777777">
        <w:trPr>
          <w:trHeight w:val="250"/>
        </w:trPr>
        <w:tc>
          <w:tcPr>
            <w:tcW w:w="4164" w:type="dxa"/>
            <w:tcBorders>
              <w:top w:val="nil"/>
              <w:left w:val="nil"/>
              <w:bottom w:val="nil"/>
              <w:right w:val="nil"/>
            </w:tcBorders>
            <w:shd w:val="clear" w:color="FFFFFF" w:fill="FFFFFF"/>
            <w:vAlign w:val="bottom"/>
            <w:hideMark/>
          </w:tcPr>
          <w:p w14:paraId="2C88A46C"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Participant plan expenses</w:t>
            </w:r>
          </w:p>
        </w:tc>
        <w:tc>
          <w:tcPr>
            <w:tcW w:w="961" w:type="dxa"/>
            <w:tcBorders>
              <w:top w:val="nil"/>
              <w:left w:val="nil"/>
              <w:bottom w:val="nil"/>
              <w:right w:val="nil"/>
            </w:tcBorders>
            <w:shd w:val="clear" w:color="FFFFFF" w:fill="FFFFFF"/>
            <w:noWrap/>
            <w:vAlign w:val="bottom"/>
            <w:hideMark/>
          </w:tcPr>
          <w:p w14:paraId="111888B2"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1.1H</w:t>
            </w:r>
          </w:p>
        </w:tc>
        <w:tc>
          <w:tcPr>
            <w:tcW w:w="1130" w:type="dxa"/>
            <w:tcBorders>
              <w:top w:val="nil"/>
              <w:left w:val="nil"/>
              <w:bottom w:val="nil"/>
              <w:right w:val="nil"/>
            </w:tcBorders>
            <w:shd w:val="clear" w:color="FFFFFF" w:fill="FFFFFF"/>
            <w:noWrap/>
            <w:vAlign w:val="bottom"/>
            <w:hideMark/>
          </w:tcPr>
          <w:p w14:paraId="7540D6BF"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35,193,427</w:t>
            </w:r>
          </w:p>
        </w:tc>
        <w:tc>
          <w:tcPr>
            <w:tcW w:w="236" w:type="dxa"/>
            <w:tcBorders>
              <w:top w:val="nil"/>
              <w:left w:val="nil"/>
              <w:bottom w:val="nil"/>
              <w:right w:val="nil"/>
            </w:tcBorders>
            <w:shd w:val="clear" w:color="FFFFFF" w:fill="FFFFFF"/>
            <w:noWrap/>
            <w:vAlign w:val="bottom"/>
            <w:hideMark/>
          </w:tcPr>
          <w:p w14:paraId="537B658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3FF2EDE5"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28,631,144</w:t>
            </w:r>
          </w:p>
        </w:tc>
        <w:tc>
          <w:tcPr>
            <w:tcW w:w="236" w:type="dxa"/>
            <w:tcBorders>
              <w:top w:val="nil"/>
              <w:left w:val="nil"/>
              <w:bottom w:val="nil"/>
              <w:right w:val="nil"/>
            </w:tcBorders>
            <w:shd w:val="clear" w:color="FFFFFF" w:fill="FFFFFF"/>
            <w:noWrap/>
            <w:vAlign w:val="bottom"/>
            <w:hideMark/>
          </w:tcPr>
          <w:p w14:paraId="659D3BB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C08A6EF"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33,976,620</w:t>
            </w:r>
          </w:p>
        </w:tc>
      </w:tr>
      <w:tr w:rsidR="006165BC" w:rsidRPr="007C747A" w14:paraId="6F34326F" w14:textId="77777777">
        <w:trPr>
          <w:trHeight w:val="250"/>
        </w:trPr>
        <w:tc>
          <w:tcPr>
            <w:tcW w:w="4164" w:type="dxa"/>
            <w:tcBorders>
              <w:top w:val="nil"/>
              <w:left w:val="nil"/>
              <w:bottom w:val="nil"/>
              <w:right w:val="nil"/>
            </w:tcBorders>
            <w:shd w:val="clear" w:color="FFFFFF" w:fill="FFFFFF"/>
            <w:vAlign w:val="bottom"/>
            <w:hideMark/>
          </w:tcPr>
          <w:p w14:paraId="33E70940"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Depreciation and amortisation</w:t>
            </w:r>
          </w:p>
        </w:tc>
        <w:tc>
          <w:tcPr>
            <w:tcW w:w="961" w:type="dxa"/>
            <w:tcBorders>
              <w:top w:val="nil"/>
              <w:left w:val="nil"/>
              <w:bottom w:val="nil"/>
              <w:right w:val="nil"/>
            </w:tcBorders>
            <w:shd w:val="clear" w:color="FFFFFF" w:fill="FFFFFF"/>
            <w:noWrap/>
            <w:vAlign w:val="bottom"/>
            <w:hideMark/>
          </w:tcPr>
          <w:p w14:paraId="415AAF45"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2.2A</w:t>
            </w:r>
          </w:p>
        </w:tc>
        <w:tc>
          <w:tcPr>
            <w:tcW w:w="1130" w:type="dxa"/>
            <w:tcBorders>
              <w:top w:val="nil"/>
              <w:left w:val="nil"/>
              <w:bottom w:val="nil"/>
              <w:right w:val="nil"/>
            </w:tcBorders>
            <w:shd w:val="clear" w:color="FFFFFF" w:fill="FFFFFF"/>
            <w:noWrap/>
            <w:vAlign w:val="bottom"/>
            <w:hideMark/>
          </w:tcPr>
          <w:p w14:paraId="4F02CDCC"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65,508</w:t>
            </w:r>
          </w:p>
        </w:tc>
        <w:tc>
          <w:tcPr>
            <w:tcW w:w="236" w:type="dxa"/>
            <w:tcBorders>
              <w:top w:val="nil"/>
              <w:left w:val="nil"/>
              <w:bottom w:val="nil"/>
              <w:right w:val="nil"/>
            </w:tcBorders>
            <w:shd w:val="clear" w:color="FFFFFF" w:fill="FFFFFF"/>
            <w:noWrap/>
            <w:vAlign w:val="bottom"/>
            <w:hideMark/>
          </w:tcPr>
          <w:p w14:paraId="399DDBE2"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78093F98"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67,131</w:t>
            </w:r>
          </w:p>
        </w:tc>
        <w:tc>
          <w:tcPr>
            <w:tcW w:w="236" w:type="dxa"/>
            <w:tcBorders>
              <w:top w:val="nil"/>
              <w:left w:val="nil"/>
              <w:bottom w:val="nil"/>
              <w:right w:val="nil"/>
            </w:tcBorders>
            <w:shd w:val="clear" w:color="FFFFFF" w:fill="FFFFFF"/>
            <w:noWrap/>
            <w:vAlign w:val="bottom"/>
            <w:hideMark/>
          </w:tcPr>
          <w:p w14:paraId="15D9A9E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A57A3CF"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71,426</w:t>
            </w:r>
          </w:p>
        </w:tc>
      </w:tr>
      <w:tr w:rsidR="006165BC" w:rsidRPr="007C747A" w14:paraId="3C7C063F" w14:textId="77777777">
        <w:trPr>
          <w:trHeight w:val="250"/>
        </w:trPr>
        <w:tc>
          <w:tcPr>
            <w:tcW w:w="4164" w:type="dxa"/>
            <w:tcBorders>
              <w:top w:val="nil"/>
              <w:left w:val="nil"/>
              <w:bottom w:val="nil"/>
              <w:right w:val="nil"/>
            </w:tcBorders>
            <w:shd w:val="clear" w:color="FFFFFF" w:fill="FFFFFF"/>
            <w:vAlign w:val="bottom"/>
            <w:hideMark/>
          </w:tcPr>
          <w:p w14:paraId="407FBE4A"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Finance costs</w:t>
            </w:r>
          </w:p>
        </w:tc>
        <w:tc>
          <w:tcPr>
            <w:tcW w:w="961" w:type="dxa"/>
            <w:tcBorders>
              <w:top w:val="nil"/>
              <w:left w:val="nil"/>
              <w:bottom w:val="nil"/>
              <w:right w:val="nil"/>
            </w:tcBorders>
            <w:shd w:val="clear" w:color="FFFFFF" w:fill="FFFFFF"/>
            <w:noWrap/>
            <w:vAlign w:val="bottom"/>
            <w:hideMark/>
          </w:tcPr>
          <w:p w14:paraId="7FB4015C"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1.1D</w:t>
            </w:r>
          </w:p>
        </w:tc>
        <w:tc>
          <w:tcPr>
            <w:tcW w:w="1130" w:type="dxa"/>
            <w:tcBorders>
              <w:top w:val="nil"/>
              <w:left w:val="nil"/>
              <w:bottom w:val="nil"/>
              <w:right w:val="nil"/>
            </w:tcBorders>
            <w:shd w:val="clear" w:color="FFFFFF" w:fill="FFFFFF"/>
            <w:noWrap/>
            <w:vAlign w:val="bottom"/>
            <w:hideMark/>
          </w:tcPr>
          <w:p w14:paraId="37A51684"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1,948</w:t>
            </w:r>
          </w:p>
        </w:tc>
        <w:tc>
          <w:tcPr>
            <w:tcW w:w="236" w:type="dxa"/>
            <w:tcBorders>
              <w:top w:val="nil"/>
              <w:left w:val="nil"/>
              <w:bottom w:val="nil"/>
              <w:right w:val="nil"/>
            </w:tcBorders>
            <w:shd w:val="clear" w:color="FFFFFF" w:fill="FFFFFF"/>
            <w:noWrap/>
            <w:vAlign w:val="bottom"/>
            <w:hideMark/>
          </w:tcPr>
          <w:p w14:paraId="535D959A"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48411202"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1,216</w:t>
            </w:r>
          </w:p>
        </w:tc>
        <w:tc>
          <w:tcPr>
            <w:tcW w:w="236" w:type="dxa"/>
            <w:tcBorders>
              <w:top w:val="nil"/>
              <w:left w:val="nil"/>
              <w:bottom w:val="nil"/>
              <w:right w:val="nil"/>
            </w:tcBorders>
            <w:shd w:val="clear" w:color="FFFFFF" w:fill="FFFFFF"/>
            <w:noWrap/>
            <w:vAlign w:val="bottom"/>
            <w:hideMark/>
          </w:tcPr>
          <w:p w14:paraId="035CA122"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139E56FE"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2,945</w:t>
            </w:r>
          </w:p>
        </w:tc>
      </w:tr>
      <w:tr w:rsidR="006165BC" w:rsidRPr="007C747A" w14:paraId="736DFCF3" w14:textId="77777777">
        <w:trPr>
          <w:trHeight w:val="250"/>
        </w:trPr>
        <w:tc>
          <w:tcPr>
            <w:tcW w:w="4164" w:type="dxa"/>
            <w:tcBorders>
              <w:top w:val="nil"/>
              <w:left w:val="nil"/>
              <w:bottom w:val="nil"/>
              <w:right w:val="nil"/>
            </w:tcBorders>
            <w:shd w:val="clear" w:color="FFFFFF" w:fill="FFFFFF"/>
            <w:vAlign w:val="bottom"/>
            <w:hideMark/>
          </w:tcPr>
          <w:p w14:paraId="7D086CA9"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Impairment loss on financial instruments</w:t>
            </w:r>
          </w:p>
        </w:tc>
        <w:tc>
          <w:tcPr>
            <w:tcW w:w="961" w:type="dxa"/>
            <w:tcBorders>
              <w:top w:val="nil"/>
              <w:left w:val="nil"/>
              <w:bottom w:val="nil"/>
              <w:right w:val="nil"/>
            </w:tcBorders>
            <w:shd w:val="clear" w:color="FFFFFF" w:fill="FFFFFF"/>
            <w:noWrap/>
            <w:vAlign w:val="bottom"/>
            <w:hideMark/>
          </w:tcPr>
          <w:p w14:paraId="473D7E10"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1.1E</w:t>
            </w:r>
          </w:p>
        </w:tc>
        <w:tc>
          <w:tcPr>
            <w:tcW w:w="1130" w:type="dxa"/>
            <w:tcBorders>
              <w:top w:val="nil"/>
              <w:left w:val="nil"/>
              <w:bottom w:val="nil"/>
              <w:right w:val="nil"/>
            </w:tcBorders>
            <w:shd w:val="clear" w:color="FFFFFF" w:fill="FFFFFF"/>
            <w:noWrap/>
            <w:vAlign w:val="bottom"/>
            <w:hideMark/>
          </w:tcPr>
          <w:p w14:paraId="1D1A1098"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0BFB567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4430AC08"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135</w:t>
            </w:r>
          </w:p>
        </w:tc>
        <w:tc>
          <w:tcPr>
            <w:tcW w:w="236" w:type="dxa"/>
            <w:tcBorders>
              <w:top w:val="nil"/>
              <w:left w:val="nil"/>
              <w:bottom w:val="nil"/>
              <w:right w:val="nil"/>
            </w:tcBorders>
            <w:shd w:val="clear" w:color="FFFFFF" w:fill="FFFFFF"/>
            <w:noWrap/>
            <w:vAlign w:val="bottom"/>
            <w:hideMark/>
          </w:tcPr>
          <w:p w14:paraId="1A448D7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2F3F0E9"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6165BC" w:rsidRPr="007C747A" w14:paraId="0BAC55DF" w14:textId="77777777">
        <w:trPr>
          <w:trHeight w:val="250"/>
        </w:trPr>
        <w:tc>
          <w:tcPr>
            <w:tcW w:w="4164" w:type="dxa"/>
            <w:tcBorders>
              <w:top w:val="nil"/>
              <w:left w:val="nil"/>
              <w:bottom w:val="nil"/>
              <w:right w:val="nil"/>
            </w:tcBorders>
            <w:shd w:val="clear" w:color="FFFFFF" w:fill="FFFFFF"/>
            <w:vAlign w:val="bottom"/>
            <w:hideMark/>
          </w:tcPr>
          <w:p w14:paraId="5D8DDC1A"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Write-down and impairment of other assets</w:t>
            </w:r>
          </w:p>
        </w:tc>
        <w:tc>
          <w:tcPr>
            <w:tcW w:w="961" w:type="dxa"/>
            <w:tcBorders>
              <w:top w:val="nil"/>
              <w:left w:val="nil"/>
              <w:bottom w:val="nil"/>
              <w:right w:val="nil"/>
            </w:tcBorders>
            <w:shd w:val="clear" w:color="FFFFFF" w:fill="FFFFFF"/>
            <w:noWrap/>
            <w:vAlign w:val="bottom"/>
            <w:hideMark/>
          </w:tcPr>
          <w:p w14:paraId="2641CBF4"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1.1F</w:t>
            </w:r>
          </w:p>
        </w:tc>
        <w:tc>
          <w:tcPr>
            <w:tcW w:w="1130" w:type="dxa"/>
            <w:tcBorders>
              <w:top w:val="nil"/>
              <w:left w:val="nil"/>
              <w:bottom w:val="nil"/>
              <w:right w:val="nil"/>
            </w:tcBorders>
            <w:shd w:val="clear" w:color="FFFFFF" w:fill="FFFFFF"/>
            <w:noWrap/>
            <w:vAlign w:val="bottom"/>
            <w:hideMark/>
          </w:tcPr>
          <w:p w14:paraId="453A28CE"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9,294</w:t>
            </w:r>
          </w:p>
        </w:tc>
        <w:tc>
          <w:tcPr>
            <w:tcW w:w="236" w:type="dxa"/>
            <w:tcBorders>
              <w:top w:val="nil"/>
              <w:left w:val="nil"/>
              <w:bottom w:val="nil"/>
              <w:right w:val="nil"/>
            </w:tcBorders>
            <w:shd w:val="clear" w:color="FFFFFF" w:fill="FFFFFF"/>
            <w:noWrap/>
            <w:vAlign w:val="bottom"/>
            <w:hideMark/>
          </w:tcPr>
          <w:p w14:paraId="633C4684"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1A6A346F"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3,942</w:t>
            </w:r>
          </w:p>
        </w:tc>
        <w:tc>
          <w:tcPr>
            <w:tcW w:w="236" w:type="dxa"/>
            <w:tcBorders>
              <w:top w:val="nil"/>
              <w:left w:val="nil"/>
              <w:bottom w:val="nil"/>
              <w:right w:val="nil"/>
            </w:tcBorders>
            <w:shd w:val="clear" w:color="FFFFFF" w:fill="FFFFFF"/>
            <w:noWrap/>
            <w:vAlign w:val="bottom"/>
            <w:hideMark/>
          </w:tcPr>
          <w:p w14:paraId="776A512D"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44B916C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6165BC" w:rsidRPr="007C747A" w14:paraId="487F1F56" w14:textId="77777777">
        <w:trPr>
          <w:trHeight w:val="250"/>
        </w:trPr>
        <w:tc>
          <w:tcPr>
            <w:tcW w:w="4164" w:type="dxa"/>
            <w:tcBorders>
              <w:top w:val="nil"/>
              <w:left w:val="nil"/>
              <w:bottom w:val="nil"/>
              <w:right w:val="nil"/>
            </w:tcBorders>
            <w:shd w:val="clear" w:color="FFFFFF" w:fill="FFFFFF"/>
            <w:vAlign w:val="bottom"/>
            <w:hideMark/>
          </w:tcPr>
          <w:p w14:paraId="6D67039B"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expenses</w:t>
            </w:r>
          </w:p>
        </w:tc>
        <w:tc>
          <w:tcPr>
            <w:tcW w:w="961" w:type="dxa"/>
            <w:tcBorders>
              <w:top w:val="nil"/>
              <w:left w:val="nil"/>
              <w:bottom w:val="nil"/>
              <w:right w:val="nil"/>
            </w:tcBorders>
            <w:shd w:val="clear" w:color="FFFFFF" w:fill="FFFFFF"/>
            <w:noWrap/>
            <w:vAlign w:val="bottom"/>
            <w:hideMark/>
          </w:tcPr>
          <w:p w14:paraId="240248F9"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06B62F15"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37,030,556</w:t>
            </w:r>
          </w:p>
        </w:tc>
        <w:tc>
          <w:tcPr>
            <w:tcW w:w="236" w:type="dxa"/>
            <w:tcBorders>
              <w:top w:val="nil"/>
              <w:left w:val="nil"/>
              <w:bottom w:val="nil"/>
              <w:right w:val="nil"/>
            </w:tcBorders>
            <w:shd w:val="clear" w:color="FFFFFF" w:fill="FFFFFF"/>
            <w:noWrap/>
            <w:vAlign w:val="bottom"/>
            <w:hideMark/>
          </w:tcPr>
          <w:p w14:paraId="1638FC1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232ADDF0"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30,226,507</w:t>
            </w:r>
          </w:p>
        </w:tc>
        <w:tc>
          <w:tcPr>
            <w:tcW w:w="236" w:type="dxa"/>
            <w:tcBorders>
              <w:top w:val="nil"/>
              <w:left w:val="nil"/>
              <w:bottom w:val="nil"/>
              <w:right w:val="nil"/>
            </w:tcBorders>
            <w:shd w:val="clear" w:color="FFFFFF" w:fill="FFFFFF"/>
            <w:noWrap/>
            <w:vAlign w:val="bottom"/>
            <w:hideMark/>
          </w:tcPr>
          <w:p w14:paraId="3E90F7C9"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5A7EAB5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35,752,083</w:t>
            </w:r>
          </w:p>
        </w:tc>
      </w:tr>
      <w:tr w:rsidR="006165BC" w:rsidRPr="007C747A" w14:paraId="3C59B8E7" w14:textId="77777777">
        <w:trPr>
          <w:trHeight w:val="250"/>
        </w:trPr>
        <w:tc>
          <w:tcPr>
            <w:tcW w:w="4164" w:type="dxa"/>
            <w:tcBorders>
              <w:top w:val="nil"/>
              <w:left w:val="nil"/>
              <w:bottom w:val="nil"/>
              <w:right w:val="nil"/>
            </w:tcBorders>
            <w:shd w:val="clear" w:color="FFFFFF" w:fill="FFFFFF"/>
            <w:vAlign w:val="bottom"/>
            <w:hideMark/>
          </w:tcPr>
          <w:p w14:paraId="4FE20912"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2D82E7C8"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1202C13F"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EBC3C5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6663C71F"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CDAD139"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11992CD6"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0855BC75" w14:textId="77777777">
        <w:trPr>
          <w:trHeight w:val="250"/>
        </w:trPr>
        <w:tc>
          <w:tcPr>
            <w:tcW w:w="4164" w:type="dxa"/>
            <w:tcBorders>
              <w:top w:val="nil"/>
              <w:left w:val="nil"/>
              <w:bottom w:val="nil"/>
              <w:right w:val="nil"/>
            </w:tcBorders>
            <w:shd w:val="clear" w:color="FFFFFF" w:fill="FFFFFF"/>
            <w:noWrap/>
            <w:vAlign w:val="bottom"/>
            <w:hideMark/>
          </w:tcPr>
          <w:p w14:paraId="5917415F"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OWN-SOURCE INCOME</w:t>
            </w:r>
          </w:p>
        </w:tc>
        <w:tc>
          <w:tcPr>
            <w:tcW w:w="961" w:type="dxa"/>
            <w:tcBorders>
              <w:top w:val="nil"/>
              <w:left w:val="nil"/>
              <w:bottom w:val="nil"/>
              <w:right w:val="nil"/>
            </w:tcBorders>
            <w:shd w:val="clear" w:color="FFFFFF" w:fill="FFFFFF"/>
            <w:noWrap/>
            <w:vAlign w:val="bottom"/>
            <w:hideMark/>
          </w:tcPr>
          <w:p w14:paraId="6C33AFFA"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15F2FB31"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59B3389"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4E14D31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FF37F77"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0B6DA4BE"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5298AC0B" w14:textId="77777777">
        <w:trPr>
          <w:trHeight w:val="250"/>
        </w:trPr>
        <w:tc>
          <w:tcPr>
            <w:tcW w:w="4164" w:type="dxa"/>
            <w:tcBorders>
              <w:top w:val="nil"/>
              <w:left w:val="nil"/>
              <w:bottom w:val="nil"/>
              <w:right w:val="nil"/>
            </w:tcBorders>
            <w:shd w:val="clear" w:color="FFFFFF" w:fill="FFFFFF"/>
            <w:vAlign w:val="bottom"/>
            <w:hideMark/>
          </w:tcPr>
          <w:p w14:paraId="5C2B8727"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Own-source revenue</w:t>
            </w:r>
          </w:p>
        </w:tc>
        <w:tc>
          <w:tcPr>
            <w:tcW w:w="961" w:type="dxa"/>
            <w:tcBorders>
              <w:top w:val="nil"/>
              <w:left w:val="nil"/>
              <w:bottom w:val="nil"/>
              <w:right w:val="nil"/>
            </w:tcBorders>
            <w:shd w:val="clear" w:color="FFFFFF" w:fill="FFFFFF"/>
            <w:noWrap/>
            <w:vAlign w:val="bottom"/>
            <w:hideMark/>
          </w:tcPr>
          <w:p w14:paraId="0CECDB48"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75A51326"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8DC894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1F8B0EA2"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4BD2C47"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85867F3"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5A4C9B9D" w14:textId="77777777">
        <w:trPr>
          <w:trHeight w:val="250"/>
        </w:trPr>
        <w:tc>
          <w:tcPr>
            <w:tcW w:w="4164" w:type="dxa"/>
            <w:tcBorders>
              <w:top w:val="nil"/>
              <w:left w:val="nil"/>
              <w:bottom w:val="nil"/>
              <w:right w:val="nil"/>
            </w:tcBorders>
            <w:shd w:val="clear" w:color="FFFFFF" w:fill="FFFFFF"/>
            <w:vAlign w:val="bottom"/>
            <w:hideMark/>
          </w:tcPr>
          <w:p w14:paraId="460D08DF"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Rendering of services</w:t>
            </w:r>
          </w:p>
        </w:tc>
        <w:tc>
          <w:tcPr>
            <w:tcW w:w="961" w:type="dxa"/>
            <w:tcBorders>
              <w:top w:val="nil"/>
              <w:left w:val="nil"/>
              <w:bottom w:val="nil"/>
              <w:right w:val="nil"/>
            </w:tcBorders>
            <w:shd w:val="clear" w:color="FFFFFF" w:fill="FFFFFF"/>
            <w:noWrap/>
            <w:vAlign w:val="bottom"/>
            <w:hideMark/>
          </w:tcPr>
          <w:p w14:paraId="7D1A3BE8"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1.2A</w:t>
            </w:r>
          </w:p>
        </w:tc>
        <w:tc>
          <w:tcPr>
            <w:tcW w:w="1130" w:type="dxa"/>
            <w:tcBorders>
              <w:top w:val="nil"/>
              <w:left w:val="nil"/>
              <w:bottom w:val="nil"/>
              <w:right w:val="nil"/>
            </w:tcBorders>
            <w:shd w:val="clear" w:color="FFFFFF" w:fill="FFFFFF"/>
            <w:noWrap/>
            <w:vAlign w:val="bottom"/>
            <w:hideMark/>
          </w:tcPr>
          <w:p w14:paraId="72793EDF"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34,111,841</w:t>
            </w:r>
          </w:p>
        </w:tc>
        <w:tc>
          <w:tcPr>
            <w:tcW w:w="236" w:type="dxa"/>
            <w:tcBorders>
              <w:top w:val="nil"/>
              <w:left w:val="nil"/>
              <w:bottom w:val="nil"/>
              <w:right w:val="nil"/>
            </w:tcBorders>
            <w:shd w:val="clear" w:color="FFFFFF" w:fill="FFFFFF"/>
            <w:noWrap/>
            <w:vAlign w:val="bottom"/>
            <w:hideMark/>
          </w:tcPr>
          <w:p w14:paraId="306DDA2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01564490"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28,179,885</w:t>
            </w:r>
          </w:p>
        </w:tc>
        <w:tc>
          <w:tcPr>
            <w:tcW w:w="236" w:type="dxa"/>
            <w:tcBorders>
              <w:top w:val="nil"/>
              <w:left w:val="nil"/>
              <w:bottom w:val="nil"/>
              <w:right w:val="nil"/>
            </w:tcBorders>
            <w:shd w:val="clear" w:color="FFFFFF" w:fill="FFFFFF"/>
            <w:noWrap/>
            <w:vAlign w:val="bottom"/>
            <w:hideMark/>
          </w:tcPr>
          <w:p w14:paraId="6591059A"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0790D51E"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32,968,623</w:t>
            </w:r>
          </w:p>
        </w:tc>
      </w:tr>
      <w:tr w:rsidR="006165BC" w:rsidRPr="007C747A" w14:paraId="3618E04D" w14:textId="77777777">
        <w:trPr>
          <w:trHeight w:val="250"/>
        </w:trPr>
        <w:tc>
          <w:tcPr>
            <w:tcW w:w="4164" w:type="dxa"/>
            <w:tcBorders>
              <w:top w:val="nil"/>
              <w:left w:val="nil"/>
              <w:bottom w:val="nil"/>
              <w:right w:val="nil"/>
            </w:tcBorders>
            <w:shd w:val="clear" w:color="FFFFFF" w:fill="FFFFFF"/>
            <w:vAlign w:val="bottom"/>
            <w:hideMark/>
          </w:tcPr>
          <w:p w14:paraId="47FACD52"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Interest</w:t>
            </w:r>
          </w:p>
        </w:tc>
        <w:tc>
          <w:tcPr>
            <w:tcW w:w="961" w:type="dxa"/>
            <w:tcBorders>
              <w:top w:val="nil"/>
              <w:left w:val="nil"/>
              <w:bottom w:val="nil"/>
              <w:right w:val="nil"/>
            </w:tcBorders>
            <w:shd w:val="clear" w:color="FFFFFF" w:fill="FFFFFF"/>
            <w:noWrap/>
            <w:vAlign w:val="bottom"/>
            <w:hideMark/>
          </w:tcPr>
          <w:p w14:paraId="7BA3A338"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4FB992C7"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259,802</w:t>
            </w:r>
          </w:p>
        </w:tc>
        <w:tc>
          <w:tcPr>
            <w:tcW w:w="236" w:type="dxa"/>
            <w:tcBorders>
              <w:top w:val="nil"/>
              <w:left w:val="nil"/>
              <w:bottom w:val="nil"/>
              <w:right w:val="nil"/>
            </w:tcBorders>
            <w:shd w:val="clear" w:color="FFFFFF" w:fill="FFFFFF"/>
            <w:noWrap/>
            <w:vAlign w:val="bottom"/>
            <w:hideMark/>
          </w:tcPr>
          <w:p w14:paraId="1D40CAD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9B16454"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17,475</w:t>
            </w:r>
          </w:p>
        </w:tc>
        <w:tc>
          <w:tcPr>
            <w:tcW w:w="236" w:type="dxa"/>
            <w:tcBorders>
              <w:top w:val="nil"/>
              <w:left w:val="nil"/>
              <w:bottom w:val="nil"/>
              <w:right w:val="nil"/>
            </w:tcBorders>
            <w:shd w:val="clear" w:color="FFFFFF" w:fill="FFFFFF"/>
            <w:noWrap/>
            <w:vAlign w:val="bottom"/>
            <w:hideMark/>
          </w:tcPr>
          <w:p w14:paraId="0562D16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3B07D23A"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73,951</w:t>
            </w:r>
          </w:p>
        </w:tc>
      </w:tr>
      <w:tr w:rsidR="006165BC" w:rsidRPr="007C747A" w14:paraId="62E2B6E1" w14:textId="77777777">
        <w:trPr>
          <w:trHeight w:val="250"/>
        </w:trPr>
        <w:tc>
          <w:tcPr>
            <w:tcW w:w="4164" w:type="dxa"/>
            <w:tcBorders>
              <w:top w:val="nil"/>
              <w:left w:val="nil"/>
              <w:bottom w:val="nil"/>
              <w:right w:val="nil"/>
            </w:tcBorders>
            <w:shd w:val="clear" w:color="FFFFFF" w:fill="FFFFFF"/>
            <w:vAlign w:val="bottom"/>
            <w:hideMark/>
          </w:tcPr>
          <w:p w14:paraId="7361ACA8"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Rental income</w:t>
            </w:r>
          </w:p>
        </w:tc>
        <w:tc>
          <w:tcPr>
            <w:tcW w:w="961" w:type="dxa"/>
            <w:tcBorders>
              <w:top w:val="nil"/>
              <w:left w:val="nil"/>
              <w:bottom w:val="nil"/>
              <w:right w:val="nil"/>
            </w:tcBorders>
            <w:shd w:val="clear" w:color="FFFFFF" w:fill="FFFFFF"/>
            <w:noWrap/>
            <w:vAlign w:val="bottom"/>
            <w:hideMark/>
          </w:tcPr>
          <w:p w14:paraId="05299C33"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1.2B</w:t>
            </w:r>
          </w:p>
        </w:tc>
        <w:tc>
          <w:tcPr>
            <w:tcW w:w="1130" w:type="dxa"/>
            <w:tcBorders>
              <w:top w:val="nil"/>
              <w:left w:val="nil"/>
              <w:bottom w:val="nil"/>
              <w:right w:val="nil"/>
            </w:tcBorders>
            <w:shd w:val="clear" w:color="FFFFFF" w:fill="FFFFFF"/>
            <w:noWrap/>
            <w:vAlign w:val="bottom"/>
            <w:hideMark/>
          </w:tcPr>
          <w:p w14:paraId="285A0B0C"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704</w:t>
            </w:r>
          </w:p>
        </w:tc>
        <w:tc>
          <w:tcPr>
            <w:tcW w:w="236" w:type="dxa"/>
            <w:tcBorders>
              <w:top w:val="nil"/>
              <w:left w:val="nil"/>
              <w:bottom w:val="nil"/>
              <w:right w:val="nil"/>
            </w:tcBorders>
            <w:shd w:val="clear" w:color="FFFFFF" w:fill="FFFFFF"/>
            <w:noWrap/>
            <w:vAlign w:val="bottom"/>
            <w:hideMark/>
          </w:tcPr>
          <w:p w14:paraId="21669FE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7910506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592</w:t>
            </w:r>
          </w:p>
        </w:tc>
        <w:tc>
          <w:tcPr>
            <w:tcW w:w="236" w:type="dxa"/>
            <w:tcBorders>
              <w:top w:val="nil"/>
              <w:left w:val="nil"/>
              <w:bottom w:val="nil"/>
              <w:right w:val="nil"/>
            </w:tcBorders>
            <w:shd w:val="clear" w:color="FFFFFF" w:fill="FFFFFF"/>
            <w:noWrap/>
            <w:vAlign w:val="bottom"/>
            <w:hideMark/>
          </w:tcPr>
          <w:p w14:paraId="01E88AAF"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11D0F59"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6165BC" w:rsidRPr="007C747A" w14:paraId="3039F3C1" w14:textId="77777777">
        <w:trPr>
          <w:trHeight w:val="250"/>
        </w:trPr>
        <w:tc>
          <w:tcPr>
            <w:tcW w:w="4164" w:type="dxa"/>
            <w:tcBorders>
              <w:top w:val="nil"/>
              <w:left w:val="nil"/>
              <w:bottom w:val="nil"/>
              <w:right w:val="nil"/>
            </w:tcBorders>
            <w:shd w:val="clear" w:color="FFFFFF" w:fill="FFFFFF"/>
            <w:vAlign w:val="bottom"/>
            <w:hideMark/>
          </w:tcPr>
          <w:p w14:paraId="2E8EB5A6"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Other revenue</w:t>
            </w:r>
          </w:p>
        </w:tc>
        <w:tc>
          <w:tcPr>
            <w:tcW w:w="961" w:type="dxa"/>
            <w:tcBorders>
              <w:top w:val="nil"/>
              <w:left w:val="nil"/>
              <w:bottom w:val="nil"/>
              <w:right w:val="nil"/>
            </w:tcBorders>
            <w:shd w:val="clear" w:color="FFFFFF" w:fill="FFFFFF"/>
            <w:noWrap/>
            <w:vAlign w:val="bottom"/>
            <w:hideMark/>
          </w:tcPr>
          <w:p w14:paraId="33DB67F7"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1.2C</w:t>
            </w:r>
          </w:p>
        </w:tc>
        <w:tc>
          <w:tcPr>
            <w:tcW w:w="1130" w:type="dxa"/>
            <w:tcBorders>
              <w:top w:val="nil"/>
              <w:left w:val="nil"/>
              <w:bottom w:val="nil"/>
              <w:right w:val="nil"/>
            </w:tcBorders>
            <w:shd w:val="clear" w:color="FFFFFF" w:fill="FFFFFF"/>
            <w:noWrap/>
            <w:vAlign w:val="bottom"/>
            <w:hideMark/>
          </w:tcPr>
          <w:p w14:paraId="03302D3A"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29,420</w:t>
            </w:r>
          </w:p>
        </w:tc>
        <w:tc>
          <w:tcPr>
            <w:tcW w:w="236" w:type="dxa"/>
            <w:tcBorders>
              <w:top w:val="nil"/>
              <w:left w:val="nil"/>
              <w:bottom w:val="nil"/>
              <w:right w:val="nil"/>
            </w:tcBorders>
            <w:shd w:val="clear" w:color="FFFFFF" w:fill="FFFFFF"/>
            <w:noWrap/>
            <w:vAlign w:val="bottom"/>
            <w:hideMark/>
          </w:tcPr>
          <w:p w14:paraId="6A43A9EA"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40DA576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23,324</w:t>
            </w:r>
          </w:p>
        </w:tc>
        <w:tc>
          <w:tcPr>
            <w:tcW w:w="236" w:type="dxa"/>
            <w:tcBorders>
              <w:top w:val="nil"/>
              <w:left w:val="nil"/>
              <w:bottom w:val="nil"/>
              <w:right w:val="nil"/>
            </w:tcBorders>
            <w:shd w:val="clear" w:color="FFFFFF" w:fill="FFFFFF"/>
            <w:noWrap/>
            <w:vAlign w:val="bottom"/>
            <w:hideMark/>
          </w:tcPr>
          <w:p w14:paraId="1358737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4351B282"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53,000</w:t>
            </w:r>
          </w:p>
        </w:tc>
      </w:tr>
      <w:tr w:rsidR="006165BC" w:rsidRPr="007C747A" w14:paraId="7D1E64AE" w14:textId="77777777">
        <w:trPr>
          <w:trHeight w:val="250"/>
        </w:trPr>
        <w:tc>
          <w:tcPr>
            <w:tcW w:w="4164" w:type="dxa"/>
            <w:tcBorders>
              <w:top w:val="nil"/>
              <w:left w:val="nil"/>
              <w:bottom w:val="nil"/>
              <w:right w:val="nil"/>
            </w:tcBorders>
            <w:shd w:val="clear" w:color="FFFFFF" w:fill="FFFFFF"/>
            <w:vAlign w:val="bottom"/>
            <w:hideMark/>
          </w:tcPr>
          <w:p w14:paraId="3A48F460"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own-source revenue</w:t>
            </w:r>
          </w:p>
        </w:tc>
        <w:tc>
          <w:tcPr>
            <w:tcW w:w="961" w:type="dxa"/>
            <w:tcBorders>
              <w:top w:val="nil"/>
              <w:left w:val="nil"/>
              <w:bottom w:val="nil"/>
              <w:right w:val="nil"/>
            </w:tcBorders>
            <w:shd w:val="clear" w:color="FFFFFF" w:fill="FFFFFF"/>
            <w:noWrap/>
            <w:vAlign w:val="bottom"/>
            <w:hideMark/>
          </w:tcPr>
          <w:p w14:paraId="1BD3E8BC"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2B943051"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34,401,767</w:t>
            </w:r>
          </w:p>
        </w:tc>
        <w:tc>
          <w:tcPr>
            <w:tcW w:w="236" w:type="dxa"/>
            <w:tcBorders>
              <w:top w:val="nil"/>
              <w:left w:val="nil"/>
              <w:bottom w:val="nil"/>
              <w:right w:val="nil"/>
            </w:tcBorders>
            <w:shd w:val="clear" w:color="FFFFFF" w:fill="FFFFFF"/>
            <w:noWrap/>
            <w:vAlign w:val="bottom"/>
            <w:hideMark/>
          </w:tcPr>
          <w:p w14:paraId="6F0E59DB"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149A1CE0"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28,221,276</w:t>
            </w:r>
          </w:p>
        </w:tc>
        <w:tc>
          <w:tcPr>
            <w:tcW w:w="236" w:type="dxa"/>
            <w:tcBorders>
              <w:top w:val="nil"/>
              <w:left w:val="nil"/>
              <w:bottom w:val="nil"/>
              <w:right w:val="nil"/>
            </w:tcBorders>
            <w:shd w:val="clear" w:color="FFFFFF" w:fill="FFFFFF"/>
            <w:noWrap/>
            <w:vAlign w:val="bottom"/>
            <w:hideMark/>
          </w:tcPr>
          <w:p w14:paraId="775269A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2FAC3949"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33,095,574</w:t>
            </w:r>
          </w:p>
        </w:tc>
      </w:tr>
      <w:tr w:rsidR="006165BC" w:rsidRPr="007C747A" w14:paraId="59A46D90" w14:textId="77777777">
        <w:trPr>
          <w:trHeight w:val="250"/>
        </w:trPr>
        <w:tc>
          <w:tcPr>
            <w:tcW w:w="4164" w:type="dxa"/>
            <w:tcBorders>
              <w:top w:val="nil"/>
              <w:left w:val="nil"/>
              <w:bottom w:val="nil"/>
              <w:right w:val="nil"/>
            </w:tcBorders>
            <w:shd w:val="clear" w:color="FFFFFF" w:fill="FFFFFF"/>
            <w:vAlign w:val="bottom"/>
            <w:hideMark/>
          </w:tcPr>
          <w:p w14:paraId="12096C2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0E86372F"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4DFFCFF4"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9D9A139"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D0B02E3"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A7AAFFC"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1FBE1125"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1B2FAAEC" w14:textId="77777777">
        <w:trPr>
          <w:trHeight w:val="250"/>
        </w:trPr>
        <w:tc>
          <w:tcPr>
            <w:tcW w:w="4164" w:type="dxa"/>
            <w:tcBorders>
              <w:top w:val="nil"/>
              <w:left w:val="nil"/>
              <w:bottom w:val="nil"/>
              <w:right w:val="nil"/>
            </w:tcBorders>
            <w:shd w:val="clear" w:color="FFFFFF" w:fill="FFFFFF"/>
            <w:vAlign w:val="bottom"/>
            <w:hideMark/>
          </w:tcPr>
          <w:p w14:paraId="140C2533"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Gains</w:t>
            </w:r>
          </w:p>
        </w:tc>
        <w:tc>
          <w:tcPr>
            <w:tcW w:w="961" w:type="dxa"/>
            <w:tcBorders>
              <w:top w:val="nil"/>
              <w:left w:val="nil"/>
              <w:bottom w:val="nil"/>
              <w:right w:val="nil"/>
            </w:tcBorders>
            <w:shd w:val="clear" w:color="FFFFFF" w:fill="FFFFFF"/>
            <w:noWrap/>
            <w:vAlign w:val="bottom"/>
            <w:hideMark/>
          </w:tcPr>
          <w:p w14:paraId="30FBE0FB"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49F2D3A7"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3AE78AD"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758318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D700597"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7D9368FD"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668DE890" w14:textId="77777777">
        <w:trPr>
          <w:trHeight w:val="250"/>
        </w:trPr>
        <w:tc>
          <w:tcPr>
            <w:tcW w:w="4164" w:type="dxa"/>
            <w:tcBorders>
              <w:top w:val="nil"/>
              <w:left w:val="nil"/>
              <w:bottom w:val="nil"/>
              <w:right w:val="nil"/>
            </w:tcBorders>
            <w:shd w:val="clear" w:color="FFFFFF" w:fill="FFFFFF"/>
            <w:vAlign w:val="bottom"/>
            <w:hideMark/>
          </w:tcPr>
          <w:p w14:paraId="0EBCE0B3"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Other gains</w:t>
            </w:r>
          </w:p>
        </w:tc>
        <w:tc>
          <w:tcPr>
            <w:tcW w:w="961" w:type="dxa"/>
            <w:tcBorders>
              <w:top w:val="nil"/>
              <w:left w:val="nil"/>
              <w:bottom w:val="nil"/>
              <w:right w:val="nil"/>
            </w:tcBorders>
            <w:shd w:val="clear" w:color="FFFFFF" w:fill="FFFFFF"/>
            <w:noWrap/>
            <w:vAlign w:val="bottom"/>
            <w:hideMark/>
          </w:tcPr>
          <w:p w14:paraId="7F04F902"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1.2D</w:t>
            </w:r>
          </w:p>
        </w:tc>
        <w:tc>
          <w:tcPr>
            <w:tcW w:w="1130" w:type="dxa"/>
            <w:tcBorders>
              <w:top w:val="nil"/>
              <w:left w:val="nil"/>
              <w:bottom w:val="nil"/>
              <w:right w:val="nil"/>
            </w:tcBorders>
            <w:shd w:val="clear" w:color="FFFFFF" w:fill="FFFFFF"/>
            <w:noWrap/>
            <w:vAlign w:val="bottom"/>
            <w:hideMark/>
          </w:tcPr>
          <w:p w14:paraId="7CD1B497"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1,198,317</w:t>
            </w:r>
          </w:p>
        </w:tc>
        <w:tc>
          <w:tcPr>
            <w:tcW w:w="236" w:type="dxa"/>
            <w:tcBorders>
              <w:top w:val="nil"/>
              <w:left w:val="nil"/>
              <w:bottom w:val="nil"/>
              <w:right w:val="nil"/>
            </w:tcBorders>
            <w:shd w:val="clear" w:color="FFFFFF" w:fill="FFFFFF"/>
            <w:noWrap/>
            <w:vAlign w:val="bottom"/>
            <w:hideMark/>
          </w:tcPr>
          <w:p w14:paraId="1409F03B"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C51C626"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1,015,002</w:t>
            </w:r>
          </w:p>
        </w:tc>
        <w:tc>
          <w:tcPr>
            <w:tcW w:w="236" w:type="dxa"/>
            <w:tcBorders>
              <w:top w:val="nil"/>
              <w:left w:val="nil"/>
              <w:bottom w:val="nil"/>
              <w:right w:val="nil"/>
            </w:tcBorders>
            <w:shd w:val="clear" w:color="FFFFFF" w:fill="FFFFFF"/>
            <w:noWrap/>
            <w:vAlign w:val="bottom"/>
            <w:hideMark/>
          </w:tcPr>
          <w:p w14:paraId="482B7AEB"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47175E6A"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1,088,200</w:t>
            </w:r>
          </w:p>
        </w:tc>
      </w:tr>
      <w:tr w:rsidR="006165BC" w:rsidRPr="007C747A" w14:paraId="0C439EEF" w14:textId="77777777">
        <w:trPr>
          <w:trHeight w:val="250"/>
        </w:trPr>
        <w:tc>
          <w:tcPr>
            <w:tcW w:w="4164" w:type="dxa"/>
            <w:tcBorders>
              <w:top w:val="nil"/>
              <w:left w:val="nil"/>
              <w:bottom w:val="nil"/>
              <w:right w:val="nil"/>
            </w:tcBorders>
            <w:shd w:val="clear" w:color="FFFFFF" w:fill="FFFFFF"/>
            <w:vAlign w:val="bottom"/>
            <w:hideMark/>
          </w:tcPr>
          <w:p w14:paraId="6D1FD744"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gains</w:t>
            </w:r>
          </w:p>
        </w:tc>
        <w:tc>
          <w:tcPr>
            <w:tcW w:w="961" w:type="dxa"/>
            <w:tcBorders>
              <w:top w:val="nil"/>
              <w:left w:val="nil"/>
              <w:bottom w:val="nil"/>
              <w:right w:val="nil"/>
            </w:tcBorders>
            <w:shd w:val="clear" w:color="FFFFFF" w:fill="FFFFFF"/>
            <w:noWrap/>
            <w:vAlign w:val="bottom"/>
            <w:hideMark/>
          </w:tcPr>
          <w:p w14:paraId="79924EAD"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7CE1302A"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1,198,317</w:t>
            </w:r>
          </w:p>
        </w:tc>
        <w:tc>
          <w:tcPr>
            <w:tcW w:w="236" w:type="dxa"/>
            <w:tcBorders>
              <w:top w:val="nil"/>
              <w:left w:val="nil"/>
              <w:bottom w:val="nil"/>
              <w:right w:val="nil"/>
            </w:tcBorders>
            <w:shd w:val="clear" w:color="FFFFFF" w:fill="FFFFFF"/>
            <w:noWrap/>
            <w:vAlign w:val="bottom"/>
            <w:hideMark/>
          </w:tcPr>
          <w:p w14:paraId="6601BC0F"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6B986E94"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1,015,002</w:t>
            </w:r>
          </w:p>
        </w:tc>
        <w:tc>
          <w:tcPr>
            <w:tcW w:w="236" w:type="dxa"/>
            <w:tcBorders>
              <w:top w:val="nil"/>
              <w:left w:val="nil"/>
              <w:bottom w:val="nil"/>
              <w:right w:val="nil"/>
            </w:tcBorders>
            <w:shd w:val="clear" w:color="FFFFFF" w:fill="FFFFFF"/>
            <w:noWrap/>
            <w:vAlign w:val="bottom"/>
            <w:hideMark/>
          </w:tcPr>
          <w:p w14:paraId="51D70984"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4195009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1,088,200</w:t>
            </w:r>
          </w:p>
        </w:tc>
      </w:tr>
      <w:tr w:rsidR="006165BC" w:rsidRPr="007C747A" w14:paraId="022F516B" w14:textId="77777777">
        <w:trPr>
          <w:trHeight w:val="250"/>
        </w:trPr>
        <w:tc>
          <w:tcPr>
            <w:tcW w:w="4164" w:type="dxa"/>
            <w:tcBorders>
              <w:top w:val="nil"/>
              <w:left w:val="nil"/>
              <w:bottom w:val="nil"/>
              <w:right w:val="nil"/>
            </w:tcBorders>
            <w:shd w:val="clear" w:color="FFFFFF" w:fill="FFFFFF"/>
            <w:vAlign w:val="bottom"/>
            <w:hideMark/>
          </w:tcPr>
          <w:p w14:paraId="1934EBA7"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1E411B52"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42C1CE5D"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0169AC2"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1E3BB735"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3F01E9A"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DD2FC8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698A2468" w14:textId="77777777">
        <w:trPr>
          <w:trHeight w:val="250"/>
        </w:trPr>
        <w:tc>
          <w:tcPr>
            <w:tcW w:w="4164" w:type="dxa"/>
            <w:tcBorders>
              <w:top w:val="nil"/>
              <w:left w:val="nil"/>
              <w:bottom w:val="nil"/>
              <w:right w:val="nil"/>
            </w:tcBorders>
            <w:shd w:val="clear" w:color="FFFFFF" w:fill="FFFFFF"/>
            <w:vAlign w:val="bottom"/>
            <w:hideMark/>
          </w:tcPr>
          <w:p w14:paraId="6C531F14"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own-source income</w:t>
            </w:r>
          </w:p>
        </w:tc>
        <w:tc>
          <w:tcPr>
            <w:tcW w:w="961" w:type="dxa"/>
            <w:tcBorders>
              <w:top w:val="nil"/>
              <w:left w:val="nil"/>
              <w:bottom w:val="nil"/>
              <w:right w:val="nil"/>
            </w:tcBorders>
            <w:shd w:val="clear" w:color="FFFFFF" w:fill="FFFFFF"/>
            <w:noWrap/>
            <w:vAlign w:val="bottom"/>
            <w:hideMark/>
          </w:tcPr>
          <w:p w14:paraId="4BDC3EB9"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5B5F24BC"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35,600,084</w:t>
            </w:r>
          </w:p>
        </w:tc>
        <w:tc>
          <w:tcPr>
            <w:tcW w:w="236" w:type="dxa"/>
            <w:tcBorders>
              <w:top w:val="nil"/>
              <w:left w:val="nil"/>
              <w:bottom w:val="nil"/>
              <w:right w:val="nil"/>
            </w:tcBorders>
            <w:shd w:val="clear" w:color="FFFFFF" w:fill="FFFFFF"/>
            <w:noWrap/>
            <w:vAlign w:val="bottom"/>
            <w:hideMark/>
          </w:tcPr>
          <w:p w14:paraId="6C111EDB"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67D99A3D"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29,236,278</w:t>
            </w:r>
          </w:p>
        </w:tc>
        <w:tc>
          <w:tcPr>
            <w:tcW w:w="236" w:type="dxa"/>
            <w:tcBorders>
              <w:top w:val="nil"/>
              <w:left w:val="nil"/>
              <w:bottom w:val="nil"/>
              <w:right w:val="nil"/>
            </w:tcBorders>
            <w:shd w:val="clear" w:color="FFFFFF" w:fill="FFFFFF"/>
            <w:noWrap/>
            <w:vAlign w:val="bottom"/>
            <w:hideMark/>
          </w:tcPr>
          <w:p w14:paraId="21FEF88B"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4D91B2EE"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34,183,774</w:t>
            </w:r>
          </w:p>
        </w:tc>
      </w:tr>
      <w:tr w:rsidR="006165BC" w:rsidRPr="007C747A" w14:paraId="0947A072" w14:textId="77777777">
        <w:trPr>
          <w:trHeight w:val="250"/>
        </w:trPr>
        <w:tc>
          <w:tcPr>
            <w:tcW w:w="4164" w:type="dxa"/>
            <w:tcBorders>
              <w:top w:val="nil"/>
              <w:left w:val="nil"/>
              <w:bottom w:val="nil"/>
              <w:right w:val="nil"/>
            </w:tcBorders>
            <w:shd w:val="clear" w:color="FFFFFF" w:fill="FFFFFF"/>
            <w:vAlign w:val="bottom"/>
            <w:hideMark/>
          </w:tcPr>
          <w:p w14:paraId="73A3A2B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67A626C3"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6C29F069"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FF8E9BA"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2B2B4888"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68A599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749B6A3D"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57101A74" w14:textId="77777777">
        <w:trPr>
          <w:trHeight w:val="250"/>
        </w:trPr>
        <w:tc>
          <w:tcPr>
            <w:tcW w:w="4164" w:type="dxa"/>
            <w:tcBorders>
              <w:top w:val="nil"/>
              <w:left w:val="nil"/>
              <w:bottom w:val="nil"/>
              <w:right w:val="nil"/>
            </w:tcBorders>
            <w:shd w:val="clear" w:color="FFFFFF" w:fill="FFFFFF"/>
            <w:vAlign w:val="bottom"/>
            <w:hideMark/>
          </w:tcPr>
          <w:p w14:paraId="1BE2F9AD"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(cost of)/contribution by services</w:t>
            </w:r>
          </w:p>
        </w:tc>
        <w:tc>
          <w:tcPr>
            <w:tcW w:w="961" w:type="dxa"/>
            <w:tcBorders>
              <w:top w:val="nil"/>
              <w:left w:val="nil"/>
              <w:bottom w:val="nil"/>
              <w:right w:val="nil"/>
            </w:tcBorders>
            <w:shd w:val="clear" w:color="FFFFFF" w:fill="FFFFFF"/>
            <w:noWrap/>
            <w:vAlign w:val="bottom"/>
            <w:hideMark/>
          </w:tcPr>
          <w:p w14:paraId="6D912787"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74A66365"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(1,430,472)</w:t>
            </w:r>
          </w:p>
        </w:tc>
        <w:tc>
          <w:tcPr>
            <w:tcW w:w="236" w:type="dxa"/>
            <w:tcBorders>
              <w:top w:val="nil"/>
              <w:left w:val="nil"/>
              <w:bottom w:val="nil"/>
              <w:right w:val="nil"/>
            </w:tcBorders>
            <w:shd w:val="clear" w:color="FFFFFF" w:fill="FFFFFF"/>
            <w:noWrap/>
            <w:vAlign w:val="bottom"/>
            <w:hideMark/>
          </w:tcPr>
          <w:p w14:paraId="2E40158D"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6B877F70"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(990,229)</w:t>
            </w:r>
          </w:p>
        </w:tc>
        <w:tc>
          <w:tcPr>
            <w:tcW w:w="236" w:type="dxa"/>
            <w:tcBorders>
              <w:top w:val="nil"/>
              <w:left w:val="nil"/>
              <w:bottom w:val="nil"/>
              <w:right w:val="nil"/>
            </w:tcBorders>
            <w:shd w:val="clear" w:color="FFFFFF" w:fill="FFFFFF"/>
            <w:noWrap/>
            <w:vAlign w:val="bottom"/>
            <w:hideMark/>
          </w:tcPr>
          <w:p w14:paraId="4830D4E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1463E335"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(1,568,309)</w:t>
            </w:r>
          </w:p>
        </w:tc>
      </w:tr>
      <w:tr w:rsidR="006165BC" w:rsidRPr="007C747A" w14:paraId="7169BA77" w14:textId="77777777">
        <w:trPr>
          <w:trHeight w:val="250"/>
        </w:trPr>
        <w:tc>
          <w:tcPr>
            <w:tcW w:w="4164" w:type="dxa"/>
            <w:tcBorders>
              <w:top w:val="nil"/>
              <w:left w:val="nil"/>
              <w:bottom w:val="nil"/>
              <w:right w:val="nil"/>
            </w:tcBorders>
            <w:shd w:val="clear" w:color="FFFFFF" w:fill="FFFFFF"/>
            <w:vAlign w:val="bottom"/>
            <w:hideMark/>
          </w:tcPr>
          <w:p w14:paraId="1FD3C8CE"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1ACB598F"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06378ACF"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BD4E21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0F283B7"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2B3EAE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4B46AD0D"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6DE9BBD2" w14:textId="77777777">
        <w:trPr>
          <w:trHeight w:val="250"/>
        </w:trPr>
        <w:tc>
          <w:tcPr>
            <w:tcW w:w="4164" w:type="dxa"/>
            <w:tcBorders>
              <w:top w:val="nil"/>
              <w:left w:val="nil"/>
              <w:bottom w:val="nil"/>
              <w:right w:val="nil"/>
            </w:tcBorders>
            <w:shd w:val="clear" w:color="FFFFFF" w:fill="FFFFFF"/>
            <w:vAlign w:val="bottom"/>
            <w:hideMark/>
          </w:tcPr>
          <w:p w14:paraId="002369E9"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Revenue from Government</w:t>
            </w:r>
          </w:p>
        </w:tc>
        <w:tc>
          <w:tcPr>
            <w:tcW w:w="961" w:type="dxa"/>
            <w:tcBorders>
              <w:top w:val="nil"/>
              <w:left w:val="nil"/>
              <w:bottom w:val="nil"/>
              <w:right w:val="nil"/>
            </w:tcBorders>
            <w:shd w:val="clear" w:color="FFFFFF" w:fill="FFFFFF"/>
            <w:noWrap/>
            <w:vAlign w:val="bottom"/>
            <w:hideMark/>
          </w:tcPr>
          <w:p w14:paraId="69A2BABA"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22E25C6C"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1,445,361</w:t>
            </w:r>
          </w:p>
        </w:tc>
        <w:tc>
          <w:tcPr>
            <w:tcW w:w="236" w:type="dxa"/>
            <w:tcBorders>
              <w:top w:val="nil"/>
              <w:left w:val="nil"/>
              <w:bottom w:val="nil"/>
              <w:right w:val="nil"/>
            </w:tcBorders>
            <w:shd w:val="clear" w:color="FFFFFF" w:fill="FFFFFF"/>
            <w:noWrap/>
            <w:vAlign w:val="bottom"/>
            <w:hideMark/>
          </w:tcPr>
          <w:p w14:paraId="61005DD8"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661D13AA"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1,263,386</w:t>
            </w:r>
          </w:p>
        </w:tc>
        <w:tc>
          <w:tcPr>
            <w:tcW w:w="236" w:type="dxa"/>
            <w:tcBorders>
              <w:top w:val="nil"/>
              <w:left w:val="nil"/>
              <w:bottom w:val="nil"/>
              <w:right w:val="nil"/>
            </w:tcBorders>
            <w:shd w:val="clear" w:color="FFFFFF" w:fill="FFFFFF"/>
            <w:noWrap/>
            <w:vAlign w:val="bottom"/>
            <w:hideMark/>
          </w:tcPr>
          <w:p w14:paraId="048845B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7AE63E1C"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1,445,361</w:t>
            </w:r>
          </w:p>
        </w:tc>
      </w:tr>
      <w:tr w:rsidR="006165BC" w:rsidRPr="007C747A" w14:paraId="21D15073" w14:textId="77777777">
        <w:trPr>
          <w:trHeight w:val="250"/>
        </w:trPr>
        <w:tc>
          <w:tcPr>
            <w:tcW w:w="4164" w:type="dxa"/>
            <w:tcBorders>
              <w:top w:val="nil"/>
              <w:left w:val="nil"/>
              <w:bottom w:val="nil"/>
              <w:right w:val="nil"/>
            </w:tcBorders>
            <w:shd w:val="clear" w:color="FFFFFF" w:fill="FFFFFF"/>
            <w:vAlign w:val="bottom"/>
            <w:hideMark/>
          </w:tcPr>
          <w:p w14:paraId="3AD746AC"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Surplus/(Deficit) </w:t>
            </w:r>
          </w:p>
        </w:tc>
        <w:tc>
          <w:tcPr>
            <w:tcW w:w="961" w:type="dxa"/>
            <w:tcBorders>
              <w:top w:val="nil"/>
              <w:left w:val="nil"/>
              <w:bottom w:val="nil"/>
              <w:right w:val="nil"/>
            </w:tcBorders>
            <w:shd w:val="clear" w:color="FFFFFF" w:fill="FFFFFF"/>
            <w:noWrap/>
            <w:vAlign w:val="bottom"/>
            <w:hideMark/>
          </w:tcPr>
          <w:p w14:paraId="6FBF172A"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10E88891"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14,889</w:t>
            </w:r>
          </w:p>
        </w:tc>
        <w:tc>
          <w:tcPr>
            <w:tcW w:w="236" w:type="dxa"/>
            <w:tcBorders>
              <w:top w:val="nil"/>
              <w:left w:val="nil"/>
              <w:bottom w:val="nil"/>
              <w:right w:val="nil"/>
            </w:tcBorders>
            <w:shd w:val="clear" w:color="FFFFFF" w:fill="FFFFFF"/>
            <w:noWrap/>
            <w:vAlign w:val="bottom"/>
            <w:hideMark/>
          </w:tcPr>
          <w:p w14:paraId="43CBE224"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7FAF5325"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273,157</w:t>
            </w:r>
          </w:p>
        </w:tc>
        <w:tc>
          <w:tcPr>
            <w:tcW w:w="236" w:type="dxa"/>
            <w:tcBorders>
              <w:top w:val="nil"/>
              <w:left w:val="nil"/>
              <w:bottom w:val="nil"/>
              <w:right w:val="nil"/>
            </w:tcBorders>
            <w:shd w:val="clear" w:color="FFFFFF" w:fill="FFFFFF"/>
            <w:noWrap/>
            <w:vAlign w:val="bottom"/>
            <w:hideMark/>
          </w:tcPr>
          <w:p w14:paraId="0415AB0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4E4E02E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(122,948)</w:t>
            </w:r>
          </w:p>
        </w:tc>
      </w:tr>
      <w:tr w:rsidR="006165BC" w:rsidRPr="007C747A" w14:paraId="3D470B2D" w14:textId="77777777">
        <w:trPr>
          <w:trHeight w:val="250"/>
        </w:trPr>
        <w:tc>
          <w:tcPr>
            <w:tcW w:w="4164" w:type="dxa"/>
            <w:tcBorders>
              <w:top w:val="nil"/>
              <w:left w:val="nil"/>
              <w:bottom w:val="nil"/>
              <w:right w:val="nil"/>
            </w:tcBorders>
            <w:shd w:val="clear" w:color="FFFFFF" w:fill="FFFFFF"/>
            <w:vAlign w:val="bottom"/>
            <w:hideMark/>
          </w:tcPr>
          <w:p w14:paraId="76081607"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2F420AF9"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13ABB2D3"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CF7FD4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10BB6DB9"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16D142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0AAA349"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51BC3009" w14:textId="77777777">
        <w:trPr>
          <w:trHeight w:val="250"/>
        </w:trPr>
        <w:tc>
          <w:tcPr>
            <w:tcW w:w="4164" w:type="dxa"/>
            <w:tcBorders>
              <w:top w:val="nil"/>
              <w:left w:val="nil"/>
              <w:bottom w:val="nil"/>
              <w:right w:val="nil"/>
            </w:tcBorders>
            <w:shd w:val="clear" w:color="FFFFFF" w:fill="FFFFFF"/>
            <w:vAlign w:val="bottom"/>
            <w:hideMark/>
          </w:tcPr>
          <w:p w14:paraId="6984929D"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OTHER COMPREHENSIVE INCOME</w:t>
            </w:r>
          </w:p>
        </w:tc>
        <w:tc>
          <w:tcPr>
            <w:tcW w:w="961" w:type="dxa"/>
            <w:tcBorders>
              <w:top w:val="nil"/>
              <w:left w:val="nil"/>
              <w:bottom w:val="nil"/>
              <w:right w:val="nil"/>
            </w:tcBorders>
            <w:shd w:val="clear" w:color="FFFFFF" w:fill="FFFFFF"/>
            <w:noWrap/>
            <w:vAlign w:val="bottom"/>
            <w:hideMark/>
          </w:tcPr>
          <w:p w14:paraId="1DF98600"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0896763C"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F42932C"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0814BB61"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E653B27"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2C9B0283"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0A2760F2" w14:textId="77777777">
        <w:trPr>
          <w:trHeight w:val="460"/>
        </w:trPr>
        <w:tc>
          <w:tcPr>
            <w:tcW w:w="4164" w:type="dxa"/>
            <w:tcBorders>
              <w:top w:val="nil"/>
              <w:left w:val="nil"/>
              <w:bottom w:val="nil"/>
              <w:right w:val="nil"/>
            </w:tcBorders>
            <w:shd w:val="clear" w:color="FFFFFF" w:fill="FFFFFF"/>
            <w:vAlign w:val="bottom"/>
            <w:hideMark/>
          </w:tcPr>
          <w:p w14:paraId="3B8B97F2"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Items not subject to subsequent reclassification to net cost of services</w:t>
            </w:r>
          </w:p>
        </w:tc>
        <w:tc>
          <w:tcPr>
            <w:tcW w:w="961" w:type="dxa"/>
            <w:tcBorders>
              <w:top w:val="nil"/>
              <w:left w:val="nil"/>
              <w:bottom w:val="nil"/>
              <w:right w:val="nil"/>
            </w:tcBorders>
            <w:shd w:val="clear" w:color="FFFFFF" w:fill="FFFFFF"/>
            <w:noWrap/>
            <w:vAlign w:val="bottom"/>
            <w:hideMark/>
          </w:tcPr>
          <w:p w14:paraId="7550EE1C"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3CCBA826"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BFE9CEF"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21D76294"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EED9504"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B7A9EB5"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74644A64" w14:textId="77777777">
        <w:trPr>
          <w:trHeight w:val="250"/>
        </w:trPr>
        <w:tc>
          <w:tcPr>
            <w:tcW w:w="4164" w:type="dxa"/>
            <w:tcBorders>
              <w:top w:val="nil"/>
              <w:left w:val="nil"/>
              <w:bottom w:val="nil"/>
              <w:right w:val="nil"/>
            </w:tcBorders>
            <w:shd w:val="clear" w:color="FFFFFF" w:fill="FFFFFF"/>
            <w:vAlign w:val="bottom"/>
            <w:hideMark/>
          </w:tcPr>
          <w:p w14:paraId="23BED991" w14:textId="77777777" w:rsidR="006165BC" w:rsidRPr="007C747A" w:rsidRDefault="006165BC" w:rsidP="006165BC">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Changes in asset revaluation reserve</w:t>
            </w:r>
          </w:p>
        </w:tc>
        <w:tc>
          <w:tcPr>
            <w:tcW w:w="961" w:type="dxa"/>
            <w:tcBorders>
              <w:top w:val="nil"/>
              <w:left w:val="nil"/>
              <w:bottom w:val="nil"/>
              <w:right w:val="nil"/>
            </w:tcBorders>
            <w:shd w:val="clear" w:color="FFFFFF" w:fill="FFFFFF"/>
            <w:noWrap/>
            <w:vAlign w:val="bottom"/>
            <w:hideMark/>
          </w:tcPr>
          <w:p w14:paraId="6BAD453F"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71467D37"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c>
          <w:tcPr>
            <w:tcW w:w="236" w:type="dxa"/>
            <w:tcBorders>
              <w:top w:val="nil"/>
              <w:left w:val="nil"/>
              <w:bottom w:val="nil"/>
              <w:right w:val="nil"/>
            </w:tcBorders>
            <w:shd w:val="clear" w:color="FFFFFF" w:fill="FFFFFF"/>
            <w:noWrap/>
            <w:vAlign w:val="bottom"/>
            <w:hideMark/>
          </w:tcPr>
          <w:p w14:paraId="383EA696"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568988D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(1,058)</w:t>
            </w:r>
          </w:p>
        </w:tc>
        <w:tc>
          <w:tcPr>
            <w:tcW w:w="236" w:type="dxa"/>
            <w:tcBorders>
              <w:top w:val="nil"/>
              <w:left w:val="nil"/>
              <w:bottom w:val="nil"/>
              <w:right w:val="nil"/>
            </w:tcBorders>
            <w:shd w:val="clear" w:color="FFFFFF" w:fill="FFFFFF"/>
            <w:noWrap/>
            <w:vAlign w:val="bottom"/>
            <w:hideMark/>
          </w:tcPr>
          <w:p w14:paraId="7554148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35A41FCA"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6165BC" w:rsidRPr="007C747A" w14:paraId="1D782E91" w14:textId="77777777">
        <w:trPr>
          <w:trHeight w:val="250"/>
        </w:trPr>
        <w:tc>
          <w:tcPr>
            <w:tcW w:w="4164" w:type="dxa"/>
            <w:tcBorders>
              <w:top w:val="nil"/>
              <w:left w:val="nil"/>
              <w:bottom w:val="nil"/>
              <w:right w:val="nil"/>
            </w:tcBorders>
            <w:shd w:val="clear" w:color="FFFFFF" w:fill="FFFFFF"/>
            <w:vAlign w:val="bottom"/>
            <w:hideMark/>
          </w:tcPr>
          <w:p w14:paraId="4686DF81"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other comprehensive income</w:t>
            </w:r>
          </w:p>
        </w:tc>
        <w:tc>
          <w:tcPr>
            <w:tcW w:w="961" w:type="dxa"/>
            <w:tcBorders>
              <w:top w:val="nil"/>
              <w:left w:val="nil"/>
              <w:bottom w:val="nil"/>
              <w:right w:val="nil"/>
            </w:tcBorders>
            <w:shd w:val="clear" w:color="FFFFFF" w:fill="FFFFFF"/>
            <w:noWrap/>
            <w:vAlign w:val="bottom"/>
            <w:hideMark/>
          </w:tcPr>
          <w:p w14:paraId="3F393766"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110F0E3D"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c>
          <w:tcPr>
            <w:tcW w:w="236" w:type="dxa"/>
            <w:tcBorders>
              <w:top w:val="nil"/>
              <w:left w:val="nil"/>
              <w:bottom w:val="nil"/>
              <w:right w:val="nil"/>
            </w:tcBorders>
            <w:shd w:val="clear" w:color="FFFFFF" w:fill="FFFFFF"/>
            <w:noWrap/>
            <w:vAlign w:val="bottom"/>
            <w:hideMark/>
          </w:tcPr>
          <w:p w14:paraId="09A1E6E5"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2323A387"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(1,058)</w:t>
            </w:r>
          </w:p>
        </w:tc>
        <w:tc>
          <w:tcPr>
            <w:tcW w:w="236" w:type="dxa"/>
            <w:tcBorders>
              <w:top w:val="nil"/>
              <w:left w:val="nil"/>
              <w:bottom w:val="nil"/>
              <w:right w:val="nil"/>
            </w:tcBorders>
            <w:shd w:val="clear" w:color="FFFFFF" w:fill="FFFFFF"/>
            <w:noWrap/>
            <w:vAlign w:val="bottom"/>
            <w:hideMark/>
          </w:tcPr>
          <w:p w14:paraId="29453EB2"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60830588"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6165BC" w:rsidRPr="007C747A" w14:paraId="39F9BF74" w14:textId="77777777">
        <w:trPr>
          <w:trHeight w:val="250"/>
        </w:trPr>
        <w:tc>
          <w:tcPr>
            <w:tcW w:w="4164" w:type="dxa"/>
            <w:tcBorders>
              <w:top w:val="nil"/>
              <w:left w:val="nil"/>
              <w:bottom w:val="nil"/>
              <w:right w:val="nil"/>
            </w:tcBorders>
            <w:shd w:val="clear" w:color="FFFFFF" w:fill="FFFFFF"/>
            <w:vAlign w:val="bottom"/>
            <w:hideMark/>
          </w:tcPr>
          <w:p w14:paraId="269F2354"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961" w:type="dxa"/>
            <w:tcBorders>
              <w:top w:val="nil"/>
              <w:left w:val="nil"/>
              <w:bottom w:val="nil"/>
              <w:right w:val="nil"/>
            </w:tcBorders>
            <w:shd w:val="clear" w:color="FFFFFF" w:fill="FFFFFF"/>
            <w:noWrap/>
            <w:vAlign w:val="bottom"/>
            <w:hideMark/>
          </w:tcPr>
          <w:p w14:paraId="421B1F43"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nil"/>
              <w:left w:val="nil"/>
              <w:bottom w:val="nil"/>
              <w:right w:val="nil"/>
            </w:tcBorders>
            <w:shd w:val="clear" w:color="FFFFFF" w:fill="FFFFFF"/>
            <w:noWrap/>
            <w:vAlign w:val="bottom"/>
            <w:hideMark/>
          </w:tcPr>
          <w:p w14:paraId="258B2DB3"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764F621"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nil"/>
              <w:left w:val="nil"/>
              <w:bottom w:val="nil"/>
              <w:right w:val="nil"/>
            </w:tcBorders>
            <w:shd w:val="clear" w:color="FFFFFF" w:fill="FFFFFF"/>
            <w:noWrap/>
            <w:vAlign w:val="bottom"/>
            <w:hideMark/>
          </w:tcPr>
          <w:p w14:paraId="2743427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A5A3123"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nil"/>
              <w:left w:val="nil"/>
              <w:bottom w:val="nil"/>
              <w:right w:val="nil"/>
            </w:tcBorders>
            <w:shd w:val="clear" w:color="FFFFFF" w:fill="FFFFFF"/>
            <w:noWrap/>
            <w:vAlign w:val="bottom"/>
            <w:hideMark/>
          </w:tcPr>
          <w:p w14:paraId="511BFE5B"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6165BC" w:rsidRPr="007C747A" w14:paraId="5F216C93" w14:textId="77777777">
        <w:trPr>
          <w:trHeight w:val="250"/>
        </w:trPr>
        <w:tc>
          <w:tcPr>
            <w:tcW w:w="4164" w:type="dxa"/>
            <w:tcBorders>
              <w:top w:val="nil"/>
              <w:left w:val="nil"/>
              <w:bottom w:val="nil"/>
              <w:right w:val="nil"/>
            </w:tcBorders>
            <w:shd w:val="clear" w:color="FFFFFF" w:fill="FFFFFF"/>
            <w:vAlign w:val="bottom"/>
            <w:hideMark/>
          </w:tcPr>
          <w:p w14:paraId="3D32892D" w14:textId="77777777" w:rsidR="006165BC" w:rsidRPr="007C747A" w:rsidRDefault="006165BC" w:rsidP="006165BC">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comprehensive income/(loss)</w:t>
            </w:r>
          </w:p>
        </w:tc>
        <w:tc>
          <w:tcPr>
            <w:tcW w:w="961" w:type="dxa"/>
            <w:tcBorders>
              <w:top w:val="nil"/>
              <w:left w:val="nil"/>
              <w:bottom w:val="nil"/>
              <w:right w:val="nil"/>
            </w:tcBorders>
            <w:shd w:val="clear" w:color="FFFFFF" w:fill="FFFFFF"/>
            <w:noWrap/>
            <w:vAlign w:val="bottom"/>
            <w:hideMark/>
          </w:tcPr>
          <w:p w14:paraId="56C55A7D" w14:textId="77777777" w:rsidR="006165BC" w:rsidRPr="007C747A" w:rsidRDefault="006165BC" w:rsidP="006165BC">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130" w:type="dxa"/>
            <w:tcBorders>
              <w:top w:val="single" w:sz="4" w:space="0" w:color="auto"/>
              <w:left w:val="nil"/>
              <w:bottom w:val="single" w:sz="4" w:space="0" w:color="auto"/>
              <w:right w:val="nil"/>
            </w:tcBorders>
            <w:shd w:val="clear" w:color="FFFFFF" w:fill="FFFFFF"/>
            <w:noWrap/>
            <w:vAlign w:val="bottom"/>
            <w:hideMark/>
          </w:tcPr>
          <w:p w14:paraId="6C2D50C3" w14:textId="77777777" w:rsidR="006165BC" w:rsidRPr="007C747A" w:rsidRDefault="006165BC" w:rsidP="006165BC">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32,174</w:t>
            </w:r>
          </w:p>
        </w:tc>
        <w:tc>
          <w:tcPr>
            <w:tcW w:w="236" w:type="dxa"/>
            <w:tcBorders>
              <w:top w:val="nil"/>
              <w:left w:val="nil"/>
              <w:bottom w:val="nil"/>
              <w:right w:val="nil"/>
            </w:tcBorders>
            <w:shd w:val="clear" w:color="FFFFFF" w:fill="FFFFFF"/>
            <w:noWrap/>
            <w:vAlign w:val="bottom"/>
            <w:hideMark/>
          </w:tcPr>
          <w:p w14:paraId="21804380"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7" w:type="dxa"/>
            <w:tcBorders>
              <w:top w:val="single" w:sz="4" w:space="0" w:color="auto"/>
              <w:left w:val="nil"/>
              <w:bottom w:val="single" w:sz="4" w:space="0" w:color="auto"/>
              <w:right w:val="nil"/>
            </w:tcBorders>
            <w:shd w:val="clear" w:color="FFFFFF" w:fill="FFFFFF"/>
            <w:noWrap/>
            <w:vAlign w:val="bottom"/>
            <w:hideMark/>
          </w:tcPr>
          <w:p w14:paraId="50AA4650"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272,099</w:t>
            </w:r>
          </w:p>
        </w:tc>
        <w:tc>
          <w:tcPr>
            <w:tcW w:w="236" w:type="dxa"/>
            <w:tcBorders>
              <w:top w:val="nil"/>
              <w:left w:val="nil"/>
              <w:bottom w:val="nil"/>
              <w:right w:val="nil"/>
            </w:tcBorders>
            <w:shd w:val="clear" w:color="FFFFFF" w:fill="FFFFFF"/>
            <w:noWrap/>
            <w:vAlign w:val="bottom"/>
            <w:hideMark/>
          </w:tcPr>
          <w:p w14:paraId="2F584979" w14:textId="77777777" w:rsidR="006165BC" w:rsidRPr="007C747A" w:rsidRDefault="006165BC" w:rsidP="006165BC">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33" w:type="dxa"/>
            <w:tcBorders>
              <w:top w:val="single" w:sz="4" w:space="0" w:color="auto"/>
              <w:left w:val="nil"/>
              <w:bottom w:val="single" w:sz="4" w:space="0" w:color="auto"/>
              <w:right w:val="nil"/>
            </w:tcBorders>
            <w:shd w:val="clear" w:color="FFFFFF" w:fill="FFFFFF"/>
            <w:noWrap/>
            <w:vAlign w:val="bottom"/>
            <w:hideMark/>
          </w:tcPr>
          <w:p w14:paraId="69077BB3" w14:textId="77777777" w:rsidR="006165BC" w:rsidRPr="007C747A" w:rsidRDefault="006165BC" w:rsidP="006165BC">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(122,948)</w:t>
            </w:r>
          </w:p>
        </w:tc>
      </w:tr>
    </w:tbl>
    <w:p w14:paraId="251D06AE" w14:textId="77777777" w:rsidR="004244BB" w:rsidRPr="007C747A" w:rsidRDefault="004244BB" w:rsidP="00F2518A">
      <w:pPr>
        <w:spacing w:after="120" w:line="120" w:lineRule="atLeast"/>
        <w:rPr>
          <w:rFonts w:eastAsia="Times New Roman" w:cs="Arial"/>
          <w:b/>
          <w:bCs/>
          <w:sz w:val="18"/>
          <w:szCs w:val="18"/>
          <w:lang w:val="en-AU" w:eastAsia="en-US"/>
        </w:rPr>
      </w:pPr>
    </w:p>
    <w:p w14:paraId="1434256D" w14:textId="77777777" w:rsidR="00652885" w:rsidRPr="007C747A" w:rsidRDefault="00652885" w:rsidP="00652885">
      <w:pPr>
        <w:spacing w:after="0" w:line="240" w:lineRule="auto"/>
        <w:rPr>
          <w:rFonts w:eastAsia="Times New Roman"/>
          <w:sz w:val="18"/>
          <w:szCs w:val="20"/>
          <w:lang w:val="en-AU" w:eastAsia="en-AU"/>
        </w:rPr>
      </w:pPr>
      <w:r w:rsidRPr="007C747A">
        <w:rPr>
          <w:rFonts w:eastAsia="Times New Roman"/>
          <w:sz w:val="18"/>
          <w:szCs w:val="20"/>
          <w:lang w:val="en-AU" w:eastAsia="en-AU"/>
        </w:rPr>
        <w:t>The above statement should be read in conjunction with the accompanying notes.</w:t>
      </w:r>
    </w:p>
    <w:p w14:paraId="2F8C84B7" w14:textId="77777777" w:rsidR="00652885" w:rsidRPr="007C747A" w:rsidRDefault="00652885" w:rsidP="00652885">
      <w:pPr>
        <w:spacing w:after="0" w:line="240" w:lineRule="auto"/>
        <w:rPr>
          <w:rFonts w:eastAsia="Times New Roman"/>
          <w:sz w:val="18"/>
          <w:szCs w:val="20"/>
          <w:lang w:val="en-AU" w:eastAsia="en-AU"/>
        </w:rPr>
      </w:pPr>
      <w:r w:rsidRPr="007C747A">
        <w:rPr>
          <w:rFonts w:eastAsia="Times New Roman"/>
          <w:sz w:val="18"/>
          <w:szCs w:val="20"/>
          <w:vertAlign w:val="superscript"/>
          <w:lang w:val="en-AU" w:eastAsia="en-AU"/>
        </w:rPr>
        <w:t xml:space="preserve">1 </w:t>
      </w:r>
      <w:r w:rsidRPr="007C747A">
        <w:rPr>
          <w:rFonts w:eastAsia="Times New Roman"/>
          <w:sz w:val="18"/>
          <w:szCs w:val="20"/>
          <w:lang w:val="en-AU" w:eastAsia="en-AU"/>
        </w:rPr>
        <w:t xml:space="preserve">Original Budget refers to the figures published in the Portfolio Budget Statements </w:t>
      </w:r>
      <w:r w:rsidRPr="007C747A">
        <w:rPr>
          <w:rFonts w:eastAsia="Times New Roman"/>
          <w:sz w:val="18"/>
          <w:szCs w:val="20"/>
          <w:lang w:val="en-AU" w:eastAsia="en-AU"/>
        </w:rPr>
        <w:fldChar w:fldCharType="begin"/>
      </w:r>
      <w:r w:rsidRPr="007C747A">
        <w:rPr>
          <w:rFonts w:eastAsia="Times New Roman"/>
          <w:sz w:val="18"/>
          <w:szCs w:val="20"/>
          <w:lang w:val="en-AU" w:eastAsia="en-AU"/>
        </w:rPr>
        <w:instrText xml:space="preserve"> DOCPROPERTY  prYear  \* MERGEFORMAT </w:instrText>
      </w:r>
      <w:r w:rsidRPr="007C747A">
        <w:rPr>
          <w:rFonts w:eastAsia="Times New Roman"/>
          <w:sz w:val="18"/>
          <w:szCs w:val="20"/>
          <w:lang w:val="en-AU" w:eastAsia="en-AU"/>
        </w:rPr>
        <w:fldChar w:fldCharType="separate"/>
      </w:r>
      <w:r w:rsidRPr="007C747A">
        <w:rPr>
          <w:rFonts w:eastAsia="Times New Roman"/>
          <w:sz w:val="18"/>
          <w:szCs w:val="20"/>
          <w:lang w:val="en-AU" w:eastAsia="en-AU"/>
        </w:rPr>
        <w:t>2022</w:t>
      </w:r>
      <w:r w:rsidRPr="007C747A">
        <w:rPr>
          <w:rFonts w:eastAsia="Times New Roman"/>
          <w:sz w:val="18"/>
          <w:szCs w:val="20"/>
          <w:lang w:val="en-AU" w:eastAsia="en-AU"/>
        </w:rPr>
        <w:fldChar w:fldCharType="end"/>
      </w:r>
      <w:r w:rsidRPr="007C747A">
        <w:rPr>
          <w:rFonts w:eastAsia="Times New Roman"/>
          <w:sz w:val="18"/>
          <w:szCs w:val="20"/>
          <w:lang w:val="en-AU" w:eastAsia="en-AU"/>
        </w:rPr>
        <w:t>-23, tabled 25 October 2022.</w:t>
      </w:r>
    </w:p>
    <w:p w14:paraId="6B84C542" w14:textId="6B1261EB" w:rsidR="006F1AB2" w:rsidRPr="007C747A" w:rsidRDefault="006F1AB2">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br w:type="page"/>
      </w:r>
    </w:p>
    <w:p w14:paraId="3B437253" w14:textId="77777777" w:rsidR="00652885" w:rsidRPr="007C747A" w:rsidRDefault="00652885" w:rsidP="00F2518A">
      <w:pPr>
        <w:spacing w:after="120" w:line="120" w:lineRule="atLeast"/>
        <w:rPr>
          <w:rFonts w:eastAsia="Times New Roman" w:cs="Arial"/>
          <w:b/>
          <w:bCs/>
          <w:sz w:val="18"/>
          <w:szCs w:val="18"/>
          <w:lang w:val="en-AU" w:eastAsia="en-US"/>
        </w:rPr>
      </w:pPr>
    </w:p>
    <w:p w14:paraId="31B3C334" w14:textId="3D6F2254" w:rsidR="00F2518A" w:rsidRPr="007C747A" w:rsidRDefault="00F2518A" w:rsidP="00F2518A">
      <w:pPr>
        <w:spacing w:after="120" w:line="120" w:lineRule="atLeast"/>
        <w:rPr>
          <w:rFonts w:eastAsia="Times New Roman" w:cs="Arial"/>
          <w:b/>
          <w:bCs/>
          <w:color w:val="FF0000"/>
          <w:sz w:val="18"/>
          <w:szCs w:val="18"/>
          <w:lang w:val="en-AU" w:eastAsia="en-US"/>
        </w:rPr>
      </w:pPr>
      <w:r w:rsidRPr="007C747A">
        <w:rPr>
          <w:rFonts w:eastAsia="Times New Roman" w:cs="Arial"/>
          <w:b/>
          <w:bCs/>
          <w:sz w:val="18"/>
          <w:szCs w:val="18"/>
          <w:lang w:val="en-AU" w:eastAsia="en-US"/>
        </w:rPr>
        <w:t xml:space="preserve">Budget Variances Commentary </w:t>
      </w:r>
    </w:p>
    <w:p w14:paraId="58545EE2"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Statement of Comprehensive Income</w:t>
      </w:r>
    </w:p>
    <w:p w14:paraId="37C8D866" w14:textId="77777777" w:rsidR="00F2518A" w:rsidRPr="007C747A" w:rsidRDefault="00F2518A" w:rsidP="00F2518A">
      <w:pPr>
        <w:spacing w:before="100" w:beforeAutospacing="1" w:after="120" w:line="240" w:lineRule="auto"/>
        <w:rPr>
          <w:rFonts w:eastAsia="Times New Roman" w:cs="Arial"/>
          <w:sz w:val="18"/>
          <w:szCs w:val="18"/>
          <w:lang w:val="en-AU" w:eastAsia="en-AU"/>
        </w:rPr>
      </w:pPr>
      <w:r w:rsidRPr="007C747A">
        <w:rPr>
          <w:rFonts w:eastAsia="Times New Roman" w:cs="Arial"/>
          <w:sz w:val="18"/>
          <w:szCs w:val="18"/>
          <w:lang w:val="en-AU" w:eastAsia="en-AU"/>
        </w:rPr>
        <w:t>The following major variance explanations between the Original Budget as presented in the October 2022 Portfolio Budget Statements and the 2022–23 financial statements are presented in accordance with Australian Accounting Standards. The 2022-23 Portfolio Budget Statements contain the original financial statements’ budget estimates presented to Parliament in respect of the 2022–23 financial year. The information presented below should be read in the context of the following:</w:t>
      </w:r>
    </w:p>
    <w:p w14:paraId="2F2281CB" w14:textId="77777777" w:rsidR="00F2518A" w:rsidRPr="007C747A" w:rsidRDefault="00F2518A" w:rsidP="00F2518A">
      <w:pPr>
        <w:spacing w:before="100" w:beforeAutospacing="1" w:after="120" w:line="240" w:lineRule="auto"/>
        <w:rPr>
          <w:rFonts w:eastAsia="Times New Roman" w:cs="Arial"/>
          <w:sz w:val="18"/>
          <w:szCs w:val="18"/>
          <w:lang w:val="en-AU" w:eastAsia="en-AU"/>
        </w:rPr>
      </w:pPr>
      <w:r w:rsidRPr="007C747A">
        <w:rPr>
          <w:rFonts w:eastAsia="Times New Roman" w:cs="Arial"/>
          <w:sz w:val="18"/>
          <w:szCs w:val="18"/>
          <w:lang w:val="en-AU" w:eastAsia="en-AU"/>
        </w:rPr>
        <w:t>· major variances are determined in accordance with Department of Finance guidelines; and</w:t>
      </w:r>
    </w:p>
    <w:p w14:paraId="59DA2030" w14:textId="77777777" w:rsidR="00F2518A" w:rsidRPr="007C747A" w:rsidRDefault="00F2518A" w:rsidP="00F2518A">
      <w:pPr>
        <w:spacing w:before="100" w:beforeAutospacing="1" w:after="120" w:line="240" w:lineRule="auto"/>
        <w:rPr>
          <w:rFonts w:eastAsia="Times New Roman" w:cs="Arial"/>
          <w:sz w:val="18"/>
          <w:szCs w:val="18"/>
          <w:lang w:val="en-AU" w:eastAsia="en-AU"/>
        </w:rPr>
      </w:pPr>
      <w:r w:rsidRPr="007C747A">
        <w:rPr>
          <w:rFonts w:eastAsia="Times New Roman" w:cs="Arial"/>
          <w:sz w:val="18"/>
          <w:szCs w:val="18"/>
          <w:lang w:val="en-AU" w:eastAsia="en-AU"/>
        </w:rPr>
        <w:t>· the Budget is not audited.</w:t>
      </w:r>
    </w:p>
    <w:p w14:paraId="2011AA4E" w14:textId="77777777" w:rsidR="00F2518A" w:rsidRPr="007C747A" w:rsidRDefault="00F2518A" w:rsidP="00F2518A">
      <w:pPr>
        <w:spacing w:after="0" w:line="240" w:lineRule="auto"/>
        <w:rPr>
          <w:rFonts w:eastAsia="Times New Roman"/>
          <w:sz w:val="18"/>
          <w:szCs w:val="20"/>
          <w:lang w:val="en-AU" w:eastAsia="en-AU"/>
        </w:rPr>
      </w:pPr>
    </w:p>
    <w:tbl>
      <w:tblPr>
        <w:tblW w:w="9562" w:type="dxa"/>
        <w:tblLook w:val="04A0" w:firstRow="1" w:lastRow="0" w:firstColumn="1" w:lastColumn="0" w:noHBand="0" w:noVBand="1"/>
      </w:tblPr>
      <w:tblGrid>
        <w:gridCol w:w="4426"/>
        <w:gridCol w:w="5136"/>
      </w:tblGrid>
      <w:tr w:rsidR="00F2518A" w:rsidRPr="007C747A" w14:paraId="18F9F95B" w14:textId="77777777">
        <w:trPr>
          <w:trHeight w:val="273"/>
        </w:trPr>
        <w:tc>
          <w:tcPr>
            <w:tcW w:w="442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0BF3625" w14:textId="77777777" w:rsidR="00F2518A" w:rsidRPr="007C747A" w:rsidRDefault="00F2518A" w:rsidP="00F2518A">
            <w:pPr>
              <w:spacing w:after="0" w:line="240" w:lineRule="auto"/>
              <w:rPr>
                <w:rFonts w:eastAsia="Times New Roman" w:cs="Arial"/>
                <w:b/>
                <w:bCs/>
                <w:color w:val="000000"/>
                <w:sz w:val="18"/>
                <w:szCs w:val="18"/>
                <w:lang w:val="en-AU" w:eastAsia="en-AU"/>
              </w:rPr>
            </w:pPr>
            <w:r w:rsidRPr="007C747A">
              <w:rPr>
                <w:rFonts w:eastAsia="Times New Roman" w:cs="Arial"/>
                <w:b/>
                <w:bCs/>
                <w:color w:val="000000"/>
                <w:sz w:val="18"/>
                <w:szCs w:val="18"/>
                <w:lang w:val="en-AU" w:eastAsia="en-AU"/>
              </w:rPr>
              <w:t>Affected line items</w:t>
            </w:r>
          </w:p>
        </w:tc>
        <w:tc>
          <w:tcPr>
            <w:tcW w:w="5136" w:type="dxa"/>
            <w:tcBorders>
              <w:top w:val="single" w:sz="8" w:space="0" w:color="auto"/>
              <w:left w:val="nil"/>
              <w:bottom w:val="single" w:sz="8" w:space="0" w:color="auto"/>
              <w:right w:val="single" w:sz="8" w:space="0" w:color="auto"/>
            </w:tcBorders>
            <w:shd w:val="clear" w:color="000000" w:fill="FFFFFF"/>
            <w:vAlign w:val="center"/>
            <w:hideMark/>
          </w:tcPr>
          <w:p w14:paraId="228D120B" w14:textId="77777777" w:rsidR="00F2518A" w:rsidRPr="007C747A" w:rsidRDefault="00F2518A" w:rsidP="00F2518A">
            <w:pPr>
              <w:spacing w:after="0" w:line="240" w:lineRule="auto"/>
              <w:rPr>
                <w:rFonts w:eastAsia="Times New Roman" w:cs="Arial"/>
                <w:b/>
                <w:bCs/>
                <w:color w:val="000000"/>
                <w:sz w:val="18"/>
                <w:szCs w:val="18"/>
                <w:lang w:val="en-AU" w:eastAsia="en-AU"/>
              </w:rPr>
            </w:pPr>
            <w:r w:rsidRPr="007C747A">
              <w:rPr>
                <w:rFonts w:eastAsia="Times New Roman" w:cs="Arial"/>
                <w:b/>
                <w:bCs/>
                <w:color w:val="000000"/>
                <w:sz w:val="18"/>
                <w:szCs w:val="18"/>
                <w:lang w:val="en-AU" w:eastAsia="en-AU"/>
              </w:rPr>
              <w:t>Explanations of major variances</w:t>
            </w:r>
          </w:p>
        </w:tc>
      </w:tr>
      <w:tr w:rsidR="00F2518A" w:rsidRPr="007C747A" w14:paraId="21F25B3B" w14:textId="77777777">
        <w:trPr>
          <w:trHeight w:val="177"/>
        </w:trPr>
        <w:tc>
          <w:tcPr>
            <w:tcW w:w="4426" w:type="dxa"/>
            <w:tcBorders>
              <w:top w:val="nil"/>
              <w:left w:val="single" w:sz="8" w:space="0" w:color="auto"/>
              <w:bottom w:val="nil"/>
              <w:right w:val="single" w:sz="8" w:space="0" w:color="auto"/>
            </w:tcBorders>
            <w:shd w:val="clear" w:color="auto" w:fill="auto"/>
            <w:noWrap/>
          </w:tcPr>
          <w:p w14:paraId="48DFC4DE"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Expenses</w:t>
            </w:r>
          </w:p>
          <w:p w14:paraId="4B9043F3" w14:textId="77777777" w:rsidR="00F2518A" w:rsidRPr="007C747A" w:rsidRDefault="00F2518A" w:rsidP="00F2518A">
            <w:pPr>
              <w:spacing w:after="0" w:line="240" w:lineRule="auto"/>
              <w:rPr>
                <w:rFonts w:eastAsia="Times New Roman" w:cs="Arial"/>
                <w:i/>
                <w:iCs/>
                <w:color w:val="000000"/>
                <w:sz w:val="18"/>
                <w:szCs w:val="18"/>
                <w:lang w:val="en-AU" w:eastAsia="en-AU"/>
              </w:rPr>
            </w:pPr>
            <w:r w:rsidRPr="007C747A">
              <w:rPr>
                <w:rFonts w:eastAsia="Times New Roman" w:cs="Arial"/>
                <w:i/>
                <w:iCs/>
                <w:color w:val="000000"/>
                <w:sz w:val="18"/>
                <w:szCs w:val="18"/>
                <w:lang w:val="en-AU" w:eastAsia="en-AU"/>
              </w:rPr>
              <w:t>Employee benefits</w:t>
            </w:r>
          </w:p>
        </w:tc>
        <w:tc>
          <w:tcPr>
            <w:tcW w:w="5136" w:type="dxa"/>
            <w:vMerge w:val="restart"/>
            <w:tcBorders>
              <w:top w:val="nil"/>
              <w:left w:val="single" w:sz="8" w:space="0" w:color="auto"/>
              <w:bottom w:val="single" w:sz="8" w:space="0" w:color="000000"/>
              <w:right w:val="single" w:sz="8" w:space="0" w:color="auto"/>
            </w:tcBorders>
            <w:vAlign w:val="center"/>
            <w:hideMark/>
          </w:tcPr>
          <w:p w14:paraId="788BB02B"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The Agency has employed and retained a higher of level of staff, and experienced lower than expected levels of leave taking.</w:t>
            </w:r>
          </w:p>
        </w:tc>
      </w:tr>
      <w:tr w:rsidR="00F2518A" w:rsidRPr="007C747A" w14:paraId="2D49D4C5" w14:textId="77777777">
        <w:trPr>
          <w:trHeight w:val="303"/>
        </w:trPr>
        <w:tc>
          <w:tcPr>
            <w:tcW w:w="4426" w:type="dxa"/>
            <w:tcBorders>
              <w:top w:val="nil"/>
              <w:left w:val="single" w:sz="8" w:space="0" w:color="auto"/>
              <w:bottom w:val="single" w:sz="8" w:space="0" w:color="auto"/>
              <w:right w:val="single" w:sz="8" w:space="0" w:color="auto"/>
            </w:tcBorders>
            <w:shd w:val="clear" w:color="auto" w:fill="auto"/>
            <w:noWrap/>
            <w:hideMark/>
          </w:tcPr>
          <w:p w14:paraId="69A2B8C7"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 </w:t>
            </w:r>
          </w:p>
        </w:tc>
        <w:tc>
          <w:tcPr>
            <w:tcW w:w="5136" w:type="dxa"/>
            <w:vMerge/>
            <w:tcBorders>
              <w:top w:val="nil"/>
              <w:left w:val="single" w:sz="8" w:space="0" w:color="auto"/>
              <w:bottom w:val="single" w:sz="8" w:space="0" w:color="000000"/>
              <w:right w:val="single" w:sz="8" w:space="0" w:color="auto"/>
            </w:tcBorders>
            <w:vAlign w:val="center"/>
            <w:hideMark/>
          </w:tcPr>
          <w:p w14:paraId="22979C09" w14:textId="77777777" w:rsidR="00F2518A" w:rsidRPr="007C747A" w:rsidRDefault="00F2518A" w:rsidP="00F2518A">
            <w:pPr>
              <w:spacing w:after="0" w:line="240" w:lineRule="auto"/>
              <w:jc w:val="both"/>
              <w:rPr>
                <w:rFonts w:eastAsia="Times New Roman" w:cs="Arial"/>
                <w:color w:val="0D0D0D"/>
                <w:sz w:val="18"/>
                <w:szCs w:val="18"/>
                <w:lang w:val="en-AU" w:eastAsia="en-AU"/>
              </w:rPr>
            </w:pPr>
          </w:p>
        </w:tc>
      </w:tr>
      <w:tr w:rsidR="00F2518A" w:rsidRPr="007C747A" w14:paraId="51339FC9" w14:textId="77777777">
        <w:trPr>
          <w:trHeight w:val="1527"/>
        </w:trPr>
        <w:tc>
          <w:tcPr>
            <w:tcW w:w="4426" w:type="dxa"/>
            <w:tcBorders>
              <w:top w:val="nil"/>
              <w:left w:val="single" w:sz="8" w:space="0" w:color="auto"/>
              <w:bottom w:val="single" w:sz="8" w:space="0" w:color="auto"/>
              <w:right w:val="single" w:sz="8" w:space="0" w:color="auto"/>
            </w:tcBorders>
            <w:shd w:val="clear" w:color="auto" w:fill="auto"/>
            <w:noWrap/>
          </w:tcPr>
          <w:p w14:paraId="047458B2"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Expenses</w:t>
            </w:r>
          </w:p>
          <w:p w14:paraId="7E7B50F1"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Suppliers, Community partnership costs</w:t>
            </w:r>
          </w:p>
        </w:tc>
        <w:tc>
          <w:tcPr>
            <w:tcW w:w="5136" w:type="dxa"/>
            <w:tcBorders>
              <w:top w:val="nil"/>
              <w:left w:val="single" w:sz="8" w:space="0" w:color="auto"/>
              <w:bottom w:val="single" w:sz="8" w:space="0" w:color="000000"/>
              <w:right w:val="single" w:sz="8" w:space="0" w:color="auto"/>
            </w:tcBorders>
            <w:vAlign w:val="center"/>
          </w:tcPr>
          <w:p w14:paraId="5BDD3B2A"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There is no Original Budget allocated against community partnership costs line item.  The Commonwealth Budget process does not allow for the separate reporting of community partnership costs and supplier expenses and these are reported as a combined total against supplier expenses in the Original Budget.  The Agency has split actual expenses to provide greater clarity for users.</w:t>
            </w:r>
          </w:p>
        </w:tc>
      </w:tr>
      <w:tr w:rsidR="00F2518A" w:rsidRPr="007C747A" w14:paraId="1DA983AC" w14:textId="77777777">
        <w:trPr>
          <w:trHeight w:val="698"/>
        </w:trPr>
        <w:tc>
          <w:tcPr>
            <w:tcW w:w="4426" w:type="dxa"/>
            <w:tcBorders>
              <w:top w:val="nil"/>
              <w:left w:val="single" w:sz="8" w:space="0" w:color="auto"/>
              <w:bottom w:val="single" w:sz="8" w:space="0" w:color="auto"/>
              <w:right w:val="single" w:sz="8" w:space="0" w:color="auto"/>
            </w:tcBorders>
            <w:shd w:val="clear" w:color="auto" w:fill="auto"/>
            <w:noWrap/>
          </w:tcPr>
          <w:p w14:paraId="4485C094"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Expenses</w:t>
            </w:r>
          </w:p>
          <w:p w14:paraId="5A39D072"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Participant plan expenses</w:t>
            </w:r>
          </w:p>
        </w:tc>
        <w:tc>
          <w:tcPr>
            <w:tcW w:w="5136" w:type="dxa"/>
            <w:tcBorders>
              <w:top w:val="nil"/>
              <w:left w:val="single" w:sz="8" w:space="0" w:color="auto"/>
              <w:bottom w:val="single" w:sz="8" w:space="0" w:color="000000"/>
              <w:right w:val="single" w:sz="8" w:space="0" w:color="auto"/>
            </w:tcBorders>
            <w:vAlign w:val="center"/>
          </w:tcPr>
          <w:p w14:paraId="76FE87B8"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 xml:space="preserve">The Scheme has continued to experience strong growth in participant plan expenses as more participants join the Scheme than anticipated and average package costs rise. </w:t>
            </w:r>
          </w:p>
        </w:tc>
      </w:tr>
      <w:tr w:rsidR="00F2518A" w:rsidRPr="007C747A" w14:paraId="640958CF" w14:textId="77777777">
        <w:trPr>
          <w:trHeight w:val="539"/>
        </w:trPr>
        <w:tc>
          <w:tcPr>
            <w:tcW w:w="4426" w:type="dxa"/>
            <w:tcBorders>
              <w:top w:val="nil"/>
              <w:left w:val="single" w:sz="8" w:space="0" w:color="auto"/>
              <w:bottom w:val="single" w:sz="8" w:space="0" w:color="auto"/>
              <w:right w:val="single" w:sz="8" w:space="0" w:color="auto"/>
            </w:tcBorders>
            <w:shd w:val="clear" w:color="auto" w:fill="auto"/>
            <w:noWrap/>
          </w:tcPr>
          <w:p w14:paraId="0B2D31A2" w14:textId="77777777" w:rsidR="00F2518A" w:rsidRPr="007C747A" w:rsidRDefault="00F2518A" w:rsidP="00F2518A">
            <w:pPr>
              <w:spacing w:after="0" w:line="240" w:lineRule="auto"/>
              <w:rPr>
                <w:rFonts w:eastAsia="Times New Roman" w:cs="Arial"/>
                <w:i/>
                <w:iCs/>
                <w:color w:val="000000"/>
                <w:sz w:val="18"/>
                <w:szCs w:val="18"/>
                <w:lang w:val="en-AU" w:eastAsia="en-AU"/>
              </w:rPr>
            </w:pPr>
            <w:r w:rsidRPr="007C747A">
              <w:rPr>
                <w:rFonts w:eastAsia="Times New Roman" w:cs="Arial"/>
                <w:color w:val="000000"/>
                <w:sz w:val="18"/>
                <w:szCs w:val="18"/>
                <w:lang w:val="en-AU" w:eastAsia="en-AU"/>
              </w:rPr>
              <w:t>Expenses</w:t>
            </w:r>
            <w:r w:rsidRPr="007C747A">
              <w:rPr>
                <w:rFonts w:eastAsia="Times New Roman" w:cs="Arial"/>
                <w:i/>
                <w:iCs/>
                <w:color w:val="000000"/>
                <w:sz w:val="18"/>
                <w:szCs w:val="18"/>
                <w:lang w:val="en-AU" w:eastAsia="en-AU"/>
              </w:rPr>
              <w:t xml:space="preserve"> </w:t>
            </w:r>
          </w:p>
          <w:p w14:paraId="5FD5C6A7"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Finance Costs</w:t>
            </w:r>
          </w:p>
        </w:tc>
        <w:tc>
          <w:tcPr>
            <w:tcW w:w="5136" w:type="dxa"/>
            <w:tcBorders>
              <w:top w:val="nil"/>
              <w:left w:val="single" w:sz="8" w:space="0" w:color="auto"/>
              <w:bottom w:val="single" w:sz="8" w:space="0" w:color="000000"/>
              <w:right w:val="single" w:sz="8" w:space="0" w:color="auto"/>
            </w:tcBorders>
            <w:vAlign w:val="center"/>
          </w:tcPr>
          <w:p w14:paraId="2732D45A"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Finance costs have reduced as the Agency has consolidated its lease holdings.</w:t>
            </w:r>
          </w:p>
        </w:tc>
      </w:tr>
      <w:tr w:rsidR="00F2518A" w:rsidRPr="007C747A" w14:paraId="6490FE0F" w14:textId="77777777">
        <w:trPr>
          <w:trHeight w:val="1128"/>
        </w:trPr>
        <w:tc>
          <w:tcPr>
            <w:tcW w:w="4426" w:type="dxa"/>
            <w:tcBorders>
              <w:top w:val="nil"/>
              <w:left w:val="single" w:sz="8" w:space="0" w:color="auto"/>
              <w:bottom w:val="single" w:sz="8" w:space="0" w:color="auto"/>
              <w:right w:val="single" w:sz="8" w:space="0" w:color="auto"/>
            </w:tcBorders>
            <w:shd w:val="clear" w:color="auto" w:fill="auto"/>
            <w:noWrap/>
          </w:tcPr>
          <w:p w14:paraId="55A0EE6A"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Own-source revenue</w:t>
            </w:r>
          </w:p>
          <w:p w14:paraId="19E743F5"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Rendering of Services</w:t>
            </w:r>
          </w:p>
        </w:tc>
        <w:tc>
          <w:tcPr>
            <w:tcW w:w="5136" w:type="dxa"/>
            <w:tcBorders>
              <w:top w:val="nil"/>
              <w:left w:val="single" w:sz="8" w:space="0" w:color="auto"/>
              <w:bottom w:val="single" w:sz="8" w:space="0" w:color="000000"/>
              <w:right w:val="single" w:sz="8" w:space="0" w:color="auto"/>
            </w:tcBorders>
            <w:vAlign w:val="center"/>
          </w:tcPr>
          <w:p w14:paraId="5826D39C"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The Scheme has continued to experience strong growth in participant plan expenses as more participants join the Scheme than anticipated and average package costs rise.  Additional funding of $1,123.8m was provided by the Government in Appropriation Act No.3 of 2022-23.</w:t>
            </w:r>
          </w:p>
        </w:tc>
      </w:tr>
      <w:tr w:rsidR="00F2518A" w:rsidRPr="007C747A" w14:paraId="1C98A73D" w14:textId="77777777">
        <w:trPr>
          <w:trHeight w:val="819"/>
        </w:trPr>
        <w:tc>
          <w:tcPr>
            <w:tcW w:w="4426" w:type="dxa"/>
            <w:tcBorders>
              <w:top w:val="nil"/>
              <w:left w:val="single" w:sz="8" w:space="0" w:color="auto"/>
              <w:bottom w:val="single" w:sz="8" w:space="0" w:color="auto"/>
              <w:right w:val="single" w:sz="8" w:space="0" w:color="auto"/>
            </w:tcBorders>
            <w:shd w:val="clear" w:color="auto" w:fill="auto"/>
            <w:noWrap/>
          </w:tcPr>
          <w:p w14:paraId="296F5EFD"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Own-source revenue</w:t>
            </w:r>
          </w:p>
          <w:p w14:paraId="309BEC13"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Other revenue</w:t>
            </w:r>
          </w:p>
        </w:tc>
        <w:tc>
          <w:tcPr>
            <w:tcW w:w="5136" w:type="dxa"/>
            <w:tcBorders>
              <w:top w:val="nil"/>
              <w:left w:val="single" w:sz="8" w:space="0" w:color="auto"/>
              <w:bottom w:val="single" w:sz="8" w:space="0" w:color="000000"/>
              <w:right w:val="single" w:sz="8" w:space="0" w:color="auto"/>
            </w:tcBorders>
            <w:vAlign w:val="center"/>
          </w:tcPr>
          <w:p w14:paraId="68BC5869"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This variance reflects compensation payments received by participants which are recovered by the Scheme for supports provided.</w:t>
            </w:r>
          </w:p>
        </w:tc>
      </w:tr>
      <w:tr w:rsidR="00F2518A" w:rsidRPr="007C747A" w14:paraId="713C20DB" w14:textId="77777777">
        <w:trPr>
          <w:trHeight w:val="547"/>
        </w:trPr>
        <w:tc>
          <w:tcPr>
            <w:tcW w:w="4426" w:type="dxa"/>
            <w:tcBorders>
              <w:top w:val="nil"/>
              <w:left w:val="single" w:sz="8" w:space="0" w:color="auto"/>
              <w:bottom w:val="single" w:sz="8" w:space="0" w:color="auto"/>
              <w:right w:val="single" w:sz="8" w:space="0" w:color="auto"/>
            </w:tcBorders>
            <w:shd w:val="clear" w:color="auto" w:fill="auto"/>
            <w:noWrap/>
          </w:tcPr>
          <w:p w14:paraId="275482A3"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Own-source revenue</w:t>
            </w:r>
          </w:p>
          <w:p w14:paraId="702478E2"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Interest, Rent, Other revenue</w:t>
            </w:r>
          </w:p>
        </w:tc>
        <w:tc>
          <w:tcPr>
            <w:tcW w:w="5136" w:type="dxa"/>
            <w:tcBorders>
              <w:top w:val="nil"/>
              <w:left w:val="single" w:sz="8" w:space="0" w:color="auto"/>
              <w:bottom w:val="single" w:sz="8" w:space="0" w:color="000000"/>
              <w:right w:val="single" w:sz="8" w:space="0" w:color="auto"/>
            </w:tcBorders>
            <w:vAlign w:val="center"/>
          </w:tcPr>
          <w:p w14:paraId="423E75DB"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The increase in interest revenue reflects higher than anticipated interest rates</w:t>
            </w:r>
          </w:p>
        </w:tc>
      </w:tr>
      <w:tr w:rsidR="00F2518A" w:rsidRPr="007C747A" w14:paraId="1B50094C" w14:textId="77777777">
        <w:trPr>
          <w:trHeight w:val="980"/>
        </w:trPr>
        <w:tc>
          <w:tcPr>
            <w:tcW w:w="4426" w:type="dxa"/>
            <w:tcBorders>
              <w:top w:val="nil"/>
              <w:left w:val="single" w:sz="8" w:space="0" w:color="auto"/>
              <w:bottom w:val="single" w:sz="8" w:space="0" w:color="auto"/>
              <w:right w:val="single" w:sz="8" w:space="0" w:color="auto"/>
            </w:tcBorders>
            <w:shd w:val="clear" w:color="auto" w:fill="auto"/>
            <w:noWrap/>
            <w:hideMark/>
          </w:tcPr>
          <w:p w14:paraId="2AC56AA5" w14:textId="77777777" w:rsidR="00F2518A" w:rsidRPr="007C747A" w:rsidRDefault="00F2518A" w:rsidP="00F2518A">
            <w:pPr>
              <w:spacing w:after="0" w:line="240" w:lineRule="auto"/>
              <w:jc w:val="both"/>
              <w:rPr>
                <w:rFonts w:eastAsia="Times New Roman" w:cs="Arial"/>
                <w:i/>
                <w:iCs/>
                <w:color w:val="000000"/>
                <w:sz w:val="18"/>
                <w:szCs w:val="18"/>
                <w:lang w:val="en-AU" w:eastAsia="en-AU"/>
              </w:rPr>
            </w:pPr>
            <w:r w:rsidRPr="007C747A">
              <w:rPr>
                <w:rFonts w:eastAsia="Times New Roman" w:cs="Arial"/>
                <w:color w:val="000000"/>
                <w:sz w:val="18"/>
                <w:szCs w:val="18"/>
                <w:lang w:val="en-AU" w:eastAsia="en-AU"/>
              </w:rPr>
              <w:t>Gains</w:t>
            </w:r>
            <w:r w:rsidRPr="007C747A" w:rsidDel="00CA46D0">
              <w:rPr>
                <w:rFonts w:eastAsia="Times New Roman" w:cs="Arial"/>
                <w:i/>
                <w:iCs/>
                <w:color w:val="000000"/>
                <w:sz w:val="18"/>
                <w:szCs w:val="18"/>
                <w:lang w:val="en-AU" w:eastAsia="en-AU"/>
              </w:rPr>
              <w:t xml:space="preserve"> </w:t>
            </w:r>
          </w:p>
          <w:p w14:paraId="729903CB" w14:textId="77777777" w:rsidR="00F2518A" w:rsidRPr="007C747A" w:rsidRDefault="00F2518A" w:rsidP="00F2518A">
            <w:pPr>
              <w:spacing w:after="0" w:line="240" w:lineRule="auto"/>
              <w:rPr>
                <w:rFonts w:eastAsia="Times New Roman" w:cs="Arial"/>
                <w:i/>
                <w:iCs/>
                <w:color w:val="000000"/>
                <w:sz w:val="18"/>
                <w:szCs w:val="18"/>
                <w:lang w:val="en-AU" w:eastAsia="en-AU"/>
              </w:rPr>
            </w:pPr>
            <w:r w:rsidRPr="007C747A">
              <w:rPr>
                <w:rFonts w:eastAsia="Times New Roman" w:cs="Arial"/>
                <w:i/>
                <w:iCs/>
                <w:color w:val="000000"/>
                <w:sz w:val="18"/>
                <w:szCs w:val="18"/>
                <w:lang w:val="en-AU" w:eastAsia="en-AU"/>
              </w:rPr>
              <w:t>Other gains</w:t>
            </w:r>
          </w:p>
        </w:tc>
        <w:tc>
          <w:tcPr>
            <w:tcW w:w="5136" w:type="dxa"/>
            <w:tcBorders>
              <w:top w:val="nil"/>
              <w:left w:val="single" w:sz="8" w:space="0" w:color="auto"/>
              <w:bottom w:val="single" w:sz="8" w:space="0" w:color="000000"/>
              <w:right w:val="single" w:sz="8" w:space="0" w:color="auto"/>
            </w:tcBorders>
            <w:vAlign w:val="center"/>
            <w:hideMark/>
          </w:tcPr>
          <w:p w14:paraId="73338A5D" w14:textId="77777777" w:rsidR="00F2518A" w:rsidRPr="007C747A" w:rsidRDefault="00F2518A" w:rsidP="00F2518A">
            <w:pPr>
              <w:spacing w:after="0" w:line="240" w:lineRule="auto"/>
              <w:jc w:val="both"/>
              <w:rPr>
                <w:rFonts w:eastAsia="Times New Roman" w:cs="Arial"/>
                <w:color w:val="0D0D0D"/>
                <w:sz w:val="18"/>
                <w:szCs w:val="18"/>
                <w:lang w:val="en-AU" w:eastAsia="en-AU"/>
              </w:rPr>
            </w:pPr>
            <w:r w:rsidRPr="007C747A">
              <w:rPr>
                <w:rFonts w:eastAsia="Times New Roman" w:cs="Arial"/>
                <w:color w:val="0D0D0D"/>
                <w:sz w:val="18"/>
                <w:szCs w:val="18"/>
                <w:lang w:val="en-AU" w:eastAsia="en-AU"/>
              </w:rPr>
              <w:t>Other gains include in-kind contributions made to the Scheme by state and territory governments.  The value of in-kind contributions claimed by the states and territories reflect the growth in participants.</w:t>
            </w:r>
          </w:p>
        </w:tc>
      </w:tr>
      <w:tr w:rsidR="00F2518A" w:rsidRPr="007C747A" w14:paraId="1C7A82A6" w14:textId="77777777">
        <w:trPr>
          <w:trHeight w:val="104"/>
        </w:trPr>
        <w:tc>
          <w:tcPr>
            <w:tcW w:w="4426" w:type="dxa"/>
            <w:tcBorders>
              <w:top w:val="nil"/>
              <w:left w:val="single" w:sz="8" w:space="0" w:color="auto"/>
              <w:bottom w:val="single" w:sz="8" w:space="0" w:color="auto"/>
              <w:right w:val="single" w:sz="8" w:space="0" w:color="auto"/>
            </w:tcBorders>
            <w:shd w:val="clear" w:color="auto" w:fill="auto"/>
            <w:noWrap/>
          </w:tcPr>
          <w:p w14:paraId="688177A8"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color w:val="000000"/>
                <w:sz w:val="18"/>
                <w:szCs w:val="18"/>
                <w:lang w:val="en-AU" w:eastAsia="en-AU"/>
              </w:rPr>
              <w:t>Other Comprehensive Income</w:t>
            </w:r>
          </w:p>
          <w:p w14:paraId="49D85A12" w14:textId="77777777" w:rsidR="00F2518A" w:rsidRPr="007C747A" w:rsidRDefault="00F2518A" w:rsidP="00F2518A">
            <w:pPr>
              <w:spacing w:after="0" w:line="240" w:lineRule="auto"/>
              <w:rPr>
                <w:rFonts w:eastAsia="Times New Roman" w:cs="Arial"/>
                <w:color w:val="000000"/>
                <w:sz w:val="18"/>
                <w:szCs w:val="18"/>
                <w:lang w:val="en-AU" w:eastAsia="en-AU"/>
              </w:rPr>
            </w:pPr>
            <w:r w:rsidRPr="007C747A">
              <w:rPr>
                <w:rFonts w:eastAsia="Times New Roman" w:cs="Arial"/>
                <w:i/>
                <w:iCs/>
                <w:color w:val="000000"/>
                <w:sz w:val="18"/>
                <w:szCs w:val="18"/>
                <w:lang w:val="en-AU" w:eastAsia="en-AU"/>
              </w:rPr>
              <w:t>Changes in asset revaluation reserve</w:t>
            </w:r>
          </w:p>
        </w:tc>
        <w:tc>
          <w:tcPr>
            <w:tcW w:w="5136" w:type="dxa"/>
            <w:tcBorders>
              <w:top w:val="nil"/>
              <w:left w:val="single" w:sz="8" w:space="0" w:color="auto"/>
              <w:bottom w:val="single" w:sz="8" w:space="0" w:color="000000"/>
              <w:right w:val="single" w:sz="8" w:space="0" w:color="auto"/>
            </w:tcBorders>
            <w:vAlign w:val="center"/>
          </w:tcPr>
          <w:p w14:paraId="0C044FEA" w14:textId="77777777" w:rsidR="00F2518A" w:rsidRPr="007C747A" w:rsidRDefault="00F2518A" w:rsidP="00F2518A">
            <w:pPr>
              <w:spacing w:after="0" w:line="240" w:lineRule="auto"/>
              <w:jc w:val="both"/>
              <w:rPr>
                <w:rFonts w:eastAsia="Times New Roman" w:cs="Arial"/>
                <w:color w:val="0D0D0D"/>
                <w:sz w:val="6"/>
                <w:szCs w:val="6"/>
                <w:lang w:val="en-AU" w:eastAsia="en-AU"/>
              </w:rPr>
            </w:pPr>
            <w:r w:rsidRPr="007C747A">
              <w:rPr>
                <w:rFonts w:eastAsia="Times New Roman" w:cs="Arial"/>
                <w:color w:val="0D0D0D"/>
                <w:sz w:val="18"/>
                <w:szCs w:val="18"/>
                <w:lang w:val="en-AU" w:eastAsia="en-AU"/>
              </w:rPr>
              <w:t>The external revaluation of the Agency's leasehold improvements resulted in a revaluation increment of $17.3m during the year.  This was recorded in the asset revaluation reserve.</w:t>
            </w:r>
          </w:p>
        </w:tc>
      </w:tr>
    </w:tbl>
    <w:p w14:paraId="22F2EE74" w14:textId="77777777" w:rsidR="00F2518A" w:rsidRPr="007C747A" w:rsidRDefault="00F2518A" w:rsidP="00F2518A">
      <w:pPr>
        <w:spacing w:after="0" w:line="240" w:lineRule="auto"/>
        <w:rPr>
          <w:rFonts w:eastAsia="Times New Roman"/>
          <w:sz w:val="18"/>
          <w:szCs w:val="20"/>
          <w:lang w:val="en-AU" w:eastAsia="en-AU"/>
        </w:rPr>
        <w:sectPr w:rsidR="00F2518A" w:rsidRPr="007C747A">
          <w:headerReference w:type="even" r:id="rId28"/>
          <w:headerReference w:type="default" r:id="rId29"/>
          <w:headerReference w:type="first" r:id="rId30"/>
          <w:pgSz w:w="11906" w:h="16838" w:code="9"/>
          <w:pgMar w:top="1134" w:right="1700" w:bottom="1134" w:left="1134" w:header="958" w:footer="737" w:gutter="0"/>
          <w:cols w:space="708"/>
          <w:docGrid w:linePitch="360"/>
        </w:sectPr>
      </w:pPr>
    </w:p>
    <w:tbl>
      <w:tblPr>
        <w:tblW w:w="9087" w:type="dxa"/>
        <w:tblLayout w:type="fixed"/>
        <w:tblCellMar>
          <w:left w:w="57" w:type="dxa"/>
          <w:right w:w="57" w:type="dxa"/>
        </w:tblCellMar>
        <w:tblLook w:val="04A0" w:firstRow="1" w:lastRow="0" w:firstColumn="1" w:lastColumn="0" w:noHBand="0" w:noVBand="1"/>
      </w:tblPr>
      <w:tblGrid>
        <w:gridCol w:w="4213"/>
        <w:gridCol w:w="1257"/>
        <w:gridCol w:w="1056"/>
        <w:gridCol w:w="236"/>
        <w:gridCol w:w="1045"/>
        <w:gridCol w:w="236"/>
        <w:gridCol w:w="1044"/>
      </w:tblGrid>
      <w:tr w:rsidR="00F2518A" w:rsidRPr="007C747A" w14:paraId="737EBD96" w14:textId="77777777">
        <w:trPr>
          <w:trHeight w:val="270"/>
        </w:trPr>
        <w:tc>
          <w:tcPr>
            <w:tcW w:w="4213" w:type="dxa"/>
            <w:tcBorders>
              <w:top w:val="nil"/>
              <w:left w:val="nil"/>
              <w:bottom w:val="single" w:sz="8" w:space="0" w:color="800080"/>
              <w:right w:val="nil"/>
            </w:tcBorders>
            <w:shd w:val="clear" w:color="FFFFFF" w:fill="FFFFFF"/>
            <w:noWrap/>
            <w:vAlign w:val="bottom"/>
            <w:hideMark/>
          </w:tcPr>
          <w:p w14:paraId="0F449CE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single" w:sz="8" w:space="0" w:color="800080"/>
              <w:right w:val="nil"/>
            </w:tcBorders>
            <w:shd w:val="clear" w:color="FFFFFF" w:fill="FFFFFF"/>
            <w:noWrap/>
            <w:vAlign w:val="bottom"/>
            <w:hideMark/>
          </w:tcPr>
          <w:p w14:paraId="564355C7" w14:textId="77777777" w:rsidR="00F2518A" w:rsidRPr="007C747A" w:rsidRDefault="00F2518A" w:rsidP="00F2518A">
            <w:pPr>
              <w:spacing w:after="0" w:line="260" w:lineRule="atLeast"/>
              <w:jc w:val="center"/>
              <w:rPr>
                <w:rFonts w:eastAsia="Times New Roman" w:cs="Arial"/>
                <w:b/>
                <w:bCs/>
                <w:sz w:val="18"/>
                <w:szCs w:val="18"/>
                <w:lang w:val="en-AU" w:eastAsia="en-US"/>
              </w:rPr>
            </w:pPr>
            <w:r w:rsidRPr="007C747A">
              <w:rPr>
                <w:rFonts w:eastAsia="Times New Roman" w:cs="Arial"/>
                <w:b/>
                <w:bCs/>
                <w:sz w:val="18"/>
                <w:szCs w:val="18"/>
                <w:lang w:val="en-AU" w:eastAsia="en-US"/>
              </w:rPr>
              <w:t>Notes</w:t>
            </w:r>
          </w:p>
        </w:tc>
        <w:tc>
          <w:tcPr>
            <w:tcW w:w="1056" w:type="dxa"/>
            <w:tcBorders>
              <w:top w:val="nil"/>
              <w:left w:val="nil"/>
              <w:bottom w:val="single" w:sz="8" w:space="0" w:color="800080"/>
              <w:right w:val="nil"/>
            </w:tcBorders>
            <w:shd w:val="clear" w:color="FFFFFF" w:fill="FFFFFF"/>
            <w:noWrap/>
            <w:vAlign w:val="bottom"/>
            <w:hideMark/>
          </w:tcPr>
          <w:p w14:paraId="703E9EAA" w14:textId="37C146CD" w:rsidR="00F2518A" w:rsidRPr="007C747A" w:rsidRDefault="007C3D66"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single" w:sz="8" w:space="0" w:color="800080"/>
              <w:right w:val="nil"/>
            </w:tcBorders>
            <w:shd w:val="clear" w:color="FFFFFF" w:fill="FFFFFF"/>
            <w:noWrap/>
            <w:vAlign w:val="bottom"/>
            <w:hideMark/>
          </w:tcPr>
          <w:p w14:paraId="2D59C4C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single" w:sz="8" w:space="0" w:color="800080"/>
              <w:right w:val="nil"/>
            </w:tcBorders>
            <w:shd w:val="clear" w:color="FFFFFF" w:fill="FFFFFF"/>
            <w:noWrap/>
            <w:vAlign w:val="bottom"/>
            <w:hideMark/>
          </w:tcPr>
          <w:p w14:paraId="67DE40FB" w14:textId="26F3487F" w:rsidR="00F2518A" w:rsidRPr="007C747A" w:rsidRDefault="007C3D66"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c>
          <w:tcPr>
            <w:tcW w:w="236" w:type="dxa"/>
            <w:tcBorders>
              <w:top w:val="nil"/>
              <w:left w:val="nil"/>
              <w:bottom w:val="single" w:sz="8" w:space="0" w:color="800080"/>
              <w:right w:val="nil"/>
            </w:tcBorders>
            <w:shd w:val="clear" w:color="FFFFFF" w:fill="FFFFFF"/>
            <w:noWrap/>
            <w:vAlign w:val="bottom"/>
            <w:hideMark/>
          </w:tcPr>
          <w:p w14:paraId="546FDCB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single" w:sz="8" w:space="0" w:color="800080"/>
              <w:right w:val="nil"/>
            </w:tcBorders>
            <w:shd w:val="clear" w:color="FFFFFF" w:fill="FFFFFF"/>
            <w:noWrap/>
            <w:vAlign w:val="bottom"/>
            <w:hideMark/>
          </w:tcPr>
          <w:p w14:paraId="627311CD" w14:textId="25EC3D5B" w:rsidR="00F2518A" w:rsidRPr="007C747A" w:rsidRDefault="007C3D66" w:rsidP="00F2518A">
            <w:pPr>
              <w:spacing w:after="0" w:line="260" w:lineRule="atLeast"/>
              <w:jc w:val="right"/>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w:t>
            </w:r>
            <w:r w:rsidRPr="007C747A">
              <w:rPr>
                <w:rFonts w:eastAsia="Times New Roman" w:cs="Arial"/>
                <w:color w:val="800080"/>
                <w:sz w:val="18"/>
                <w:szCs w:val="18"/>
                <w:lang w:val="en-AU" w:eastAsia="en-US"/>
              </w:rPr>
              <w:br/>
              <w:t>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lang w:val="en-AU" w:eastAsia="en-US"/>
              </w:rPr>
              <w:br/>
              <w:t>2023</w:t>
            </w:r>
            <w:r w:rsidRPr="007C747A">
              <w:rPr>
                <w:rFonts w:eastAsia="Times New Roman" w:cs="Arial"/>
                <w:color w:val="800080"/>
                <w:sz w:val="18"/>
                <w:szCs w:val="18"/>
                <w:lang w:val="en-AU" w:eastAsia="en-US"/>
              </w:rPr>
              <w:br/>
            </w:r>
            <w:r w:rsidR="00F2518A" w:rsidRPr="007C747A">
              <w:rPr>
                <w:rFonts w:eastAsia="Times New Roman" w:cs="Arial"/>
                <w:color w:val="800080"/>
                <w:sz w:val="18"/>
                <w:szCs w:val="18"/>
                <w:lang w:val="en-AU" w:eastAsia="en-US"/>
              </w:rPr>
              <w:t>$'000</w:t>
            </w:r>
          </w:p>
        </w:tc>
      </w:tr>
      <w:tr w:rsidR="00F2518A" w:rsidRPr="007C747A" w14:paraId="0CFA5F48" w14:textId="77777777">
        <w:trPr>
          <w:trHeight w:val="250"/>
        </w:trPr>
        <w:tc>
          <w:tcPr>
            <w:tcW w:w="4213" w:type="dxa"/>
            <w:tcBorders>
              <w:top w:val="nil"/>
              <w:left w:val="nil"/>
              <w:bottom w:val="nil"/>
              <w:right w:val="nil"/>
            </w:tcBorders>
            <w:shd w:val="clear" w:color="FFFFFF" w:fill="FFFFFF"/>
            <w:vAlign w:val="bottom"/>
            <w:hideMark/>
          </w:tcPr>
          <w:p w14:paraId="603C14B5"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ASSETS</w:t>
            </w:r>
          </w:p>
        </w:tc>
        <w:tc>
          <w:tcPr>
            <w:tcW w:w="1257" w:type="dxa"/>
            <w:tcBorders>
              <w:top w:val="nil"/>
              <w:left w:val="nil"/>
              <w:bottom w:val="nil"/>
              <w:right w:val="nil"/>
            </w:tcBorders>
            <w:shd w:val="clear" w:color="FFFFFF" w:fill="FFFFFF"/>
            <w:noWrap/>
            <w:vAlign w:val="bottom"/>
            <w:hideMark/>
          </w:tcPr>
          <w:p w14:paraId="7BF34F46"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4035235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19ABF9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38B3DF2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7851E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78F5E90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5BEDC0D" w14:textId="77777777">
        <w:trPr>
          <w:trHeight w:val="250"/>
        </w:trPr>
        <w:tc>
          <w:tcPr>
            <w:tcW w:w="4213" w:type="dxa"/>
            <w:tcBorders>
              <w:top w:val="nil"/>
              <w:left w:val="nil"/>
              <w:bottom w:val="nil"/>
              <w:right w:val="nil"/>
            </w:tcBorders>
            <w:shd w:val="clear" w:color="FFFFFF" w:fill="FFFFFF"/>
            <w:vAlign w:val="bottom"/>
            <w:hideMark/>
          </w:tcPr>
          <w:p w14:paraId="7C26129D"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Financial assets</w:t>
            </w:r>
          </w:p>
        </w:tc>
        <w:tc>
          <w:tcPr>
            <w:tcW w:w="1257" w:type="dxa"/>
            <w:tcBorders>
              <w:top w:val="nil"/>
              <w:left w:val="nil"/>
              <w:bottom w:val="nil"/>
              <w:right w:val="nil"/>
            </w:tcBorders>
            <w:shd w:val="clear" w:color="FFFFFF" w:fill="FFFFFF"/>
            <w:noWrap/>
            <w:vAlign w:val="bottom"/>
            <w:hideMark/>
          </w:tcPr>
          <w:p w14:paraId="5BA4F97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6303EBF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880BF2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E32BD4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B94DCE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08EC8BE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8A4E1A9" w14:textId="77777777">
        <w:trPr>
          <w:trHeight w:val="250"/>
        </w:trPr>
        <w:tc>
          <w:tcPr>
            <w:tcW w:w="4213" w:type="dxa"/>
            <w:tcBorders>
              <w:top w:val="nil"/>
              <w:left w:val="nil"/>
              <w:bottom w:val="nil"/>
              <w:right w:val="nil"/>
            </w:tcBorders>
            <w:shd w:val="clear" w:color="FFFFFF" w:fill="FFFFFF"/>
            <w:vAlign w:val="bottom"/>
            <w:hideMark/>
          </w:tcPr>
          <w:p w14:paraId="360CCA1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Cash and cash equivalents</w:t>
            </w:r>
          </w:p>
        </w:tc>
        <w:tc>
          <w:tcPr>
            <w:tcW w:w="1257" w:type="dxa"/>
            <w:tcBorders>
              <w:top w:val="nil"/>
              <w:left w:val="nil"/>
              <w:bottom w:val="nil"/>
              <w:right w:val="nil"/>
            </w:tcBorders>
            <w:shd w:val="clear" w:color="FFFFFF" w:fill="FFFFFF"/>
            <w:noWrap/>
            <w:vAlign w:val="bottom"/>
            <w:hideMark/>
          </w:tcPr>
          <w:p w14:paraId="23B1DFC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2.1A</w:t>
            </w:r>
          </w:p>
        </w:tc>
        <w:tc>
          <w:tcPr>
            <w:tcW w:w="1056" w:type="dxa"/>
            <w:tcBorders>
              <w:top w:val="nil"/>
              <w:left w:val="nil"/>
              <w:bottom w:val="nil"/>
              <w:right w:val="nil"/>
            </w:tcBorders>
            <w:shd w:val="clear" w:color="FFFFFF" w:fill="FFFFFF"/>
            <w:noWrap/>
            <w:vAlign w:val="bottom"/>
            <w:hideMark/>
          </w:tcPr>
          <w:p w14:paraId="79E3703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2,729,779</w:t>
            </w:r>
          </w:p>
        </w:tc>
        <w:tc>
          <w:tcPr>
            <w:tcW w:w="236" w:type="dxa"/>
            <w:tcBorders>
              <w:top w:val="nil"/>
              <w:left w:val="nil"/>
              <w:bottom w:val="nil"/>
              <w:right w:val="nil"/>
            </w:tcBorders>
            <w:shd w:val="clear" w:color="FFFFFF" w:fill="FFFFFF"/>
            <w:noWrap/>
            <w:vAlign w:val="bottom"/>
            <w:hideMark/>
          </w:tcPr>
          <w:p w14:paraId="25550FC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4B4A18E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1,918,956</w:t>
            </w:r>
          </w:p>
        </w:tc>
        <w:tc>
          <w:tcPr>
            <w:tcW w:w="236" w:type="dxa"/>
            <w:tcBorders>
              <w:top w:val="nil"/>
              <w:left w:val="nil"/>
              <w:bottom w:val="nil"/>
              <w:right w:val="nil"/>
            </w:tcBorders>
            <w:shd w:val="clear" w:color="FFFFFF" w:fill="FFFFFF"/>
            <w:noWrap/>
            <w:vAlign w:val="bottom"/>
            <w:hideMark/>
          </w:tcPr>
          <w:p w14:paraId="74A971A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237A5F4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1,146,865</w:t>
            </w:r>
          </w:p>
        </w:tc>
      </w:tr>
      <w:tr w:rsidR="00F2518A" w:rsidRPr="007C747A" w14:paraId="6775DC9F" w14:textId="77777777">
        <w:trPr>
          <w:trHeight w:val="250"/>
        </w:trPr>
        <w:tc>
          <w:tcPr>
            <w:tcW w:w="4213" w:type="dxa"/>
            <w:tcBorders>
              <w:top w:val="nil"/>
              <w:left w:val="nil"/>
              <w:bottom w:val="nil"/>
              <w:right w:val="nil"/>
            </w:tcBorders>
            <w:shd w:val="clear" w:color="FFFFFF" w:fill="FFFFFF"/>
            <w:vAlign w:val="bottom"/>
            <w:hideMark/>
          </w:tcPr>
          <w:p w14:paraId="5871C7D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Trade and other receivables</w:t>
            </w:r>
          </w:p>
        </w:tc>
        <w:tc>
          <w:tcPr>
            <w:tcW w:w="1257" w:type="dxa"/>
            <w:tcBorders>
              <w:top w:val="nil"/>
              <w:left w:val="nil"/>
              <w:bottom w:val="nil"/>
              <w:right w:val="nil"/>
            </w:tcBorders>
            <w:shd w:val="clear" w:color="FFFFFF" w:fill="FFFFFF"/>
            <w:noWrap/>
            <w:vAlign w:val="bottom"/>
            <w:hideMark/>
          </w:tcPr>
          <w:p w14:paraId="200C6CD5"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2.1B</w:t>
            </w:r>
          </w:p>
        </w:tc>
        <w:tc>
          <w:tcPr>
            <w:tcW w:w="1056" w:type="dxa"/>
            <w:tcBorders>
              <w:top w:val="nil"/>
              <w:left w:val="nil"/>
              <w:bottom w:val="nil"/>
              <w:right w:val="nil"/>
            </w:tcBorders>
            <w:shd w:val="clear" w:color="FFFFFF" w:fill="FFFFFF"/>
            <w:noWrap/>
            <w:vAlign w:val="bottom"/>
            <w:hideMark/>
          </w:tcPr>
          <w:p w14:paraId="17B7E62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113,659</w:t>
            </w:r>
          </w:p>
        </w:tc>
        <w:tc>
          <w:tcPr>
            <w:tcW w:w="236" w:type="dxa"/>
            <w:tcBorders>
              <w:top w:val="nil"/>
              <w:left w:val="nil"/>
              <w:bottom w:val="nil"/>
              <w:right w:val="nil"/>
            </w:tcBorders>
            <w:shd w:val="clear" w:color="FFFFFF" w:fill="FFFFFF"/>
            <w:noWrap/>
            <w:vAlign w:val="bottom"/>
            <w:hideMark/>
          </w:tcPr>
          <w:p w14:paraId="0505E1B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4DB0875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48,920</w:t>
            </w:r>
          </w:p>
        </w:tc>
        <w:tc>
          <w:tcPr>
            <w:tcW w:w="236" w:type="dxa"/>
            <w:tcBorders>
              <w:top w:val="nil"/>
              <w:left w:val="nil"/>
              <w:bottom w:val="nil"/>
              <w:right w:val="nil"/>
            </w:tcBorders>
            <w:shd w:val="clear" w:color="FFFFFF" w:fill="FFFFFF"/>
            <w:noWrap/>
            <w:vAlign w:val="bottom"/>
            <w:hideMark/>
          </w:tcPr>
          <w:p w14:paraId="0843E88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303B213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42,806</w:t>
            </w:r>
          </w:p>
        </w:tc>
      </w:tr>
      <w:tr w:rsidR="00F2518A" w:rsidRPr="007C747A" w14:paraId="6F042053" w14:textId="77777777">
        <w:trPr>
          <w:trHeight w:val="250"/>
        </w:trPr>
        <w:tc>
          <w:tcPr>
            <w:tcW w:w="4213" w:type="dxa"/>
            <w:tcBorders>
              <w:top w:val="nil"/>
              <w:left w:val="nil"/>
              <w:bottom w:val="nil"/>
              <w:right w:val="nil"/>
            </w:tcBorders>
            <w:shd w:val="clear" w:color="FFFFFF" w:fill="FFFFFF"/>
            <w:vAlign w:val="bottom"/>
            <w:hideMark/>
          </w:tcPr>
          <w:p w14:paraId="2F9DAEF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financial instruments – term deposits</w:t>
            </w:r>
          </w:p>
        </w:tc>
        <w:tc>
          <w:tcPr>
            <w:tcW w:w="1257" w:type="dxa"/>
            <w:tcBorders>
              <w:top w:val="nil"/>
              <w:left w:val="nil"/>
              <w:bottom w:val="nil"/>
              <w:right w:val="nil"/>
            </w:tcBorders>
            <w:shd w:val="clear" w:color="FFFFFF" w:fill="FFFFFF"/>
            <w:noWrap/>
            <w:vAlign w:val="bottom"/>
            <w:hideMark/>
          </w:tcPr>
          <w:p w14:paraId="4F4DB5C2"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2.1C</w:t>
            </w:r>
          </w:p>
        </w:tc>
        <w:tc>
          <w:tcPr>
            <w:tcW w:w="1056" w:type="dxa"/>
            <w:tcBorders>
              <w:top w:val="nil"/>
              <w:left w:val="nil"/>
              <w:bottom w:val="nil"/>
              <w:right w:val="nil"/>
            </w:tcBorders>
            <w:shd w:val="clear" w:color="FFFFFF" w:fill="FFFFFF"/>
            <w:noWrap/>
            <w:vAlign w:val="bottom"/>
            <w:hideMark/>
          </w:tcPr>
          <w:p w14:paraId="7342BBA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1,500,000</w:t>
            </w:r>
          </w:p>
        </w:tc>
        <w:tc>
          <w:tcPr>
            <w:tcW w:w="236" w:type="dxa"/>
            <w:tcBorders>
              <w:top w:val="nil"/>
              <w:left w:val="nil"/>
              <w:bottom w:val="nil"/>
              <w:right w:val="nil"/>
            </w:tcBorders>
            <w:shd w:val="clear" w:color="FFFFFF" w:fill="FFFFFF"/>
            <w:noWrap/>
            <w:vAlign w:val="bottom"/>
            <w:hideMark/>
          </w:tcPr>
          <w:p w14:paraId="6224D565"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c>
          <w:tcPr>
            <w:tcW w:w="1045" w:type="dxa"/>
            <w:tcBorders>
              <w:top w:val="nil"/>
              <w:left w:val="nil"/>
              <w:bottom w:val="nil"/>
              <w:right w:val="nil"/>
            </w:tcBorders>
            <w:shd w:val="clear" w:color="FFFFFF" w:fill="FFFFFF"/>
            <w:noWrap/>
            <w:vAlign w:val="bottom"/>
            <w:hideMark/>
          </w:tcPr>
          <w:p w14:paraId="3A1B6FA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2,465,000</w:t>
            </w:r>
          </w:p>
        </w:tc>
        <w:tc>
          <w:tcPr>
            <w:tcW w:w="236" w:type="dxa"/>
            <w:tcBorders>
              <w:top w:val="nil"/>
              <w:left w:val="nil"/>
              <w:bottom w:val="nil"/>
              <w:right w:val="nil"/>
            </w:tcBorders>
            <w:shd w:val="clear" w:color="FFFFFF" w:fill="FFFFFF"/>
            <w:noWrap/>
            <w:vAlign w:val="bottom"/>
            <w:hideMark/>
          </w:tcPr>
          <w:p w14:paraId="49979CC8"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c>
          <w:tcPr>
            <w:tcW w:w="1044" w:type="dxa"/>
            <w:tcBorders>
              <w:top w:val="nil"/>
              <w:left w:val="nil"/>
              <w:bottom w:val="nil"/>
              <w:right w:val="nil"/>
            </w:tcBorders>
            <w:shd w:val="clear" w:color="FFFFFF" w:fill="FFFFFF"/>
            <w:noWrap/>
            <w:vAlign w:val="bottom"/>
            <w:hideMark/>
          </w:tcPr>
          <w:p w14:paraId="58667E3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3,657,769</w:t>
            </w:r>
          </w:p>
        </w:tc>
      </w:tr>
      <w:tr w:rsidR="00F2518A" w:rsidRPr="007C747A" w14:paraId="112CE2BA" w14:textId="77777777">
        <w:trPr>
          <w:trHeight w:val="250"/>
        </w:trPr>
        <w:tc>
          <w:tcPr>
            <w:tcW w:w="4213" w:type="dxa"/>
            <w:tcBorders>
              <w:top w:val="nil"/>
              <w:left w:val="nil"/>
              <w:bottom w:val="nil"/>
              <w:right w:val="nil"/>
            </w:tcBorders>
            <w:shd w:val="clear" w:color="FFFFFF" w:fill="FFFFFF"/>
            <w:vAlign w:val="bottom"/>
            <w:hideMark/>
          </w:tcPr>
          <w:p w14:paraId="0C58FA0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financial assets</w:t>
            </w:r>
          </w:p>
        </w:tc>
        <w:tc>
          <w:tcPr>
            <w:tcW w:w="1257" w:type="dxa"/>
            <w:tcBorders>
              <w:top w:val="nil"/>
              <w:left w:val="nil"/>
              <w:bottom w:val="nil"/>
              <w:right w:val="nil"/>
            </w:tcBorders>
            <w:shd w:val="clear" w:color="FFFFFF" w:fill="FFFFFF"/>
            <w:noWrap/>
            <w:vAlign w:val="bottom"/>
            <w:hideMark/>
          </w:tcPr>
          <w:p w14:paraId="4C7CAB58"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65C62FC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4,343,438</w:t>
            </w:r>
          </w:p>
        </w:tc>
        <w:tc>
          <w:tcPr>
            <w:tcW w:w="236" w:type="dxa"/>
            <w:tcBorders>
              <w:top w:val="nil"/>
              <w:left w:val="nil"/>
              <w:bottom w:val="nil"/>
              <w:right w:val="nil"/>
            </w:tcBorders>
            <w:shd w:val="clear" w:color="FFFFFF" w:fill="FFFFFF"/>
            <w:noWrap/>
            <w:vAlign w:val="bottom"/>
            <w:hideMark/>
          </w:tcPr>
          <w:p w14:paraId="7F23B2D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1790E23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4,432,876</w:t>
            </w:r>
          </w:p>
        </w:tc>
        <w:tc>
          <w:tcPr>
            <w:tcW w:w="236" w:type="dxa"/>
            <w:tcBorders>
              <w:top w:val="nil"/>
              <w:left w:val="nil"/>
              <w:bottom w:val="nil"/>
              <w:right w:val="nil"/>
            </w:tcBorders>
            <w:shd w:val="clear" w:color="FFFFFF" w:fill="FFFFFF"/>
            <w:noWrap/>
            <w:vAlign w:val="bottom"/>
            <w:hideMark/>
          </w:tcPr>
          <w:p w14:paraId="2C43E2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35AE5C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4,847,440</w:t>
            </w:r>
          </w:p>
        </w:tc>
      </w:tr>
      <w:tr w:rsidR="00F2518A" w:rsidRPr="007C747A" w14:paraId="41B246A3" w14:textId="77777777">
        <w:trPr>
          <w:trHeight w:val="250"/>
        </w:trPr>
        <w:tc>
          <w:tcPr>
            <w:tcW w:w="4213" w:type="dxa"/>
            <w:tcBorders>
              <w:top w:val="nil"/>
              <w:left w:val="nil"/>
              <w:bottom w:val="nil"/>
              <w:right w:val="nil"/>
            </w:tcBorders>
            <w:shd w:val="clear" w:color="FFFFFF" w:fill="FFFFFF"/>
            <w:noWrap/>
            <w:vAlign w:val="bottom"/>
            <w:hideMark/>
          </w:tcPr>
          <w:p w14:paraId="0202A33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3A3CE7F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4D9C179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843094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3EC7AC7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D2FB8E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7AD4684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2F9B226" w14:textId="77777777">
        <w:trPr>
          <w:trHeight w:val="270"/>
        </w:trPr>
        <w:tc>
          <w:tcPr>
            <w:tcW w:w="4213" w:type="dxa"/>
            <w:tcBorders>
              <w:top w:val="nil"/>
              <w:left w:val="nil"/>
              <w:bottom w:val="nil"/>
              <w:right w:val="nil"/>
            </w:tcBorders>
            <w:shd w:val="clear" w:color="FFFFFF" w:fill="FFFFFF"/>
            <w:vAlign w:val="bottom"/>
            <w:hideMark/>
          </w:tcPr>
          <w:p w14:paraId="6F4CAE0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Non-financial assets</w:t>
            </w:r>
          </w:p>
        </w:tc>
        <w:tc>
          <w:tcPr>
            <w:tcW w:w="1257" w:type="dxa"/>
            <w:tcBorders>
              <w:top w:val="nil"/>
              <w:left w:val="nil"/>
              <w:bottom w:val="nil"/>
              <w:right w:val="nil"/>
            </w:tcBorders>
            <w:shd w:val="clear" w:color="FFFFFF" w:fill="FFFFFF"/>
            <w:noWrap/>
            <w:vAlign w:val="bottom"/>
            <w:hideMark/>
          </w:tcPr>
          <w:p w14:paraId="6BBC77E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3851292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CA441E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4808C5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293B3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75FD84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CC21E60" w14:textId="77777777">
        <w:trPr>
          <w:trHeight w:val="250"/>
        </w:trPr>
        <w:tc>
          <w:tcPr>
            <w:tcW w:w="4213" w:type="dxa"/>
            <w:tcBorders>
              <w:top w:val="nil"/>
              <w:left w:val="nil"/>
              <w:bottom w:val="nil"/>
              <w:right w:val="nil"/>
            </w:tcBorders>
            <w:shd w:val="clear" w:color="FFFFFF" w:fill="FFFFFF"/>
            <w:vAlign w:val="bottom"/>
            <w:hideMark/>
          </w:tcPr>
          <w:p w14:paraId="2034542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Buildings</w:t>
            </w:r>
          </w:p>
        </w:tc>
        <w:tc>
          <w:tcPr>
            <w:tcW w:w="1257" w:type="dxa"/>
            <w:tcBorders>
              <w:top w:val="nil"/>
              <w:left w:val="nil"/>
              <w:bottom w:val="nil"/>
              <w:right w:val="nil"/>
            </w:tcBorders>
            <w:shd w:val="clear" w:color="FFFFFF" w:fill="FFFFFF"/>
            <w:noWrap/>
            <w:vAlign w:val="bottom"/>
            <w:hideMark/>
          </w:tcPr>
          <w:p w14:paraId="128CB7FB"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2.2A</w:t>
            </w:r>
          </w:p>
        </w:tc>
        <w:tc>
          <w:tcPr>
            <w:tcW w:w="1056" w:type="dxa"/>
            <w:tcBorders>
              <w:top w:val="nil"/>
              <w:left w:val="nil"/>
              <w:bottom w:val="nil"/>
              <w:right w:val="nil"/>
            </w:tcBorders>
            <w:shd w:val="clear" w:color="FFFFFF" w:fill="FFFFFF"/>
            <w:noWrap/>
            <w:vAlign w:val="bottom"/>
            <w:hideMark/>
          </w:tcPr>
          <w:p w14:paraId="3B7AD5E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223,813</w:t>
            </w:r>
          </w:p>
        </w:tc>
        <w:tc>
          <w:tcPr>
            <w:tcW w:w="236" w:type="dxa"/>
            <w:tcBorders>
              <w:top w:val="nil"/>
              <w:left w:val="nil"/>
              <w:bottom w:val="nil"/>
              <w:right w:val="nil"/>
            </w:tcBorders>
            <w:shd w:val="clear" w:color="FFFFFF" w:fill="FFFFFF"/>
            <w:noWrap/>
            <w:vAlign w:val="bottom"/>
            <w:hideMark/>
          </w:tcPr>
          <w:p w14:paraId="726DB25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755FE49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217,416</w:t>
            </w:r>
          </w:p>
        </w:tc>
        <w:tc>
          <w:tcPr>
            <w:tcW w:w="236" w:type="dxa"/>
            <w:tcBorders>
              <w:top w:val="nil"/>
              <w:left w:val="nil"/>
              <w:bottom w:val="nil"/>
              <w:right w:val="nil"/>
            </w:tcBorders>
            <w:shd w:val="clear" w:color="FFFFFF" w:fill="FFFFFF"/>
            <w:noWrap/>
            <w:vAlign w:val="bottom"/>
            <w:hideMark/>
          </w:tcPr>
          <w:p w14:paraId="7AD129D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453E940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224,459</w:t>
            </w:r>
          </w:p>
        </w:tc>
      </w:tr>
      <w:tr w:rsidR="00F2518A" w:rsidRPr="007C747A" w14:paraId="47692B19" w14:textId="77777777">
        <w:trPr>
          <w:trHeight w:val="250"/>
        </w:trPr>
        <w:tc>
          <w:tcPr>
            <w:tcW w:w="4213" w:type="dxa"/>
            <w:tcBorders>
              <w:top w:val="nil"/>
              <w:left w:val="nil"/>
              <w:bottom w:val="nil"/>
              <w:right w:val="nil"/>
            </w:tcBorders>
            <w:shd w:val="clear" w:color="FFFFFF" w:fill="FFFFFF"/>
            <w:vAlign w:val="bottom"/>
            <w:hideMark/>
          </w:tcPr>
          <w:p w14:paraId="0E13FB1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Plant and equipment</w:t>
            </w:r>
          </w:p>
        </w:tc>
        <w:tc>
          <w:tcPr>
            <w:tcW w:w="1257" w:type="dxa"/>
            <w:tcBorders>
              <w:top w:val="nil"/>
              <w:left w:val="nil"/>
              <w:bottom w:val="nil"/>
              <w:right w:val="nil"/>
            </w:tcBorders>
            <w:shd w:val="clear" w:color="FFFFFF" w:fill="FFFFFF"/>
            <w:noWrap/>
            <w:vAlign w:val="bottom"/>
            <w:hideMark/>
          </w:tcPr>
          <w:p w14:paraId="2F93FC91"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2.2A</w:t>
            </w:r>
          </w:p>
        </w:tc>
        <w:tc>
          <w:tcPr>
            <w:tcW w:w="1056" w:type="dxa"/>
            <w:tcBorders>
              <w:top w:val="nil"/>
              <w:left w:val="nil"/>
              <w:bottom w:val="nil"/>
              <w:right w:val="nil"/>
            </w:tcBorders>
            <w:shd w:val="clear" w:color="FFFFFF" w:fill="FFFFFF"/>
            <w:noWrap/>
            <w:vAlign w:val="bottom"/>
            <w:hideMark/>
          </w:tcPr>
          <w:p w14:paraId="5B4D196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9,048</w:t>
            </w:r>
          </w:p>
        </w:tc>
        <w:tc>
          <w:tcPr>
            <w:tcW w:w="236" w:type="dxa"/>
            <w:tcBorders>
              <w:top w:val="nil"/>
              <w:left w:val="nil"/>
              <w:bottom w:val="nil"/>
              <w:right w:val="nil"/>
            </w:tcBorders>
            <w:shd w:val="clear" w:color="FFFFFF" w:fill="FFFFFF"/>
            <w:noWrap/>
            <w:vAlign w:val="bottom"/>
            <w:hideMark/>
          </w:tcPr>
          <w:p w14:paraId="37D425E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0BF3CE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10,373</w:t>
            </w:r>
          </w:p>
        </w:tc>
        <w:tc>
          <w:tcPr>
            <w:tcW w:w="236" w:type="dxa"/>
            <w:tcBorders>
              <w:top w:val="nil"/>
              <w:left w:val="nil"/>
              <w:bottom w:val="nil"/>
              <w:right w:val="nil"/>
            </w:tcBorders>
            <w:shd w:val="clear" w:color="FFFFFF" w:fill="FFFFFF"/>
            <w:noWrap/>
            <w:vAlign w:val="bottom"/>
            <w:hideMark/>
          </w:tcPr>
          <w:p w14:paraId="23903AE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F310A6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11,381</w:t>
            </w:r>
          </w:p>
        </w:tc>
      </w:tr>
      <w:tr w:rsidR="00F2518A" w:rsidRPr="007C747A" w14:paraId="73FB4B7E" w14:textId="77777777">
        <w:trPr>
          <w:trHeight w:val="250"/>
        </w:trPr>
        <w:tc>
          <w:tcPr>
            <w:tcW w:w="4213" w:type="dxa"/>
            <w:tcBorders>
              <w:top w:val="nil"/>
              <w:left w:val="nil"/>
              <w:bottom w:val="nil"/>
              <w:right w:val="nil"/>
            </w:tcBorders>
            <w:shd w:val="clear" w:color="FFFFFF" w:fill="FFFFFF"/>
            <w:vAlign w:val="bottom"/>
            <w:hideMark/>
          </w:tcPr>
          <w:p w14:paraId="28A7268A"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non-financial assets</w:t>
            </w:r>
          </w:p>
        </w:tc>
        <w:tc>
          <w:tcPr>
            <w:tcW w:w="1257" w:type="dxa"/>
            <w:tcBorders>
              <w:top w:val="nil"/>
              <w:left w:val="nil"/>
              <w:bottom w:val="nil"/>
              <w:right w:val="nil"/>
            </w:tcBorders>
            <w:shd w:val="clear" w:color="FFFFFF" w:fill="FFFFFF"/>
            <w:noWrap/>
            <w:vAlign w:val="bottom"/>
            <w:hideMark/>
          </w:tcPr>
          <w:p w14:paraId="2F7E486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2.2B</w:t>
            </w:r>
          </w:p>
        </w:tc>
        <w:tc>
          <w:tcPr>
            <w:tcW w:w="1056" w:type="dxa"/>
            <w:tcBorders>
              <w:top w:val="nil"/>
              <w:left w:val="nil"/>
              <w:bottom w:val="nil"/>
              <w:right w:val="nil"/>
            </w:tcBorders>
            <w:shd w:val="clear" w:color="FFFFFF" w:fill="FFFFFF"/>
            <w:noWrap/>
            <w:vAlign w:val="bottom"/>
            <w:hideMark/>
          </w:tcPr>
          <w:p w14:paraId="1AACBA8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26,619</w:t>
            </w:r>
          </w:p>
        </w:tc>
        <w:tc>
          <w:tcPr>
            <w:tcW w:w="236" w:type="dxa"/>
            <w:tcBorders>
              <w:top w:val="nil"/>
              <w:left w:val="nil"/>
              <w:bottom w:val="nil"/>
              <w:right w:val="nil"/>
            </w:tcBorders>
            <w:shd w:val="clear" w:color="FFFFFF" w:fill="FFFFFF"/>
            <w:noWrap/>
            <w:vAlign w:val="bottom"/>
            <w:hideMark/>
          </w:tcPr>
          <w:p w14:paraId="6F7D042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2A15BCC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23,680</w:t>
            </w:r>
          </w:p>
        </w:tc>
        <w:tc>
          <w:tcPr>
            <w:tcW w:w="236" w:type="dxa"/>
            <w:tcBorders>
              <w:top w:val="nil"/>
              <w:left w:val="nil"/>
              <w:bottom w:val="nil"/>
              <w:right w:val="nil"/>
            </w:tcBorders>
            <w:shd w:val="clear" w:color="FFFFFF" w:fill="FFFFFF"/>
            <w:noWrap/>
            <w:vAlign w:val="bottom"/>
            <w:hideMark/>
          </w:tcPr>
          <w:p w14:paraId="1EF7684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1467FA5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23,680</w:t>
            </w:r>
          </w:p>
        </w:tc>
      </w:tr>
      <w:tr w:rsidR="00F2518A" w:rsidRPr="007C747A" w14:paraId="15411B32" w14:textId="77777777">
        <w:trPr>
          <w:trHeight w:val="250"/>
        </w:trPr>
        <w:tc>
          <w:tcPr>
            <w:tcW w:w="4213" w:type="dxa"/>
            <w:tcBorders>
              <w:top w:val="nil"/>
              <w:left w:val="nil"/>
              <w:bottom w:val="nil"/>
              <w:right w:val="nil"/>
            </w:tcBorders>
            <w:shd w:val="clear" w:color="FFFFFF" w:fill="FFFFFF"/>
            <w:vAlign w:val="bottom"/>
            <w:hideMark/>
          </w:tcPr>
          <w:p w14:paraId="0A8C1EF5"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non-financial assets</w:t>
            </w:r>
          </w:p>
        </w:tc>
        <w:tc>
          <w:tcPr>
            <w:tcW w:w="1257" w:type="dxa"/>
            <w:tcBorders>
              <w:top w:val="nil"/>
              <w:left w:val="nil"/>
              <w:bottom w:val="nil"/>
              <w:right w:val="nil"/>
            </w:tcBorders>
            <w:shd w:val="clear" w:color="FFFFFF" w:fill="FFFFFF"/>
            <w:noWrap/>
            <w:vAlign w:val="bottom"/>
            <w:hideMark/>
          </w:tcPr>
          <w:p w14:paraId="3C8C4BF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6D4BD81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259,480</w:t>
            </w:r>
          </w:p>
        </w:tc>
        <w:tc>
          <w:tcPr>
            <w:tcW w:w="236" w:type="dxa"/>
            <w:tcBorders>
              <w:top w:val="nil"/>
              <w:left w:val="nil"/>
              <w:bottom w:val="nil"/>
              <w:right w:val="nil"/>
            </w:tcBorders>
            <w:shd w:val="clear" w:color="FFFFFF" w:fill="FFFFFF"/>
            <w:noWrap/>
            <w:vAlign w:val="bottom"/>
            <w:hideMark/>
          </w:tcPr>
          <w:p w14:paraId="11AEBB0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774919E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251,469</w:t>
            </w:r>
          </w:p>
        </w:tc>
        <w:tc>
          <w:tcPr>
            <w:tcW w:w="236" w:type="dxa"/>
            <w:tcBorders>
              <w:top w:val="nil"/>
              <w:left w:val="nil"/>
              <w:bottom w:val="nil"/>
              <w:right w:val="nil"/>
            </w:tcBorders>
            <w:shd w:val="clear" w:color="FFFFFF" w:fill="FFFFFF"/>
            <w:noWrap/>
            <w:vAlign w:val="bottom"/>
            <w:hideMark/>
          </w:tcPr>
          <w:p w14:paraId="4A73E5D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B45866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259,520</w:t>
            </w:r>
          </w:p>
        </w:tc>
      </w:tr>
      <w:tr w:rsidR="00F2518A" w:rsidRPr="007C747A" w14:paraId="675090B5" w14:textId="77777777">
        <w:trPr>
          <w:trHeight w:val="250"/>
        </w:trPr>
        <w:tc>
          <w:tcPr>
            <w:tcW w:w="4213" w:type="dxa"/>
            <w:tcBorders>
              <w:top w:val="nil"/>
              <w:left w:val="nil"/>
              <w:bottom w:val="nil"/>
              <w:right w:val="nil"/>
            </w:tcBorders>
            <w:shd w:val="clear" w:color="FFFFFF" w:fill="FFFFFF"/>
            <w:vAlign w:val="bottom"/>
            <w:hideMark/>
          </w:tcPr>
          <w:p w14:paraId="7DBD0C7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assets</w:t>
            </w:r>
          </w:p>
        </w:tc>
        <w:tc>
          <w:tcPr>
            <w:tcW w:w="1257" w:type="dxa"/>
            <w:tcBorders>
              <w:top w:val="nil"/>
              <w:left w:val="nil"/>
              <w:bottom w:val="nil"/>
              <w:right w:val="nil"/>
            </w:tcBorders>
            <w:shd w:val="clear" w:color="FFFFFF" w:fill="FFFFFF"/>
            <w:noWrap/>
            <w:vAlign w:val="bottom"/>
            <w:hideMark/>
          </w:tcPr>
          <w:p w14:paraId="589490D1"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56847C5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4,602,918</w:t>
            </w:r>
          </w:p>
        </w:tc>
        <w:tc>
          <w:tcPr>
            <w:tcW w:w="236" w:type="dxa"/>
            <w:tcBorders>
              <w:top w:val="nil"/>
              <w:left w:val="nil"/>
              <w:bottom w:val="nil"/>
              <w:right w:val="nil"/>
            </w:tcBorders>
            <w:shd w:val="clear" w:color="FFFFFF" w:fill="FFFFFF"/>
            <w:noWrap/>
            <w:vAlign w:val="bottom"/>
            <w:hideMark/>
          </w:tcPr>
          <w:p w14:paraId="33A3DED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30A8BCE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4,684,345</w:t>
            </w:r>
          </w:p>
        </w:tc>
        <w:tc>
          <w:tcPr>
            <w:tcW w:w="236" w:type="dxa"/>
            <w:tcBorders>
              <w:top w:val="nil"/>
              <w:left w:val="nil"/>
              <w:bottom w:val="nil"/>
              <w:right w:val="nil"/>
            </w:tcBorders>
            <w:shd w:val="clear" w:color="FFFFFF" w:fill="FFFFFF"/>
            <w:noWrap/>
            <w:vAlign w:val="bottom"/>
            <w:hideMark/>
          </w:tcPr>
          <w:p w14:paraId="5463480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FCFF0A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5,106,960</w:t>
            </w:r>
          </w:p>
        </w:tc>
      </w:tr>
      <w:tr w:rsidR="00F2518A" w:rsidRPr="007C747A" w14:paraId="12D5C279" w14:textId="77777777">
        <w:trPr>
          <w:trHeight w:val="310"/>
        </w:trPr>
        <w:tc>
          <w:tcPr>
            <w:tcW w:w="4213" w:type="dxa"/>
            <w:tcBorders>
              <w:top w:val="nil"/>
              <w:left w:val="nil"/>
              <w:bottom w:val="nil"/>
              <w:right w:val="nil"/>
            </w:tcBorders>
            <w:shd w:val="clear" w:color="FFFFFF" w:fill="FFFFFF"/>
            <w:vAlign w:val="bottom"/>
            <w:hideMark/>
          </w:tcPr>
          <w:p w14:paraId="18CC5FC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7382F79B"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0261FCD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42E27A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79B470E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A5B93E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4646527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C9CE796" w14:textId="77777777">
        <w:trPr>
          <w:trHeight w:val="250"/>
        </w:trPr>
        <w:tc>
          <w:tcPr>
            <w:tcW w:w="4213" w:type="dxa"/>
            <w:tcBorders>
              <w:top w:val="nil"/>
              <w:left w:val="nil"/>
              <w:bottom w:val="nil"/>
              <w:right w:val="nil"/>
            </w:tcBorders>
            <w:shd w:val="clear" w:color="FFFFFF" w:fill="FFFFFF"/>
            <w:vAlign w:val="bottom"/>
            <w:hideMark/>
          </w:tcPr>
          <w:p w14:paraId="2D92546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LIABILITIES</w:t>
            </w:r>
          </w:p>
        </w:tc>
        <w:tc>
          <w:tcPr>
            <w:tcW w:w="1257" w:type="dxa"/>
            <w:tcBorders>
              <w:top w:val="nil"/>
              <w:left w:val="nil"/>
              <w:bottom w:val="nil"/>
              <w:right w:val="nil"/>
            </w:tcBorders>
            <w:shd w:val="clear" w:color="FFFFFF" w:fill="FFFFFF"/>
            <w:noWrap/>
            <w:vAlign w:val="bottom"/>
            <w:hideMark/>
          </w:tcPr>
          <w:p w14:paraId="61BBDE75"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7F522AC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E412E2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759457D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6FA025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5038583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54EDE23" w14:textId="77777777">
        <w:trPr>
          <w:trHeight w:val="250"/>
        </w:trPr>
        <w:tc>
          <w:tcPr>
            <w:tcW w:w="4213" w:type="dxa"/>
            <w:tcBorders>
              <w:top w:val="nil"/>
              <w:left w:val="nil"/>
              <w:bottom w:val="nil"/>
              <w:right w:val="nil"/>
            </w:tcBorders>
            <w:shd w:val="clear" w:color="FFFFFF" w:fill="FFFFFF"/>
            <w:vAlign w:val="bottom"/>
            <w:hideMark/>
          </w:tcPr>
          <w:p w14:paraId="4A6D226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Payables</w:t>
            </w:r>
          </w:p>
        </w:tc>
        <w:tc>
          <w:tcPr>
            <w:tcW w:w="1257" w:type="dxa"/>
            <w:tcBorders>
              <w:top w:val="nil"/>
              <w:left w:val="nil"/>
              <w:bottom w:val="nil"/>
              <w:right w:val="nil"/>
            </w:tcBorders>
            <w:shd w:val="clear" w:color="FFFFFF" w:fill="FFFFFF"/>
            <w:noWrap/>
            <w:vAlign w:val="bottom"/>
            <w:hideMark/>
          </w:tcPr>
          <w:p w14:paraId="57CDE378"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109C5DD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9C7F1F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69B79A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59720C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41D28BE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AF94C64" w14:textId="77777777">
        <w:trPr>
          <w:trHeight w:val="250"/>
        </w:trPr>
        <w:tc>
          <w:tcPr>
            <w:tcW w:w="4213" w:type="dxa"/>
            <w:tcBorders>
              <w:top w:val="nil"/>
              <w:left w:val="nil"/>
              <w:bottom w:val="nil"/>
              <w:right w:val="nil"/>
            </w:tcBorders>
            <w:shd w:val="clear" w:color="FFFFFF" w:fill="FFFFFF"/>
            <w:vAlign w:val="bottom"/>
            <w:hideMark/>
          </w:tcPr>
          <w:p w14:paraId="7DACB2C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Suppliers</w:t>
            </w:r>
          </w:p>
        </w:tc>
        <w:tc>
          <w:tcPr>
            <w:tcW w:w="1257" w:type="dxa"/>
            <w:tcBorders>
              <w:top w:val="nil"/>
              <w:left w:val="nil"/>
              <w:bottom w:val="nil"/>
              <w:right w:val="nil"/>
            </w:tcBorders>
            <w:shd w:val="clear" w:color="FFFFFF" w:fill="FFFFFF"/>
            <w:noWrap/>
            <w:vAlign w:val="bottom"/>
            <w:hideMark/>
          </w:tcPr>
          <w:p w14:paraId="6553D38F"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2.3A</w:t>
            </w:r>
          </w:p>
        </w:tc>
        <w:tc>
          <w:tcPr>
            <w:tcW w:w="1056" w:type="dxa"/>
            <w:tcBorders>
              <w:top w:val="nil"/>
              <w:left w:val="nil"/>
              <w:bottom w:val="nil"/>
              <w:right w:val="nil"/>
            </w:tcBorders>
            <w:shd w:val="clear" w:color="FFFFFF" w:fill="FFFFFF"/>
            <w:noWrap/>
            <w:vAlign w:val="bottom"/>
            <w:hideMark/>
          </w:tcPr>
          <w:p w14:paraId="5BE80F9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594,071</w:t>
            </w:r>
          </w:p>
        </w:tc>
        <w:tc>
          <w:tcPr>
            <w:tcW w:w="236" w:type="dxa"/>
            <w:tcBorders>
              <w:top w:val="nil"/>
              <w:left w:val="nil"/>
              <w:bottom w:val="nil"/>
              <w:right w:val="nil"/>
            </w:tcBorders>
            <w:shd w:val="clear" w:color="FFFFFF" w:fill="FFFFFF"/>
            <w:noWrap/>
            <w:vAlign w:val="bottom"/>
            <w:hideMark/>
          </w:tcPr>
          <w:p w14:paraId="70AB946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0169579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250,705</w:t>
            </w:r>
          </w:p>
        </w:tc>
        <w:tc>
          <w:tcPr>
            <w:tcW w:w="236" w:type="dxa"/>
            <w:tcBorders>
              <w:top w:val="nil"/>
              <w:left w:val="nil"/>
              <w:bottom w:val="nil"/>
              <w:right w:val="nil"/>
            </w:tcBorders>
            <w:shd w:val="clear" w:color="FFFFFF" w:fill="FFFFFF"/>
            <w:noWrap/>
            <w:vAlign w:val="bottom"/>
            <w:hideMark/>
          </w:tcPr>
          <w:p w14:paraId="4151EE6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7F34E31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140,690</w:t>
            </w:r>
          </w:p>
        </w:tc>
      </w:tr>
      <w:tr w:rsidR="00F2518A" w:rsidRPr="007C747A" w14:paraId="1A20A88B" w14:textId="77777777">
        <w:trPr>
          <w:trHeight w:val="250"/>
        </w:trPr>
        <w:tc>
          <w:tcPr>
            <w:tcW w:w="4213" w:type="dxa"/>
            <w:tcBorders>
              <w:top w:val="nil"/>
              <w:left w:val="nil"/>
              <w:bottom w:val="nil"/>
              <w:right w:val="nil"/>
            </w:tcBorders>
            <w:shd w:val="clear" w:color="FFFFFF" w:fill="FFFFFF"/>
            <w:vAlign w:val="bottom"/>
            <w:hideMark/>
          </w:tcPr>
          <w:p w14:paraId="38F45A31"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payables</w:t>
            </w:r>
          </w:p>
        </w:tc>
        <w:tc>
          <w:tcPr>
            <w:tcW w:w="1257" w:type="dxa"/>
            <w:tcBorders>
              <w:top w:val="nil"/>
              <w:left w:val="nil"/>
              <w:bottom w:val="nil"/>
              <w:right w:val="nil"/>
            </w:tcBorders>
            <w:shd w:val="clear" w:color="FFFFFF" w:fill="FFFFFF"/>
            <w:noWrap/>
            <w:vAlign w:val="bottom"/>
            <w:hideMark/>
          </w:tcPr>
          <w:p w14:paraId="1134D6AE"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2.3B</w:t>
            </w:r>
          </w:p>
        </w:tc>
        <w:tc>
          <w:tcPr>
            <w:tcW w:w="1056" w:type="dxa"/>
            <w:tcBorders>
              <w:top w:val="nil"/>
              <w:left w:val="nil"/>
              <w:bottom w:val="nil"/>
              <w:right w:val="nil"/>
            </w:tcBorders>
            <w:shd w:val="clear" w:color="FFFFFF" w:fill="FFFFFF"/>
            <w:noWrap/>
            <w:vAlign w:val="bottom"/>
            <w:hideMark/>
          </w:tcPr>
          <w:p w14:paraId="331C92A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14,410</w:t>
            </w:r>
          </w:p>
        </w:tc>
        <w:tc>
          <w:tcPr>
            <w:tcW w:w="236" w:type="dxa"/>
            <w:tcBorders>
              <w:top w:val="nil"/>
              <w:left w:val="nil"/>
              <w:bottom w:val="nil"/>
              <w:right w:val="nil"/>
            </w:tcBorders>
            <w:shd w:val="clear" w:color="FFFFFF" w:fill="FFFFFF"/>
            <w:noWrap/>
            <w:vAlign w:val="bottom"/>
            <w:hideMark/>
          </w:tcPr>
          <w:p w14:paraId="6A31CD8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13A79AB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10,984</w:t>
            </w:r>
          </w:p>
        </w:tc>
        <w:tc>
          <w:tcPr>
            <w:tcW w:w="236" w:type="dxa"/>
            <w:tcBorders>
              <w:top w:val="nil"/>
              <w:left w:val="nil"/>
              <w:bottom w:val="nil"/>
              <w:right w:val="nil"/>
            </w:tcBorders>
            <w:shd w:val="clear" w:color="FFFFFF" w:fill="FFFFFF"/>
            <w:noWrap/>
            <w:vAlign w:val="bottom"/>
            <w:hideMark/>
          </w:tcPr>
          <w:p w14:paraId="1FE798C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12DBED0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635,550</w:t>
            </w:r>
          </w:p>
        </w:tc>
      </w:tr>
      <w:tr w:rsidR="00F2518A" w:rsidRPr="007C747A" w14:paraId="1F903730" w14:textId="77777777">
        <w:trPr>
          <w:trHeight w:val="250"/>
        </w:trPr>
        <w:tc>
          <w:tcPr>
            <w:tcW w:w="4213" w:type="dxa"/>
            <w:tcBorders>
              <w:top w:val="nil"/>
              <w:left w:val="nil"/>
              <w:bottom w:val="nil"/>
              <w:right w:val="nil"/>
            </w:tcBorders>
            <w:shd w:val="clear" w:color="FFFFFF" w:fill="FFFFFF"/>
            <w:vAlign w:val="bottom"/>
            <w:hideMark/>
          </w:tcPr>
          <w:p w14:paraId="71EE9A2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payables</w:t>
            </w:r>
          </w:p>
        </w:tc>
        <w:tc>
          <w:tcPr>
            <w:tcW w:w="1257" w:type="dxa"/>
            <w:tcBorders>
              <w:top w:val="nil"/>
              <w:left w:val="nil"/>
              <w:bottom w:val="nil"/>
              <w:right w:val="nil"/>
            </w:tcBorders>
            <w:shd w:val="clear" w:color="FFFFFF" w:fill="FFFFFF"/>
            <w:noWrap/>
            <w:vAlign w:val="bottom"/>
            <w:hideMark/>
          </w:tcPr>
          <w:p w14:paraId="699D038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479DADA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608,481</w:t>
            </w:r>
          </w:p>
        </w:tc>
        <w:tc>
          <w:tcPr>
            <w:tcW w:w="236" w:type="dxa"/>
            <w:tcBorders>
              <w:top w:val="nil"/>
              <w:left w:val="nil"/>
              <w:bottom w:val="nil"/>
              <w:right w:val="nil"/>
            </w:tcBorders>
            <w:shd w:val="clear" w:color="FFFFFF" w:fill="FFFFFF"/>
            <w:noWrap/>
            <w:vAlign w:val="bottom"/>
            <w:hideMark/>
          </w:tcPr>
          <w:p w14:paraId="071BEEC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55A445F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261,689</w:t>
            </w:r>
          </w:p>
        </w:tc>
        <w:tc>
          <w:tcPr>
            <w:tcW w:w="236" w:type="dxa"/>
            <w:tcBorders>
              <w:top w:val="nil"/>
              <w:left w:val="nil"/>
              <w:bottom w:val="nil"/>
              <w:right w:val="nil"/>
            </w:tcBorders>
            <w:shd w:val="clear" w:color="FFFFFF" w:fill="FFFFFF"/>
            <w:noWrap/>
            <w:vAlign w:val="bottom"/>
            <w:hideMark/>
          </w:tcPr>
          <w:p w14:paraId="1A1C463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9BE2B4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776,240</w:t>
            </w:r>
          </w:p>
        </w:tc>
      </w:tr>
      <w:tr w:rsidR="00F2518A" w:rsidRPr="007C747A" w14:paraId="79F37DEA" w14:textId="77777777">
        <w:trPr>
          <w:trHeight w:val="250"/>
        </w:trPr>
        <w:tc>
          <w:tcPr>
            <w:tcW w:w="4213" w:type="dxa"/>
            <w:tcBorders>
              <w:top w:val="nil"/>
              <w:left w:val="nil"/>
              <w:bottom w:val="nil"/>
              <w:right w:val="nil"/>
            </w:tcBorders>
            <w:shd w:val="clear" w:color="FFFFFF" w:fill="FFFFFF"/>
            <w:noWrap/>
            <w:vAlign w:val="bottom"/>
            <w:hideMark/>
          </w:tcPr>
          <w:p w14:paraId="7AA1FCD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336D73C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08FEC76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134597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4057FF2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AE4FA8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0D6BC1B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1DFA950" w14:textId="77777777">
        <w:trPr>
          <w:trHeight w:val="250"/>
        </w:trPr>
        <w:tc>
          <w:tcPr>
            <w:tcW w:w="4213" w:type="dxa"/>
            <w:tcBorders>
              <w:top w:val="nil"/>
              <w:left w:val="nil"/>
              <w:bottom w:val="nil"/>
              <w:right w:val="nil"/>
            </w:tcBorders>
            <w:shd w:val="clear" w:color="FFFFFF" w:fill="FFFFFF"/>
            <w:vAlign w:val="bottom"/>
            <w:hideMark/>
          </w:tcPr>
          <w:p w14:paraId="0D32848E"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Interest bearing liabilities</w:t>
            </w:r>
          </w:p>
        </w:tc>
        <w:tc>
          <w:tcPr>
            <w:tcW w:w="1257" w:type="dxa"/>
            <w:tcBorders>
              <w:top w:val="nil"/>
              <w:left w:val="nil"/>
              <w:bottom w:val="nil"/>
              <w:right w:val="nil"/>
            </w:tcBorders>
            <w:shd w:val="clear" w:color="FFFFFF" w:fill="FFFFFF"/>
            <w:noWrap/>
            <w:vAlign w:val="bottom"/>
            <w:hideMark/>
          </w:tcPr>
          <w:p w14:paraId="6613E984"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24F2540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F8F748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3D7637E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B4BA99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20B66F7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53FCE80" w14:textId="77777777">
        <w:trPr>
          <w:trHeight w:val="250"/>
        </w:trPr>
        <w:tc>
          <w:tcPr>
            <w:tcW w:w="4213" w:type="dxa"/>
            <w:tcBorders>
              <w:top w:val="nil"/>
              <w:left w:val="nil"/>
              <w:bottom w:val="nil"/>
              <w:right w:val="nil"/>
            </w:tcBorders>
            <w:shd w:val="clear" w:color="FFFFFF" w:fill="FFFFFF"/>
            <w:vAlign w:val="bottom"/>
            <w:hideMark/>
          </w:tcPr>
          <w:p w14:paraId="4C6F1D8E"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Leases</w:t>
            </w:r>
          </w:p>
        </w:tc>
        <w:tc>
          <w:tcPr>
            <w:tcW w:w="1257" w:type="dxa"/>
            <w:tcBorders>
              <w:top w:val="nil"/>
              <w:left w:val="nil"/>
              <w:bottom w:val="nil"/>
              <w:right w:val="nil"/>
            </w:tcBorders>
            <w:shd w:val="clear" w:color="FFFFFF" w:fill="FFFFFF"/>
            <w:noWrap/>
            <w:vAlign w:val="bottom"/>
            <w:hideMark/>
          </w:tcPr>
          <w:p w14:paraId="5DCDB2F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2.5</w:t>
            </w:r>
          </w:p>
        </w:tc>
        <w:tc>
          <w:tcPr>
            <w:tcW w:w="1056" w:type="dxa"/>
            <w:tcBorders>
              <w:top w:val="nil"/>
              <w:left w:val="nil"/>
              <w:bottom w:val="nil"/>
              <w:right w:val="nil"/>
            </w:tcBorders>
            <w:shd w:val="clear" w:color="FFFFFF" w:fill="FFFFFF"/>
            <w:noWrap/>
            <w:vAlign w:val="bottom"/>
            <w:hideMark/>
          </w:tcPr>
          <w:p w14:paraId="37579A8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147,954</w:t>
            </w:r>
          </w:p>
        </w:tc>
        <w:tc>
          <w:tcPr>
            <w:tcW w:w="236" w:type="dxa"/>
            <w:tcBorders>
              <w:top w:val="nil"/>
              <w:left w:val="nil"/>
              <w:bottom w:val="nil"/>
              <w:right w:val="nil"/>
            </w:tcBorders>
            <w:shd w:val="clear" w:color="FFFFFF" w:fill="FFFFFF"/>
            <w:noWrap/>
            <w:vAlign w:val="bottom"/>
            <w:hideMark/>
          </w:tcPr>
          <w:p w14:paraId="36CFFCF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4296ED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156,897</w:t>
            </w:r>
          </w:p>
        </w:tc>
        <w:tc>
          <w:tcPr>
            <w:tcW w:w="236" w:type="dxa"/>
            <w:tcBorders>
              <w:top w:val="nil"/>
              <w:left w:val="nil"/>
              <w:bottom w:val="nil"/>
              <w:right w:val="nil"/>
            </w:tcBorders>
            <w:shd w:val="clear" w:color="FFFFFF" w:fill="FFFFFF"/>
            <w:noWrap/>
            <w:vAlign w:val="bottom"/>
            <w:hideMark/>
          </w:tcPr>
          <w:p w14:paraId="248E34C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7E8A933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163,325</w:t>
            </w:r>
          </w:p>
        </w:tc>
      </w:tr>
      <w:tr w:rsidR="00F2518A" w:rsidRPr="007C747A" w14:paraId="3F20D9B1" w14:textId="77777777">
        <w:trPr>
          <w:trHeight w:val="250"/>
        </w:trPr>
        <w:tc>
          <w:tcPr>
            <w:tcW w:w="4213" w:type="dxa"/>
            <w:tcBorders>
              <w:top w:val="nil"/>
              <w:left w:val="nil"/>
              <w:bottom w:val="nil"/>
              <w:right w:val="nil"/>
            </w:tcBorders>
            <w:shd w:val="clear" w:color="FFFFFF" w:fill="FFFFFF"/>
            <w:vAlign w:val="bottom"/>
            <w:hideMark/>
          </w:tcPr>
          <w:p w14:paraId="1BE1CCA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interest bearing liabilities</w:t>
            </w:r>
          </w:p>
        </w:tc>
        <w:tc>
          <w:tcPr>
            <w:tcW w:w="1257" w:type="dxa"/>
            <w:tcBorders>
              <w:top w:val="nil"/>
              <w:left w:val="nil"/>
              <w:bottom w:val="nil"/>
              <w:right w:val="nil"/>
            </w:tcBorders>
            <w:shd w:val="clear" w:color="FFFFFF" w:fill="FFFFFF"/>
            <w:noWrap/>
            <w:vAlign w:val="bottom"/>
            <w:hideMark/>
          </w:tcPr>
          <w:p w14:paraId="40751FC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6851BBF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147,954</w:t>
            </w:r>
          </w:p>
        </w:tc>
        <w:tc>
          <w:tcPr>
            <w:tcW w:w="236" w:type="dxa"/>
            <w:tcBorders>
              <w:top w:val="nil"/>
              <w:left w:val="nil"/>
              <w:bottom w:val="nil"/>
              <w:right w:val="nil"/>
            </w:tcBorders>
            <w:shd w:val="clear" w:color="FFFFFF" w:fill="FFFFFF"/>
            <w:noWrap/>
            <w:vAlign w:val="bottom"/>
            <w:hideMark/>
          </w:tcPr>
          <w:p w14:paraId="22A59B7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464949A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156,897</w:t>
            </w:r>
          </w:p>
        </w:tc>
        <w:tc>
          <w:tcPr>
            <w:tcW w:w="236" w:type="dxa"/>
            <w:tcBorders>
              <w:top w:val="nil"/>
              <w:left w:val="nil"/>
              <w:bottom w:val="nil"/>
              <w:right w:val="nil"/>
            </w:tcBorders>
            <w:shd w:val="clear" w:color="FFFFFF" w:fill="FFFFFF"/>
            <w:noWrap/>
            <w:vAlign w:val="bottom"/>
            <w:hideMark/>
          </w:tcPr>
          <w:p w14:paraId="049B01A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99A4A4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163,325</w:t>
            </w:r>
          </w:p>
        </w:tc>
      </w:tr>
      <w:tr w:rsidR="00F2518A" w:rsidRPr="007C747A" w14:paraId="568BDDF8" w14:textId="77777777">
        <w:trPr>
          <w:trHeight w:val="250"/>
        </w:trPr>
        <w:tc>
          <w:tcPr>
            <w:tcW w:w="4213" w:type="dxa"/>
            <w:tcBorders>
              <w:top w:val="nil"/>
              <w:left w:val="nil"/>
              <w:bottom w:val="nil"/>
              <w:right w:val="nil"/>
            </w:tcBorders>
            <w:shd w:val="clear" w:color="FFFFFF" w:fill="FFFFFF"/>
            <w:noWrap/>
            <w:vAlign w:val="bottom"/>
            <w:hideMark/>
          </w:tcPr>
          <w:p w14:paraId="6A4C28D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06C80CF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43A6041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2F7040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963349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DE4BAA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ADA5F6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E3A0567" w14:textId="77777777">
        <w:trPr>
          <w:trHeight w:val="250"/>
        </w:trPr>
        <w:tc>
          <w:tcPr>
            <w:tcW w:w="4213" w:type="dxa"/>
            <w:tcBorders>
              <w:top w:val="nil"/>
              <w:left w:val="nil"/>
              <w:bottom w:val="nil"/>
              <w:right w:val="nil"/>
            </w:tcBorders>
            <w:shd w:val="clear" w:color="FFFFFF" w:fill="FFFFFF"/>
            <w:vAlign w:val="bottom"/>
            <w:hideMark/>
          </w:tcPr>
          <w:p w14:paraId="4ECF593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Unearned revenue</w:t>
            </w:r>
          </w:p>
        </w:tc>
        <w:tc>
          <w:tcPr>
            <w:tcW w:w="1257" w:type="dxa"/>
            <w:tcBorders>
              <w:top w:val="nil"/>
              <w:left w:val="nil"/>
              <w:bottom w:val="nil"/>
              <w:right w:val="nil"/>
            </w:tcBorders>
            <w:shd w:val="clear" w:color="FFFFFF" w:fill="FFFFFF"/>
            <w:noWrap/>
            <w:vAlign w:val="bottom"/>
            <w:hideMark/>
          </w:tcPr>
          <w:p w14:paraId="039EA94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78D13D9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E34D58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1BF03F5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ABA8EE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1209D4E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E4FFB48" w14:textId="77777777">
        <w:trPr>
          <w:trHeight w:val="268"/>
        </w:trPr>
        <w:tc>
          <w:tcPr>
            <w:tcW w:w="4213" w:type="dxa"/>
            <w:tcBorders>
              <w:top w:val="nil"/>
              <w:left w:val="nil"/>
              <w:bottom w:val="nil"/>
              <w:right w:val="nil"/>
            </w:tcBorders>
            <w:shd w:val="clear" w:color="FFFFFF" w:fill="FFFFFF"/>
            <w:vAlign w:val="bottom"/>
            <w:hideMark/>
          </w:tcPr>
          <w:p w14:paraId="32EE059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Unearned revenue</w:t>
            </w:r>
          </w:p>
        </w:tc>
        <w:tc>
          <w:tcPr>
            <w:tcW w:w="1257" w:type="dxa"/>
            <w:tcBorders>
              <w:top w:val="nil"/>
              <w:left w:val="nil"/>
              <w:bottom w:val="nil"/>
              <w:right w:val="nil"/>
            </w:tcBorders>
            <w:shd w:val="clear" w:color="FFFFFF" w:fill="FFFFFF"/>
            <w:noWrap/>
            <w:vAlign w:val="bottom"/>
            <w:hideMark/>
          </w:tcPr>
          <w:p w14:paraId="7058CB5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2.4</w:t>
            </w:r>
          </w:p>
        </w:tc>
        <w:tc>
          <w:tcPr>
            <w:tcW w:w="1056" w:type="dxa"/>
            <w:tcBorders>
              <w:top w:val="nil"/>
              <w:left w:val="nil"/>
              <w:bottom w:val="nil"/>
              <w:right w:val="nil"/>
            </w:tcBorders>
            <w:shd w:val="clear" w:color="FFFFFF" w:fill="FFFFFF"/>
            <w:noWrap/>
            <w:vAlign w:val="bottom"/>
            <w:hideMark/>
          </w:tcPr>
          <w:p w14:paraId="197DBAE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506,442</w:t>
            </w:r>
          </w:p>
        </w:tc>
        <w:tc>
          <w:tcPr>
            <w:tcW w:w="236" w:type="dxa"/>
            <w:tcBorders>
              <w:top w:val="nil"/>
              <w:left w:val="nil"/>
              <w:bottom w:val="nil"/>
              <w:right w:val="nil"/>
            </w:tcBorders>
            <w:shd w:val="clear" w:color="FFFFFF" w:fill="FFFFFF"/>
            <w:noWrap/>
            <w:vAlign w:val="bottom"/>
            <w:hideMark/>
          </w:tcPr>
          <w:p w14:paraId="0776D70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7522FA9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477,070</w:t>
            </w:r>
          </w:p>
        </w:tc>
        <w:tc>
          <w:tcPr>
            <w:tcW w:w="236" w:type="dxa"/>
            <w:tcBorders>
              <w:top w:val="nil"/>
              <w:left w:val="nil"/>
              <w:bottom w:val="nil"/>
              <w:right w:val="nil"/>
            </w:tcBorders>
            <w:shd w:val="clear" w:color="FFFFFF" w:fill="FFFFFF"/>
            <w:noWrap/>
            <w:vAlign w:val="bottom"/>
            <w:hideMark/>
          </w:tcPr>
          <w:p w14:paraId="59F503D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27A05E5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F2518A" w:rsidRPr="007C747A" w14:paraId="3EABA739" w14:textId="77777777">
        <w:trPr>
          <w:trHeight w:val="268"/>
        </w:trPr>
        <w:tc>
          <w:tcPr>
            <w:tcW w:w="4213" w:type="dxa"/>
            <w:tcBorders>
              <w:top w:val="nil"/>
              <w:left w:val="nil"/>
              <w:bottom w:val="nil"/>
              <w:right w:val="nil"/>
            </w:tcBorders>
            <w:shd w:val="clear" w:color="FFFFFF" w:fill="FFFFFF"/>
            <w:vAlign w:val="bottom"/>
            <w:hideMark/>
          </w:tcPr>
          <w:p w14:paraId="6D67E48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unearned revenue</w:t>
            </w:r>
          </w:p>
        </w:tc>
        <w:tc>
          <w:tcPr>
            <w:tcW w:w="1257" w:type="dxa"/>
            <w:tcBorders>
              <w:top w:val="nil"/>
              <w:left w:val="nil"/>
              <w:bottom w:val="nil"/>
              <w:right w:val="nil"/>
            </w:tcBorders>
            <w:shd w:val="clear" w:color="FFFFFF" w:fill="FFFFFF"/>
            <w:noWrap/>
            <w:vAlign w:val="bottom"/>
            <w:hideMark/>
          </w:tcPr>
          <w:p w14:paraId="45B6F40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16BD448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506,442</w:t>
            </w:r>
          </w:p>
        </w:tc>
        <w:tc>
          <w:tcPr>
            <w:tcW w:w="236" w:type="dxa"/>
            <w:tcBorders>
              <w:top w:val="nil"/>
              <w:left w:val="nil"/>
              <w:bottom w:val="nil"/>
              <w:right w:val="nil"/>
            </w:tcBorders>
            <w:shd w:val="clear" w:color="FFFFFF" w:fill="FFFFFF"/>
            <w:noWrap/>
            <w:vAlign w:val="bottom"/>
            <w:hideMark/>
          </w:tcPr>
          <w:p w14:paraId="75F9E20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0E61063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477,070</w:t>
            </w:r>
          </w:p>
        </w:tc>
        <w:tc>
          <w:tcPr>
            <w:tcW w:w="236" w:type="dxa"/>
            <w:tcBorders>
              <w:top w:val="nil"/>
              <w:left w:val="nil"/>
              <w:bottom w:val="nil"/>
              <w:right w:val="nil"/>
            </w:tcBorders>
            <w:shd w:val="clear" w:color="FFFFFF" w:fill="FFFFFF"/>
            <w:noWrap/>
            <w:vAlign w:val="bottom"/>
            <w:hideMark/>
          </w:tcPr>
          <w:p w14:paraId="3B38B74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9DB572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F2518A" w:rsidRPr="007C747A" w14:paraId="7CA6F78B" w14:textId="77777777">
        <w:trPr>
          <w:trHeight w:val="268"/>
        </w:trPr>
        <w:tc>
          <w:tcPr>
            <w:tcW w:w="4213" w:type="dxa"/>
            <w:tcBorders>
              <w:top w:val="nil"/>
              <w:left w:val="nil"/>
              <w:bottom w:val="nil"/>
              <w:right w:val="nil"/>
            </w:tcBorders>
            <w:shd w:val="clear" w:color="FFFFFF" w:fill="FFFFFF"/>
            <w:vAlign w:val="bottom"/>
            <w:hideMark/>
          </w:tcPr>
          <w:p w14:paraId="5A3AFBB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23D681CE"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773E80C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3DEE39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08CE634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0C3C74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21C0CDE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34BFC327" w14:textId="77777777">
        <w:trPr>
          <w:trHeight w:val="250"/>
        </w:trPr>
        <w:tc>
          <w:tcPr>
            <w:tcW w:w="4213" w:type="dxa"/>
            <w:tcBorders>
              <w:top w:val="nil"/>
              <w:left w:val="nil"/>
              <w:bottom w:val="nil"/>
              <w:right w:val="nil"/>
            </w:tcBorders>
            <w:shd w:val="clear" w:color="FFFFFF" w:fill="FFFFFF"/>
            <w:vAlign w:val="bottom"/>
            <w:hideMark/>
          </w:tcPr>
          <w:p w14:paraId="2C73824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Provisions</w:t>
            </w:r>
          </w:p>
        </w:tc>
        <w:tc>
          <w:tcPr>
            <w:tcW w:w="1257" w:type="dxa"/>
            <w:tcBorders>
              <w:top w:val="nil"/>
              <w:left w:val="nil"/>
              <w:bottom w:val="nil"/>
              <w:right w:val="nil"/>
            </w:tcBorders>
            <w:shd w:val="clear" w:color="FFFFFF" w:fill="FFFFFF"/>
            <w:noWrap/>
            <w:vAlign w:val="bottom"/>
            <w:hideMark/>
          </w:tcPr>
          <w:p w14:paraId="665A0ED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27F87CF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2DFCDC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5EE70DC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108A97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245A3C1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2CD1714" w14:textId="77777777">
        <w:trPr>
          <w:trHeight w:val="250"/>
        </w:trPr>
        <w:tc>
          <w:tcPr>
            <w:tcW w:w="4213" w:type="dxa"/>
            <w:tcBorders>
              <w:top w:val="nil"/>
              <w:left w:val="nil"/>
              <w:bottom w:val="nil"/>
              <w:right w:val="nil"/>
            </w:tcBorders>
            <w:shd w:val="clear" w:color="FFFFFF" w:fill="FFFFFF"/>
            <w:vAlign w:val="bottom"/>
            <w:hideMark/>
          </w:tcPr>
          <w:p w14:paraId="3BAE7A9F"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Employee leave provisions</w:t>
            </w:r>
          </w:p>
        </w:tc>
        <w:tc>
          <w:tcPr>
            <w:tcW w:w="1257" w:type="dxa"/>
            <w:tcBorders>
              <w:top w:val="nil"/>
              <w:left w:val="nil"/>
              <w:bottom w:val="nil"/>
              <w:right w:val="nil"/>
            </w:tcBorders>
            <w:shd w:val="clear" w:color="FFFFFF" w:fill="FFFFFF"/>
            <w:noWrap/>
            <w:vAlign w:val="bottom"/>
            <w:hideMark/>
          </w:tcPr>
          <w:p w14:paraId="2FA2FC3B"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1AB32E7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109,210</w:t>
            </w:r>
          </w:p>
        </w:tc>
        <w:tc>
          <w:tcPr>
            <w:tcW w:w="236" w:type="dxa"/>
            <w:tcBorders>
              <w:top w:val="nil"/>
              <w:left w:val="nil"/>
              <w:bottom w:val="nil"/>
              <w:right w:val="nil"/>
            </w:tcBorders>
            <w:shd w:val="clear" w:color="FFFFFF" w:fill="FFFFFF"/>
            <w:noWrap/>
            <w:vAlign w:val="bottom"/>
            <w:hideMark/>
          </w:tcPr>
          <w:p w14:paraId="670951B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B90707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97,943</w:t>
            </w:r>
          </w:p>
        </w:tc>
        <w:tc>
          <w:tcPr>
            <w:tcW w:w="236" w:type="dxa"/>
            <w:tcBorders>
              <w:top w:val="nil"/>
              <w:left w:val="nil"/>
              <w:bottom w:val="nil"/>
              <w:right w:val="nil"/>
            </w:tcBorders>
            <w:shd w:val="clear" w:color="FFFFFF" w:fill="FFFFFF"/>
            <w:noWrap/>
            <w:vAlign w:val="bottom"/>
            <w:hideMark/>
          </w:tcPr>
          <w:p w14:paraId="1F3815D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45A9EBE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98,250</w:t>
            </w:r>
          </w:p>
        </w:tc>
      </w:tr>
      <w:tr w:rsidR="00F2518A" w:rsidRPr="007C747A" w14:paraId="52CCAD8F" w14:textId="77777777">
        <w:trPr>
          <w:trHeight w:val="250"/>
        </w:trPr>
        <w:tc>
          <w:tcPr>
            <w:tcW w:w="4213" w:type="dxa"/>
            <w:tcBorders>
              <w:top w:val="nil"/>
              <w:left w:val="nil"/>
              <w:bottom w:val="nil"/>
              <w:right w:val="nil"/>
            </w:tcBorders>
            <w:shd w:val="clear" w:color="FFFFFF" w:fill="FFFFFF"/>
            <w:vAlign w:val="bottom"/>
            <w:hideMark/>
          </w:tcPr>
          <w:p w14:paraId="30FB194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Participant plan provisions</w:t>
            </w:r>
          </w:p>
        </w:tc>
        <w:tc>
          <w:tcPr>
            <w:tcW w:w="1257" w:type="dxa"/>
            <w:tcBorders>
              <w:top w:val="nil"/>
              <w:left w:val="nil"/>
              <w:bottom w:val="nil"/>
              <w:right w:val="nil"/>
            </w:tcBorders>
            <w:shd w:val="clear" w:color="FFFFFF" w:fill="FFFFFF"/>
            <w:noWrap/>
            <w:vAlign w:val="bottom"/>
            <w:hideMark/>
          </w:tcPr>
          <w:p w14:paraId="2C05AFC8"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2.6</w:t>
            </w:r>
          </w:p>
        </w:tc>
        <w:tc>
          <w:tcPr>
            <w:tcW w:w="1056" w:type="dxa"/>
            <w:tcBorders>
              <w:top w:val="nil"/>
              <w:left w:val="nil"/>
              <w:bottom w:val="nil"/>
              <w:right w:val="nil"/>
            </w:tcBorders>
            <w:shd w:val="clear" w:color="FFFFFF" w:fill="FFFFFF"/>
            <w:noWrap/>
            <w:vAlign w:val="bottom"/>
            <w:hideMark/>
          </w:tcPr>
          <w:p w14:paraId="7135503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1,948,638</w:t>
            </w:r>
          </w:p>
        </w:tc>
        <w:tc>
          <w:tcPr>
            <w:tcW w:w="236" w:type="dxa"/>
            <w:tcBorders>
              <w:top w:val="nil"/>
              <w:left w:val="nil"/>
              <w:bottom w:val="nil"/>
              <w:right w:val="nil"/>
            </w:tcBorders>
            <w:shd w:val="clear" w:color="FFFFFF" w:fill="FFFFFF"/>
            <w:noWrap/>
            <w:vAlign w:val="bottom"/>
            <w:hideMark/>
          </w:tcPr>
          <w:p w14:paraId="25532F8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035387C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1,963,712</w:t>
            </w:r>
          </w:p>
        </w:tc>
        <w:tc>
          <w:tcPr>
            <w:tcW w:w="236" w:type="dxa"/>
            <w:tcBorders>
              <w:top w:val="nil"/>
              <w:left w:val="nil"/>
              <w:bottom w:val="nil"/>
              <w:right w:val="nil"/>
            </w:tcBorders>
            <w:shd w:val="clear" w:color="FFFFFF" w:fill="FFFFFF"/>
            <w:noWrap/>
            <w:vAlign w:val="bottom"/>
            <w:hideMark/>
          </w:tcPr>
          <w:p w14:paraId="368D353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2402B5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2,940,149</w:t>
            </w:r>
          </w:p>
        </w:tc>
      </w:tr>
      <w:tr w:rsidR="00F2518A" w:rsidRPr="007C747A" w14:paraId="4659670D" w14:textId="77777777">
        <w:trPr>
          <w:trHeight w:val="250"/>
        </w:trPr>
        <w:tc>
          <w:tcPr>
            <w:tcW w:w="4213" w:type="dxa"/>
            <w:tcBorders>
              <w:top w:val="nil"/>
              <w:left w:val="nil"/>
              <w:bottom w:val="nil"/>
              <w:right w:val="nil"/>
            </w:tcBorders>
            <w:shd w:val="clear" w:color="FFFFFF" w:fill="FFFFFF"/>
            <w:vAlign w:val="bottom"/>
            <w:hideMark/>
          </w:tcPr>
          <w:p w14:paraId="112B1CD2"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Provision for provider additional costs</w:t>
            </w:r>
          </w:p>
        </w:tc>
        <w:tc>
          <w:tcPr>
            <w:tcW w:w="1257" w:type="dxa"/>
            <w:tcBorders>
              <w:top w:val="nil"/>
              <w:left w:val="nil"/>
              <w:bottom w:val="nil"/>
              <w:right w:val="nil"/>
            </w:tcBorders>
            <w:shd w:val="clear" w:color="FFFFFF" w:fill="FFFFFF"/>
            <w:noWrap/>
            <w:vAlign w:val="bottom"/>
            <w:hideMark/>
          </w:tcPr>
          <w:p w14:paraId="3DFD5DE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2.6</w:t>
            </w:r>
          </w:p>
        </w:tc>
        <w:tc>
          <w:tcPr>
            <w:tcW w:w="1056" w:type="dxa"/>
            <w:tcBorders>
              <w:top w:val="nil"/>
              <w:left w:val="nil"/>
              <w:bottom w:val="nil"/>
              <w:right w:val="nil"/>
            </w:tcBorders>
            <w:shd w:val="clear" w:color="FFFFFF" w:fill="FFFFFF"/>
            <w:noWrap/>
            <w:vAlign w:val="bottom"/>
            <w:hideMark/>
          </w:tcPr>
          <w:p w14:paraId="3C08814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2D5414C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0DAEC30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475,644</w:t>
            </w:r>
          </w:p>
        </w:tc>
        <w:tc>
          <w:tcPr>
            <w:tcW w:w="236" w:type="dxa"/>
            <w:tcBorders>
              <w:top w:val="nil"/>
              <w:left w:val="nil"/>
              <w:bottom w:val="nil"/>
              <w:right w:val="nil"/>
            </w:tcBorders>
            <w:shd w:val="clear" w:color="FFFFFF" w:fill="FFFFFF"/>
            <w:noWrap/>
            <w:vAlign w:val="bottom"/>
            <w:hideMark/>
          </w:tcPr>
          <w:p w14:paraId="047DCDF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95393C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F2518A" w:rsidRPr="007C747A" w14:paraId="77DA1D5A" w14:textId="77777777">
        <w:trPr>
          <w:trHeight w:val="250"/>
        </w:trPr>
        <w:tc>
          <w:tcPr>
            <w:tcW w:w="4213" w:type="dxa"/>
            <w:tcBorders>
              <w:top w:val="nil"/>
              <w:left w:val="nil"/>
              <w:bottom w:val="nil"/>
              <w:right w:val="nil"/>
            </w:tcBorders>
            <w:shd w:val="clear" w:color="FFFFFF" w:fill="FFFFFF"/>
            <w:vAlign w:val="bottom"/>
            <w:hideMark/>
          </w:tcPr>
          <w:p w14:paraId="6ED3402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Provision for restoration obligations</w:t>
            </w:r>
          </w:p>
        </w:tc>
        <w:tc>
          <w:tcPr>
            <w:tcW w:w="1257" w:type="dxa"/>
            <w:tcBorders>
              <w:top w:val="nil"/>
              <w:left w:val="nil"/>
              <w:bottom w:val="nil"/>
              <w:right w:val="nil"/>
            </w:tcBorders>
            <w:shd w:val="clear" w:color="FFFFFF" w:fill="FFFFFF"/>
            <w:noWrap/>
            <w:vAlign w:val="bottom"/>
            <w:hideMark/>
          </w:tcPr>
          <w:p w14:paraId="3951F21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2.6</w:t>
            </w:r>
          </w:p>
        </w:tc>
        <w:tc>
          <w:tcPr>
            <w:tcW w:w="1056" w:type="dxa"/>
            <w:tcBorders>
              <w:top w:val="nil"/>
              <w:left w:val="nil"/>
              <w:bottom w:val="nil"/>
              <w:right w:val="nil"/>
            </w:tcBorders>
            <w:shd w:val="clear" w:color="FFFFFF" w:fill="FFFFFF"/>
            <w:noWrap/>
            <w:vAlign w:val="bottom"/>
            <w:hideMark/>
          </w:tcPr>
          <w:p w14:paraId="17C20E7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5,936</w:t>
            </w:r>
          </w:p>
        </w:tc>
        <w:tc>
          <w:tcPr>
            <w:tcW w:w="236" w:type="dxa"/>
            <w:tcBorders>
              <w:top w:val="nil"/>
              <w:left w:val="nil"/>
              <w:bottom w:val="nil"/>
              <w:right w:val="nil"/>
            </w:tcBorders>
            <w:shd w:val="clear" w:color="FFFFFF" w:fill="FFFFFF"/>
            <w:noWrap/>
            <w:vAlign w:val="bottom"/>
            <w:hideMark/>
          </w:tcPr>
          <w:p w14:paraId="0AB0B89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38A6C49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7,301</w:t>
            </w:r>
          </w:p>
        </w:tc>
        <w:tc>
          <w:tcPr>
            <w:tcW w:w="236" w:type="dxa"/>
            <w:tcBorders>
              <w:top w:val="nil"/>
              <w:left w:val="nil"/>
              <w:bottom w:val="nil"/>
              <w:right w:val="nil"/>
            </w:tcBorders>
            <w:shd w:val="clear" w:color="FFFFFF" w:fill="FFFFFF"/>
            <w:noWrap/>
            <w:vAlign w:val="bottom"/>
            <w:hideMark/>
          </w:tcPr>
          <w:p w14:paraId="70D083C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0A5B9E7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7,855</w:t>
            </w:r>
          </w:p>
        </w:tc>
      </w:tr>
      <w:tr w:rsidR="00F2518A" w:rsidRPr="007C747A" w14:paraId="0D78E554" w14:textId="77777777">
        <w:trPr>
          <w:trHeight w:val="250"/>
        </w:trPr>
        <w:tc>
          <w:tcPr>
            <w:tcW w:w="4213" w:type="dxa"/>
            <w:tcBorders>
              <w:top w:val="nil"/>
              <w:left w:val="nil"/>
              <w:bottom w:val="nil"/>
              <w:right w:val="nil"/>
            </w:tcBorders>
            <w:shd w:val="clear" w:color="FFFFFF" w:fill="FFFFFF"/>
            <w:vAlign w:val="bottom"/>
            <w:hideMark/>
          </w:tcPr>
          <w:p w14:paraId="05A510C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provisions</w:t>
            </w:r>
          </w:p>
        </w:tc>
        <w:tc>
          <w:tcPr>
            <w:tcW w:w="1257" w:type="dxa"/>
            <w:tcBorders>
              <w:top w:val="nil"/>
              <w:left w:val="nil"/>
              <w:bottom w:val="nil"/>
              <w:right w:val="nil"/>
            </w:tcBorders>
            <w:shd w:val="clear" w:color="FFFFFF" w:fill="FFFFFF"/>
            <w:noWrap/>
            <w:vAlign w:val="bottom"/>
            <w:hideMark/>
          </w:tcPr>
          <w:p w14:paraId="2880E77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743CF69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2,063,784</w:t>
            </w:r>
          </w:p>
        </w:tc>
        <w:tc>
          <w:tcPr>
            <w:tcW w:w="236" w:type="dxa"/>
            <w:tcBorders>
              <w:top w:val="nil"/>
              <w:left w:val="nil"/>
              <w:bottom w:val="nil"/>
              <w:right w:val="nil"/>
            </w:tcBorders>
            <w:shd w:val="clear" w:color="FFFFFF" w:fill="FFFFFF"/>
            <w:noWrap/>
            <w:vAlign w:val="bottom"/>
            <w:hideMark/>
          </w:tcPr>
          <w:p w14:paraId="61CD767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2247A60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2,544,600</w:t>
            </w:r>
          </w:p>
        </w:tc>
        <w:tc>
          <w:tcPr>
            <w:tcW w:w="236" w:type="dxa"/>
            <w:tcBorders>
              <w:top w:val="nil"/>
              <w:left w:val="nil"/>
              <w:bottom w:val="nil"/>
              <w:right w:val="nil"/>
            </w:tcBorders>
            <w:shd w:val="clear" w:color="FFFFFF" w:fill="FFFFFF"/>
            <w:noWrap/>
            <w:vAlign w:val="bottom"/>
            <w:hideMark/>
          </w:tcPr>
          <w:p w14:paraId="31BA183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B40BBF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3,046,254</w:t>
            </w:r>
          </w:p>
        </w:tc>
      </w:tr>
      <w:tr w:rsidR="00F2518A" w:rsidRPr="007C747A" w14:paraId="660FB930" w14:textId="77777777">
        <w:trPr>
          <w:trHeight w:val="250"/>
        </w:trPr>
        <w:tc>
          <w:tcPr>
            <w:tcW w:w="4213" w:type="dxa"/>
            <w:tcBorders>
              <w:top w:val="nil"/>
              <w:left w:val="nil"/>
              <w:bottom w:val="nil"/>
              <w:right w:val="nil"/>
            </w:tcBorders>
            <w:shd w:val="clear" w:color="FFFFFF" w:fill="FFFFFF"/>
            <w:vAlign w:val="bottom"/>
            <w:hideMark/>
          </w:tcPr>
          <w:p w14:paraId="72028A2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6679D9D2"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6BA6323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1E15B8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1D80DAC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354E4F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1AE1DE0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4A3D95C" w14:textId="77777777">
        <w:trPr>
          <w:trHeight w:val="250"/>
        </w:trPr>
        <w:tc>
          <w:tcPr>
            <w:tcW w:w="4213" w:type="dxa"/>
            <w:tcBorders>
              <w:top w:val="nil"/>
              <w:left w:val="nil"/>
              <w:bottom w:val="nil"/>
              <w:right w:val="nil"/>
            </w:tcBorders>
            <w:shd w:val="clear" w:color="FFFFFF" w:fill="FFFFFF"/>
            <w:vAlign w:val="bottom"/>
            <w:hideMark/>
          </w:tcPr>
          <w:p w14:paraId="04404FF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liabilities</w:t>
            </w:r>
          </w:p>
        </w:tc>
        <w:tc>
          <w:tcPr>
            <w:tcW w:w="1257" w:type="dxa"/>
            <w:tcBorders>
              <w:top w:val="nil"/>
              <w:left w:val="nil"/>
              <w:bottom w:val="nil"/>
              <w:right w:val="nil"/>
            </w:tcBorders>
            <w:shd w:val="clear" w:color="FFFFFF" w:fill="FFFFFF"/>
            <w:noWrap/>
            <w:vAlign w:val="bottom"/>
            <w:hideMark/>
          </w:tcPr>
          <w:p w14:paraId="32477A70"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7B30E2C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3,326,661</w:t>
            </w:r>
          </w:p>
        </w:tc>
        <w:tc>
          <w:tcPr>
            <w:tcW w:w="236" w:type="dxa"/>
            <w:tcBorders>
              <w:top w:val="nil"/>
              <w:left w:val="nil"/>
              <w:bottom w:val="nil"/>
              <w:right w:val="nil"/>
            </w:tcBorders>
            <w:shd w:val="clear" w:color="FFFFFF" w:fill="FFFFFF"/>
            <w:noWrap/>
            <w:vAlign w:val="bottom"/>
            <w:hideMark/>
          </w:tcPr>
          <w:p w14:paraId="1D786F5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30552DD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3,440,256</w:t>
            </w:r>
          </w:p>
        </w:tc>
        <w:tc>
          <w:tcPr>
            <w:tcW w:w="236" w:type="dxa"/>
            <w:tcBorders>
              <w:top w:val="nil"/>
              <w:left w:val="nil"/>
              <w:bottom w:val="nil"/>
              <w:right w:val="nil"/>
            </w:tcBorders>
            <w:shd w:val="clear" w:color="FFFFFF" w:fill="FFFFFF"/>
            <w:noWrap/>
            <w:vAlign w:val="bottom"/>
            <w:hideMark/>
          </w:tcPr>
          <w:p w14:paraId="4ECD1A0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2D6D495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3,985,819</w:t>
            </w:r>
          </w:p>
        </w:tc>
      </w:tr>
      <w:tr w:rsidR="00F2518A" w:rsidRPr="007C747A" w14:paraId="064D6FBF" w14:textId="77777777">
        <w:trPr>
          <w:trHeight w:val="250"/>
        </w:trPr>
        <w:tc>
          <w:tcPr>
            <w:tcW w:w="4213" w:type="dxa"/>
            <w:tcBorders>
              <w:top w:val="nil"/>
              <w:left w:val="nil"/>
              <w:bottom w:val="nil"/>
              <w:right w:val="nil"/>
            </w:tcBorders>
            <w:shd w:val="clear" w:color="FFFFFF" w:fill="FFFFFF"/>
            <w:vAlign w:val="bottom"/>
            <w:hideMark/>
          </w:tcPr>
          <w:p w14:paraId="2CD68C3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assets</w:t>
            </w:r>
          </w:p>
        </w:tc>
        <w:tc>
          <w:tcPr>
            <w:tcW w:w="1257" w:type="dxa"/>
            <w:tcBorders>
              <w:top w:val="nil"/>
              <w:left w:val="nil"/>
              <w:bottom w:val="nil"/>
              <w:right w:val="nil"/>
            </w:tcBorders>
            <w:shd w:val="clear" w:color="FFFFFF" w:fill="FFFFFF"/>
            <w:noWrap/>
            <w:vAlign w:val="bottom"/>
            <w:hideMark/>
          </w:tcPr>
          <w:p w14:paraId="3DCD119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single" w:sz="4" w:space="0" w:color="auto"/>
              <w:right w:val="nil"/>
            </w:tcBorders>
            <w:shd w:val="clear" w:color="FFFFFF" w:fill="FFFFFF"/>
            <w:noWrap/>
            <w:vAlign w:val="bottom"/>
            <w:hideMark/>
          </w:tcPr>
          <w:p w14:paraId="7F29776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1,276,257</w:t>
            </w:r>
          </w:p>
        </w:tc>
        <w:tc>
          <w:tcPr>
            <w:tcW w:w="236" w:type="dxa"/>
            <w:tcBorders>
              <w:top w:val="nil"/>
              <w:left w:val="nil"/>
              <w:bottom w:val="nil"/>
              <w:right w:val="nil"/>
            </w:tcBorders>
            <w:shd w:val="clear" w:color="FFFFFF" w:fill="FFFFFF"/>
            <w:noWrap/>
            <w:vAlign w:val="bottom"/>
            <w:hideMark/>
          </w:tcPr>
          <w:p w14:paraId="74D642D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single" w:sz="4" w:space="0" w:color="auto"/>
              <w:right w:val="nil"/>
            </w:tcBorders>
            <w:shd w:val="clear" w:color="FFFFFF" w:fill="FFFFFF"/>
            <w:noWrap/>
            <w:vAlign w:val="bottom"/>
            <w:hideMark/>
          </w:tcPr>
          <w:p w14:paraId="5ACF3AB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1,244,089</w:t>
            </w:r>
          </w:p>
        </w:tc>
        <w:tc>
          <w:tcPr>
            <w:tcW w:w="236" w:type="dxa"/>
            <w:tcBorders>
              <w:top w:val="nil"/>
              <w:left w:val="nil"/>
              <w:bottom w:val="nil"/>
              <w:right w:val="nil"/>
            </w:tcBorders>
            <w:shd w:val="clear" w:color="FFFFFF" w:fill="FFFFFF"/>
            <w:noWrap/>
            <w:vAlign w:val="bottom"/>
            <w:hideMark/>
          </w:tcPr>
          <w:p w14:paraId="5B0BC3F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single" w:sz="4" w:space="0" w:color="auto"/>
              <w:right w:val="nil"/>
            </w:tcBorders>
            <w:shd w:val="clear" w:color="FFFFFF" w:fill="FFFFFF"/>
            <w:noWrap/>
            <w:vAlign w:val="bottom"/>
            <w:hideMark/>
          </w:tcPr>
          <w:p w14:paraId="6D69938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1,121,141</w:t>
            </w:r>
          </w:p>
        </w:tc>
      </w:tr>
      <w:tr w:rsidR="00F2518A" w:rsidRPr="007C747A" w14:paraId="15249F3C" w14:textId="77777777">
        <w:trPr>
          <w:trHeight w:val="250"/>
        </w:trPr>
        <w:tc>
          <w:tcPr>
            <w:tcW w:w="4213" w:type="dxa"/>
            <w:tcBorders>
              <w:top w:val="nil"/>
              <w:left w:val="nil"/>
              <w:bottom w:val="nil"/>
              <w:right w:val="nil"/>
            </w:tcBorders>
            <w:shd w:val="clear" w:color="FFFFFF" w:fill="FFFFFF"/>
            <w:vAlign w:val="bottom"/>
            <w:hideMark/>
          </w:tcPr>
          <w:p w14:paraId="63C4B3C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7" w:type="dxa"/>
            <w:tcBorders>
              <w:top w:val="nil"/>
              <w:left w:val="nil"/>
              <w:bottom w:val="nil"/>
              <w:right w:val="nil"/>
            </w:tcBorders>
            <w:shd w:val="clear" w:color="FFFFFF" w:fill="FFFFFF"/>
            <w:noWrap/>
            <w:vAlign w:val="bottom"/>
            <w:hideMark/>
          </w:tcPr>
          <w:p w14:paraId="0C3288E8"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09BAE00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13266A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5981DC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7BA6B3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5AF678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F1E3398" w14:textId="77777777">
        <w:trPr>
          <w:trHeight w:val="250"/>
        </w:trPr>
        <w:tc>
          <w:tcPr>
            <w:tcW w:w="4213" w:type="dxa"/>
            <w:tcBorders>
              <w:top w:val="nil"/>
              <w:left w:val="nil"/>
              <w:bottom w:val="nil"/>
              <w:right w:val="nil"/>
            </w:tcBorders>
            <w:shd w:val="clear" w:color="FFFFFF" w:fill="FFFFFF"/>
            <w:vAlign w:val="bottom"/>
            <w:hideMark/>
          </w:tcPr>
          <w:p w14:paraId="38FD82C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EQUITY</w:t>
            </w:r>
          </w:p>
        </w:tc>
        <w:tc>
          <w:tcPr>
            <w:tcW w:w="1257" w:type="dxa"/>
            <w:tcBorders>
              <w:top w:val="nil"/>
              <w:left w:val="nil"/>
              <w:bottom w:val="nil"/>
              <w:right w:val="nil"/>
            </w:tcBorders>
            <w:shd w:val="clear" w:color="FFFFFF" w:fill="FFFFFF"/>
            <w:noWrap/>
            <w:vAlign w:val="bottom"/>
            <w:hideMark/>
          </w:tcPr>
          <w:p w14:paraId="70901A02"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6342C49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37DF86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2AE7B4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ABD1F8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2470314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40FBC3D" w14:textId="77777777">
        <w:trPr>
          <w:trHeight w:val="250"/>
        </w:trPr>
        <w:tc>
          <w:tcPr>
            <w:tcW w:w="4213" w:type="dxa"/>
            <w:tcBorders>
              <w:top w:val="nil"/>
              <w:left w:val="nil"/>
              <w:bottom w:val="nil"/>
              <w:right w:val="nil"/>
            </w:tcBorders>
            <w:shd w:val="clear" w:color="FFFFFF" w:fill="FFFFFF"/>
            <w:vAlign w:val="bottom"/>
            <w:hideMark/>
          </w:tcPr>
          <w:p w14:paraId="44AE5C22"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Contributed equity</w:t>
            </w:r>
          </w:p>
        </w:tc>
        <w:tc>
          <w:tcPr>
            <w:tcW w:w="1257" w:type="dxa"/>
            <w:tcBorders>
              <w:top w:val="nil"/>
              <w:left w:val="nil"/>
              <w:bottom w:val="nil"/>
              <w:right w:val="nil"/>
            </w:tcBorders>
            <w:shd w:val="clear" w:color="FFFFFF" w:fill="FFFFFF"/>
            <w:noWrap/>
            <w:vAlign w:val="bottom"/>
            <w:hideMark/>
          </w:tcPr>
          <w:p w14:paraId="70115F63"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65854D6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205,733</w:t>
            </w:r>
          </w:p>
        </w:tc>
        <w:tc>
          <w:tcPr>
            <w:tcW w:w="236" w:type="dxa"/>
            <w:tcBorders>
              <w:top w:val="nil"/>
              <w:left w:val="nil"/>
              <w:bottom w:val="nil"/>
              <w:right w:val="nil"/>
            </w:tcBorders>
            <w:shd w:val="clear" w:color="FFFFFF" w:fill="FFFFFF"/>
            <w:noWrap/>
            <w:vAlign w:val="bottom"/>
            <w:hideMark/>
          </w:tcPr>
          <w:p w14:paraId="45F74CB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3B481D8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236" w:type="dxa"/>
            <w:tcBorders>
              <w:top w:val="nil"/>
              <w:left w:val="nil"/>
              <w:bottom w:val="nil"/>
              <w:right w:val="nil"/>
            </w:tcBorders>
            <w:shd w:val="clear" w:color="FFFFFF" w:fill="FFFFFF"/>
            <w:noWrap/>
            <w:vAlign w:val="bottom"/>
            <w:hideMark/>
          </w:tcPr>
          <w:p w14:paraId="58A2356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61E6F34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205,733</w:t>
            </w:r>
          </w:p>
        </w:tc>
      </w:tr>
      <w:tr w:rsidR="00F2518A" w:rsidRPr="007C747A" w14:paraId="01B51543" w14:textId="77777777">
        <w:trPr>
          <w:trHeight w:val="250"/>
        </w:trPr>
        <w:tc>
          <w:tcPr>
            <w:tcW w:w="4213" w:type="dxa"/>
            <w:tcBorders>
              <w:top w:val="nil"/>
              <w:left w:val="nil"/>
              <w:bottom w:val="nil"/>
              <w:right w:val="nil"/>
            </w:tcBorders>
            <w:shd w:val="clear" w:color="FFFFFF" w:fill="FFFFFF"/>
            <w:vAlign w:val="bottom"/>
            <w:hideMark/>
          </w:tcPr>
          <w:p w14:paraId="1AB55B03"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Asset revaluation reserve</w:t>
            </w:r>
          </w:p>
        </w:tc>
        <w:tc>
          <w:tcPr>
            <w:tcW w:w="1257" w:type="dxa"/>
            <w:tcBorders>
              <w:top w:val="nil"/>
              <w:left w:val="nil"/>
              <w:bottom w:val="nil"/>
              <w:right w:val="nil"/>
            </w:tcBorders>
            <w:shd w:val="clear" w:color="FFFFFF" w:fill="FFFFFF"/>
            <w:noWrap/>
            <w:vAlign w:val="bottom"/>
            <w:hideMark/>
          </w:tcPr>
          <w:p w14:paraId="3A71367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24434BC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38,364</w:t>
            </w:r>
          </w:p>
        </w:tc>
        <w:tc>
          <w:tcPr>
            <w:tcW w:w="236" w:type="dxa"/>
            <w:tcBorders>
              <w:top w:val="nil"/>
              <w:left w:val="nil"/>
              <w:bottom w:val="nil"/>
              <w:right w:val="nil"/>
            </w:tcBorders>
            <w:shd w:val="clear" w:color="FFFFFF" w:fill="FFFFFF"/>
            <w:noWrap/>
            <w:vAlign w:val="bottom"/>
            <w:hideMark/>
          </w:tcPr>
          <w:p w14:paraId="44BF9F6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065351D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21,079</w:t>
            </w:r>
          </w:p>
        </w:tc>
        <w:tc>
          <w:tcPr>
            <w:tcW w:w="236" w:type="dxa"/>
            <w:tcBorders>
              <w:top w:val="nil"/>
              <w:left w:val="nil"/>
              <w:bottom w:val="nil"/>
              <w:right w:val="nil"/>
            </w:tcBorders>
            <w:shd w:val="clear" w:color="FFFFFF" w:fill="FFFFFF"/>
            <w:noWrap/>
            <w:vAlign w:val="bottom"/>
            <w:hideMark/>
          </w:tcPr>
          <w:p w14:paraId="4578798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39DA2B1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21,079</w:t>
            </w:r>
          </w:p>
        </w:tc>
      </w:tr>
      <w:tr w:rsidR="00F2518A" w:rsidRPr="007C747A" w14:paraId="0732F2EA" w14:textId="77777777">
        <w:trPr>
          <w:trHeight w:val="250"/>
        </w:trPr>
        <w:tc>
          <w:tcPr>
            <w:tcW w:w="4213" w:type="dxa"/>
            <w:tcBorders>
              <w:top w:val="nil"/>
              <w:left w:val="nil"/>
              <w:bottom w:val="nil"/>
              <w:right w:val="nil"/>
            </w:tcBorders>
            <w:shd w:val="clear" w:color="FFFFFF" w:fill="FFFFFF"/>
            <w:vAlign w:val="bottom"/>
            <w:hideMark/>
          </w:tcPr>
          <w:p w14:paraId="1AFD6C61"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Retained surplus</w:t>
            </w:r>
          </w:p>
        </w:tc>
        <w:tc>
          <w:tcPr>
            <w:tcW w:w="1257" w:type="dxa"/>
            <w:tcBorders>
              <w:top w:val="nil"/>
              <w:left w:val="nil"/>
              <w:bottom w:val="nil"/>
              <w:right w:val="nil"/>
            </w:tcBorders>
            <w:shd w:val="clear" w:color="FFFFFF" w:fill="FFFFFF"/>
            <w:noWrap/>
            <w:vAlign w:val="bottom"/>
            <w:hideMark/>
          </w:tcPr>
          <w:p w14:paraId="07339232"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nil"/>
              <w:left w:val="nil"/>
              <w:bottom w:val="nil"/>
              <w:right w:val="nil"/>
            </w:tcBorders>
            <w:shd w:val="clear" w:color="FFFFFF" w:fill="FFFFFF"/>
            <w:noWrap/>
            <w:vAlign w:val="bottom"/>
            <w:hideMark/>
          </w:tcPr>
          <w:p w14:paraId="607C412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1,032,160</w:t>
            </w:r>
          </w:p>
        </w:tc>
        <w:tc>
          <w:tcPr>
            <w:tcW w:w="236" w:type="dxa"/>
            <w:tcBorders>
              <w:top w:val="nil"/>
              <w:left w:val="nil"/>
              <w:bottom w:val="nil"/>
              <w:right w:val="nil"/>
            </w:tcBorders>
            <w:shd w:val="clear" w:color="FFFFFF" w:fill="FFFFFF"/>
            <w:noWrap/>
            <w:vAlign w:val="bottom"/>
            <w:hideMark/>
          </w:tcPr>
          <w:p w14:paraId="19DD8AA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nil"/>
              <w:left w:val="nil"/>
              <w:bottom w:val="nil"/>
              <w:right w:val="nil"/>
            </w:tcBorders>
            <w:shd w:val="clear" w:color="FFFFFF" w:fill="FFFFFF"/>
            <w:noWrap/>
            <w:vAlign w:val="bottom"/>
            <w:hideMark/>
          </w:tcPr>
          <w:p w14:paraId="631E108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1,017,277</w:t>
            </w:r>
          </w:p>
        </w:tc>
        <w:tc>
          <w:tcPr>
            <w:tcW w:w="236" w:type="dxa"/>
            <w:tcBorders>
              <w:top w:val="nil"/>
              <w:left w:val="nil"/>
              <w:bottom w:val="nil"/>
              <w:right w:val="nil"/>
            </w:tcBorders>
            <w:shd w:val="clear" w:color="FFFFFF" w:fill="FFFFFF"/>
            <w:noWrap/>
            <w:vAlign w:val="bottom"/>
            <w:hideMark/>
          </w:tcPr>
          <w:p w14:paraId="136DB4D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nil"/>
              <w:left w:val="nil"/>
              <w:bottom w:val="nil"/>
              <w:right w:val="nil"/>
            </w:tcBorders>
            <w:shd w:val="clear" w:color="FFFFFF" w:fill="FFFFFF"/>
            <w:noWrap/>
            <w:vAlign w:val="bottom"/>
            <w:hideMark/>
          </w:tcPr>
          <w:p w14:paraId="72BE3CE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894,329</w:t>
            </w:r>
          </w:p>
        </w:tc>
      </w:tr>
      <w:tr w:rsidR="00F2518A" w:rsidRPr="007C747A" w14:paraId="13598194" w14:textId="77777777">
        <w:trPr>
          <w:trHeight w:val="250"/>
        </w:trPr>
        <w:tc>
          <w:tcPr>
            <w:tcW w:w="4213" w:type="dxa"/>
            <w:tcBorders>
              <w:top w:val="nil"/>
              <w:left w:val="nil"/>
              <w:bottom w:val="nil"/>
              <w:right w:val="nil"/>
            </w:tcBorders>
            <w:shd w:val="clear" w:color="FFFFFF" w:fill="FFFFFF"/>
            <w:vAlign w:val="bottom"/>
            <w:hideMark/>
          </w:tcPr>
          <w:p w14:paraId="489DA6B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equity</w:t>
            </w:r>
          </w:p>
        </w:tc>
        <w:tc>
          <w:tcPr>
            <w:tcW w:w="1257" w:type="dxa"/>
            <w:tcBorders>
              <w:top w:val="nil"/>
              <w:left w:val="nil"/>
              <w:bottom w:val="nil"/>
              <w:right w:val="nil"/>
            </w:tcBorders>
            <w:shd w:val="clear" w:color="FFFFFF" w:fill="FFFFFF"/>
            <w:noWrap/>
            <w:vAlign w:val="bottom"/>
            <w:hideMark/>
          </w:tcPr>
          <w:p w14:paraId="6310AA2B"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56" w:type="dxa"/>
            <w:tcBorders>
              <w:top w:val="single" w:sz="4" w:space="0" w:color="auto"/>
              <w:left w:val="nil"/>
              <w:bottom w:val="single" w:sz="4" w:space="0" w:color="auto"/>
              <w:right w:val="nil"/>
            </w:tcBorders>
            <w:shd w:val="clear" w:color="FFFFFF" w:fill="FFFFFF"/>
            <w:noWrap/>
            <w:vAlign w:val="bottom"/>
            <w:hideMark/>
          </w:tcPr>
          <w:p w14:paraId="115D139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1,276,257</w:t>
            </w:r>
          </w:p>
        </w:tc>
        <w:tc>
          <w:tcPr>
            <w:tcW w:w="236" w:type="dxa"/>
            <w:tcBorders>
              <w:top w:val="nil"/>
              <w:left w:val="nil"/>
              <w:bottom w:val="nil"/>
              <w:right w:val="nil"/>
            </w:tcBorders>
            <w:shd w:val="clear" w:color="FFFFFF" w:fill="FFFFFF"/>
            <w:noWrap/>
            <w:vAlign w:val="bottom"/>
            <w:hideMark/>
          </w:tcPr>
          <w:p w14:paraId="3AC5EEE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5" w:type="dxa"/>
            <w:tcBorders>
              <w:top w:val="single" w:sz="4" w:space="0" w:color="auto"/>
              <w:left w:val="nil"/>
              <w:bottom w:val="single" w:sz="4" w:space="0" w:color="auto"/>
              <w:right w:val="nil"/>
            </w:tcBorders>
            <w:shd w:val="clear" w:color="FFFFFF" w:fill="FFFFFF"/>
            <w:noWrap/>
            <w:vAlign w:val="bottom"/>
            <w:hideMark/>
          </w:tcPr>
          <w:p w14:paraId="566C278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1,244,089</w:t>
            </w:r>
          </w:p>
        </w:tc>
        <w:tc>
          <w:tcPr>
            <w:tcW w:w="236" w:type="dxa"/>
            <w:tcBorders>
              <w:top w:val="nil"/>
              <w:left w:val="nil"/>
              <w:bottom w:val="nil"/>
              <w:right w:val="nil"/>
            </w:tcBorders>
            <w:shd w:val="clear" w:color="FFFFFF" w:fill="FFFFFF"/>
            <w:noWrap/>
            <w:vAlign w:val="bottom"/>
            <w:hideMark/>
          </w:tcPr>
          <w:p w14:paraId="0E365F8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6FBC24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1,121,141</w:t>
            </w:r>
          </w:p>
        </w:tc>
      </w:tr>
    </w:tbl>
    <w:p w14:paraId="6BCCC56F" w14:textId="77777777" w:rsidR="00F2518A" w:rsidRPr="007C747A" w:rsidRDefault="00F2518A" w:rsidP="00F2518A">
      <w:pPr>
        <w:spacing w:after="0" w:line="240" w:lineRule="auto"/>
        <w:rPr>
          <w:rFonts w:eastAsia="Times New Roman"/>
          <w:sz w:val="18"/>
          <w:szCs w:val="20"/>
          <w:lang w:val="en-AU" w:eastAsia="en-AU"/>
        </w:rPr>
      </w:pPr>
    </w:p>
    <w:p w14:paraId="29BF15C8" w14:textId="77777777" w:rsidR="00F2518A" w:rsidRPr="007C747A" w:rsidRDefault="00F2518A" w:rsidP="00F2518A">
      <w:pPr>
        <w:spacing w:after="0" w:line="240" w:lineRule="auto"/>
        <w:rPr>
          <w:rFonts w:eastAsia="Times New Roman"/>
          <w:sz w:val="18"/>
          <w:szCs w:val="20"/>
          <w:lang w:val="en-AU" w:eastAsia="en-AU"/>
        </w:rPr>
      </w:pPr>
      <w:r w:rsidRPr="007C747A">
        <w:rPr>
          <w:rFonts w:eastAsia="Times New Roman"/>
          <w:sz w:val="18"/>
          <w:szCs w:val="20"/>
          <w:lang w:val="en-AU" w:eastAsia="en-AU"/>
        </w:rPr>
        <w:t>The above statement should be read in conjunction with the accompanying notes.</w:t>
      </w:r>
    </w:p>
    <w:p w14:paraId="22B36736" w14:textId="77777777" w:rsidR="00F2518A" w:rsidRPr="007C747A" w:rsidRDefault="00F2518A" w:rsidP="00F2518A">
      <w:pPr>
        <w:spacing w:after="0" w:line="240" w:lineRule="auto"/>
        <w:rPr>
          <w:rFonts w:eastAsia="Times New Roman"/>
          <w:sz w:val="18"/>
          <w:szCs w:val="20"/>
          <w:lang w:val="en-AU" w:eastAsia="en-AU"/>
        </w:rPr>
      </w:pPr>
      <w:r w:rsidRPr="007C747A">
        <w:rPr>
          <w:rFonts w:eastAsia="Times New Roman"/>
          <w:sz w:val="16"/>
          <w:szCs w:val="18"/>
          <w:vertAlign w:val="superscript"/>
          <w:lang w:val="en-AU" w:eastAsia="en-AU"/>
        </w:rPr>
        <w:t xml:space="preserve">1 </w:t>
      </w:r>
      <w:r w:rsidRPr="007C747A">
        <w:rPr>
          <w:rFonts w:eastAsia="Times New Roman"/>
          <w:sz w:val="18"/>
          <w:szCs w:val="14"/>
          <w:lang w:val="en-AU" w:eastAsia="en-AU"/>
        </w:rPr>
        <w:t xml:space="preserve">Original </w:t>
      </w:r>
      <w:r w:rsidRPr="007C747A">
        <w:rPr>
          <w:rFonts w:eastAsia="Times New Roman"/>
          <w:sz w:val="18"/>
          <w:szCs w:val="20"/>
          <w:lang w:val="en-AU" w:eastAsia="en-AU"/>
        </w:rPr>
        <w:t xml:space="preserve">Budget refers to the figures published in the Portfolio Budget Statements </w:t>
      </w:r>
      <w:r w:rsidRPr="007C747A">
        <w:rPr>
          <w:rFonts w:eastAsia="Times New Roman"/>
          <w:sz w:val="18"/>
          <w:szCs w:val="20"/>
          <w:lang w:val="en-AU" w:eastAsia="en-AU"/>
        </w:rPr>
        <w:fldChar w:fldCharType="begin"/>
      </w:r>
      <w:r w:rsidRPr="007C747A">
        <w:rPr>
          <w:rFonts w:eastAsia="Times New Roman"/>
          <w:sz w:val="18"/>
          <w:szCs w:val="20"/>
          <w:lang w:val="en-AU" w:eastAsia="en-AU"/>
        </w:rPr>
        <w:instrText xml:space="preserve"> DOCPROPERTY  prYear  \* MERGEFORMAT </w:instrText>
      </w:r>
      <w:r w:rsidRPr="007C747A">
        <w:rPr>
          <w:rFonts w:eastAsia="Times New Roman"/>
          <w:sz w:val="18"/>
          <w:szCs w:val="20"/>
          <w:lang w:val="en-AU" w:eastAsia="en-AU"/>
        </w:rPr>
        <w:fldChar w:fldCharType="separate"/>
      </w:r>
      <w:r w:rsidRPr="007C747A">
        <w:rPr>
          <w:rFonts w:eastAsia="Times New Roman"/>
          <w:sz w:val="18"/>
          <w:szCs w:val="20"/>
          <w:lang w:val="en-AU" w:eastAsia="en-AU"/>
        </w:rPr>
        <w:t>2022</w:t>
      </w:r>
      <w:r w:rsidRPr="007C747A">
        <w:rPr>
          <w:rFonts w:eastAsia="Times New Roman"/>
          <w:sz w:val="18"/>
          <w:szCs w:val="20"/>
          <w:lang w:val="en-AU" w:eastAsia="en-AU"/>
        </w:rPr>
        <w:fldChar w:fldCharType="end"/>
      </w:r>
      <w:r w:rsidRPr="007C747A">
        <w:rPr>
          <w:rFonts w:eastAsia="Times New Roman"/>
          <w:sz w:val="18"/>
          <w:szCs w:val="20"/>
          <w:lang w:val="en-AU" w:eastAsia="en-AU"/>
        </w:rPr>
        <w:t>-23, tabled 25 October 2022.</w:t>
      </w:r>
    </w:p>
    <w:p w14:paraId="578B3604" w14:textId="7F1AA574" w:rsidR="00F2518A" w:rsidRPr="007C747A" w:rsidRDefault="00F2518A" w:rsidP="00F2518A">
      <w:pPr>
        <w:spacing w:after="0" w:line="240" w:lineRule="auto"/>
        <w:rPr>
          <w:rFonts w:eastAsia="Times New Roman"/>
          <w:sz w:val="18"/>
          <w:szCs w:val="14"/>
          <w:lang w:val="en-AU" w:eastAsia="en-AU"/>
        </w:rPr>
      </w:pPr>
    </w:p>
    <w:p w14:paraId="12A42886"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Budget Variances Commentary </w:t>
      </w:r>
    </w:p>
    <w:p w14:paraId="3EB353D4"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Statement of Financial Position</w:t>
      </w:r>
    </w:p>
    <w:p w14:paraId="00A3B9DF"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The following major variance explanations between the Original Budget as presented in the October 2022 Portfolio Budget Statements and the 2022–23 financial statements are presented in accordance with Australian Accounting Standards. The 2022-23 Portfolio Budget Statements contain the original financial statements’ budget estimates presented to Parliament in respect of the 2022–23 financial year. The information presented below should be read in the context of the following:</w:t>
      </w:r>
    </w:p>
    <w:p w14:paraId="241E48ED"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 major variances are determined in accordance with Department of Finance guidelines; and</w:t>
      </w:r>
    </w:p>
    <w:p w14:paraId="38E06652"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 the Budget is not audited.</w:t>
      </w:r>
    </w:p>
    <w:tbl>
      <w:tblPr>
        <w:tblW w:w="9077"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73"/>
        <w:gridCol w:w="6804"/>
      </w:tblGrid>
      <w:tr w:rsidR="00F2518A" w:rsidRPr="007C747A" w14:paraId="2F6E3201" w14:textId="77777777">
        <w:trPr>
          <w:cantSplit/>
          <w:trHeight w:val="255"/>
          <w:tblHeader/>
        </w:trPr>
        <w:tc>
          <w:tcPr>
            <w:tcW w:w="2273" w:type="dxa"/>
            <w:shd w:val="clear" w:color="FFFFFF" w:fill="FFFFFF"/>
            <w:noWrap/>
            <w:vAlign w:val="center"/>
          </w:tcPr>
          <w:p w14:paraId="13C21BF0" w14:textId="77777777" w:rsidR="00F2518A" w:rsidRPr="007C747A" w:rsidRDefault="00F2518A" w:rsidP="00F2518A">
            <w:pPr>
              <w:spacing w:after="0" w:line="260" w:lineRule="atLeast"/>
              <w:rPr>
                <w:rFonts w:eastAsia="Times New Roman"/>
                <w:b/>
                <w:sz w:val="18"/>
                <w:szCs w:val="20"/>
                <w:lang w:val="en-AU" w:eastAsia="en-US"/>
              </w:rPr>
            </w:pPr>
            <w:r w:rsidRPr="007C747A">
              <w:rPr>
                <w:rFonts w:eastAsia="Times New Roman"/>
                <w:b/>
                <w:sz w:val="18"/>
                <w:szCs w:val="20"/>
                <w:lang w:val="en-AU" w:eastAsia="en-US"/>
              </w:rPr>
              <w:t>Affected line items</w:t>
            </w:r>
          </w:p>
        </w:tc>
        <w:tc>
          <w:tcPr>
            <w:tcW w:w="6804" w:type="dxa"/>
            <w:shd w:val="clear" w:color="FFFFFF" w:fill="FFFFFF"/>
            <w:vAlign w:val="center"/>
          </w:tcPr>
          <w:p w14:paraId="18B69491" w14:textId="77777777" w:rsidR="00F2518A" w:rsidRPr="007C747A" w:rsidRDefault="00F2518A" w:rsidP="00F2518A">
            <w:pPr>
              <w:spacing w:after="0" w:line="260" w:lineRule="atLeast"/>
              <w:rPr>
                <w:rFonts w:eastAsia="Times New Roman"/>
                <w:b/>
                <w:sz w:val="18"/>
                <w:szCs w:val="20"/>
                <w:lang w:val="en-AU" w:eastAsia="en-US"/>
              </w:rPr>
            </w:pPr>
            <w:r w:rsidRPr="007C747A">
              <w:rPr>
                <w:rFonts w:eastAsia="Times New Roman"/>
                <w:b/>
                <w:sz w:val="18"/>
                <w:szCs w:val="20"/>
                <w:lang w:val="en-AU" w:eastAsia="en-US"/>
              </w:rPr>
              <w:t>Explanations of major variances</w:t>
            </w:r>
          </w:p>
        </w:tc>
      </w:tr>
      <w:tr w:rsidR="00F2518A" w:rsidRPr="007C747A" w14:paraId="1FEA8160" w14:textId="77777777">
        <w:trPr>
          <w:cantSplit/>
          <w:trHeight w:val="255"/>
        </w:trPr>
        <w:tc>
          <w:tcPr>
            <w:tcW w:w="2273" w:type="dxa"/>
            <w:shd w:val="clear" w:color="auto" w:fill="auto"/>
            <w:noWrap/>
          </w:tcPr>
          <w:p w14:paraId="3181141A"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Financial assets</w:t>
            </w:r>
          </w:p>
          <w:p w14:paraId="3FECE4B7"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Cash and cash equivalents</w:t>
            </w:r>
          </w:p>
        </w:tc>
        <w:tc>
          <w:tcPr>
            <w:tcW w:w="6804" w:type="dxa"/>
            <w:shd w:val="clear" w:color="auto" w:fill="auto"/>
            <w:noWrap/>
          </w:tcPr>
          <w:p w14:paraId="7E0F0DF4"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Cash comprises cash held on deposit and term deposits with an initial maturity of three months or less. The Budget assumed that the majority of the Agency's available funds would be held in other financial assets due to a low interest environment at the time of the Original Budget.  The increase in cash balances over the Original Budget is due to the timing of the Q4 State and Commonwealth contributions being received over Q4 and still to be invested.</w:t>
            </w:r>
          </w:p>
          <w:p w14:paraId="229742CD"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100AEB07" w14:textId="77777777">
        <w:trPr>
          <w:cantSplit/>
          <w:trHeight w:val="255"/>
        </w:trPr>
        <w:tc>
          <w:tcPr>
            <w:tcW w:w="2273" w:type="dxa"/>
            <w:shd w:val="clear" w:color="auto" w:fill="auto"/>
            <w:noWrap/>
          </w:tcPr>
          <w:p w14:paraId="0271FD9F"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Financial assets</w:t>
            </w:r>
          </w:p>
          <w:p w14:paraId="6A1B63A6"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Trade and other receivables</w:t>
            </w:r>
          </w:p>
        </w:tc>
        <w:tc>
          <w:tcPr>
            <w:tcW w:w="6804" w:type="dxa"/>
            <w:shd w:val="clear" w:color="auto" w:fill="auto"/>
            <w:noWrap/>
          </w:tcPr>
          <w:p w14:paraId="37CABB90"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Movement is due to increases in participant and other provider receivables reflecting increased compliance reviews of participant and provider expenditure and accrued interest reflecting increase of bank interest rates.</w:t>
            </w:r>
          </w:p>
          <w:p w14:paraId="778A4F23"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5BC42B69" w14:textId="77777777">
        <w:trPr>
          <w:cantSplit/>
          <w:trHeight w:val="255"/>
        </w:trPr>
        <w:tc>
          <w:tcPr>
            <w:tcW w:w="2273" w:type="dxa"/>
            <w:shd w:val="clear" w:color="auto" w:fill="auto"/>
            <w:noWrap/>
          </w:tcPr>
          <w:p w14:paraId="0DE72205"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Financial assets</w:t>
            </w:r>
          </w:p>
          <w:p w14:paraId="7710CF50"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Other financial assets</w:t>
            </w:r>
          </w:p>
        </w:tc>
        <w:tc>
          <w:tcPr>
            <w:tcW w:w="6804" w:type="dxa"/>
            <w:shd w:val="clear" w:color="auto" w:fill="auto"/>
            <w:noWrap/>
          </w:tcPr>
          <w:p w14:paraId="5AEE246D"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Other financial assets are term deposits with an initial maturity greater than three months. The decrease in other financial assets compared to the Original Budget is due to the timing of the Q4 State and Commonwealth contributions being received over Q4 and still to be invested.</w:t>
            </w:r>
          </w:p>
          <w:p w14:paraId="7CF846E1"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5BEE580E" w14:textId="77777777">
        <w:trPr>
          <w:cantSplit/>
          <w:trHeight w:val="255"/>
        </w:trPr>
        <w:tc>
          <w:tcPr>
            <w:tcW w:w="2273" w:type="dxa"/>
            <w:shd w:val="clear" w:color="FFFFFF" w:fill="FFFFFF"/>
            <w:noWrap/>
          </w:tcPr>
          <w:p w14:paraId="0FC236C9"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Non-financial assets</w:t>
            </w:r>
          </w:p>
          <w:p w14:paraId="28BC761E"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Plant and equipment</w:t>
            </w:r>
          </w:p>
        </w:tc>
        <w:tc>
          <w:tcPr>
            <w:tcW w:w="6804" w:type="dxa"/>
            <w:shd w:val="clear" w:color="FFFFFF" w:fill="FFFFFF"/>
            <w:noWrap/>
          </w:tcPr>
          <w:p w14:paraId="610C201C"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ICT acquisitions and fleet cars were lower than anticipated.</w:t>
            </w:r>
          </w:p>
          <w:p w14:paraId="2938A964"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p w14:paraId="7DC72549"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7F4B20F3" w14:textId="77777777">
        <w:trPr>
          <w:cantSplit/>
          <w:trHeight w:val="255"/>
        </w:trPr>
        <w:tc>
          <w:tcPr>
            <w:tcW w:w="2273" w:type="dxa"/>
            <w:shd w:val="clear" w:color="FFFFFF" w:fill="FFFFFF"/>
            <w:noWrap/>
          </w:tcPr>
          <w:p w14:paraId="61B4F8B6"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Non-financial assets</w:t>
            </w:r>
          </w:p>
          <w:p w14:paraId="76B63FF8"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Other non-financial assets</w:t>
            </w:r>
          </w:p>
        </w:tc>
        <w:tc>
          <w:tcPr>
            <w:tcW w:w="6804" w:type="dxa"/>
            <w:shd w:val="clear" w:color="FFFFFF" w:fill="FFFFFF"/>
            <w:noWrap/>
          </w:tcPr>
          <w:p w14:paraId="48C115D6"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Prepayment of software licences has increased in line with Agency growth.</w:t>
            </w:r>
          </w:p>
          <w:p w14:paraId="326F9F9D"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2463F96F" w14:textId="77777777">
        <w:trPr>
          <w:cantSplit/>
          <w:trHeight w:val="255"/>
        </w:trPr>
        <w:tc>
          <w:tcPr>
            <w:tcW w:w="2273" w:type="dxa"/>
            <w:shd w:val="clear" w:color="FFFFFF" w:fill="FFFFFF"/>
            <w:noWrap/>
          </w:tcPr>
          <w:p w14:paraId="003BFF18"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Payables</w:t>
            </w:r>
          </w:p>
          <w:p w14:paraId="18B5F617"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Suppliers</w:t>
            </w:r>
          </w:p>
        </w:tc>
        <w:tc>
          <w:tcPr>
            <w:tcW w:w="6804" w:type="dxa"/>
            <w:shd w:val="clear" w:color="FFFFFF" w:fill="FFFFFF"/>
            <w:noWrap/>
          </w:tcPr>
          <w:p w14:paraId="17AE96F1"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Suppliers includes an amount of $401.3m payable to the Department of Health for Younger People in Residential Aged Care that remains unpaid as at the end of 2022-23. The balance between actuals and Original Budget relates to actuals including personal benefit and other payable amounts worth $146.7m that are included the Other payable line item in the Budget.</w:t>
            </w:r>
          </w:p>
          <w:p w14:paraId="1FE16171"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0FFB0C74" w14:textId="77777777">
        <w:trPr>
          <w:cantSplit/>
          <w:trHeight w:val="255"/>
        </w:trPr>
        <w:tc>
          <w:tcPr>
            <w:tcW w:w="2273" w:type="dxa"/>
            <w:shd w:val="clear" w:color="FFFFFF" w:fill="FFFFFF"/>
            <w:noWrap/>
          </w:tcPr>
          <w:p w14:paraId="2A64EB05"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Payables</w:t>
            </w:r>
          </w:p>
          <w:p w14:paraId="7C98F488"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Other payables, Unearned revenue</w:t>
            </w:r>
          </w:p>
        </w:tc>
        <w:tc>
          <w:tcPr>
            <w:tcW w:w="6804" w:type="dxa"/>
            <w:shd w:val="clear" w:color="FFFFFF" w:fill="FFFFFF"/>
            <w:noWrap/>
          </w:tcPr>
          <w:p w14:paraId="12E9FDD2"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 xml:space="preserve">The Original Budget includes personal benefit and other payable balances which are included as part of Supplier payables in the Statement of Financial Position. </w:t>
            </w:r>
          </w:p>
          <w:p w14:paraId="35BB10DF"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p w14:paraId="6482FB99"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04823D7D" w14:textId="77777777">
        <w:trPr>
          <w:cantSplit/>
          <w:trHeight w:val="255"/>
        </w:trPr>
        <w:tc>
          <w:tcPr>
            <w:tcW w:w="2273" w:type="dxa"/>
            <w:shd w:val="clear" w:color="FFFFFF" w:fill="FFFFFF"/>
            <w:noWrap/>
          </w:tcPr>
          <w:p w14:paraId="2D1978E3"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Interest bearing liabilities</w:t>
            </w:r>
          </w:p>
          <w:p w14:paraId="453F5F87"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Leases</w:t>
            </w:r>
          </w:p>
        </w:tc>
        <w:tc>
          <w:tcPr>
            <w:tcW w:w="6804" w:type="dxa"/>
            <w:shd w:val="clear" w:color="FFFFFF" w:fill="FFFFFF"/>
            <w:noWrap/>
          </w:tcPr>
          <w:p w14:paraId="2B408753"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There has been a reduction in the number of building and motor vehicle fleet leases, together with a decrease in liability resulting from the present value impact of lease modifications and terminations.</w:t>
            </w:r>
          </w:p>
          <w:p w14:paraId="6594475A" w14:textId="77777777" w:rsidR="00F2518A" w:rsidRPr="007C747A" w:rsidRDefault="00F2518A" w:rsidP="00F2518A">
            <w:pPr>
              <w:spacing w:after="0" w:line="260" w:lineRule="atLeast"/>
              <w:jc w:val="both"/>
              <w:rPr>
                <w:rFonts w:eastAsia="Times New Roman" w:cs="Arial"/>
                <w:color w:val="000000"/>
                <w:sz w:val="18"/>
                <w:szCs w:val="18"/>
                <w:lang w:val="en-AU" w:eastAsia="en-US"/>
              </w:rPr>
            </w:pPr>
          </w:p>
        </w:tc>
      </w:tr>
      <w:tr w:rsidR="00F2518A" w:rsidRPr="007C747A" w14:paraId="2B9318F1" w14:textId="77777777">
        <w:trPr>
          <w:cantSplit/>
          <w:trHeight w:val="255"/>
        </w:trPr>
        <w:tc>
          <w:tcPr>
            <w:tcW w:w="2273" w:type="dxa"/>
            <w:shd w:val="clear" w:color="FFFFFF" w:fill="FFFFFF"/>
            <w:noWrap/>
          </w:tcPr>
          <w:p w14:paraId="137D8635"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Provisions</w:t>
            </w:r>
          </w:p>
          <w:p w14:paraId="51924FA8" w14:textId="77777777" w:rsidR="00F2518A" w:rsidRPr="007C747A" w:rsidRDefault="00F2518A" w:rsidP="00F2518A">
            <w:pPr>
              <w:spacing w:after="0" w:line="260" w:lineRule="atLeast"/>
              <w:rPr>
                <w:rFonts w:eastAsia="Times New Roman"/>
                <w:i/>
                <w:sz w:val="18"/>
                <w:szCs w:val="20"/>
                <w:lang w:val="en-AU" w:eastAsia="en-US"/>
              </w:rPr>
            </w:pPr>
            <w:r w:rsidRPr="007C747A">
              <w:rPr>
                <w:rFonts w:eastAsia="Times New Roman"/>
                <w:i/>
                <w:sz w:val="18"/>
                <w:szCs w:val="20"/>
                <w:lang w:val="en-AU" w:eastAsia="en-US"/>
              </w:rPr>
              <w:t>Employee provisions</w:t>
            </w:r>
          </w:p>
        </w:tc>
        <w:tc>
          <w:tcPr>
            <w:tcW w:w="6804" w:type="dxa"/>
            <w:shd w:val="clear" w:color="FFFFFF" w:fill="FFFFFF"/>
            <w:noWrap/>
          </w:tcPr>
          <w:p w14:paraId="7506C6E8"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The Agency has seen strong growth in staffing levels which has impacted on the level of employee leave provisions.  In addition, employee leave provisions increased as a result of year-end actuarial assessment and changes in parameters.  This balance is highly sensitive to the parameters and will fluctuate widely as a result.  The Original Budget is based on historic trend.</w:t>
            </w:r>
          </w:p>
          <w:p w14:paraId="20099B2F" w14:textId="77777777" w:rsidR="00F2518A" w:rsidRPr="007C747A" w:rsidRDefault="00F2518A" w:rsidP="00F2518A">
            <w:pPr>
              <w:spacing w:after="0" w:line="260" w:lineRule="atLeast"/>
              <w:jc w:val="both"/>
              <w:rPr>
                <w:rFonts w:eastAsia="Times New Roman"/>
                <w:sz w:val="18"/>
                <w:szCs w:val="20"/>
                <w:highlight w:val="yellow"/>
                <w:lang w:val="en-AU" w:eastAsia="en-US"/>
              </w:rPr>
            </w:pPr>
          </w:p>
        </w:tc>
      </w:tr>
      <w:tr w:rsidR="00F2518A" w:rsidRPr="007C747A" w14:paraId="7D75F9E5" w14:textId="77777777">
        <w:trPr>
          <w:cantSplit/>
          <w:trHeight w:val="255"/>
        </w:trPr>
        <w:tc>
          <w:tcPr>
            <w:tcW w:w="2273" w:type="dxa"/>
            <w:shd w:val="clear" w:color="FFFFFF" w:fill="FFFFFF"/>
            <w:noWrap/>
          </w:tcPr>
          <w:p w14:paraId="4530983D" w14:textId="77777777" w:rsidR="00F2518A" w:rsidRPr="007C747A" w:rsidRDefault="00F2518A" w:rsidP="00F2518A">
            <w:pPr>
              <w:spacing w:after="0" w:line="260" w:lineRule="atLeast"/>
              <w:rPr>
                <w:rFonts w:eastAsia="Times New Roman"/>
                <w:i/>
                <w:iCs/>
                <w:sz w:val="18"/>
                <w:szCs w:val="20"/>
                <w:lang w:val="en-AU" w:eastAsia="en-US"/>
              </w:rPr>
            </w:pPr>
            <w:r w:rsidRPr="007C747A">
              <w:rPr>
                <w:rFonts w:eastAsia="Times New Roman"/>
                <w:sz w:val="18"/>
                <w:szCs w:val="20"/>
                <w:lang w:val="en-AU" w:eastAsia="en-US"/>
              </w:rPr>
              <w:t>Provisions</w:t>
            </w:r>
            <w:r w:rsidRPr="007C747A">
              <w:rPr>
                <w:rFonts w:eastAsia="Times New Roman"/>
                <w:sz w:val="18"/>
                <w:szCs w:val="20"/>
                <w:lang w:val="en-AU" w:eastAsia="en-US"/>
              </w:rPr>
              <w:br/>
            </w:r>
            <w:r w:rsidRPr="007C747A">
              <w:rPr>
                <w:rFonts w:eastAsia="Times New Roman"/>
                <w:i/>
                <w:iCs/>
                <w:sz w:val="18"/>
                <w:szCs w:val="20"/>
                <w:lang w:val="en-AU" w:eastAsia="en-US"/>
              </w:rPr>
              <w:t>Participant plan provisions</w:t>
            </w:r>
          </w:p>
          <w:p w14:paraId="744D28F5" w14:textId="77777777" w:rsidR="00F2518A" w:rsidRPr="007C747A" w:rsidRDefault="00F2518A" w:rsidP="00F2518A">
            <w:pPr>
              <w:spacing w:after="0" w:line="260" w:lineRule="atLeast"/>
              <w:rPr>
                <w:rFonts w:eastAsia="Times New Roman"/>
                <w:sz w:val="18"/>
                <w:szCs w:val="20"/>
                <w:lang w:val="en-AU" w:eastAsia="en-US"/>
              </w:rPr>
            </w:pPr>
          </w:p>
        </w:tc>
        <w:tc>
          <w:tcPr>
            <w:tcW w:w="6804" w:type="dxa"/>
            <w:shd w:val="clear" w:color="FFFFFF" w:fill="FFFFFF"/>
            <w:noWrap/>
          </w:tcPr>
          <w:p w14:paraId="4F29462D"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Reflects an update in the provision calculation methodology to reflect actual payment patterns.</w:t>
            </w:r>
          </w:p>
        </w:tc>
      </w:tr>
      <w:tr w:rsidR="00F2518A" w:rsidRPr="007C747A" w14:paraId="05AF8728" w14:textId="77777777">
        <w:trPr>
          <w:cantSplit/>
          <w:trHeight w:val="255"/>
        </w:trPr>
        <w:tc>
          <w:tcPr>
            <w:tcW w:w="2273" w:type="dxa"/>
            <w:shd w:val="clear" w:color="FFFFFF" w:fill="FFFFFF"/>
            <w:noWrap/>
          </w:tcPr>
          <w:p w14:paraId="3200C652" w14:textId="77777777" w:rsidR="00F2518A" w:rsidRPr="007C747A" w:rsidRDefault="00F2518A" w:rsidP="00F2518A">
            <w:pPr>
              <w:spacing w:after="0" w:line="260" w:lineRule="atLeast"/>
              <w:rPr>
                <w:rFonts w:eastAsia="Times New Roman"/>
                <w:i/>
                <w:iCs/>
                <w:sz w:val="18"/>
                <w:szCs w:val="20"/>
                <w:lang w:val="en-AU" w:eastAsia="en-US"/>
              </w:rPr>
            </w:pPr>
            <w:r w:rsidRPr="007C747A">
              <w:rPr>
                <w:rFonts w:eastAsia="Times New Roman"/>
                <w:sz w:val="18"/>
                <w:szCs w:val="20"/>
                <w:lang w:val="en-AU" w:eastAsia="en-US"/>
              </w:rPr>
              <w:t>Provisions</w:t>
            </w:r>
            <w:r w:rsidRPr="007C747A">
              <w:rPr>
                <w:rFonts w:eastAsia="Times New Roman"/>
                <w:sz w:val="18"/>
                <w:szCs w:val="20"/>
                <w:lang w:val="en-AU" w:eastAsia="en-US"/>
              </w:rPr>
              <w:br/>
            </w:r>
            <w:r w:rsidRPr="007C747A">
              <w:rPr>
                <w:rFonts w:eastAsia="Times New Roman"/>
                <w:i/>
                <w:iCs/>
                <w:sz w:val="18"/>
                <w:szCs w:val="20"/>
                <w:lang w:val="en-AU" w:eastAsia="en-US"/>
              </w:rPr>
              <w:t>Provision for restoration obligations</w:t>
            </w:r>
          </w:p>
          <w:p w14:paraId="62C502A4" w14:textId="77777777" w:rsidR="00F2518A" w:rsidRPr="007C747A" w:rsidRDefault="00F2518A" w:rsidP="00F2518A">
            <w:pPr>
              <w:spacing w:after="0" w:line="260" w:lineRule="atLeast"/>
              <w:rPr>
                <w:rFonts w:eastAsia="Times New Roman"/>
                <w:sz w:val="18"/>
                <w:szCs w:val="20"/>
                <w:lang w:val="en-AU" w:eastAsia="en-US"/>
              </w:rPr>
            </w:pPr>
          </w:p>
        </w:tc>
        <w:tc>
          <w:tcPr>
            <w:tcW w:w="6804" w:type="dxa"/>
            <w:shd w:val="clear" w:color="FFFFFF" w:fill="FFFFFF"/>
            <w:noWrap/>
          </w:tcPr>
          <w:p w14:paraId="3B033907" w14:textId="77777777" w:rsidR="00F2518A" w:rsidRPr="007C747A" w:rsidRDefault="00F2518A" w:rsidP="00F2518A">
            <w:pPr>
              <w:spacing w:after="0" w:line="260" w:lineRule="atLeast"/>
              <w:jc w:val="both"/>
              <w:rPr>
                <w:rFonts w:eastAsia="Times New Roman" w:cs="Arial"/>
                <w:color w:val="000000"/>
                <w:sz w:val="18"/>
                <w:szCs w:val="18"/>
                <w:lang w:val="en-AU" w:eastAsia="en-US"/>
              </w:rPr>
            </w:pPr>
            <w:r w:rsidRPr="007C747A">
              <w:rPr>
                <w:rFonts w:eastAsia="Times New Roman" w:cs="Arial"/>
                <w:color w:val="000000"/>
                <w:sz w:val="18"/>
                <w:szCs w:val="18"/>
                <w:lang w:val="en-AU" w:eastAsia="en-US"/>
              </w:rPr>
              <w:t xml:space="preserve">During 2022-23 the Agency terminated four leases with makegood provisions as part of its on-going optimisation of property holdings. </w:t>
            </w:r>
          </w:p>
        </w:tc>
      </w:tr>
      <w:tr w:rsidR="00F2518A" w:rsidRPr="007C747A" w14:paraId="39D1F5BC" w14:textId="77777777">
        <w:trPr>
          <w:cantSplit/>
          <w:trHeight w:val="255"/>
        </w:trPr>
        <w:tc>
          <w:tcPr>
            <w:tcW w:w="2273" w:type="dxa"/>
            <w:shd w:val="clear" w:color="FFFFFF" w:fill="FFFFFF"/>
            <w:noWrap/>
          </w:tcPr>
          <w:p w14:paraId="39E0B331"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Equity</w:t>
            </w:r>
          </w:p>
          <w:p w14:paraId="7C473856"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cs="Arial"/>
                <w:i/>
                <w:iCs/>
                <w:color w:val="000000"/>
                <w:sz w:val="18"/>
                <w:szCs w:val="18"/>
                <w:lang w:val="en-AU" w:eastAsia="en-US"/>
              </w:rPr>
              <w:t>Asset revaluation reserve</w:t>
            </w:r>
          </w:p>
        </w:tc>
        <w:tc>
          <w:tcPr>
            <w:tcW w:w="6804" w:type="dxa"/>
            <w:shd w:val="clear" w:color="FFFFFF" w:fill="FFFFFF"/>
            <w:noWrap/>
          </w:tcPr>
          <w:p w14:paraId="53493DC4" w14:textId="77777777" w:rsidR="00F2518A" w:rsidRPr="007C747A" w:rsidRDefault="00F2518A" w:rsidP="00F2518A">
            <w:pPr>
              <w:spacing w:after="0" w:line="260" w:lineRule="atLeast"/>
              <w:jc w:val="both"/>
              <w:rPr>
                <w:rFonts w:eastAsia="Times New Roman"/>
                <w:sz w:val="18"/>
                <w:szCs w:val="20"/>
                <w:lang w:val="en-AU" w:eastAsia="en-US"/>
              </w:rPr>
            </w:pPr>
            <w:r w:rsidRPr="007C747A">
              <w:rPr>
                <w:rFonts w:eastAsia="Times New Roman"/>
                <w:sz w:val="18"/>
                <w:szCs w:val="20"/>
                <w:lang w:val="en-AU" w:eastAsia="en-US"/>
              </w:rPr>
              <w:t>The external revaluation of the Agency's leasehold improvements resulted in a revaluation increment of $17.3m during the year.  This was recorded in the asset revaluation reserve. This was not considered in the Original Budget.</w:t>
            </w:r>
          </w:p>
          <w:p w14:paraId="3BD3723A" w14:textId="77777777" w:rsidR="00F2518A" w:rsidRPr="007C747A" w:rsidRDefault="00F2518A" w:rsidP="00F2518A">
            <w:pPr>
              <w:spacing w:after="0" w:line="260" w:lineRule="atLeast"/>
              <w:jc w:val="both"/>
              <w:rPr>
                <w:rFonts w:eastAsia="Times New Roman"/>
                <w:sz w:val="18"/>
                <w:szCs w:val="20"/>
                <w:highlight w:val="yellow"/>
                <w:lang w:val="en-AU" w:eastAsia="en-US"/>
              </w:rPr>
            </w:pPr>
          </w:p>
        </w:tc>
      </w:tr>
      <w:tr w:rsidR="00F2518A" w:rsidRPr="007C747A" w14:paraId="5059ACD5" w14:textId="77777777">
        <w:trPr>
          <w:cantSplit/>
          <w:trHeight w:val="255"/>
        </w:trPr>
        <w:tc>
          <w:tcPr>
            <w:tcW w:w="2273" w:type="dxa"/>
            <w:shd w:val="clear" w:color="FFFFFF" w:fill="FFFFFF"/>
            <w:noWrap/>
          </w:tcPr>
          <w:p w14:paraId="46CCFEE5" w14:textId="77777777" w:rsidR="00F2518A" w:rsidRPr="007C747A" w:rsidRDefault="00F2518A" w:rsidP="00F2518A">
            <w:pPr>
              <w:spacing w:after="0" w:line="260" w:lineRule="atLeast"/>
              <w:rPr>
                <w:rFonts w:eastAsia="Times New Roman"/>
                <w:sz w:val="18"/>
                <w:szCs w:val="20"/>
                <w:lang w:val="en-AU" w:eastAsia="en-US"/>
              </w:rPr>
            </w:pPr>
            <w:r w:rsidRPr="007C747A">
              <w:rPr>
                <w:rFonts w:eastAsia="Times New Roman"/>
                <w:sz w:val="18"/>
                <w:szCs w:val="20"/>
                <w:lang w:val="en-AU" w:eastAsia="en-US"/>
              </w:rPr>
              <w:t>Equity</w:t>
            </w:r>
          </w:p>
          <w:p w14:paraId="415B699D" w14:textId="77777777" w:rsidR="00F2518A" w:rsidRPr="007C747A" w:rsidRDefault="00F2518A" w:rsidP="00F2518A">
            <w:pPr>
              <w:spacing w:after="0" w:line="260" w:lineRule="atLeast"/>
              <w:rPr>
                <w:rFonts w:eastAsia="Times New Roman"/>
                <w:i/>
                <w:iCs/>
                <w:sz w:val="18"/>
                <w:szCs w:val="20"/>
                <w:lang w:val="en-AU" w:eastAsia="en-US"/>
              </w:rPr>
            </w:pPr>
            <w:r w:rsidRPr="007C747A">
              <w:rPr>
                <w:rFonts w:eastAsia="Times New Roman"/>
                <w:i/>
                <w:iCs/>
                <w:sz w:val="18"/>
                <w:szCs w:val="20"/>
                <w:lang w:val="en-AU" w:eastAsia="en-US"/>
              </w:rPr>
              <w:t>Retained surplus</w:t>
            </w:r>
          </w:p>
        </w:tc>
        <w:tc>
          <w:tcPr>
            <w:tcW w:w="6804" w:type="dxa"/>
            <w:shd w:val="clear" w:color="FFFFFF" w:fill="FFFFFF"/>
            <w:noWrap/>
          </w:tcPr>
          <w:p w14:paraId="6AEF7E61" w14:textId="77777777" w:rsidR="00F2518A" w:rsidRPr="007C747A" w:rsidRDefault="00F2518A" w:rsidP="00F2518A">
            <w:pPr>
              <w:spacing w:after="0" w:line="260" w:lineRule="atLeast"/>
              <w:jc w:val="both"/>
              <w:rPr>
                <w:rFonts w:eastAsia="Times New Roman"/>
                <w:sz w:val="18"/>
                <w:szCs w:val="20"/>
                <w:lang w:val="en-AU" w:eastAsia="en-US"/>
              </w:rPr>
            </w:pPr>
            <w:r w:rsidRPr="007C747A">
              <w:rPr>
                <w:rFonts w:eastAsia="Times New Roman"/>
                <w:sz w:val="18"/>
                <w:szCs w:val="20"/>
                <w:lang w:val="en-AU" w:eastAsia="en-US"/>
              </w:rPr>
              <w:t>The Original Budget did not anticipate the additional funding provided to the Agency at Additional Estimates.</w:t>
            </w:r>
          </w:p>
          <w:p w14:paraId="00D040FC" w14:textId="77777777" w:rsidR="00F2518A" w:rsidRPr="007C747A" w:rsidRDefault="00F2518A" w:rsidP="00F2518A">
            <w:pPr>
              <w:spacing w:after="0" w:line="260" w:lineRule="atLeast"/>
              <w:jc w:val="both"/>
              <w:rPr>
                <w:rFonts w:eastAsia="Times New Roman"/>
                <w:sz w:val="18"/>
                <w:szCs w:val="20"/>
                <w:highlight w:val="yellow"/>
                <w:lang w:val="en-AU" w:eastAsia="en-US"/>
              </w:rPr>
            </w:pPr>
          </w:p>
        </w:tc>
      </w:tr>
    </w:tbl>
    <w:p w14:paraId="1B484472" w14:textId="77777777" w:rsidR="00F2518A" w:rsidRPr="007C747A" w:rsidRDefault="00F2518A" w:rsidP="00F2518A">
      <w:pPr>
        <w:spacing w:after="0" w:line="240" w:lineRule="auto"/>
        <w:rPr>
          <w:rFonts w:eastAsia="Times New Roman"/>
          <w:sz w:val="18"/>
          <w:szCs w:val="20"/>
          <w:lang w:val="en-AU" w:eastAsia="en-AU"/>
        </w:rPr>
        <w:sectPr w:rsidR="00F2518A" w:rsidRPr="007C747A" w:rsidSect="00AE4B3C">
          <w:headerReference w:type="default" r:id="rId31"/>
          <w:pgSz w:w="11906" w:h="16838" w:code="9"/>
          <w:pgMar w:top="1134" w:right="1700" w:bottom="993" w:left="1134" w:header="958" w:footer="737" w:gutter="0"/>
          <w:cols w:space="708"/>
          <w:docGrid w:linePitch="360"/>
        </w:sectPr>
      </w:pPr>
    </w:p>
    <w:p w14:paraId="3E7678EB" w14:textId="77777777" w:rsidR="00F2518A" w:rsidRPr="007C747A" w:rsidRDefault="00F2518A" w:rsidP="00F2518A">
      <w:pPr>
        <w:spacing w:after="0" w:line="240" w:lineRule="auto"/>
        <w:rPr>
          <w:rFonts w:eastAsia="Times New Roman" w:cs="Arial"/>
          <w:sz w:val="4"/>
          <w:szCs w:val="4"/>
          <w:lang w:val="en-AU" w:eastAsia="en-US"/>
        </w:rPr>
      </w:pPr>
    </w:p>
    <w:tbl>
      <w:tblPr>
        <w:tblW w:w="14683" w:type="dxa"/>
        <w:tblLayout w:type="fixed"/>
        <w:tblCellMar>
          <w:left w:w="57" w:type="dxa"/>
          <w:right w:w="57" w:type="dxa"/>
        </w:tblCellMar>
        <w:tblLook w:val="04A0" w:firstRow="1" w:lastRow="0" w:firstColumn="1" w:lastColumn="0" w:noHBand="0" w:noVBand="1"/>
      </w:tblPr>
      <w:tblGrid>
        <w:gridCol w:w="2588"/>
        <w:gridCol w:w="1001"/>
        <w:gridCol w:w="1064"/>
        <w:gridCol w:w="995"/>
        <w:gridCol w:w="994"/>
        <w:gridCol w:w="996"/>
        <w:gridCol w:w="999"/>
        <w:gridCol w:w="997"/>
        <w:gridCol w:w="994"/>
        <w:gridCol w:w="994"/>
        <w:gridCol w:w="994"/>
        <w:gridCol w:w="1073"/>
        <w:gridCol w:w="994"/>
      </w:tblGrid>
      <w:tr w:rsidR="00F2518A" w:rsidRPr="007C747A" w14:paraId="2206B254" w14:textId="77777777">
        <w:trPr>
          <w:trHeight w:val="238"/>
        </w:trPr>
        <w:tc>
          <w:tcPr>
            <w:tcW w:w="2588" w:type="dxa"/>
            <w:tcBorders>
              <w:top w:val="single" w:sz="8" w:space="0" w:color="800080"/>
              <w:left w:val="nil"/>
              <w:bottom w:val="nil"/>
              <w:right w:val="nil"/>
            </w:tcBorders>
            <w:shd w:val="clear" w:color="FFFFFF" w:fill="FFFFFF"/>
            <w:noWrap/>
            <w:vAlign w:val="bottom"/>
            <w:hideMark/>
          </w:tcPr>
          <w:p w14:paraId="6209AF5A" w14:textId="77777777" w:rsidR="00F2518A" w:rsidRPr="007C747A" w:rsidRDefault="00F2518A" w:rsidP="00F2518A">
            <w:pPr>
              <w:spacing w:after="0" w:line="240" w:lineRule="auto"/>
              <w:rPr>
                <w:rFonts w:eastAsia="Times New Roman" w:cs="Arial"/>
                <w:sz w:val="18"/>
                <w:szCs w:val="18"/>
                <w:lang w:val="en-AU" w:eastAsia="en-US"/>
              </w:rPr>
            </w:pPr>
            <w:bookmarkStart w:id="130" w:name="Note_CEQTABLE1" w:colFirst="0" w:colLast="0"/>
            <w:r w:rsidRPr="007C747A">
              <w:rPr>
                <w:rFonts w:eastAsia="Times New Roman" w:cs="Arial"/>
                <w:sz w:val="18"/>
                <w:szCs w:val="18"/>
                <w:lang w:val="en-AU" w:eastAsia="en-US"/>
              </w:rPr>
              <w:t> </w:t>
            </w:r>
          </w:p>
        </w:tc>
        <w:tc>
          <w:tcPr>
            <w:tcW w:w="3060" w:type="dxa"/>
            <w:gridSpan w:val="3"/>
            <w:tcBorders>
              <w:top w:val="single" w:sz="8" w:space="0" w:color="800080"/>
              <w:left w:val="nil"/>
              <w:bottom w:val="nil"/>
              <w:right w:val="nil"/>
            </w:tcBorders>
            <w:shd w:val="clear" w:color="FFFFFF" w:fill="FFFFFF"/>
            <w:vAlign w:val="center"/>
            <w:hideMark/>
          </w:tcPr>
          <w:p w14:paraId="289903B0" w14:textId="77777777" w:rsidR="00F2518A" w:rsidRPr="007C747A" w:rsidRDefault="00F2518A" w:rsidP="00F2518A">
            <w:pPr>
              <w:spacing w:after="0" w:line="240" w:lineRule="auto"/>
              <w:jc w:val="center"/>
              <w:rPr>
                <w:rFonts w:eastAsia="Times New Roman" w:cs="Arial"/>
                <w:b/>
                <w:bCs/>
                <w:sz w:val="18"/>
                <w:szCs w:val="18"/>
                <w:lang w:val="en-AU" w:eastAsia="en-US"/>
              </w:rPr>
            </w:pPr>
            <w:r w:rsidRPr="007C747A">
              <w:rPr>
                <w:rFonts w:eastAsia="Times New Roman" w:cs="Arial"/>
                <w:b/>
                <w:bCs/>
                <w:sz w:val="18"/>
                <w:szCs w:val="18"/>
                <w:lang w:val="en-AU" w:eastAsia="en-US"/>
              </w:rPr>
              <w:t>Retained Surplus</w:t>
            </w:r>
          </w:p>
        </w:tc>
        <w:tc>
          <w:tcPr>
            <w:tcW w:w="2989" w:type="dxa"/>
            <w:gridSpan w:val="3"/>
            <w:tcBorders>
              <w:top w:val="single" w:sz="8" w:space="0" w:color="800080"/>
              <w:left w:val="nil"/>
              <w:bottom w:val="nil"/>
              <w:right w:val="nil"/>
            </w:tcBorders>
            <w:shd w:val="clear" w:color="FFFFFF" w:fill="FFFFFF"/>
            <w:vAlign w:val="center"/>
            <w:hideMark/>
          </w:tcPr>
          <w:p w14:paraId="112F314F" w14:textId="77777777" w:rsidR="00F2518A" w:rsidRPr="007C747A" w:rsidRDefault="00F2518A" w:rsidP="00F2518A">
            <w:pPr>
              <w:spacing w:after="0" w:line="240" w:lineRule="auto"/>
              <w:jc w:val="center"/>
              <w:rPr>
                <w:rFonts w:eastAsia="Times New Roman" w:cs="Arial"/>
                <w:b/>
                <w:bCs/>
                <w:sz w:val="18"/>
                <w:szCs w:val="18"/>
                <w:lang w:val="en-AU" w:eastAsia="en-US"/>
              </w:rPr>
            </w:pPr>
            <w:r w:rsidRPr="007C747A">
              <w:rPr>
                <w:rFonts w:eastAsia="Times New Roman" w:cs="Arial"/>
                <w:b/>
                <w:bCs/>
                <w:sz w:val="18"/>
                <w:szCs w:val="18"/>
                <w:lang w:val="en-AU" w:eastAsia="en-US"/>
              </w:rPr>
              <w:t>Asset Revaluation Reserve</w:t>
            </w:r>
          </w:p>
        </w:tc>
        <w:tc>
          <w:tcPr>
            <w:tcW w:w="2985" w:type="dxa"/>
            <w:gridSpan w:val="3"/>
            <w:tcBorders>
              <w:top w:val="single" w:sz="8" w:space="0" w:color="800080"/>
              <w:left w:val="nil"/>
              <w:bottom w:val="nil"/>
              <w:right w:val="nil"/>
            </w:tcBorders>
            <w:shd w:val="clear" w:color="FFFFFF" w:fill="FFFFFF"/>
            <w:vAlign w:val="center"/>
            <w:hideMark/>
          </w:tcPr>
          <w:p w14:paraId="5A836A48" w14:textId="77777777" w:rsidR="00F2518A" w:rsidRPr="007C747A" w:rsidRDefault="00F2518A" w:rsidP="00F2518A">
            <w:pPr>
              <w:spacing w:after="0" w:line="240" w:lineRule="auto"/>
              <w:jc w:val="center"/>
              <w:rPr>
                <w:rFonts w:eastAsia="Times New Roman" w:cs="Arial"/>
                <w:b/>
                <w:bCs/>
                <w:sz w:val="18"/>
                <w:szCs w:val="18"/>
                <w:lang w:val="en-AU" w:eastAsia="en-US"/>
              </w:rPr>
            </w:pPr>
            <w:r w:rsidRPr="007C747A">
              <w:rPr>
                <w:rFonts w:eastAsia="Times New Roman" w:cs="Arial"/>
                <w:b/>
                <w:bCs/>
                <w:sz w:val="18"/>
                <w:szCs w:val="18"/>
                <w:lang w:val="en-AU" w:eastAsia="en-US"/>
              </w:rPr>
              <w:t>Contributed Equity</w:t>
            </w:r>
          </w:p>
        </w:tc>
        <w:tc>
          <w:tcPr>
            <w:tcW w:w="3061" w:type="dxa"/>
            <w:gridSpan w:val="3"/>
            <w:tcBorders>
              <w:top w:val="single" w:sz="8" w:space="0" w:color="800080"/>
              <w:left w:val="nil"/>
              <w:bottom w:val="nil"/>
              <w:right w:val="nil"/>
            </w:tcBorders>
            <w:shd w:val="clear" w:color="FFFFFF" w:fill="FFFFFF"/>
            <w:vAlign w:val="center"/>
            <w:hideMark/>
          </w:tcPr>
          <w:p w14:paraId="7E912A0A" w14:textId="77777777" w:rsidR="00F2518A" w:rsidRPr="007C747A" w:rsidRDefault="00F2518A" w:rsidP="00F2518A">
            <w:pPr>
              <w:spacing w:after="0" w:line="240" w:lineRule="auto"/>
              <w:jc w:val="center"/>
              <w:rPr>
                <w:rFonts w:eastAsia="Times New Roman" w:cs="Arial"/>
                <w:b/>
                <w:bCs/>
                <w:sz w:val="18"/>
                <w:szCs w:val="18"/>
                <w:lang w:val="en-AU" w:eastAsia="en-US"/>
              </w:rPr>
            </w:pPr>
            <w:r w:rsidRPr="007C747A">
              <w:rPr>
                <w:rFonts w:eastAsia="Times New Roman" w:cs="Arial"/>
                <w:b/>
                <w:bCs/>
                <w:sz w:val="18"/>
                <w:szCs w:val="18"/>
                <w:lang w:val="en-AU" w:eastAsia="en-US"/>
              </w:rPr>
              <w:t>Total Equity</w:t>
            </w:r>
          </w:p>
        </w:tc>
      </w:tr>
      <w:bookmarkEnd w:id="130"/>
      <w:tr w:rsidR="00F2518A" w:rsidRPr="007C747A" w14:paraId="210DACD2" w14:textId="77777777">
        <w:trPr>
          <w:trHeight w:val="238"/>
        </w:trPr>
        <w:tc>
          <w:tcPr>
            <w:tcW w:w="2588" w:type="dxa"/>
            <w:tcBorders>
              <w:top w:val="nil"/>
              <w:left w:val="nil"/>
              <w:bottom w:val="single" w:sz="8" w:space="0" w:color="800080"/>
              <w:right w:val="nil"/>
            </w:tcBorders>
            <w:shd w:val="clear" w:color="FFFFFF" w:fill="FFFFFF"/>
            <w:noWrap/>
            <w:vAlign w:val="bottom"/>
            <w:hideMark/>
          </w:tcPr>
          <w:p w14:paraId="5B9B462B"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 </w:t>
            </w:r>
          </w:p>
        </w:tc>
        <w:tc>
          <w:tcPr>
            <w:tcW w:w="1001" w:type="dxa"/>
            <w:tcBorders>
              <w:top w:val="nil"/>
              <w:left w:val="nil"/>
              <w:bottom w:val="single" w:sz="8" w:space="0" w:color="800080"/>
              <w:right w:val="nil"/>
            </w:tcBorders>
            <w:shd w:val="clear" w:color="FFFFFF" w:fill="FFFFFF"/>
            <w:vAlign w:val="bottom"/>
            <w:hideMark/>
          </w:tcPr>
          <w:p w14:paraId="6EDFD136" w14:textId="0899BB17" w:rsidR="00F2518A" w:rsidRPr="007C747A" w:rsidRDefault="007C3D66"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1064" w:type="dxa"/>
            <w:tcBorders>
              <w:top w:val="nil"/>
              <w:left w:val="nil"/>
              <w:bottom w:val="single" w:sz="8" w:space="0" w:color="800080"/>
              <w:right w:val="nil"/>
            </w:tcBorders>
            <w:shd w:val="clear" w:color="FFFFFF" w:fill="FFFFFF"/>
            <w:vAlign w:val="bottom"/>
            <w:hideMark/>
          </w:tcPr>
          <w:p w14:paraId="1B69EC8C" w14:textId="2B983D30" w:rsidR="00F2518A" w:rsidRPr="007C747A" w:rsidRDefault="007C3D66"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c>
          <w:tcPr>
            <w:tcW w:w="995" w:type="dxa"/>
            <w:tcBorders>
              <w:top w:val="nil"/>
              <w:left w:val="nil"/>
              <w:bottom w:val="single" w:sz="8" w:space="0" w:color="800080"/>
              <w:right w:val="nil"/>
            </w:tcBorders>
            <w:shd w:val="clear" w:color="FFFFFF" w:fill="FFFFFF"/>
            <w:vAlign w:val="bottom"/>
            <w:hideMark/>
          </w:tcPr>
          <w:p w14:paraId="49A467F0" w14:textId="2B57F701" w:rsidR="00F2518A" w:rsidRPr="007C747A" w:rsidRDefault="007C3D66" w:rsidP="00F2518A">
            <w:pPr>
              <w:spacing w:after="0" w:line="240" w:lineRule="auto"/>
              <w:jc w:val="right"/>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w:t>
            </w:r>
            <w:r w:rsidRPr="007C747A">
              <w:rPr>
                <w:rFonts w:eastAsia="Times New Roman" w:cs="Arial"/>
                <w:color w:val="800080"/>
                <w:sz w:val="18"/>
                <w:szCs w:val="18"/>
                <w:lang w:val="en-AU" w:eastAsia="en-US"/>
              </w:rPr>
              <w:br/>
              <w:t>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lang w:val="en-AU" w:eastAsia="en-US"/>
              </w:rPr>
              <w:br/>
              <w:t>2023</w:t>
            </w:r>
            <w:r w:rsidRPr="007C747A">
              <w:rPr>
                <w:rFonts w:eastAsia="Times New Roman" w:cs="Arial"/>
                <w:color w:val="800080"/>
                <w:sz w:val="18"/>
                <w:szCs w:val="18"/>
                <w:lang w:val="en-AU" w:eastAsia="en-US"/>
              </w:rPr>
              <w:br/>
            </w:r>
            <w:r w:rsidR="00F2518A" w:rsidRPr="007C747A">
              <w:rPr>
                <w:rFonts w:eastAsia="Times New Roman" w:cs="Arial"/>
                <w:color w:val="800080"/>
                <w:sz w:val="18"/>
                <w:szCs w:val="18"/>
                <w:lang w:val="en-AU" w:eastAsia="en-US"/>
              </w:rPr>
              <w:t>$'000</w:t>
            </w:r>
          </w:p>
        </w:tc>
        <w:tc>
          <w:tcPr>
            <w:tcW w:w="994" w:type="dxa"/>
            <w:tcBorders>
              <w:top w:val="nil"/>
              <w:left w:val="nil"/>
              <w:bottom w:val="single" w:sz="8" w:space="0" w:color="800080"/>
              <w:right w:val="nil"/>
            </w:tcBorders>
            <w:shd w:val="clear" w:color="FFFFFF" w:fill="FFFFFF"/>
            <w:vAlign w:val="bottom"/>
            <w:hideMark/>
          </w:tcPr>
          <w:p w14:paraId="43343B0D" w14:textId="72A85A47" w:rsidR="00F2518A" w:rsidRPr="007C747A" w:rsidRDefault="007C3D66"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996" w:type="dxa"/>
            <w:tcBorders>
              <w:top w:val="nil"/>
              <w:left w:val="nil"/>
              <w:bottom w:val="single" w:sz="8" w:space="0" w:color="800080"/>
              <w:right w:val="nil"/>
            </w:tcBorders>
            <w:shd w:val="clear" w:color="FFFFFF" w:fill="FFFFFF"/>
            <w:vAlign w:val="bottom"/>
            <w:hideMark/>
          </w:tcPr>
          <w:p w14:paraId="45CA4BE5" w14:textId="169DDBAE" w:rsidR="00F2518A" w:rsidRPr="007C747A" w:rsidRDefault="007C3D66"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c>
          <w:tcPr>
            <w:tcW w:w="999" w:type="dxa"/>
            <w:tcBorders>
              <w:top w:val="nil"/>
              <w:left w:val="nil"/>
              <w:bottom w:val="single" w:sz="8" w:space="0" w:color="800080"/>
              <w:right w:val="nil"/>
            </w:tcBorders>
            <w:shd w:val="clear" w:color="FFFFFF" w:fill="FFFFFF"/>
            <w:vAlign w:val="bottom"/>
            <w:hideMark/>
          </w:tcPr>
          <w:p w14:paraId="7CCE78CA" w14:textId="00838922" w:rsidR="00F2518A" w:rsidRPr="007C747A" w:rsidRDefault="007C3D66" w:rsidP="00F2518A">
            <w:pPr>
              <w:spacing w:after="0" w:line="240" w:lineRule="auto"/>
              <w:jc w:val="right"/>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w:t>
            </w:r>
            <w:r w:rsidRPr="007C747A">
              <w:rPr>
                <w:rFonts w:eastAsia="Times New Roman" w:cs="Arial"/>
                <w:color w:val="800080"/>
                <w:sz w:val="18"/>
                <w:szCs w:val="18"/>
                <w:lang w:val="en-AU" w:eastAsia="en-US"/>
              </w:rPr>
              <w:br/>
              <w:t>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lang w:val="en-AU" w:eastAsia="en-US"/>
              </w:rPr>
              <w:br/>
              <w:t>2023</w:t>
            </w:r>
            <w:r w:rsidRPr="007C747A">
              <w:rPr>
                <w:rFonts w:eastAsia="Times New Roman" w:cs="Arial"/>
                <w:color w:val="800080"/>
                <w:sz w:val="18"/>
                <w:szCs w:val="18"/>
                <w:lang w:val="en-AU" w:eastAsia="en-US"/>
              </w:rPr>
              <w:br/>
            </w:r>
            <w:r w:rsidR="00F2518A" w:rsidRPr="007C747A">
              <w:rPr>
                <w:rFonts w:eastAsia="Times New Roman" w:cs="Arial"/>
                <w:color w:val="800080"/>
                <w:sz w:val="18"/>
                <w:szCs w:val="18"/>
                <w:lang w:val="en-AU" w:eastAsia="en-US"/>
              </w:rPr>
              <w:t>$'000</w:t>
            </w:r>
          </w:p>
        </w:tc>
        <w:tc>
          <w:tcPr>
            <w:tcW w:w="997" w:type="dxa"/>
            <w:tcBorders>
              <w:top w:val="nil"/>
              <w:left w:val="nil"/>
              <w:bottom w:val="single" w:sz="8" w:space="0" w:color="800080"/>
              <w:right w:val="nil"/>
            </w:tcBorders>
            <w:shd w:val="clear" w:color="FFFFFF" w:fill="FFFFFF"/>
            <w:vAlign w:val="bottom"/>
            <w:hideMark/>
          </w:tcPr>
          <w:p w14:paraId="17FCCD1B" w14:textId="1898BB2D" w:rsidR="00F2518A" w:rsidRPr="007C747A" w:rsidRDefault="007C3D66"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994" w:type="dxa"/>
            <w:tcBorders>
              <w:top w:val="nil"/>
              <w:left w:val="nil"/>
              <w:bottom w:val="single" w:sz="8" w:space="0" w:color="800080"/>
              <w:right w:val="nil"/>
            </w:tcBorders>
            <w:shd w:val="clear" w:color="FFFFFF" w:fill="FFFFFF"/>
            <w:vAlign w:val="bottom"/>
            <w:hideMark/>
          </w:tcPr>
          <w:p w14:paraId="585531B1" w14:textId="53E8B1C5" w:rsidR="00F2518A" w:rsidRPr="007C747A" w:rsidRDefault="007C3D66"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c>
          <w:tcPr>
            <w:tcW w:w="994" w:type="dxa"/>
            <w:tcBorders>
              <w:top w:val="nil"/>
              <w:left w:val="nil"/>
              <w:bottom w:val="single" w:sz="8" w:space="0" w:color="800080"/>
              <w:right w:val="nil"/>
            </w:tcBorders>
            <w:shd w:val="clear" w:color="FFFFFF" w:fill="FFFFFF"/>
            <w:vAlign w:val="bottom"/>
            <w:hideMark/>
          </w:tcPr>
          <w:p w14:paraId="57602592" w14:textId="4F2B7A6D" w:rsidR="00F2518A" w:rsidRPr="007C747A" w:rsidRDefault="007C3D66" w:rsidP="00F2518A">
            <w:pPr>
              <w:spacing w:after="0" w:line="240" w:lineRule="auto"/>
              <w:jc w:val="right"/>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w:t>
            </w:r>
            <w:r w:rsidRPr="007C747A">
              <w:rPr>
                <w:rFonts w:eastAsia="Times New Roman" w:cs="Arial"/>
                <w:color w:val="800080"/>
                <w:sz w:val="18"/>
                <w:szCs w:val="18"/>
                <w:lang w:val="en-AU" w:eastAsia="en-US"/>
              </w:rPr>
              <w:br/>
              <w:t>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lang w:val="en-AU" w:eastAsia="en-US"/>
              </w:rPr>
              <w:br/>
              <w:t>2023</w:t>
            </w:r>
            <w:r w:rsidRPr="007C747A">
              <w:rPr>
                <w:rFonts w:eastAsia="Times New Roman" w:cs="Arial"/>
                <w:color w:val="800080"/>
                <w:sz w:val="18"/>
                <w:szCs w:val="18"/>
                <w:lang w:val="en-AU" w:eastAsia="en-US"/>
              </w:rPr>
              <w:br/>
            </w:r>
            <w:r w:rsidR="00F2518A" w:rsidRPr="007C747A">
              <w:rPr>
                <w:rFonts w:eastAsia="Times New Roman" w:cs="Arial"/>
                <w:color w:val="800080"/>
                <w:sz w:val="18"/>
                <w:szCs w:val="18"/>
                <w:lang w:val="en-AU" w:eastAsia="en-US"/>
              </w:rPr>
              <w:t>$'000</w:t>
            </w:r>
          </w:p>
        </w:tc>
        <w:tc>
          <w:tcPr>
            <w:tcW w:w="994" w:type="dxa"/>
            <w:tcBorders>
              <w:top w:val="nil"/>
              <w:left w:val="nil"/>
              <w:bottom w:val="single" w:sz="8" w:space="0" w:color="800080"/>
              <w:right w:val="nil"/>
            </w:tcBorders>
            <w:shd w:val="clear" w:color="FFFFFF" w:fill="FFFFFF"/>
            <w:vAlign w:val="bottom"/>
            <w:hideMark/>
          </w:tcPr>
          <w:p w14:paraId="1E8E3CD0" w14:textId="4EA745EC" w:rsidR="00F2518A" w:rsidRPr="007C747A" w:rsidRDefault="007C3D66"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1073" w:type="dxa"/>
            <w:tcBorders>
              <w:top w:val="nil"/>
              <w:left w:val="nil"/>
              <w:bottom w:val="single" w:sz="8" w:space="0" w:color="800080"/>
              <w:right w:val="nil"/>
            </w:tcBorders>
            <w:shd w:val="clear" w:color="FFFFFF" w:fill="FFFFFF"/>
            <w:vAlign w:val="bottom"/>
            <w:hideMark/>
          </w:tcPr>
          <w:p w14:paraId="51BFCB2F" w14:textId="1403CE0B" w:rsidR="00F2518A" w:rsidRPr="007C747A" w:rsidRDefault="007C3D66"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c>
          <w:tcPr>
            <w:tcW w:w="994" w:type="dxa"/>
            <w:tcBorders>
              <w:top w:val="nil"/>
              <w:left w:val="nil"/>
              <w:bottom w:val="single" w:sz="8" w:space="0" w:color="800080"/>
              <w:right w:val="nil"/>
            </w:tcBorders>
            <w:shd w:val="clear" w:color="FFFFFF" w:fill="FFFFFF"/>
            <w:vAlign w:val="bottom"/>
            <w:hideMark/>
          </w:tcPr>
          <w:p w14:paraId="45E298D3" w14:textId="200917E3" w:rsidR="00F2518A" w:rsidRPr="007C747A" w:rsidRDefault="007C3D66" w:rsidP="00F2518A">
            <w:pPr>
              <w:spacing w:after="0" w:line="240" w:lineRule="auto"/>
              <w:jc w:val="right"/>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w:t>
            </w:r>
            <w:r w:rsidRPr="007C747A">
              <w:rPr>
                <w:rFonts w:eastAsia="Times New Roman" w:cs="Arial"/>
                <w:color w:val="800080"/>
                <w:sz w:val="18"/>
                <w:szCs w:val="18"/>
                <w:lang w:val="en-AU" w:eastAsia="en-US"/>
              </w:rPr>
              <w:br/>
              <w:t>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lang w:val="en-AU" w:eastAsia="en-US"/>
              </w:rPr>
              <w:br/>
              <w:t>2023</w:t>
            </w:r>
            <w:r w:rsidRPr="007C747A">
              <w:rPr>
                <w:rFonts w:eastAsia="Times New Roman" w:cs="Arial"/>
                <w:color w:val="800080"/>
                <w:sz w:val="18"/>
                <w:szCs w:val="18"/>
                <w:lang w:val="en-AU" w:eastAsia="en-US"/>
              </w:rPr>
              <w:br/>
            </w:r>
            <w:r w:rsidR="00F2518A" w:rsidRPr="007C747A">
              <w:rPr>
                <w:rFonts w:eastAsia="Times New Roman" w:cs="Arial"/>
                <w:color w:val="800080"/>
                <w:sz w:val="18"/>
                <w:szCs w:val="18"/>
                <w:lang w:val="en-AU" w:eastAsia="en-US"/>
              </w:rPr>
              <w:t>$'000</w:t>
            </w:r>
          </w:p>
        </w:tc>
      </w:tr>
      <w:tr w:rsidR="00F2518A" w:rsidRPr="007C747A" w14:paraId="2F2048A5" w14:textId="77777777">
        <w:trPr>
          <w:trHeight w:val="238"/>
        </w:trPr>
        <w:tc>
          <w:tcPr>
            <w:tcW w:w="2588" w:type="dxa"/>
            <w:tcBorders>
              <w:top w:val="nil"/>
              <w:left w:val="nil"/>
              <w:bottom w:val="nil"/>
              <w:right w:val="nil"/>
            </w:tcBorders>
            <w:shd w:val="clear" w:color="FFFFFF" w:fill="FFFFFF"/>
            <w:hideMark/>
          </w:tcPr>
          <w:p w14:paraId="24ABC9C9"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Opening balance</w:t>
            </w:r>
          </w:p>
        </w:tc>
        <w:tc>
          <w:tcPr>
            <w:tcW w:w="1001" w:type="dxa"/>
            <w:tcBorders>
              <w:top w:val="nil"/>
              <w:left w:val="nil"/>
              <w:bottom w:val="nil"/>
              <w:right w:val="nil"/>
            </w:tcBorders>
            <w:shd w:val="clear" w:color="FFFFFF" w:fill="FFFFFF"/>
            <w:noWrap/>
            <w:hideMark/>
          </w:tcPr>
          <w:p w14:paraId="6D68E129"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1,017,277</w:t>
            </w:r>
          </w:p>
        </w:tc>
        <w:tc>
          <w:tcPr>
            <w:tcW w:w="1064" w:type="dxa"/>
            <w:tcBorders>
              <w:top w:val="nil"/>
              <w:left w:val="nil"/>
              <w:bottom w:val="nil"/>
              <w:right w:val="nil"/>
            </w:tcBorders>
            <w:shd w:val="clear" w:color="FFFFFF" w:fill="FFFFFF"/>
            <w:noWrap/>
            <w:hideMark/>
          </w:tcPr>
          <w:p w14:paraId="6B92C42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744,120</w:t>
            </w:r>
          </w:p>
        </w:tc>
        <w:tc>
          <w:tcPr>
            <w:tcW w:w="995" w:type="dxa"/>
            <w:tcBorders>
              <w:top w:val="nil"/>
              <w:left w:val="nil"/>
              <w:bottom w:val="nil"/>
              <w:right w:val="nil"/>
            </w:tcBorders>
            <w:shd w:val="clear" w:color="FFFFFF" w:fill="FFFFFF"/>
            <w:noWrap/>
            <w:hideMark/>
          </w:tcPr>
          <w:p w14:paraId="787ADE8E"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1,017,277</w:t>
            </w:r>
          </w:p>
        </w:tc>
        <w:tc>
          <w:tcPr>
            <w:tcW w:w="994" w:type="dxa"/>
            <w:tcBorders>
              <w:top w:val="nil"/>
              <w:left w:val="nil"/>
              <w:bottom w:val="nil"/>
              <w:right w:val="nil"/>
            </w:tcBorders>
            <w:shd w:val="clear" w:color="FFFFFF" w:fill="FFFFFF"/>
            <w:noWrap/>
            <w:hideMark/>
          </w:tcPr>
          <w:p w14:paraId="1CB8F33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21,079</w:t>
            </w:r>
          </w:p>
        </w:tc>
        <w:tc>
          <w:tcPr>
            <w:tcW w:w="996" w:type="dxa"/>
            <w:tcBorders>
              <w:top w:val="nil"/>
              <w:left w:val="nil"/>
              <w:bottom w:val="nil"/>
              <w:right w:val="nil"/>
            </w:tcBorders>
            <w:shd w:val="clear" w:color="FFFFFF" w:fill="FFFFFF"/>
            <w:noWrap/>
            <w:hideMark/>
          </w:tcPr>
          <w:p w14:paraId="7E5626D1"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22,137</w:t>
            </w:r>
          </w:p>
        </w:tc>
        <w:tc>
          <w:tcPr>
            <w:tcW w:w="999" w:type="dxa"/>
            <w:tcBorders>
              <w:top w:val="nil"/>
              <w:left w:val="nil"/>
              <w:bottom w:val="nil"/>
              <w:right w:val="nil"/>
            </w:tcBorders>
            <w:shd w:val="clear" w:color="FFFFFF" w:fill="FFFFFF"/>
            <w:noWrap/>
            <w:hideMark/>
          </w:tcPr>
          <w:p w14:paraId="4A1C0A79"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21,079</w:t>
            </w:r>
          </w:p>
        </w:tc>
        <w:tc>
          <w:tcPr>
            <w:tcW w:w="997" w:type="dxa"/>
            <w:tcBorders>
              <w:top w:val="nil"/>
              <w:left w:val="nil"/>
              <w:bottom w:val="nil"/>
              <w:right w:val="nil"/>
            </w:tcBorders>
            <w:shd w:val="clear" w:color="FFFFFF" w:fill="FFFFFF"/>
            <w:noWrap/>
            <w:hideMark/>
          </w:tcPr>
          <w:p w14:paraId="30CAA93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205,733</w:t>
            </w:r>
          </w:p>
        </w:tc>
        <w:tc>
          <w:tcPr>
            <w:tcW w:w="994" w:type="dxa"/>
            <w:tcBorders>
              <w:top w:val="nil"/>
              <w:left w:val="nil"/>
              <w:bottom w:val="nil"/>
              <w:right w:val="nil"/>
            </w:tcBorders>
            <w:shd w:val="clear" w:color="FFFFFF" w:fill="FFFFFF"/>
            <w:noWrap/>
            <w:hideMark/>
          </w:tcPr>
          <w:p w14:paraId="69C9591F"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994" w:type="dxa"/>
            <w:tcBorders>
              <w:top w:val="nil"/>
              <w:left w:val="nil"/>
              <w:bottom w:val="nil"/>
              <w:right w:val="nil"/>
            </w:tcBorders>
            <w:shd w:val="clear" w:color="FFFFFF" w:fill="FFFFFF"/>
            <w:noWrap/>
            <w:hideMark/>
          </w:tcPr>
          <w:p w14:paraId="6C6CED6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994" w:type="dxa"/>
            <w:tcBorders>
              <w:top w:val="nil"/>
              <w:left w:val="nil"/>
              <w:bottom w:val="nil"/>
              <w:right w:val="nil"/>
            </w:tcBorders>
            <w:shd w:val="clear" w:color="FFFFFF" w:fill="FFFFFF"/>
            <w:noWrap/>
            <w:hideMark/>
          </w:tcPr>
          <w:p w14:paraId="29DD4F68"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1,244,089</w:t>
            </w:r>
          </w:p>
        </w:tc>
        <w:tc>
          <w:tcPr>
            <w:tcW w:w="1073" w:type="dxa"/>
            <w:tcBorders>
              <w:top w:val="nil"/>
              <w:left w:val="nil"/>
              <w:bottom w:val="nil"/>
              <w:right w:val="nil"/>
            </w:tcBorders>
            <w:shd w:val="clear" w:color="FFFFFF" w:fill="FFFFFF"/>
            <w:noWrap/>
            <w:hideMark/>
          </w:tcPr>
          <w:p w14:paraId="2A3C1655"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971,990</w:t>
            </w:r>
          </w:p>
        </w:tc>
        <w:tc>
          <w:tcPr>
            <w:tcW w:w="994" w:type="dxa"/>
            <w:tcBorders>
              <w:top w:val="nil"/>
              <w:left w:val="nil"/>
              <w:bottom w:val="nil"/>
              <w:right w:val="nil"/>
            </w:tcBorders>
            <w:shd w:val="clear" w:color="FFFFFF" w:fill="FFFFFF"/>
            <w:noWrap/>
            <w:hideMark/>
          </w:tcPr>
          <w:p w14:paraId="5E3194A4"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1,244,089</w:t>
            </w:r>
          </w:p>
        </w:tc>
      </w:tr>
      <w:tr w:rsidR="00F2518A" w:rsidRPr="007C747A" w14:paraId="2E0A68CF" w14:textId="77777777">
        <w:trPr>
          <w:trHeight w:val="238"/>
        </w:trPr>
        <w:tc>
          <w:tcPr>
            <w:tcW w:w="2588" w:type="dxa"/>
            <w:tcBorders>
              <w:top w:val="nil"/>
              <w:left w:val="nil"/>
              <w:bottom w:val="nil"/>
              <w:right w:val="nil"/>
            </w:tcBorders>
            <w:shd w:val="clear" w:color="FFFFFF" w:fill="FFFFFF"/>
            <w:hideMark/>
          </w:tcPr>
          <w:p w14:paraId="048FBF75"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Adjustment for rounding</w:t>
            </w:r>
          </w:p>
        </w:tc>
        <w:tc>
          <w:tcPr>
            <w:tcW w:w="1001" w:type="dxa"/>
            <w:tcBorders>
              <w:top w:val="nil"/>
              <w:left w:val="nil"/>
              <w:bottom w:val="nil"/>
              <w:right w:val="nil"/>
            </w:tcBorders>
            <w:shd w:val="clear" w:color="FFFFFF" w:fill="FFFFFF"/>
            <w:noWrap/>
            <w:hideMark/>
          </w:tcPr>
          <w:p w14:paraId="19B092FE"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(6)</w:t>
            </w:r>
          </w:p>
        </w:tc>
        <w:tc>
          <w:tcPr>
            <w:tcW w:w="1064" w:type="dxa"/>
            <w:tcBorders>
              <w:top w:val="nil"/>
              <w:left w:val="nil"/>
              <w:bottom w:val="nil"/>
              <w:right w:val="nil"/>
            </w:tcBorders>
            <w:shd w:val="clear" w:color="FFFFFF" w:fill="FFFFFF"/>
            <w:noWrap/>
            <w:hideMark/>
          </w:tcPr>
          <w:p w14:paraId="2603E98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5" w:type="dxa"/>
            <w:tcBorders>
              <w:top w:val="nil"/>
              <w:left w:val="nil"/>
              <w:bottom w:val="nil"/>
              <w:right w:val="nil"/>
            </w:tcBorders>
            <w:shd w:val="clear" w:color="FFFFFF" w:fill="FFFFFF"/>
            <w:noWrap/>
            <w:hideMark/>
          </w:tcPr>
          <w:p w14:paraId="7F23807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10034E1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6" w:type="dxa"/>
            <w:tcBorders>
              <w:top w:val="nil"/>
              <w:left w:val="nil"/>
              <w:bottom w:val="nil"/>
              <w:right w:val="nil"/>
            </w:tcBorders>
            <w:shd w:val="clear" w:color="FFFFFF" w:fill="FFFFFF"/>
            <w:noWrap/>
            <w:hideMark/>
          </w:tcPr>
          <w:p w14:paraId="69D67B93"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9" w:type="dxa"/>
            <w:tcBorders>
              <w:top w:val="nil"/>
              <w:left w:val="nil"/>
              <w:bottom w:val="nil"/>
              <w:right w:val="nil"/>
            </w:tcBorders>
            <w:shd w:val="clear" w:color="FFFFFF" w:fill="FFFFFF"/>
            <w:noWrap/>
            <w:hideMark/>
          </w:tcPr>
          <w:p w14:paraId="644FA658"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7" w:type="dxa"/>
            <w:tcBorders>
              <w:top w:val="nil"/>
              <w:left w:val="nil"/>
              <w:bottom w:val="nil"/>
              <w:right w:val="nil"/>
            </w:tcBorders>
            <w:shd w:val="clear" w:color="FFFFFF" w:fill="FFFFFF"/>
            <w:noWrap/>
            <w:hideMark/>
          </w:tcPr>
          <w:p w14:paraId="5EAD660B"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3D30994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0C75E8A1"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226A312C"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(6)</w:t>
            </w:r>
          </w:p>
        </w:tc>
        <w:tc>
          <w:tcPr>
            <w:tcW w:w="1073" w:type="dxa"/>
            <w:tcBorders>
              <w:top w:val="nil"/>
              <w:left w:val="nil"/>
              <w:bottom w:val="nil"/>
              <w:right w:val="nil"/>
            </w:tcBorders>
            <w:shd w:val="clear" w:color="FFFFFF" w:fill="FFFFFF"/>
            <w:noWrap/>
            <w:hideMark/>
          </w:tcPr>
          <w:p w14:paraId="5EED1FC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w:t>
            </w:r>
          </w:p>
        </w:tc>
        <w:tc>
          <w:tcPr>
            <w:tcW w:w="994" w:type="dxa"/>
            <w:tcBorders>
              <w:top w:val="nil"/>
              <w:left w:val="nil"/>
              <w:bottom w:val="nil"/>
              <w:right w:val="nil"/>
            </w:tcBorders>
            <w:shd w:val="clear" w:color="FFFFFF" w:fill="FFFFFF"/>
            <w:noWrap/>
            <w:hideMark/>
          </w:tcPr>
          <w:p w14:paraId="49E9EBD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F2518A" w:rsidRPr="007C747A" w14:paraId="1DB86E69" w14:textId="77777777">
        <w:trPr>
          <w:trHeight w:val="238"/>
        </w:trPr>
        <w:tc>
          <w:tcPr>
            <w:tcW w:w="2588" w:type="dxa"/>
            <w:tcBorders>
              <w:top w:val="nil"/>
              <w:left w:val="nil"/>
              <w:bottom w:val="nil"/>
              <w:right w:val="nil"/>
            </w:tcBorders>
            <w:shd w:val="clear" w:color="FFFFFF" w:fill="FFFFFF"/>
            <w:hideMark/>
          </w:tcPr>
          <w:p w14:paraId="606399C6"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Adjusted Opening balance</w:t>
            </w:r>
          </w:p>
        </w:tc>
        <w:tc>
          <w:tcPr>
            <w:tcW w:w="1001" w:type="dxa"/>
            <w:tcBorders>
              <w:top w:val="single" w:sz="4" w:space="0" w:color="auto"/>
              <w:left w:val="nil"/>
              <w:bottom w:val="single" w:sz="4" w:space="0" w:color="auto"/>
              <w:right w:val="nil"/>
            </w:tcBorders>
            <w:shd w:val="clear" w:color="FFFFFF" w:fill="FFFFFF"/>
            <w:noWrap/>
            <w:hideMark/>
          </w:tcPr>
          <w:p w14:paraId="680F3331"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1,017,271</w:t>
            </w:r>
          </w:p>
        </w:tc>
        <w:tc>
          <w:tcPr>
            <w:tcW w:w="1064" w:type="dxa"/>
            <w:tcBorders>
              <w:top w:val="single" w:sz="4" w:space="0" w:color="auto"/>
              <w:left w:val="nil"/>
              <w:bottom w:val="single" w:sz="4" w:space="0" w:color="auto"/>
              <w:right w:val="nil"/>
            </w:tcBorders>
            <w:shd w:val="clear" w:color="FFFFFF" w:fill="FFFFFF"/>
            <w:noWrap/>
            <w:hideMark/>
          </w:tcPr>
          <w:p w14:paraId="2A2BDF14"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744,120</w:t>
            </w:r>
          </w:p>
        </w:tc>
        <w:tc>
          <w:tcPr>
            <w:tcW w:w="995" w:type="dxa"/>
            <w:tcBorders>
              <w:top w:val="single" w:sz="4" w:space="0" w:color="auto"/>
              <w:left w:val="nil"/>
              <w:bottom w:val="single" w:sz="4" w:space="0" w:color="auto"/>
              <w:right w:val="nil"/>
            </w:tcBorders>
            <w:shd w:val="clear" w:color="FFFFFF" w:fill="FFFFFF"/>
            <w:noWrap/>
            <w:hideMark/>
          </w:tcPr>
          <w:p w14:paraId="7019DAE7"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1,017,277</w:t>
            </w:r>
          </w:p>
        </w:tc>
        <w:tc>
          <w:tcPr>
            <w:tcW w:w="994" w:type="dxa"/>
            <w:tcBorders>
              <w:top w:val="single" w:sz="4" w:space="0" w:color="auto"/>
              <w:left w:val="nil"/>
              <w:bottom w:val="single" w:sz="4" w:space="0" w:color="auto"/>
              <w:right w:val="nil"/>
            </w:tcBorders>
            <w:shd w:val="clear" w:color="FFFFFF" w:fill="FFFFFF"/>
            <w:noWrap/>
            <w:hideMark/>
          </w:tcPr>
          <w:p w14:paraId="2AEFCB8D"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21,079</w:t>
            </w:r>
          </w:p>
        </w:tc>
        <w:tc>
          <w:tcPr>
            <w:tcW w:w="996" w:type="dxa"/>
            <w:tcBorders>
              <w:top w:val="single" w:sz="4" w:space="0" w:color="auto"/>
              <w:left w:val="nil"/>
              <w:bottom w:val="single" w:sz="4" w:space="0" w:color="auto"/>
              <w:right w:val="nil"/>
            </w:tcBorders>
            <w:shd w:val="clear" w:color="FFFFFF" w:fill="FFFFFF"/>
            <w:noWrap/>
            <w:hideMark/>
          </w:tcPr>
          <w:p w14:paraId="4C60AEF9"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22,137</w:t>
            </w:r>
          </w:p>
        </w:tc>
        <w:tc>
          <w:tcPr>
            <w:tcW w:w="999" w:type="dxa"/>
            <w:tcBorders>
              <w:top w:val="single" w:sz="4" w:space="0" w:color="auto"/>
              <w:left w:val="nil"/>
              <w:bottom w:val="single" w:sz="4" w:space="0" w:color="auto"/>
              <w:right w:val="nil"/>
            </w:tcBorders>
            <w:shd w:val="clear" w:color="FFFFFF" w:fill="FFFFFF"/>
            <w:noWrap/>
            <w:hideMark/>
          </w:tcPr>
          <w:p w14:paraId="34255CA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21,079</w:t>
            </w:r>
          </w:p>
        </w:tc>
        <w:tc>
          <w:tcPr>
            <w:tcW w:w="997" w:type="dxa"/>
            <w:tcBorders>
              <w:top w:val="single" w:sz="4" w:space="0" w:color="auto"/>
              <w:left w:val="nil"/>
              <w:bottom w:val="single" w:sz="4" w:space="0" w:color="auto"/>
              <w:right w:val="nil"/>
            </w:tcBorders>
            <w:shd w:val="clear" w:color="FFFFFF" w:fill="FFFFFF"/>
            <w:noWrap/>
            <w:hideMark/>
          </w:tcPr>
          <w:p w14:paraId="185F3B9F"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205,733</w:t>
            </w:r>
          </w:p>
        </w:tc>
        <w:tc>
          <w:tcPr>
            <w:tcW w:w="994" w:type="dxa"/>
            <w:tcBorders>
              <w:top w:val="single" w:sz="4" w:space="0" w:color="auto"/>
              <w:left w:val="nil"/>
              <w:bottom w:val="single" w:sz="4" w:space="0" w:color="auto"/>
              <w:right w:val="nil"/>
            </w:tcBorders>
            <w:shd w:val="clear" w:color="FFFFFF" w:fill="FFFFFF"/>
            <w:noWrap/>
            <w:hideMark/>
          </w:tcPr>
          <w:p w14:paraId="187EFFE8"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994" w:type="dxa"/>
            <w:tcBorders>
              <w:top w:val="single" w:sz="4" w:space="0" w:color="auto"/>
              <w:left w:val="nil"/>
              <w:bottom w:val="single" w:sz="4" w:space="0" w:color="auto"/>
              <w:right w:val="nil"/>
            </w:tcBorders>
            <w:shd w:val="clear" w:color="FFFFFF" w:fill="FFFFFF"/>
            <w:noWrap/>
            <w:hideMark/>
          </w:tcPr>
          <w:p w14:paraId="5B2C2326"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994" w:type="dxa"/>
            <w:tcBorders>
              <w:top w:val="single" w:sz="4" w:space="0" w:color="auto"/>
              <w:left w:val="nil"/>
              <w:bottom w:val="single" w:sz="4" w:space="0" w:color="auto"/>
              <w:right w:val="nil"/>
            </w:tcBorders>
            <w:shd w:val="clear" w:color="FFFFFF" w:fill="FFFFFF"/>
            <w:noWrap/>
            <w:hideMark/>
          </w:tcPr>
          <w:p w14:paraId="474D47AA"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1,244,083</w:t>
            </w:r>
          </w:p>
        </w:tc>
        <w:tc>
          <w:tcPr>
            <w:tcW w:w="1073" w:type="dxa"/>
            <w:tcBorders>
              <w:top w:val="single" w:sz="4" w:space="0" w:color="auto"/>
              <w:left w:val="nil"/>
              <w:bottom w:val="single" w:sz="4" w:space="0" w:color="auto"/>
              <w:right w:val="nil"/>
            </w:tcBorders>
            <w:shd w:val="clear" w:color="FFFFFF" w:fill="FFFFFF"/>
            <w:noWrap/>
            <w:hideMark/>
          </w:tcPr>
          <w:p w14:paraId="7AC31CF2"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971,990</w:t>
            </w:r>
          </w:p>
        </w:tc>
        <w:tc>
          <w:tcPr>
            <w:tcW w:w="994" w:type="dxa"/>
            <w:tcBorders>
              <w:top w:val="single" w:sz="4" w:space="0" w:color="auto"/>
              <w:left w:val="nil"/>
              <w:bottom w:val="single" w:sz="4" w:space="0" w:color="auto"/>
              <w:right w:val="nil"/>
            </w:tcBorders>
            <w:shd w:val="clear" w:color="FFFFFF" w:fill="FFFFFF"/>
            <w:noWrap/>
            <w:hideMark/>
          </w:tcPr>
          <w:p w14:paraId="2A3A681A"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1,244,089</w:t>
            </w:r>
          </w:p>
        </w:tc>
      </w:tr>
      <w:tr w:rsidR="00F2518A" w:rsidRPr="007C747A" w14:paraId="685DAE8F" w14:textId="77777777">
        <w:trPr>
          <w:trHeight w:val="238"/>
        </w:trPr>
        <w:tc>
          <w:tcPr>
            <w:tcW w:w="2588" w:type="dxa"/>
            <w:tcBorders>
              <w:top w:val="nil"/>
              <w:left w:val="nil"/>
              <w:bottom w:val="nil"/>
              <w:right w:val="nil"/>
            </w:tcBorders>
            <w:shd w:val="clear" w:color="FFFFFF" w:fill="FFFFFF"/>
            <w:noWrap/>
            <w:hideMark/>
          </w:tcPr>
          <w:p w14:paraId="47707821"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1001" w:type="dxa"/>
            <w:tcBorders>
              <w:top w:val="nil"/>
              <w:left w:val="nil"/>
              <w:bottom w:val="nil"/>
              <w:right w:val="nil"/>
            </w:tcBorders>
            <w:shd w:val="clear" w:color="FFFFFF" w:fill="FFFFFF"/>
            <w:noWrap/>
            <w:hideMark/>
          </w:tcPr>
          <w:p w14:paraId="40BD567E"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1064" w:type="dxa"/>
            <w:tcBorders>
              <w:top w:val="nil"/>
              <w:left w:val="nil"/>
              <w:bottom w:val="nil"/>
              <w:right w:val="nil"/>
            </w:tcBorders>
            <w:shd w:val="clear" w:color="FFFFFF" w:fill="FFFFFF"/>
            <w:noWrap/>
            <w:hideMark/>
          </w:tcPr>
          <w:p w14:paraId="3AABE4B5"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5" w:type="dxa"/>
            <w:tcBorders>
              <w:top w:val="nil"/>
              <w:left w:val="nil"/>
              <w:bottom w:val="nil"/>
              <w:right w:val="nil"/>
            </w:tcBorders>
            <w:shd w:val="clear" w:color="FFFFFF" w:fill="FFFFFF"/>
            <w:noWrap/>
            <w:hideMark/>
          </w:tcPr>
          <w:p w14:paraId="6F71D1C9"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4" w:type="dxa"/>
            <w:tcBorders>
              <w:top w:val="nil"/>
              <w:left w:val="nil"/>
              <w:bottom w:val="nil"/>
              <w:right w:val="nil"/>
            </w:tcBorders>
            <w:shd w:val="clear" w:color="FFFFFF" w:fill="FFFFFF"/>
            <w:noWrap/>
            <w:hideMark/>
          </w:tcPr>
          <w:p w14:paraId="7C8A0AA5"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6" w:type="dxa"/>
            <w:tcBorders>
              <w:top w:val="nil"/>
              <w:left w:val="nil"/>
              <w:bottom w:val="nil"/>
              <w:right w:val="nil"/>
            </w:tcBorders>
            <w:shd w:val="clear" w:color="FFFFFF" w:fill="FFFFFF"/>
            <w:noWrap/>
            <w:hideMark/>
          </w:tcPr>
          <w:p w14:paraId="56C75B3E"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9" w:type="dxa"/>
            <w:tcBorders>
              <w:top w:val="nil"/>
              <w:left w:val="nil"/>
              <w:bottom w:val="nil"/>
              <w:right w:val="nil"/>
            </w:tcBorders>
            <w:shd w:val="clear" w:color="FFFFFF" w:fill="FFFFFF"/>
            <w:noWrap/>
            <w:hideMark/>
          </w:tcPr>
          <w:p w14:paraId="39044ABE"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7" w:type="dxa"/>
            <w:tcBorders>
              <w:top w:val="nil"/>
              <w:left w:val="nil"/>
              <w:bottom w:val="nil"/>
              <w:right w:val="nil"/>
            </w:tcBorders>
            <w:shd w:val="clear" w:color="FFFFFF" w:fill="FFFFFF"/>
            <w:noWrap/>
            <w:hideMark/>
          </w:tcPr>
          <w:p w14:paraId="74B4201B"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4" w:type="dxa"/>
            <w:tcBorders>
              <w:top w:val="nil"/>
              <w:left w:val="nil"/>
              <w:bottom w:val="nil"/>
              <w:right w:val="nil"/>
            </w:tcBorders>
            <w:shd w:val="clear" w:color="FFFFFF" w:fill="FFFFFF"/>
            <w:noWrap/>
            <w:hideMark/>
          </w:tcPr>
          <w:p w14:paraId="3D4097C8"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4" w:type="dxa"/>
            <w:tcBorders>
              <w:top w:val="nil"/>
              <w:left w:val="nil"/>
              <w:bottom w:val="nil"/>
              <w:right w:val="nil"/>
            </w:tcBorders>
            <w:shd w:val="clear" w:color="FFFFFF" w:fill="FFFFFF"/>
            <w:noWrap/>
            <w:hideMark/>
          </w:tcPr>
          <w:p w14:paraId="720BA3C0"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4" w:type="dxa"/>
            <w:tcBorders>
              <w:top w:val="nil"/>
              <w:left w:val="nil"/>
              <w:bottom w:val="nil"/>
              <w:right w:val="nil"/>
            </w:tcBorders>
            <w:shd w:val="clear" w:color="FFFFFF" w:fill="FFFFFF"/>
            <w:noWrap/>
            <w:hideMark/>
          </w:tcPr>
          <w:p w14:paraId="4396039F"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1073" w:type="dxa"/>
            <w:tcBorders>
              <w:top w:val="nil"/>
              <w:left w:val="nil"/>
              <w:bottom w:val="nil"/>
              <w:right w:val="nil"/>
            </w:tcBorders>
            <w:shd w:val="clear" w:color="FFFFFF" w:fill="FFFFFF"/>
            <w:noWrap/>
            <w:hideMark/>
          </w:tcPr>
          <w:p w14:paraId="6D15C2CD"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c>
          <w:tcPr>
            <w:tcW w:w="994" w:type="dxa"/>
            <w:tcBorders>
              <w:top w:val="nil"/>
              <w:left w:val="nil"/>
              <w:bottom w:val="nil"/>
              <w:right w:val="nil"/>
            </w:tcBorders>
            <w:shd w:val="clear" w:color="FFFFFF" w:fill="FFFFFF"/>
            <w:noWrap/>
            <w:hideMark/>
          </w:tcPr>
          <w:p w14:paraId="76DF1CB8" w14:textId="77777777" w:rsidR="00F2518A" w:rsidRPr="007C747A" w:rsidRDefault="00F2518A" w:rsidP="00F2518A">
            <w:pPr>
              <w:spacing w:after="0" w:line="240" w:lineRule="auto"/>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32DD5A6E" w14:textId="77777777">
        <w:trPr>
          <w:trHeight w:val="238"/>
        </w:trPr>
        <w:tc>
          <w:tcPr>
            <w:tcW w:w="2588" w:type="dxa"/>
            <w:tcBorders>
              <w:top w:val="nil"/>
              <w:left w:val="nil"/>
              <w:bottom w:val="nil"/>
              <w:right w:val="nil"/>
            </w:tcBorders>
            <w:shd w:val="clear" w:color="FFFFFF" w:fill="FFFFFF"/>
            <w:hideMark/>
          </w:tcPr>
          <w:p w14:paraId="6CFE9D8E"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Comprehensive income</w:t>
            </w:r>
          </w:p>
        </w:tc>
        <w:tc>
          <w:tcPr>
            <w:tcW w:w="1001" w:type="dxa"/>
            <w:tcBorders>
              <w:top w:val="nil"/>
              <w:left w:val="nil"/>
              <w:bottom w:val="nil"/>
              <w:right w:val="nil"/>
            </w:tcBorders>
            <w:shd w:val="clear" w:color="FFFFFF" w:fill="FFFFFF"/>
            <w:noWrap/>
            <w:hideMark/>
          </w:tcPr>
          <w:p w14:paraId="7EEF4938"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64" w:type="dxa"/>
            <w:tcBorders>
              <w:top w:val="nil"/>
              <w:left w:val="nil"/>
              <w:bottom w:val="nil"/>
              <w:right w:val="nil"/>
            </w:tcBorders>
            <w:shd w:val="clear" w:color="FFFFFF" w:fill="FFFFFF"/>
            <w:noWrap/>
            <w:hideMark/>
          </w:tcPr>
          <w:p w14:paraId="3CD8D444"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5" w:type="dxa"/>
            <w:tcBorders>
              <w:top w:val="nil"/>
              <w:left w:val="nil"/>
              <w:bottom w:val="nil"/>
              <w:right w:val="nil"/>
            </w:tcBorders>
            <w:shd w:val="clear" w:color="FFFFFF" w:fill="FFFFFF"/>
            <w:noWrap/>
            <w:hideMark/>
          </w:tcPr>
          <w:p w14:paraId="65541655"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4" w:type="dxa"/>
            <w:tcBorders>
              <w:top w:val="nil"/>
              <w:left w:val="nil"/>
              <w:bottom w:val="nil"/>
              <w:right w:val="nil"/>
            </w:tcBorders>
            <w:shd w:val="clear" w:color="FFFFFF" w:fill="FFFFFF"/>
            <w:noWrap/>
            <w:hideMark/>
          </w:tcPr>
          <w:p w14:paraId="65E9AEB7"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6" w:type="dxa"/>
            <w:tcBorders>
              <w:top w:val="nil"/>
              <w:left w:val="nil"/>
              <w:bottom w:val="nil"/>
              <w:right w:val="nil"/>
            </w:tcBorders>
            <w:shd w:val="clear" w:color="FFFFFF" w:fill="FFFFFF"/>
            <w:noWrap/>
            <w:hideMark/>
          </w:tcPr>
          <w:p w14:paraId="50E09BA4"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9" w:type="dxa"/>
            <w:tcBorders>
              <w:top w:val="nil"/>
              <w:left w:val="nil"/>
              <w:bottom w:val="nil"/>
              <w:right w:val="nil"/>
            </w:tcBorders>
            <w:shd w:val="clear" w:color="FFFFFF" w:fill="FFFFFF"/>
            <w:noWrap/>
            <w:hideMark/>
          </w:tcPr>
          <w:p w14:paraId="53BFB167"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7" w:type="dxa"/>
            <w:tcBorders>
              <w:top w:val="nil"/>
              <w:left w:val="nil"/>
              <w:bottom w:val="nil"/>
              <w:right w:val="nil"/>
            </w:tcBorders>
            <w:shd w:val="clear" w:color="FFFFFF" w:fill="FFFFFF"/>
            <w:noWrap/>
            <w:hideMark/>
          </w:tcPr>
          <w:p w14:paraId="7C05998D"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4" w:type="dxa"/>
            <w:tcBorders>
              <w:top w:val="nil"/>
              <w:left w:val="nil"/>
              <w:bottom w:val="nil"/>
              <w:right w:val="nil"/>
            </w:tcBorders>
            <w:shd w:val="clear" w:color="FFFFFF" w:fill="FFFFFF"/>
            <w:noWrap/>
            <w:hideMark/>
          </w:tcPr>
          <w:p w14:paraId="7DE0ADF4"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4" w:type="dxa"/>
            <w:tcBorders>
              <w:top w:val="nil"/>
              <w:left w:val="nil"/>
              <w:bottom w:val="nil"/>
              <w:right w:val="nil"/>
            </w:tcBorders>
            <w:shd w:val="clear" w:color="FFFFFF" w:fill="FFFFFF"/>
            <w:noWrap/>
            <w:hideMark/>
          </w:tcPr>
          <w:p w14:paraId="2F7E7409"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4" w:type="dxa"/>
            <w:tcBorders>
              <w:top w:val="nil"/>
              <w:left w:val="nil"/>
              <w:bottom w:val="nil"/>
              <w:right w:val="nil"/>
            </w:tcBorders>
            <w:shd w:val="clear" w:color="FFFFFF" w:fill="FFFFFF"/>
            <w:noWrap/>
            <w:hideMark/>
          </w:tcPr>
          <w:p w14:paraId="213643A1"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73" w:type="dxa"/>
            <w:tcBorders>
              <w:top w:val="nil"/>
              <w:left w:val="nil"/>
              <w:bottom w:val="nil"/>
              <w:right w:val="nil"/>
            </w:tcBorders>
            <w:shd w:val="clear" w:color="FFFFFF" w:fill="FFFFFF"/>
            <w:noWrap/>
            <w:hideMark/>
          </w:tcPr>
          <w:p w14:paraId="39CD4078"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122F124A"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7C852B5" w14:textId="77777777">
        <w:trPr>
          <w:trHeight w:val="238"/>
        </w:trPr>
        <w:tc>
          <w:tcPr>
            <w:tcW w:w="2588" w:type="dxa"/>
            <w:tcBorders>
              <w:top w:val="nil"/>
              <w:left w:val="nil"/>
              <w:bottom w:val="nil"/>
              <w:right w:val="nil"/>
            </w:tcBorders>
            <w:shd w:val="clear" w:color="FFFFFF" w:fill="FFFFFF"/>
            <w:hideMark/>
          </w:tcPr>
          <w:p w14:paraId="70E2F49E"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Surplus/(Deficit) for the period</w:t>
            </w:r>
          </w:p>
        </w:tc>
        <w:tc>
          <w:tcPr>
            <w:tcW w:w="1001" w:type="dxa"/>
            <w:tcBorders>
              <w:top w:val="nil"/>
              <w:left w:val="nil"/>
              <w:bottom w:val="nil"/>
              <w:right w:val="nil"/>
            </w:tcBorders>
            <w:shd w:val="clear" w:color="FFFFFF" w:fill="FFFFFF"/>
            <w:noWrap/>
            <w:hideMark/>
          </w:tcPr>
          <w:p w14:paraId="4DCF364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14,889</w:t>
            </w:r>
          </w:p>
        </w:tc>
        <w:tc>
          <w:tcPr>
            <w:tcW w:w="1064" w:type="dxa"/>
            <w:tcBorders>
              <w:top w:val="nil"/>
              <w:left w:val="nil"/>
              <w:bottom w:val="nil"/>
              <w:right w:val="nil"/>
            </w:tcBorders>
            <w:shd w:val="clear" w:color="FFFFFF" w:fill="FFFFFF"/>
            <w:noWrap/>
            <w:hideMark/>
          </w:tcPr>
          <w:p w14:paraId="216121F9"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273,157</w:t>
            </w:r>
          </w:p>
        </w:tc>
        <w:tc>
          <w:tcPr>
            <w:tcW w:w="995" w:type="dxa"/>
            <w:tcBorders>
              <w:top w:val="nil"/>
              <w:left w:val="nil"/>
              <w:bottom w:val="nil"/>
              <w:right w:val="nil"/>
            </w:tcBorders>
            <w:shd w:val="clear" w:color="FFFFFF" w:fill="FFFFFF"/>
            <w:noWrap/>
            <w:hideMark/>
          </w:tcPr>
          <w:p w14:paraId="2661167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(122,948)</w:t>
            </w:r>
          </w:p>
        </w:tc>
        <w:tc>
          <w:tcPr>
            <w:tcW w:w="994" w:type="dxa"/>
            <w:tcBorders>
              <w:top w:val="nil"/>
              <w:left w:val="nil"/>
              <w:bottom w:val="nil"/>
              <w:right w:val="nil"/>
            </w:tcBorders>
            <w:shd w:val="clear" w:color="FFFFFF" w:fill="FFFFFF"/>
            <w:noWrap/>
            <w:hideMark/>
          </w:tcPr>
          <w:p w14:paraId="75A69D6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xml:space="preserve"> -</w:t>
            </w:r>
          </w:p>
        </w:tc>
        <w:tc>
          <w:tcPr>
            <w:tcW w:w="996" w:type="dxa"/>
            <w:tcBorders>
              <w:top w:val="nil"/>
              <w:left w:val="nil"/>
              <w:bottom w:val="nil"/>
              <w:right w:val="nil"/>
            </w:tcBorders>
            <w:shd w:val="clear" w:color="FFFFFF" w:fill="FFFFFF"/>
            <w:noWrap/>
            <w:hideMark/>
          </w:tcPr>
          <w:p w14:paraId="13F07226"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9" w:type="dxa"/>
            <w:tcBorders>
              <w:top w:val="nil"/>
              <w:left w:val="nil"/>
              <w:bottom w:val="nil"/>
              <w:right w:val="nil"/>
            </w:tcBorders>
            <w:shd w:val="clear" w:color="FFFFFF" w:fill="FFFFFF"/>
            <w:noWrap/>
            <w:hideMark/>
          </w:tcPr>
          <w:p w14:paraId="0A57E277"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7" w:type="dxa"/>
            <w:tcBorders>
              <w:top w:val="nil"/>
              <w:left w:val="nil"/>
              <w:bottom w:val="nil"/>
              <w:right w:val="nil"/>
            </w:tcBorders>
            <w:shd w:val="clear" w:color="FFFFFF" w:fill="FFFFFF"/>
            <w:noWrap/>
            <w:hideMark/>
          </w:tcPr>
          <w:p w14:paraId="6897ADB8"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994" w:type="dxa"/>
            <w:tcBorders>
              <w:top w:val="nil"/>
              <w:left w:val="nil"/>
              <w:bottom w:val="nil"/>
              <w:right w:val="nil"/>
            </w:tcBorders>
            <w:shd w:val="clear" w:color="FFFFFF" w:fill="FFFFFF"/>
            <w:noWrap/>
            <w:hideMark/>
          </w:tcPr>
          <w:p w14:paraId="1DF0586B"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4" w:type="dxa"/>
            <w:tcBorders>
              <w:top w:val="nil"/>
              <w:left w:val="nil"/>
              <w:bottom w:val="nil"/>
              <w:right w:val="nil"/>
            </w:tcBorders>
            <w:shd w:val="clear" w:color="FFFFFF" w:fill="FFFFFF"/>
            <w:noWrap/>
            <w:hideMark/>
          </w:tcPr>
          <w:p w14:paraId="287CBBEB"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4" w:type="dxa"/>
            <w:tcBorders>
              <w:top w:val="nil"/>
              <w:left w:val="nil"/>
              <w:bottom w:val="nil"/>
              <w:right w:val="nil"/>
            </w:tcBorders>
            <w:shd w:val="clear" w:color="FFFFFF" w:fill="FFFFFF"/>
            <w:noWrap/>
            <w:hideMark/>
          </w:tcPr>
          <w:p w14:paraId="5441DEF1"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14,889</w:t>
            </w:r>
          </w:p>
        </w:tc>
        <w:tc>
          <w:tcPr>
            <w:tcW w:w="1073" w:type="dxa"/>
            <w:tcBorders>
              <w:top w:val="nil"/>
              <w:left w:val="nil"/>
              <w:bottom w:val="nil"/>
              <w:right w:val="nil"/>
            </w:tcBorders>
            <w:shd w:val="clear" w:color="FFFFFF" w:fill="FFFFFF"/>
            <w:noWrap/>
            <w:hideMark/>
          </w:tcPr>
          <w:p w14:paraId="7E12A2B5"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273,157</w:t>
            </w:r>
          </w:p>
        </w:tc>
        <w:tc>
          <w:tcPr>
            <w:tcW w:w="994" w:type="dxa"/>
            <w:tcBorders>
              <w:top w:val="nil"/>
              <w:left w:val="nil"/>
              <w:bottom w:val="nil"/>
              <w:right w:val="nil"/>
            </w:tcBorders>
            <w:shd w:val="clear" w:color="FFFFFF" w:fill="FFFFFF"/>
            <w:noWrap/>
            <w:hideMark/>
          </w:tcPr>
          <w:p w14:paraId="2BF8EDD2"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(122,948)</w:t>
            </w:r>
          </w:p>
        </w:tc>
      </w:tr>
      <w:tr w:rsidR="00F2518A" w:rsidRPr="007C747A" w14:paraId="35971771" w14:textId="77777777">
        <w:trPr>
          <w:trHeight w:val="238"/>
        </w:trPr>
        <w:tc>
          <w:tcPr>
            <w:tcW w:w="2588" w:type="dxa"/>
            <w:tcBorders>
              <w:top w:val="nil"/>
              <w:left w:val="nil"/>
              <w:bottom w:val="nil"/>
              <w:right w:val="nil"/>
            </w:tcBorders>
            <w:shd w:val="clear" w:color="FFFFFF" w:fill="FFFFFF"/>
            <w:hideMark/>
          </w:tcPr>
          <w:p w14:paraId="2B198CD2"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Other comprehensive income</w:t>
            </w:r>
          </w:p>
        </w:tc>
        <w:tc>
          <w:tcPr>
            <w:tcW w:w="1001" w:type="dxa"/>
            <w:tcBorders>
              <w:top w:val="nil"/>
              <w:left w:val="nil"/>
              <w:bottom w:val="nil"/>
              <w:right w:val="nil"/>
            </w:tcBorders>
            <w:shd w:val="clear" w:color="FFFFFF" w:fill="FFFFFF"/>
            <w:noWrap/>
            <w:hideMark/>
          </w:tcPr>
          <w:p w14:paraId="0E3C2E6E"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xml:space="preserve"> -</w:t>
            </w:r>
          </w:p>
        </w:tc>
        <w:tc>
          <w:tcPr>
            <w:tcW w:w="1064" w:type="dxa"/>
            <w:tcBorders>
              <w:top w:val="nil"/>
              <w:left w:val="nil"/>
              <w:bottom w:val="nil"/>
              <w:right w:val="nil"/>
            </w:tcBorders>
            <w:shd w:val="clear" w:color="FFFFFF" w:fill="FFFFFF"/>
            <w:noWrap/>
            <w:hideMark/>
          </w:tcPr>
          <w:p w14:paraId="35CDF925"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5" w:type="dxa"/>
            <w:tcBorders>
              <w:top w:val="nil"/>
              <w:left w:val="nil"/>
              <w:bottom w:val="nil"/>
              <w:right w:val="nil"/>
            </w:tcBorders>
            <w:shd w:val="clear" w:color="FFFFFF" w:fill="FFFFFF"/>
            <w:noWrap/>
            <w:hideMark/>
          </w:tcPr>
          <w:p w14:paraId="39DBC959"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4" w:type="dxa"/>
            <w:tcBorders>
              <w:top w:val="nil"/>
              <w:left w:val="nil"/>
              <w:bottom w:val="nil"/>
              <w:right w:val="nil"/>
            </w:tcBorders>
            <w:shd w:val="clear" w:color="FFFFFF" w:fill="FFFFFF"/>
            <w:noWrap/>
            <w:hideMark/>
          </w:tcPr>
          <w:p w14:paraId="3FC82B0E"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c>
          <w:tcPr>
            <w:tcW w:w="996" w:type="dxa"/>
            <w:tcBorders>
              <w:top w:val="nil"/>
              <w:left w:val="nil"/>
              <w:bottom w:val="nil"/>
              <w:right w:val="nil"/>
            </w:tcBorders>
            <w:shd w:val="clear" w:color="FFFFFF" w:fill="FFFFFF"/>
            <w:noWrap/>
            <w:hideMark/>
          </w:tcPr>
          <w:p w14:paraId="7D289C1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(1,058)</w:t>
            </w:r>
          </w:p>
        </w:tc>
        <w:tc>
          <w:tcPr>
            <w:tcW w:w="999" w:type="dxa"/>
            <w:tcBorders>
              <w:top w:val="nil"/>
              <w:left w:val="nil"/>
              <w:bottom w:val="nil"/>
              <w:right w:val="nil"/>
            </w:tcBorders>
            <w:shd w:val="clear" w:color="FFFFFF" w:fill="FFFFFF"/>
            <w:noWrap/>
            <w:hideMark/>
          </w:tcPr>
          <w:p w14:paraId="19F9F12F"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7" w:type="dxa"/>
            <w:tcBorders>
              <w:top w:val="nil"/>
              <w:left w:val="nil"/>
              <w:bottom w:val="nil"/>
              <w:right w:val="nil"/>
            </w:tcBorders>
            <w:shd w:val="clear" w:color="FFFFFF" w:fill="FFFFFF"/>
            <w:noWrap/>
            <w:hideMark/>
          </w:tcPr>
          <w:p w14:paraId="24A65A3D"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994" w:type="dxa"/>
            <w:tcBorders>
              <w:top w:val="nil"/>
              <w:left w:val="nil"/>
              <w:bottom w:val="nil"/>
              <w:right w:val="nil"/>
            </w:tcBorders>
            <w:shd w:val="clear" w:color="FFFFFF" w:fill="FFFFFF"/>
            <w:noWrap/>
            <w:hideMark/>
          </w:tcPr>
          <w:p w14:paraId="1CE0988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4" w:type="dxa"/>
            <w:tcBorders>
              <w:top w:val="nil"/>
              <w:left w:val="nil"/>
              <w:bottom w:val="nil"/>
              <w:right w:val="nil"/>
            </w:tcBorders>
            <w:shd w:val="clear" w:color="FFFFFF" w:fill="FFFFFF"/>
            <w:noWrap/>
            <w:hideMark/>
          </w:tcPr>
          <w:p w14:paraId="6F490A26"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994" w:type="dxa"/>
            <w:tcBorders>
              <w:top w:val="nil"/>
              <w:left w:val="nil"/>
              <w:bottom w:val="nil"/>
              <w:right w:val="nil"/>
            </w:tcBorders>
            <w:shd w:val="clear" w:color="FFFFFF" w:fill="FFFFFF"/>
            <w:noWrap/>
            <w:hideMark/>
          </w:tcPr>
          <w:p w14:paraId="60174518"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c>
          <w:tcPr>
            <w:tcW w:w="1073" w:type="dxa"/>
            <w:tcBorders>
              <w:top w:val="nil"/>
              <w:left w:val="nil"/>
              <w:bottom w:val="nil"/>
              <w:right w:val="nil"/>
            </w:tcBorders>
            <w:shd w:val="clear" w:color="FFFFFF" w:fill="FFFFFF"/>
            <w:noWrap/>
            <w:hideMark/>
          </w:tcPr>
          <w:p w14:paraId="77C29C22"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(1,058)</w:t>
            </w:r>
          </w:p>
        </w:tc>
        <w:tc>
          <w:tcPr>
            <w:tcW w:w="994" w:type="dxa"/>
            <w:tcBorders>
              <w:top w:val="nil"/>
              <w:left w:val="nil"/>
              <w:bottom w:val="nil"/>
              <w:right w:val="nil"/>
            </w:tcBorders>
            <w:shd w:val="clear" w:color="FFFFFF" w:fill="FFFFFF"/>
            <w:noWrap/>
            <w:hideMark/>
          </w:tcPr>
          <w:p w14:paraId="7FECAC33"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F2518A" w:rsidRPr="007C747A" w14:paraId="3C83CFB2" w14:textId="77777777">
        <w:trPr>
          <w:trHeight w:val="238"/>
        </w:trPr>
        <w:tc>
          <w:tcPr>
            <w:tcW w:w="2588" w:type="dxa"/>
            <w:tcBorders>
              <w:top w:val="single" w:sz="4" w:space="0" w:color="auto"/>
              <w:left w:val="nil"/>
              <w:bottom w:val="single" w:sz="4" w:space="0" w:color="auto"/>
              <w:right w:val="nil"/>
            </w:tcBorders>
            <w:shd w:val="clear" w:color="FFFFFF" w:fill="FFFFFF"/>
            <w:hideMark/>
          </w:tcPr>
          <w:p w14:paraId="006B07B9"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Total comprehensive income/(loss)</w:t>
            </w:r>
          </w:p>
        </w:tc>
        <w:tc>
          <w:tcPr>
            <w:tcW w:w="1001" w:type="dxa"/>
            <w:tcBorders>
              <w:top w:val="single" w:sz="4" w:space="0" w:color="auto"/>
              <w:left w:val="nil"/>
              <w:bottom w:val="single" w:sz="4" w:space="0" w:color="auto"/>
              <w:right w:val="nil"/>
            </w:tcBorders>
            <w:shd w:val="clear" w:color="FFFFFF" w:fill="FFFFFF"/>
            <w:noWrap/>
            <w:hideMark/>
          </w:tcPr>
          <w:p w14:paraId="2513E421"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14,889</w:t>
            </w:r>
          </w:p>
        </w:tc>
        <w:tc>
          <w:tcPr>
            <w:tcW w:w="1064" w:type="dxa"/>
            <w:tcBorders>
              <w:top w:val="single" w:sz="4" w:space="0" w:color="auto"/>
              <w:left w:val="nil"/>
              <w:bottom w:val="single" w:sz="4" w:space="0" w:color="auto"/>
              <w:right w:val="nil"/>
            </w:tcBorders>
            <w:shd w:val="clear" w:color="FFFFFF" w:fill="FFFFFF"/>
            <w:noWrap/>
            <w:hideMark/>
          </w:tcPr>
          <w:p w14:paraId="07238801"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273,157</w:t>
            </w:r>
          </w:p>
        </w:tc>
        <w:tc>
          <w:tcPr>
            <w:tcW w:w="995" w:type="dxa"/>
            <w:tcBorders>
              <w:top w:val="single" w:sz="4" w:space="0" w:color="auto"/>
              <w:left w:val="nil"/>
              <w:bottom w:val="single" w:sz="4" w:space="0" w:color="auto"/>
              <w:right w:val="nil"/>
            </w:tcBorders>
            <w:shd w:val="clear" w:color="FFFFFF" w:fill="FFFFFF"/>
            <w:noWrap/>
            <w:hideMark/>
          </w:tcPr>
          <w:p w14:paraId="79254E5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(122,948)</w:t>
            </w:r>
          </w:p>
        </w:tc>
        <w:tc>
          <w:tcPr>
            <w:tcW w:w="994" w:type="dxa"/>
            <w:tcBorders>
              <w:top w:val="single" w:sz="4" w:space="0" w:color="auto"/>
              <w:left w:val="nil"/>
              <w:bottom w:val="single" w:sz="4" w:space="0" w:color="auto"/>
              <w:right w:val="nil"/>
            </w:tcBorders>
            <w:shd w:val="clear" w:color="FFFFFF" w:fill="FFFFFF"/>
            <w:noWrap/>
            <w:hideMark/>
          </w:tcPr>
          <w:p w14:paraId="273A413F"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c>
          <w:tcPr>
            <w:tcW w:w="996" w:type="dxa"/>
            <w:tcBorders>
              <w:top w:val="single" w:sz="4" w:space="0" w:color="auto"/>
              <w:left w:val="nil"/>
              <w:bottom w:val="single" w:sz="4" w:space="0" w:color="auto"/>
              <w:right w:val="nil"/>
            </w:tcBorders>
            <w:shd w:val="clear" w:color="FFFFFF" w:fill="FFFFFF"/>
            <w:noWrap/>
            <w:hideMark/>
          </w:tcPr>
          <w:p w14:paraId="00E5D898"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(1,058)</w:t>
            </w:r>
          </w:p>
        </w:tc>
        <w:tc>
          <w:tcPr>
            <w:tcW w:w="999" w:type="dxa"/>
            <w:tcBorders>
              <w:top w:val="single" w:sz="4" w:space="0" w:color="auto"/>
              <w:left w:val="nil"/>
              <w:bottom w:val="single" w:sz="4" w:space="0" w:color="auto"/>
              <w:right w:val="nil"/>
            </w:tcBorders>
            <w:shd w:val="clear" w:color="FFFFFF" w:fill="FFFFFF"/>
            <w:noWrap/>
            <w:hideMark/>
          </w:tcPr>
          <w:p w14:paraId="0CB2F65F"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w:t>
            </w:r>
          </w:p>
        </w:tc>
        <w:tc>
          <w:tcPr>
            <w:tcW w:w="997" w:type="dxa"/>
            <w:tcBorders>
              <w:top w:val="single" w:sz="4" w:space="0" w:color="auto"/>
              <w:left w:val="nil"/>
              <w:bottom w:val="single" w:sz="4" w:space="0" w:color="auto"/>
              <w:right w:val="nil"/>
            </w:tcBorders>
            <w:shd w:val="clear" w:color="FFFFFF" w:fill="FFFFFF"/>
            <w:noWrap/>
            <w:hideMark/>
          </w:tcPr>
          <w:p w14:paraId="48A2420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994" w:type="dxa"/>
            <w:tcBorders>
              <w:top w:val="single" w:sz="4" w:space="0" w:color="auto"/>
              <w:left w:val="nil"/>
              <w:bottom w:val="single" w:sz="4" w:space="0" w:color="auto"/>
              <w:right w:val="nil"/>
            </w:tcBorders>
            <w:shd w:val="clear" w:color="FFFFFF" w:fill="FFFFFF"/>
            <w:noWrap/>
            <w:hideMark/>
          </w:tcPr>
          <w:p w14:paraId="13CAD4C7"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w:t>
            </w:r>
          </w:p>
        </w:tc>
        <w:tc>
          <w:tcPr>
            <w:tcW w:w="994" w:type="dxa"/>
            <w:tcBorders>
              <w:top w:val="single" w:sz="4" w:space="0" w:color="auto"/>
              <w:left w:val="nil"/>
              <w:bottom w:val="single" w:sz="4" w:space="0" w:color="auto"/>
              <w:right w:val="nil"/>
            </w:tcBorders>
            <w:shd w:val="clear" w:color="FFFFFF" w:fill="FFFFFF"/>
            <w:noWrap/>
            <w:hideMark/>
          </w:tcPr>
          <w:p w14:paraId="67519F1F"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w:t>
            </w:r>
          </w:p>
        </w:tc>
        <w:tc>
          <w:tcPr>
            <w:tcW w:w="994" w:type="dxa"/>
            <w:tcBorders>
              <w:top w:val="single" w:sz="4" w:space="0" w:color="auto"/>
              <w:left w:val="nil"/>
              <w:bottom w:val="single" w:sz="4" w:space="0" w:color="auto"/>
              <w:right w:val="nil"/>
            </w:tcBorders>
            <w:shd w:val="clear" w:color="FFFFFF" w:fill="FFFFFF"/>
            <w:noWrap/>
            <w:hideMark/>
          </w:tcPr>
          <w:p w14:paraId="41525761"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32,174</w:t>
            </w:r>
          </w:p>
        </w:tc>
        <w:tc>
          <w:tcPr>
            <w:tcW w:w="1073" w:type="dxa"/>
            <w:tcBorders>
              <w:top w:val="single" w:sz="4" w:space="0" w:color="auto"/>
              <w:left w:val="nil"/>
              <w:bottom w:val="single" w:sz="4" w:space="0" w:color="auto"/>
              <w:right w:val="nil"/>
            </w:tcBorders>
            <w:shd w:val="clear" w:color="FFFFFF" w:fill="FFFFFF"/>
            <w:noWrap/>
            <w:hideMark/>
          </w:tcPr>
          <w:p w14:paraId="0EEF0C64"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272,099</w:t>
            </w:r>
          </w:p>
        </w:tc>
        <w:tc>
          <w:tcPr>
            <w:tcW w:w="994" w:type="dxa"/>
            <w:tcBorders>
              <w:top w:val="single" w:sz="4" w:space="0" w:color="auto"/>
              <w:left w:val="nil"/>
              <w:bottom w:val="single" w:sz="4" w:space="0" w:color="auto"/>
              <w:right w:val="nil"/>
            </w:tcBorders>
            <w:shd w:val="clear" w:color="FFFFFF" w:fill="FFFFFF"/>
            <w:noWrap/>
            <w:hideMark/>
          </w:tcPr>
          <w:p w14:paraId="03BB1E3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(122,948)</w:t>
            </w:r>
          </w:p>
        </w:tc>
      </w:tr>
      <w:tr w:rsidR="00F2518A" w:rsidRPr="007C747A" w14:paraId="2AE7699E" w14:textId="77777777">
        <w:trPr>
          <w:trHeight w:val="238"/>
        </w:trPr>
        <w:tc>
          <w:tcPr>
            <w:tcW w:w="2588" w:type="dxa"/>
            <w:tcBorders>
              <w:top w:val="nil"/>
              <w:left w:val="nil"/>
              <w:bottom w:val="nil"/>
              <w:right w:val="nil"/>
            </w:tcBorders>
            <w:shd w:val="clear" w:color="FFFFFF" w:fill="FFFFFF"/>
            <w:hideMark/>
          </w:tcPr>
          <w:p w14:paraId="27C3A8B9"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01" w:type="dxa"/>
            <w:tcBorders>
              <w:top w:val="nil"/>
              <w:left w:val="nil"/>
              <w:bottom w:val="nil"/>
              <w:right w:val="nil"/>
            </w:tcBorders>
            <w:shd w:val="clear" w:color="FFFFFF" w:fill="FFFFFF"/>
            <w:noWrap/>
            <w:hideMark/>
          </w:tcPr>
          <w:p w14:paraId="182C7882"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64" w:type="dxa"/>
            <w:tcBorders>
              <w:top w:val="nil"/>
              <w:left w:val="nil"/>
              <w:bottom w:val="nil"/>
              <w:right w:val="nil"/>
            </w:tcBorders>
            <w:shd w:val="clear" w:color="FFFFFF" w:fill="FFFFFF"/>
            <w:noWrap/>
            <w:hideMark/>
          </w:tcPr>
          <w:p w14:paraId="7D17C8A6"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5" w:type="dxa"/>
            <w:tcBorders>
              <w:top w:val="nil"/>
              <w:left w:val="nil"/>
              <w:bottom w:val="nil"/>
              <w:right w:val="nil"/>
            </w:tcBorders>
            <w:shd w:val="clear" w:color="FFFFFF" w:fill="FFFFFF"/>
            <w:noWrap/>
            <w:hideMark/>
          </w:tcPr>
          <w:p w14:paraId="147975B4"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12A5355D"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6" w:type="dxa"/>
            <w:tcBorders>
              <w:top w:val="nil"/>
              <w:left w:val="nil"/>
              <w:bottom w:val="nil"/>
              <w:right w:val="nil"/>
            </w:tcBorders>
            <w:shd w:val="clear" w:color="FFFFFF" w:fill="FFFFFF"/>
            <w:noWrap/>
            <w:hideMark/>
          </w:tcPr>
          <w:p w14:paraId="66FCE263"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9" w:type="dxa"/>
            <w:tcBorders>
              <w:top w:val="nil"/>
              <w:left w:val="nil"/>
              <w:bottom w:val="nil"/>
              <w:right w:val="nil"/>
            </w:tcBorders>
            <w:shd w:val="clear" w:color="FFFFFF" w:fill="FFFFFF"/>
            <w:noWrap/>
            <w:hideMark/>
          </w:tcPr>
          <w:p w14:paraId="0E85D340"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7" w:type="dxa"/>
            <w:tcBorders>
              <w:top w:val="nil"/>
              <w:left w:val="nil"/>
              <w:bottom w:val="nil"/>
              <w:right w:val="nil"/>
            </w:tcBorders>
            <w:shd w:val="clear" w:color="FFFFFF" w:fill="FFFFFF"/>
            <w:noWrap/>
            <w:hideMark/>
          </w:tcPr>
          <w:p w14:paraId="3F05E537"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4" w:type="dxa"/>
            <w:tcBorders>
              <w:top w:val="nil"/>
              <w:left w:val="nil"/>
              <w:bottom w:val="nil"/>
              <w:right w:val="nil"/>
            </w:tcBorders>
            <w:shd w:val="clear" w:color="FFFFFF" w:fill="FFFFFF"/>
            <w:noWrap/>
            <w:hideMark/>
          </w:tcPr>
          <w:p w14:paraId="603733D7"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40CC962C"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03A9F26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73" w:type="dxa"/>
            <w:tcBorders>
              <w:top w:val="nil"/>
              <w:left w:val="nil"/>
              <w:bottom w:val="nil"/>
              <w:right w:val="nil"/>
            </w:tcBorders>
            <w:shd w:val="clear" w:color="FFFFFF" w:fill="FFFFFF"/>
            <w:noWrap/>
            <w:hideMark/>
          </w:tcPr>
          <w:p w14:paraId="29C3FEEE"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hideMark/>
          </w:tcPr>
          <w:p w14:paraId="5F17B0D3"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91FC396" w14:textId="77777777">
        <w:trPr>
          <w:trHeight w:val="238"/>
        </w:trPr>
        <w:tc>
          <w:tcPr>
            <w:tcW w:w="2588" w:type="dxa"/>
            <w:tcBorders>
              <w:top w:val="nil"/>
              <w:left w:val="nil"/>
              <w:bottom w:val="nil"/>
              <w:right w:val="nil"/>
            </w:tcBorders>
            <w:shd w:val="clear" w:color="FFFFFF" w:fill="FFFFFF"/>
            <w:vAlign w:val="bottom"/>
            <w:hideMark/>
          </w:tcPr>
          <w:p w14:paraId="0ACB9982"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01" w:type="dxa"/>
            <w:tcBorders>
              <w:top w:val="nil"/>
              <w:left w:val="nil"/>
              <w:bottom w:val="nil"/>
              <w:right w:val="nil"/>
            </w:tcBorders>
            <w:shd w:val="clear" w:color="FFFFFF" w:fill="FFFFFF"/>
            <w:noWrap/>
            <w:vAlign w:val="bottom"/>
            <w:hideMark/>
          </w:tcPr>
          <w:p w14:paraId="3FCCD22A"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64" w:type="dxa"/>
            <w:tcBorders>
              <w:top w:val="nil"/>
              <w:left w:val="nil"/>
              <w:bottom w:val="nil"/>
              <w:right w:val="nil"/>
            </w:tcBorders>
            <w:shd w:val="clear" w:color="FFFFFF" w:fill="FFFFFF"/>
            <w:noWrap/>
            <w:vAlign w:val="bottom"/>
            <w:hideMark/>
          </w:tcPr>
          <w:p w14:paraId="2FA7691B"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5" w:type="dxa"/>
            <w:tcBorders>
              <w:top w:val="nil"/>
              <w:left w:val="nil"/>
              <w:bottom w:val="nil"/>
              <w:right w:val="nil"/>
            </w:tcBorders>
            <w:shd w:val="clear" w:color="FFFFFF" w:fill="FFFFFF"/>
            <w:noWrap/>
            <w:vAlign w:val="bottom"/>
            <w:hideMark/>
          </w:tcPr>
          <w:p w14:paraId="4477EE1A"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vAlign w:val="bottom"/>
            <w:hideMark/>
          </w:tcPr>
          <w:p w14:paraId="47F62540"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6" w:type="dxa"/>
            <w:tcBorders>
              <w:top w:val="nil"/>
              <w:left w:val="nil"/>
              <w:bottom w:val="nil"/>
              <w:right w:val="nil"/>
            </w:tcBorders>
            <w:shd w:val="clear" w:color="FFFFFF" w:fill="FFFFFF"/>
            <w:noWrap/>
            <w:vAlign w:val="bottom"/>
            <w:hideMark/>
          </w:tcPr>
          <w:p w14:paraId="48FFDEDE"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9" w:type="dxa"/>
            <w:tcBorders>
              <w:top w:val="nil"/>
              <w:left w:val="nil"/>
              <w:bottom w:val="nil"/>
              <w:right w:val="nil"/>
            </w:tcBorders>
            <w:shd w:val="clear" w:color="FFFFFF" w:fill="FFFFFF"/>
            <w:noWrap/>
            <w:vAlign w:val="bottom"/>
            <w:hideMark/>
          </w:tcPr>
          <w:p w14:paraId="1B15C397"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7" w:type="dxa"/>
            <w:tcBorders>
              <w:top w:val="nil"/>
              <w:left w:val="nil"/>
              <w:bottom w:val="nil"/>
              <w:right w:val="nil"/>
            </w:tcBorders>
            <w:shd w:val="clear" w:color="FFFFFF" w:fill="FFFFFF"/>
            <w:noWrap/>
            <w:vAlign w:val="bottom"/>
            <w:hideMark/>
          </w:tcPr>
          <w:p w14:paraId="2CFD42A3"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994" w:type="dxa"/>
            <w:tcBorders>
              <w:top w:val="nil"/>
              <w:left w:val="nil"/>
              <w:bottom w:val="nil"/>
              <w:right w:val="nil"/>
            </w:tcBorders>
            <w:shd w:val="clear" w:color="FFFFFF" w:fill="FFFFFF"/>
            <w:noWrap/>
            <w:vAlign w:val="bottom"/>
            <w:hideMark/>
          </w:tcPr>
          <w:p w14:paraId="0AF22555"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vAlign w:val="bottom"/>
            <w:hideMark/>
          </w:tcPr>
          <w:p w14:paraId="068EF79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vAlign w:val="bottom"/>
            <w:hideMark/>
          </w:tcPr>
          <w:p w14:paraId="35BDEB52"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073" w:type="dxa"/>
            <w:tcBorders>
              <w:top w:val="nil"/>
              <w:left w:val="nil"/>
              <w:bottom w:val="nil"/>
              <w:right w:val="nil"/>
            </w:tcBorders>
            <w:shd w:val="clear" w:color="FFFFFF" w:fill="FFFFFF"/>
            <w:noWrap/>
            <w:vAlign w:val="bottom"/>
            <w:hideMark/>
          </w:tcPr>
          <w:p w14:paraId="51F985D9"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994" w:type="dxa"/>
            <w:tcBorders>
              <w:top w:val="nil"/>
              <w:left w:val="nil"/>
              <w:bottom w:val="nil"/>
              <w:right w:val="nil"/>
            </w:tcBorders>
            <w:shd w:val="clear" w:color="FFFFFF" w:fill="FFFFFF"/>
            <w:noWrap/>
            <w:vAlign w:val="bottom"/>
            <w:hideMark/>
          </w:tcPr>
          <w:p w14:paraId="6C90C699"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192E957" w14:textId="77777777">
        <w:trPr>
          <w:trHeight w:val="238"/>
        </w:trPr>
        <w:tc>
          <w:tcPr>
            <w:tcW w:w="2588" w:type="dxa"/>
            <w:tcBorders>
              <w:top w:val="single" w:sz="4" w:space="0" w:color="auto"/>
              <w:left w:val="nil"/>
              <w:bottom w:val="single" w:sz="4" w:space="0" w:color="auto"/>
              <w:right w:val="nil"/>
            </w:tcBorders>
            <w:shd w:val="clear" w:color="FFFFFF" w:fill="FFFFFF"/>
            <w:vAlign w:val="bottom"/>
            <w:hideMark/>
          </w:tcPr>
          <w:p w14:paraId="229F0977" w14:textId="77777777" w:rsidR="00F2518A" w:rsidRPr="007C747A" w:rsidRDefault="00F2518A" w:rsidP="00F2518A">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t>Closing balance</w:t>
            </w:r>
          </w:p>
        </w:tc>
        <w:tc>
          <w:tcPr>
            <w:tcW w:w="1001" w:type="dxa"/>
            <w:tcBorders>
              <w:top w:val="single" w:sz="4" w:space="0" w:color="auto"/>
              <w:left w:val="nil"/>
              <w:bottom w:val="single" w:sz="4" w:space="0" w:color="auto"/>
              <w:right w:val="nil"/>
            </w:tcBorders>
            <w:shd w:val="clear" w:color="FFFFFF" w:fill="FFFFFF"/>
            <w:noWrap/>
            <w:vAlign w:val="bottom"/>
            <w:hideMark/>
          </w:tcPr>
          <w:p w14:paraId="4A3AE801"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1,032,160</w:t>
            </w:r>
          </w:p>
        </w:tc>
        <w:tc>
          <w:tcPr>
            <w:tcW w:w="1064" w:type="dxa"/>
            <w:tcBorders>
              <w:top w:val="single" w:sz="4" w:space="0" w:color="auto"/>
              <w:left w:val="nil"/>
              <w:bottom w:val="single" w:sz="4" w:space="0" w:color="auto"/>
              <w:right w:val="nil"/>
            </w:tcBorders>
            <w:shd w:val="clear" w:color="FFFFFF" w:fill="FFFFFF"/>
            <w:noWrap/>
            <w:vAlign w:val="bottom"/>
            <w:hideMark/>
          </w:tcPr>
          <w:p w14:paraId="50E35D08"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1,017,277</w:t>
            </w:r>
          </w:p>
        </w:tc>
        <w:tc>
          <w:tcPr>
            <w:tcW w:w="995" w:type="dxa"/>
            <w:tcBorders>
              <w:top w:val="single" w:sz="4" w:space="0" w:color="auto"/>
              <w:left w:val="nil"/>
              <w:bottom w:val="single" w:sz="4" w:space="0" w:color="auto"/>
              <w:right w:val="nil"/>
            </w:tcBorders>
            <w:shd w:val="clear" w:color="FFFFFF" w:fill="FFFFFF"/>
            <w:noWrap/>
            <w:vAlign w:val="bottom"/>
            <w:hideMark/>
          </w:tcPr>
          <w:p w14:paraId="3D74E09C"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894,329</w:t>
            </w:r>
          </w:p>
        </w:tc>
        <w:tc>
          <w:tcPr>
            <w:tcW w:w="994" w:type="dxa"/>
            <w:tcBorders>
              <w:top w:val="single" w:sz="4" w:space="0" w:color="auto"/>
              <w:left w:val="nil"/>
              <w:bottom w:val="single" w:sz="4" w:space="0" w:color="auto"/>
              <w:right w:val="nil"/>
            </w:tcBorders>
            <w:shd w:val="clear" w:color="FFFFFF" w:fill="FFFFFF"/>
            <w:noWrap/>
            <w:vAlign w:val="bottom"/>
            <w:hideMark/>
          </w:tcPr>
          <w:p w14:paraId="47D99F4E"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38,364</w:t>
            </w:r>
          </w:p>
        </w:tc>
        <w:tc>
          <w:tcPr>
            <w:tcW w:w="996" w:type="dxa"/>
            <w:tcBorders>
              <w:top w:val="single" w:sz="4" w:space="0" w:color="auto"/>
              <w:left w:val="nil"/>
              <w:bottom w:val="single" w:sz="4" w:space="0" w:color="auto"/>
              <w:right w:val="nil"/>
            </w:tcBorders>
            <w:shd w:val="clear" w:color="FFFFFF" w:fill="FFFFFF"/>
            <w:noWrap/>
            <w:vAlign w:val="bottom"/>
            <w:hideMark/>
          </w:tcPr>
          <w:p w14:paraId="02C15CFD"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21,079</w:t>
            </w:r>
          </w:p>
        </w:tc>
        <w:tc>
          <w:tcPr>
            <w:tcW w:w="999" w:type="dxa"/>
            <w:tcBorders>
              <w:top w:val="single" w:sz="4" w:space="0" w:color="auto"/>
              <w:left w:val="nil"/>
              <w:bottom w:val="single" w:sz="4" w:space="0" w:color="auto"/>
              <w:right w:val="nil"/>
            </w:tcBorders>
            <w:shd w:val="clear" w:color="FFFFFF" w:fill="FFFFFF"/>
            <w:noWrap/>
            <w:vAlign w:val="bottom"/>
            <w:hideMark/>
          </w:tcPr>
          <w:p w14:paraId="4F190DBB"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21,079</w:t>
            </w:r>
          </w:p>
        </w:tc>
        <w:tc>
          <w:tcPr>
            <w:tcW w:w="997" w:type="dxa"/>
            <w:tcBorders>
              <w:top w:val="single" w:sz="4" w:space="0" w:color="auto"/>
              <w:left w:val="nil"/>
              <w:bottom w:val="single" w:sz="4" w:space="0" w:color="auto"/>
              <w:right w:val="nil"/>
            </w:tcBorders>
            <w:shd w:val="clear" w:color="FFFFFF" w:fill="FFFFFF"/>
            <w:noWrap/>
            <w:vAlign w:val="bottom"/>
            <w:hideMark/>
          </w:tcPr>
          <w:p w14:paraId="0F30A524"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205,733</w:t>
            </w:r>
          </w:p>
        </w:tc>
        <w:tc>
          <w:tcPr>
            <w:tcW w:w="994" w:type="dxa"/>
            <w:tcBorders>
              <w:top w:val="single" w:sz="4" w:space="0" w:color="auto"/>
              <w:left w:val="nil"/>
              <w:bottom w:val="single" w:sz="4" w:space="0" w:color="auto"/>
              <w:right w:val="nil"/>
            </w:tcBorders>
            <w:shd w:val="clear" w:color="FFFFFF" w:fill="FFFFFF"/>
            <w:noWrap/>
            <w:vAlign w:val="bottom"/>
            <w:hideMark/>
          </w:tcPr>
          <w:p w14:paraId="583C1744"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994" w:type="dxa"/>
            <w:tcBorders>
              <w:top w:val="single" w:sz="4" w:space="0" w:color="auto"/>
              <w:left w:val="nil"/>
              <w:bottom w:val="single" w:sz="4" w:space="0" w:color="auto"/>
              <w:right w:val="nil"/>
            </w:tcBorders>
            <w:shd w:val="clear" w:color="FFFFFF" w:fill="FFFFFF"/>
            <w:noWrap/>
            <w:vAlign w:val="bottom"/>
            <w:hideMark/>
          </w:tcPr>
          <w:p w14:paraId="14556698"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205,733</w:t>
            </w:r>
          </w:p>
        </w:tc>
        <w:tc>
          <w:tcPr>
            <w:tcW w:w="994" w:type="dxa"/>
            <w:tcBorders>
              <w:top w:val="single" w:sz="4" w:space="0" w:color="auto"/>
              <w:left w:val="nil"/>
              <w:bottom w:val="single" w:sz="4" w:space="0" w:color="auto"/>
              <w:right w:val="nil"/>
            </w:tcBorders>
            <w:shd w:val="clear" w:color="FFFFFF" w:fill="FFFFFF"/>
            <w:noWrap/>
            <w:vAlign w:val="bottom"/>
            <w:hideMark/>
          </w:tcPr>
          <w:p w14:paraId="2B4D955C" w14:textId="77777777" w:rsidR="00F2518A" w:rsidRPr="007C747A" w:rsidRDefault="00F2518A" w:rsidP="00F2518A">
            <w:pPr>
              <w:spacing w:after="0" w:line="240" w:lineRule="auto"/>
              <w:jc w:val="right"/>
              <w:rPr>
                <w:rFonts w:eastAsia="Times New Roman" w:cs="Arial"/>
                <w:b/>
                <w:bCs/>
                <w:sz w:val="18"/>
                <w:szCs w:val="18"/>
                <w:lang w:val="en-AU" w:eastAsia="en-US"/>
              </w:rPr>
            </w:pPr>
            <w:r w:rsidRPr="007C747A">
              <w:rPr>
                <w:rFonts w:eastAsia="Times New Roman" w:cs="Arial"/>
                <w:b/>
                <w:bCs/>
                <w:sz w:val="18"/>
                <w:szCs w:val="18"/>
                <w:lang w:val="en-AU" w:eastAsia="en-US"/>
              </w:rPr>
              <w:t>1,276,257</w:t>
            </w:r>
          </w:p>
        </w:tc>
        <w:tc>
          <w:tcPr>
            <w:tcW w:w="1073" w:type="dxa"/>
            <w:tcBorders>
              <w:top w:val="single" w:sz="4" w:space="0" w:color="auto"/>
              <w:left w:val="nil"/>
              <w:bottom w:val="single" w:sz="4" w:space="0" w:color="auto"/>
              <w:right w:val="nil"/>
            </w:tcBorders>
            <w:shd w:val="clear" w:color="FFFFFF" w:fill="FFFFFF"/>
            <w:noWrap/>
            <w:vAlign w:val="bottom"/>
            <w:hideMark/>
          </w:tcPr>
          <w:p w14:paraId="5A67B07B"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1,244,089</w:t>
            </w:r>
          </w:p>
        </w:tc>
        <w:tc>
          <w:tcPr>
            <w:tcW w:w="994" w:type="dxa"/>
            <w:tcBorders>
              <w:top w:val="single" w:sz="4" w:space="0" w:color="auto"/>
              <w:left w:val="nil"/>
              <w:bottom w:val="single" w:sz="4" w:space="0" w:color="auto"/>
              <w:right w:val="nil"/>
            </w:tcBorders>
            <w:shd w:val="clear" w:color="FFFFFF" w:fill="FFFFFF"/>
            <w:noWrap/>
            <w:vAlign w:val="bottom"/>
            <w:hideMark/>
          </w:tcPr>
          <w:p w14:paraId="56EA3227" w14:textId="77777777" w:rsidR="00F2518A" w:rsidRPr="007C747A" w:rsidRDefault="00F2518A" w:rsidP="00F2518A">
            <w:pPr>
              <w:spacing w:after="0" w:line="240" w:lineRule="auto"/>
              <w:jc w:val="right"/>
              <w:rPr>
                <w:rFonts w:eastAsia="Times New Roman" w:cs="Arial"/>
                <w:sz w:val="18"/>
                <w:szCs w:val="18"/>
                <w:lang w:val="en-AU" w:eastAsia="en-US"/>
              </w:rPr>
            </w:pPr>
            <w:r w:rsidRPr="007C747A">
              <w:rPr>
                <w:rFonts w:eastAsia="Times New Roman" w:cs="Arial"/>
                <w:sz w:val="18"/>
                <w:szCs w:val="18"/>
                <w:lang w:val="en-AU" w:eastAsia="en-US"/>
              </w:rPr>
              <w:t>1,121,141</w:t>
            </w:r>
          </w:p>
        </w:tc>
      </w:tr>
    </w:tbl>
    <w:p w14:paraId="2C0EB361" w14:textId="77777777" w:rsidR="00F2518A" w:rsidRPr="007C747A" w:rsidRDefault="00F2518A" w:rsidP="00F2518A">
      <w:pPr>
        <w:spacing w:after="0" w:line="240" w:lineRule="auto"/>
        <w:rPr>
          <w:rFonts w:eastAsia="Times New Roman" w:cs="Arial"/>
          <w:sz w:val="18"/>
          <w:szCs w:val="18"/>
          <w:lang w:val="en-AU" w:eastAsia="en-US"/>
        </w:rPr>
      </w:pPr>
    </w:p>
    <w:p w14:paraId="4B0464F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The above statement should be read in conjunction with the accompanying notes.</w:t>
      </w:r>
    </w:p>
    <w:p w14:paraId="02A2DBBC" w14:textId="77777777" w:rsidR="00F2518A" w:rsidRPr="007C747A" w:rsidRDefault="00F2518A" w:rsidP="00F2518A">
      <w:pPr>
        <w:spacing w:after="0" w:line="260" w:lineRule="atLeast"/>
        <w:rPr>
          <w:rFonts w:eastAsia="Times New Roman" w:cs="Arial"/>
          <w:sz w:val="18"/>
          <w:szCs w:val="18"/>
          <w:lang w:val="en-AU" w:eastAsia="en-US"/>
        </w:rPr>
      </w:pPr>
    </w:p>
    <w:p w14:paraId="3CD47A03"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40" w:line="240" w:lineRule="auto"/>
        <w:rPr>
          <w:rFonts w:eastAsia="Times New Roman" w:cs="Arial"/>
          <w:b/>
          <w:bCs/>
          <w:sz w:val="18"/>
          <w:szCs w:val="18"/>
          <w:lang w:val="en-AU" w:eastAsia="en-US"/>
        </w:rPr>
      </w:pPr>
      <w:r w:rsidRPr="007C747A">
        <w:rPr>
          <w:rFonts w:eastAsia="Times New Roman" w:cs="Arial"/>
          <w:b/>
          <w:bCs/>
          <w:sz w:val="18"/>
          <w:szCs w:val="18"/>
          <w:lang w:val="en-AU" w:eastAsia="en-US"/>
        </w:rPr>
        <w:t>Budget Variances Commentary</w:t>
      </w:r>
    </w:p>
    <w:p w14:paraId="3E59A03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40" w:line="240" w:lineRule="auto"/>
        <w:rPr>
          <w:rFonts w:eastAsia="Times New Roman" w:cs="Arial"/>
          <w:b/>
          <w:bCs/>
          <w:sz w:val="18"/>
          <w:szCs w:val="18"/>
          <w:lang w:val="en-AU" w:eastAsia="en-US"/>
        </w:rPr>
      </w:pPr>
      <w:r w:rsidRPr="007C747A">
        <w:rPr>
          <w:rFonts w:eastAsia="Times New Roman" w:cs="Arial"/>
          <w:b/>
          <w:bCs/>
          <w:sz w:val="18"/>
          <w:szCs w:val="18"/>
          <w:lang w:val="en-AU" w:eastAsia="en-US"/>
        </w:rPr>
        <w:t>Statement of Changes in Equity</w:t>
      </w:r>
    </w:p>
    <w:p w14:paraId="0F63D6F1"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40" w:line="240" w:lineRule="auto"/>
        <w:rPr>
          <w:rFonts w:eastAsia="Times New Roman" w:cs="Arial"/>
          <w:bCs/>
          <w:sz w:val="18"/>
          <w:szCs w:val="18"/>
          <w:lang w:val="en-AU" w:eastAsia="en-US"/>
        </w:rPr>
      </w:pPr>
      <w:r w:rsidRPr="007C747A">
        <w:rPr>
          <w:rFonts w:eastAsia="Times New Roman" w:cs="Arial"/>
          <w:bCs/>
          <w:sz w:val="18"/>
          <w:szCs w:val="18"/>
          <w:lang w:val="en-AU" w:eastAsia="en-US"/>
        </w:rPr>
        <w:t xml:space="preserve">Major budget variances for balances contained in the Statement of Changes in Equity have been included in the budget variances commentary for the Statement of Comprehensive Income and the Statement of Financial Position. </w:t>
      </w:r>
    </w:p>
    <w:p w14:paraId="04398C2F" w14:textId="77777777" w:rsidR="00F2518A" w:rsidRPr="007C747A" w:rsidRDefault="00F2518A" w:rsidP="00F2518A">
      <w:pPr>
        <w:spacing w:after="0" w:line="260" w:lineRule="atLeast"/>
        <w:rPr>
          <w:rFonts w:eastAsia="Times New Roman" w:cs="Arial"/>
          <w:sz w:val="18"/>
          <w:szCs w:val="18"/>
          <w:lang w:val="en-AU" w:eastAsia="en-US"/>
        </w:rPr>
      </w:pPr>
    </w:p>
    <w:p w14:paraId="2EC39621" w14:textId="77777777" w:rsidR="00F2518A" w:rsidRPr="007C747A" w:rsidRDefault="00F2518A" w:rsidP="00F2518A">
      <w:pPr>
        <w:spacing w:after="0" w:line="240" w:lineRule="auto"/>
        <w:rPr>
          <w:rFonts w:eastAsia="Times New Roman"/>
          <w:sz w:val="18"/>
          <w:szCs w:val="20"/>
          <w:lang w:val="en-AU" w:eastAsia="en-AU"/>
        </w:rPr>
      </w:pPr>
      <w:r w:rsidRPr="007C747A">
        <w:rPr>
          <w:rFonts w:eastAsia="Times New Roman"/>
          <w:sz w:val="18"/>
          <w:szCs w:val="20"/>
          <w:vertAlign w:val="superscript"/>
          <w:lang w:val="en-AU" w:eastAsia="en-AU"/>
        </w:rPr>
        <w:t xml:space="preserve">1 </w:t>
      </w:r>
      <w:r w:rsidRPr="007C747A">
        <w:rPr>
          <w:rFonts w:eastAsia="Times New Roman"/>
          <w:sz w:val="18"/>
          <w:szCs w:val="20"/>
          <w:lang w:val="en-AU" w:eastAsia="en-AU"/>
        </w:rPr>
        <w:t xml:space="preserve">Original Budget refers to the figures published in the Portfolio Budget Statements </w:t>
      </w:r>
      <w:r w:rsidRPr="007C747A">
        <w:rPr>
          <w:rFonts w:eastAsia="Times New Roman"/>
          <w:sz w:val="18"/>
          <w:szCs w:val="20"/>
          <w:lang w:val="en-AU" w:eastAsia="en-AU"/>
        </w:rPr>
        <w:fldChar w:fldCharType="begin"/>
      </w:r>
      <w:r w:rsidRPr="007C747A">
        <w:rPr>
          <w:rFonts w:eastAsia="Times New Roman"/>
          <w:sz w:val="18"/>
          <w:szCs w:val="20"/>
          <w:lang w:val="en-AU" w:eastAsia="en-AU"/>
        </w:rPr>
        <w:instrText xml:space="preserve"> DOCPROPERTY  prYear  \* MERGEFORMAT </w:instrText>
      </w:r>
      <w:r w:rsidRPr="007C747A">
        <w:rPr>
          <w:rFonts w:eastAsia="Times New Roman"/>
          <w:sz w:val="18"/>
          <w:szCs w:val="20"/>
          <w:lang w:val="en-AU" w:eastAsia="en-AU"/>
        </w:rPr>
        <w:fldChar w:fldCharType="separate"/>
      </w:r>
      <w:r w:rsidRPr="007C747A">
        <w:rPr>
          <w:rFonts w:eastAsia="Times New Roman"/>
          <w:sz w:val="18"/>
          <w:szCs w:val="20"/>
          <w:lang w:val="en-AU" w:eastAsia="en-AU"/>
        </w:rPr>
        <w:t>2022</w:t>
      </w:r>
      <w:r w:rsidRPr="007C747A">
        <w:rPr>
          <w:rFonts w:eastAsia="Times New Roman"/>
          <w:sz w:val="18"/>
          <w:szCs w:val="20"/>
          <w:lang w:val="en-AU" w:eastAsia="en-AU"/>
        </w:rPr>
        <w:fldChar w:fldCharType="end"/>
      </w:r>
      <w:r w:rsidRPr="007C747A">
        <w:rPr>
          <w:rFonts w:eastAsia="Times New Roman"/>
          <w:sz w:val="18"/>
          <w:szCs w:val="20"/>
          <w:lang w:val="en-AU" w:eastAsia="en-AU"/>
        </w:rPr>
        <w:t>-23, tabled 25 October 2022.</w:t>
      </w:r>
    </w:p>
    <w:p w14:paraId="20634C87" w14:textId="77777777" w:rsidR="00F2518A" w:rsidRPr="007C747A" w:rsidRDefault="00F2518A" w:rsidP="00F2518A">
      <w:pPr>
        <w:spacing w:after="0" w:line="260" w:lineRule="atLeast"/>
        <w:rPr>
          <w:rFonts w:eastAsia="Times New Roman" w:cs="Arial"/>
          <w:sz w:val="18"/>
          <w:szCs w:val="18"/>
          <w:lang w:val="en-AU" w:eastAsia="en-US"/>
        </w:rPr>
        <w:sectPr w:rsidR="00F2518A" w:rsidRPr="007C747A">
          <w:headerReference w:type="even" r:id="rId32"/>
          <w:headerReference w:type="default" r:id="rId33"/>
          <w:footerReference w:type="default" r:id="rId34"/>
          <w:headerReference w:type="first" r:id="rId35"/>
          <w:pgSz w:w="16838" w:h="11906" w:orient="landscape" w:code="9"/>
          <w:pgMar w:top="1134" w:right="1103" w:bottom="851" w:left="1134" w:header="958" w:footer="737" w:gutter="0"/>
          <w:cols w:space="708"/>
          <w:docGrid w:linePitch="360"/>
        </w:sectPr>
      </w:pPr>
    </w:p>
    <w:tbl>
      <w:tblPr>
        <w:tblW w:w="9087" w:type="dxa"/>
        <w:tblLayout w:type="fixed"/>
        <w:tblCellMar>
          <w:left w:w="57" w:type="dxa"/>
          <w:right w:w="57" w:type="dxa"/>
        </w:tblCellMar>
        <w:tblLook w:val="04A0" w:firstRow="1" w:lastRow="0" w:firstColumn="1" w:lastColumn="0" w:noHBand="0" w:noVBand="1"/>
      </w:tblPr>
      <w:tblGrid>
        <w:gridCol w:w="4428"/>
        <w:gridCol w:w="738"/>
        <w:gridCol w:w="1090"/>
        <w:gridCol w:w="236"/>
        <w:gridCol w:w="1061"/>
        <w:gridCol w:w="236"/>
        <w:gridCol w:w="1062"/>
        <w:gridCol w:w="236"/>
      </w:tblGrid>
      <w:tr w:rsidR="00F2518A" w:rsidRPr="007C747A" w14:paraId="60B4CD31" w14:textId="77777777">
        <w:trPr>
          <w:trHeight w:val="270"/>
        </w:trPr>
        <w:tc>
          <w:tcPr>
            <w:tcW w:w="4428" w:type="dxa"/>
            <w:tcBorders>
              <w:top w:val="nil"/>
              <w:left w:val="nil"/>
              <w:bottom w:val="single" w:sz="8" w:space="0" w:color="800080"/>
              <w:right w:val="nil"/>
            </w:tcBorders>
            <w:shd w:val="clear" w:color="FFFFFF" w:fill="FFFFFF"/>
            <w:noWrap/>
            <w:vAlign w:val="bottom"/>
            <w:hideMark/>
          </w:tcPr>
          <w:p w14:paraId="78CAE28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738" w:type="dxa"/>
            <w:tcBorders>
              <w:top w:val="nil"/>
              <w:left w:val="nil"/>
              <w:bottom w:val="single" w:sz="8" w:space="0" w:color="800080"/>
              <w:right w:val="nil"/>
            </w:tcBorders>
            <w:shd w:val="clear" w:color="FFFFFF" w:fill="FFFFFF"/>
            <w:noWrap/>
            <w:vAlign w:val="bottom"/>
            <w:hideMark/>
          </w:tcPr>
          <w:p w14:paraId="1A609BCD" w14:textId="77777777" w:rsidR="00F2518A" w:rsidRPr="007C747A" w:rsidRDefault="00F2518A" w:rsidP="00F2518A">
            <w:pPr>
              <w:spacing w:after="0" w:line="260" w:lineRule="atLeast"/>
              <w:jc w:val="center"/>
              <w:rPr>
                <w:rFonts w:eastAsia="Times New Roman" w:cs="Arial"/>
                <w:b/>
                <w:bCs/>
                <w:sz w:val="18"/>
                <w:szCs w:val="18"/>
                <w:lang w:val="en-AU" w:eastAsia="en-US"/>
              </w:rPr>
            </w:pPr>
            <w:r w:rsidRPr="007C747A">
              <w:rPr>
                <w:rFonts w:eastAsia="Times New Roman" w:cs="Arial"/>
                <w:b/>
                <w:bCs/>
                <w:sz w:val="18"/>
                <w:szCs w:val="18"/>
                <w:lang w:val="en-AU" w:eastAsia="en-US"/>
              </w:rPr>
              <w:t>Notes</w:t>
            </w:r>
          </w:p>
        </w:tc>
        <w:tc>
          <w:tcPr>
            <w:tcW w:w="1090" w:type="dxa"/>
            <w:tcBorders>
              <w:top w:val="nil"/>
              <w:left w:val="nil"/>
              <w:bottom w:val="single" w:sz="8" w:space="0" w:color="800080"/>
              <w:right w:val="nil"/>
            </w:tcBorders>
            <w:shd w:val="clear" w:color="FFFFFF" w:fill="FFFFFF"/>
            <w:noWrap/>
            <w:vAlign w:val="bottom"/>
            <w:hideMark/>
          </w:tcPr>
          <w:p w14:paraId="0745C3A5" w14:textId="496CBBC3" w:rsidR="00F2518A" w:rsidRPr="007C747A" w:rsidRDefault="007C3D66"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single" w:sz="8" w:space="0" w:color="800080"/>
              <w:right w:val="nil"/>
            </w:tcBorders>
            <w:shd w:val="clear" w:color="FFFFFF" w:fill="FFFFFF"/>
            <w:noWrap/>
            <w:vAlign w:val="bottom"/>
            <w:hideMark/>
          </w:tcPr>
          <w:p w14:paraId="1A6F3EF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single" w:sz="8" w:space="0" w:color="800080"/>
              <w:right w:val="nil"/>
            </w:tcBorders>
            <w:shd w:val="clear" w:color="FFFFFF" w:fill="FFFFFF"/>
            <w:noWrap/>
            <w:vAlign w:val="bottom"/>
            <w:hideMark/>
          </w:tcPr>
          <w:p w14:paraId="38CEB7FC" w14:textId="44343B12" w:rsidR="00F2518A" w:rsidRPr="007C747A" w:rsidRDefault="007C3D66"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c>
          <w:tcPr>
            <w:tcW w:w="236" w:type="dxa"/>
            <w:tcBorders>
              <w:top w:val="nil"/>
              <w:left w:val="nil"/>
              <w:bottom w:val="single" w:sz="8" w:space="0" w:color="800080"/>
              <w:right w:val="nil"/>
            </w:tcBorders>
            <w:shd w:val="clear" w:color="FFFFFF" w:fill="FFFFFF"/>
            <w:noWrap/>
            <w:vAlign w:val="bottom"/>
            <w:hideMark/>
          </w:tcPr>
          <w:p w14:paraId="6D7511D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98" w:type="dxa"/>
            <w:gridSpan w:val="2"/>
            <w:tcBorders>
              <w:top w:val="nil"/>
              <w:left w:val="nil"/>
              <w:bottom w:val="single" w:sz="8" w:space="0" w:color="800080"/>
              <w:right w:val="nil"/>
            </w:tcBorders>
            <w:shd w:val="clear" w:color="FFFFFF" w:fill="FFFFFF"/>
            <w:noWrap/>
            <w:vAlign w:val="center"/>
            <w:hideMark/>
          </w:tcPr>
          <w:p w14:paraId="3F3B4AE3" w14:textId="45AE875E" w:rsidR="00F2518A" w:rsidRPr="007C747A" w:rsidRDefault="007C3D66" w:rsidP="00F2518A">
            <w:pPr>
              <w:spacing w:after="0" w:line="260" w:lineRule="atLeast"/>
              <w:jc w:val="center"/>
              <w:rPr>
                <w:rFonts w:eastAsia="Times New Roman" w:cs="Arial"/>
                <w:color w:val="800080"/>
                <w:sz w:val="18"/>
                <w:szCs w:val="18"/>
                <w:lang w:val="en-AU" w:eastAsia="en-US"/>
              </w:rPr>
            </w:pPr>
            <w:r w:rsidRPr="007C747A">
              <w:rPr>
                <w:rFonts w:eastAsia="Times New Roman" w:cs="Arial"/>
                <w:color w:val="800080"/>
                <w:sz w:val="18"/>
                <w:szCs w:val="18"/>
                <w:lang w:val="en-AU" w:eastAsia="en-US"/>
              </w:rPr>
              <w:t>Original</w:t>
            </w:r>
            <w:r w:rsidRPr="007C747A">
              <w:rPr>
                <w:rFonts w:eastAsia="Times New Roman" w:cs="Arial"/>
                <w:color w:val="800080"/>
                <w:sz w:val="18"/>
                <w:szCs w:val="18"/>
                <w:lang w:val="en-AU" w:eastAsia="en-US"/>
              </w:rPr>
              <w:br/>
              <w:t>Budget</w:t>
            </w:r>
            <w:r w:rsidRPr="007C747A">
              <w:rPr>
                <w:rFonts w:eastAsia="Times New Roman" w:cs="Arial"/>
                <w:color w:val="800080"/>
                <w:sz w:val="18"/>
                <w:szCs w:val="18"/>
                <w:vertAlign w:val="superscript"/>
                <w:lang w:val="en-AU" w:eastAsia="en-US"/>
              </w:rPr>
              <w:t>1</w:t>
            </w:r>
            <w:r w:rsidRPr="007C747A">
              <w:rPr>
                <w:rFonts w:eastAsia="Times New Roman" w:cs="Arial"/>
                <w:color w:val="800080"/>
                <w:sz w:val="18"/>
                <w:szCs w:val="18"/>
                <w:lang w:val="en-AU" w:eastAsia="en-US"/>
              </w:rPr>
              <w:br/>
              <w:t>2023</w:t>
            </w:r>
            <w:r w:rsidRPr="007C747A">
              <w:rPr>
                <w:rFonts w:eastAsia="Times New Roman" w:cs="Arial"/>
                <w:color w:val="800080"/>
                <w:sz w:val="18"/>
                <w:szCs w:val="18"/>
                <w:lang w:val="en-AU" w:eastAsia="en-US"/>
              </w:rPr>
              <w:br/>
            </w:r>
            <w:r w:rsidR="00F2518A" w:rsidRPr="007C747A">
              <w:rPr>
                <w:rFonts w:eastAsia="Times New Roman" w:cs="Arial"/>
                <w:color w:val="800080"/>
                <w:sz w:val="18"/>
                <w:szCs w:val="18"/>
                <w:lang w:val="en-AU" w:eastAsia="en-US"/>
              </w:rPr>
              <w:t>$'000</w:t>
            </w:r>
          </w:p>
        </w:tc>
      </w:tr>
      <w:tr w:rsidR="00F2518A" w:rsidRPr="007C747A" w14:paraId="2C15EC89" w14:textId="77777777">
        <w:trPr>
          <w:trHeight w:val="250"/>
        </w:trPr>
        <w:tc>
          <w:tcPr>
            <w:tcW w:w="4428" w:type="dxa"/>
            <w:tcBorders>
              <w:top w:val="nil"/>
              <w:left w:val="nil"/>
              <w:bottom w:val="nil"/>
              <w:right w:val="nil"/>
            </w:tcBorders>
            <w:shd w:val="clear" w:color="FFFFFF" w:fill="FFFFFF"/>
            <w:noWrap/>
            <w:vAlign w:val="bottom"/>
            <w:hideMark/>
          </w:tcPr>
          <w:p w14:paraId="1330ABC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738" w:type="dxa"/>
            <w:tcBorders>
              <w:top w:val="nil"/>
              <w:left w:val="nil"/>
              <w:bottom w:val="nil"/>
              <w:right w:val="nil"/>
            </w:tcBorders>
            <w:shd w:val="clear" w:color="FFFFFF" w:fill="FFFFFF"/>
            <w:noWrap/>
            <w:vAlign w:val="bottom"/>
            <w:hideMark/>
          </w:tcPr>
          <w:p w14:paraId="4D3A454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4F81D00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21563D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49A4392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C304A6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23A4349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single" w:sz="4" w:space="0" w:color="auto"/>
              <w:left w:val="nil"/>
              <w:bottom w:val="nil"/>
              <w:right w:val="nil"/>
            </w:tcBorders>
            <w:shd w:val="clear" w:color="FFFFFF" w:fill="FFFFFF"/>
            <w:noWrap/>
            <w:vAlign w:val="bottom"/>
            <w:hideMark/>
          </w:tcPr>
          <w:p w14:paraId="6D81EAB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4EAADEF" w14:textId="77777777">
        <w:trPr>
          <w:trHeight w:val="250"/>
        </w:trPr>
        <w:tc>
          <w:tcPr>
            <w:tcW w:w="4428" w:type="dxa"/>
            <w:tcBorders>
              <w:top w:val="nil"/>
              <w:left w:val="nil"/>
              <w:bottom w:val="nil"/>
              <w:right w:val="nil"/>
            </w:tcBorders>
            <w:shd w:val="clear" w:color="FFFFFF" w:fill="FFFFFF"/>
            <w:vAlign w:val="bottom"/>
            <w:hideMark/>
          </w:tcPr>
          <w:p w14:paraId="6020020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OPERATING ACTIVITIES</w:t>
            </w:r>
          </w:p>
        </w:tc>
        <w:tc>
          <w:tcPr>
            <w:tcW w:w="738" w:type="dxa"/>
            <w:tcBorders>
              <w:top w:val="nil"/>
              <w:left w:val="nil"/>
              <w:bottom w:val="nil"/>
              <w:right w:val="nil"/>
            </w:tcBorders>
            <w:shd w:val="clear" w:color="FFFFFF" w:fill="FFFFFF"/>
            <w:noWrap/>
            <w:vAlign w:val="bottom"/>
            <w:hideMark/>
          </w:tcPr>
          <w:p w14:paraId="46FAEAEF"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2313C0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7D0650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0C0A74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9DDC0D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6B3C73A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92D2B8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C9912FE" w14:textId="77777777">
        <w:trPr>
          <w:trHeight w:val="250"/>
        </w:trPr>
        <w:tc>
          <w:tcPr>
            <w:tcW w:w="4428" w:type="dxa"/>
            <w:tcBorders>
              <w:top w:val="nil"/>
              <w:left w:val="nil"/>
              <w:bottom w:val="nil"/>
              <w:right w:val="nil"/>
            </w:tcBorders>
            <w:shd w:val="clear" w:color="FFFFFF" w:fill="FFFFFF"/>
            <w:vAlign w:val="bottom"/>
            <w:hideMark/>
          </w:tcPr>
          <w:p w14:paraId="5A1F7AE5"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Cash received</w:t>
            </w:r>
          </w:p>
        </w:tc>
        <w:tc>
          <w:tcPr>
            <w:tcW w:w="738" w:type="dxa"/>
            <w:tcBorders>
              <w:top w:val="nil"/>
              <w:left w:val="nil"/>
              <w:bottom w:val="nil"/>
              <w:right w:val="nil"/>
            </w:tcBorders>
            <w:shd w:val="clear" w:color="FFFFFF" w:fill="FFFFFF"/>
            <w:noWrap/>
            <w:vAlign w:val="bottom"/>
            <w:hideMark/>
          </w:tcPr>
          <w:p w14:paraId="04BA9191"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046F0A2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2E4F63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14C5C45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2091D5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32B731C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8FD685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46D945B" w14:textId="77777777">
        <w:trPr>
          <w:trHeight w:val="250"/>
        </w:trPr>
        <w:tc>
          <w:tcPr>
            <w:tcW w:w="4428" w:type="dxa"/>
            <w:tcBorders>
              <w:top w:val="nil"/>
              <w:left w:val="nil"/>
              <w:bottom w:val="nil"/>
              <w:right w:val="nil"/>
            </w:tcBorders>
            <w:shd w:val="clear" w:color="FFFFFF" w:fill="FFFFFF"/>
            <w:vAlign w:val="bottom"/>
            <w:hideMark/>
          </w:tcPr>
          <w:p w14:paraId="477A935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Receipts from Government</w:t>
            </w:r>
          </w:p>
        </w:tc>
        <w:tc>
          <w:tcPr>
            <w:tcW w:w="738" w:type="dxa"/>
            <w:tcBorders>
              <w:top w:val="nil"/>
              <w:left w:val="nil"/>
              <w:bottom w:val="nil"/>
              <w:right w:val="nil"/>
            </w:tcBorders>
            <w:shd w:val="clear" w:color="FFFFFF" w:fill="FFFFFF"/>
            <w:noWrap/>
            <w:vAlign w:val="bottom"/>
            <w:hideMark/>
          </w:tcPr>
          <w:p w14:paraId="4473F84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30089D0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1,445,361</w:t>
            </w:r>
          </w:p>
        </w:tc>
        <w:tc>
          <w:tcPr>
            <w:tcW w:w="236" w:type="dxa"/>
            <w:tcBorders>
              <w:top w:val="nil"/>
              <w:left w:val="nil"/>
              <w:bottom w:val="nil"/>
              <w:right w:val="nil"/>
            </w:tcBorders>
            <w:shd w:val="clear" w:color="FFFFFF" w:fill="FFFFFF"/>
            <w:noWrap/>
            <w:vAlign w:val="bottom"/>
            <w:hideMark/>
          </w:tcPr>
          <w:p w14:paraId="557DCCB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5623963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1,263,386</w:t>
            </w:r>
          </w:p>
        </w:tc>
        <w:tc>
          <w:tcPr>
            <w:tcW w:w="236" w:type="dxa"/>
            <w:tcBorders>
              <w:top w:val="nil"/>
              <w:left w:val="nil"/>
              <w:bottom w:val="nil"/>
              <w:right w:val="nil"/>
            </w:tcBorders>
            <w:shd w:val="clear" w:color="FFFFFF" w:fill="FFFFFF"/>
            <w:noWrap/>
            <w:vAlign w:val="bottom"/>
            <w:hideMark/>
          </w:tcPr>
          <w:p w14:paraId="2E47BBD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10FDEF7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1,445,361</w:t>
            </w:r>
          </w:p>
        </w:tc>
        <w:tc>
          <w:tcPr>
            <w:tcW w:w="236" w:type="dxa"/>
            <w:tcBorders>
              <w:top w:val="nil"/>
              <w:left w:val="nil"/>
              <w:bottom w:val="nil"/>
              <w:right w:val="nil"/>
            </w:tcBorders>
            <w:shd w:val="clear" w:color="FFFFFF" w:fill="FFFFFF"/>
            <w:noWrap/>
            <w:vAlign w:val="bottom"/>
            <w:hideMark/>
          </w:tcPr>
          <w:p w14:paraId="78D953B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534CC4F" w14:textId="77777777">
        <w:trPr>
          <w:trHeight w:val="250"/>
        </w:trPr>
        <w:tc>
          <w:tcPr>
            <w:tcW w:w="4428" w:type="dxa"/>
            <w:tcBorders>
              <w:top w:val="nil"/>
              <w:left w:val="nil"/>
              <w:bottom w:val="nil"/>
              <w:right w:val="nil"/>
            </w:tcBorders>
            <w:shd w:val="clear" w:color="FFFFFF" w:fill="FFFFFF"/>
            <w:vAlign w:val="bottom"/>
            <w:hideMark/>
          </w:tcPr>
          <w:p w14:paraId="3AE1511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Rendering of services</w:t>
            </w:r>
          </w:p>
        </w:tc>
        <w:tc>
          <w:tcPr>
            <w:tcW w:w="738" w:type="dxa"/>
            <w:tcBorders>
              <w:top w:val="nil"/>
              <w:left w:val="nil"/>
              <w:bottom w:val="nil"/>
              <w:right w:val="nil"/>
            </w:tcBorders>
            <w:shd w:val="clear" w:color="FFFFFF" w:fill="FFFFFF"/>
            <w:noWrap/>
            <w:vAlign w:val="bottom"/>
            <w:hideMark/>
          </w:tcPr>
          <w:p w14:paraId="70F06D4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29DA7D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34,134,568</w:t>
            </w:r>
          </w:p>
        </w:tc>
        <w:tc>
          <w:tcPr>
            <w:tcW w:w="236" w:type="dxa"/>
            <w:tcBorders>
              <w:top w:val="nil"/>
              <w:left w:val="nil"/>
              <w:bottom w:val="nil"/>
              <w:right w:val="nil"/>
            </w:tcBorders>
            <w:shd w:val="clear" w:color="FFFFFF" w:fill="FFFFFF"/>
            <w:noWrap/>
            <w:vAlign w:val="bottom"/>
            <w:hideMark/>
          </w:tcPr>
          <w:p w14:paraId="053CDBF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0ACF6C0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28,171,098</w:t>
            </w:r>
          </w:p>
        </w:tc>
        <w:tc>
          <w:tcPr>
            <w:tcW w:w="236" w:type="dxa"/>
            <w:tcBorders>
              <w:top w:val="nil"/>
              <w:left w:val="nil"/>
              <w:bottom w:val="nil"/>
              <w:right w:val="nil"/>
            </w:tcBorders>
            <w:shd w:val="clear" w:color="FFFFFF" w:fill="FFFFFF"/>
            <w:noWrap/>
            <w:vAlign w:val="bottom"/>
            <w:hideMark/>
          </w:tcPr>
          <w:p w14:paraId="5270CF9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4CD9B04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32,968,623</w:t>
            </w:r>
          </w:p>
        </w:tc>
        <w:tc>
          <w:tcPr>
            <w:tcW w:w="236" w:type="dxa"/>
            <w:tcBorders>
              <w:top w:val="nil"/>
              <w:left w:val="nil"/>
              <w:bottom w:val="nil"/>
              <w:right w:val="nil"/>
            </w:tcBorders>
            <w:shd w:val="clear" w:color="FFFFFF" w:fill="FFFFFF"/>
            <w:noWrap/>
            <w:vAlign w:val="bottom"/>
            <w:hideMark/>
          </w:tcPr>
          <w:p w14:paraId="564C390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A4140D9" w14:textId="77777777">
        <w:trPr>
          <w:trHeight w:val="250"/>
        </w:trPr>
        <w:tc>
          <w:tcPr>
            <w:tcW w:w="4428" w:type="dxa"/>
            <w:tcBorders>
              <w:top w:val="nil"/>
              <w:left w:val="nil"/>
              <w:bottom w:val="nil"/>
              <w:right w:val="nil"/>
            </w:tcBorders>
            <w:shd w:val="clear" w:color="FFFFFF" w:fill="FFFFFF"/>
            <w:vAlign w:val="bottom"/>
            <w:hideMark/>
          </w:tcPr>
          <w:p w14:paraId="158EDBD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Interest received</w:t>
            </w:r>
          </w:p>
        </w:tc>
        <w:tc>
          <w:tcPr>
            <w:tcW w:w="738" w:type="dxa"/>
            <w:tcBorders>
              <w:top w:val="nil"/>
              <w:left w:val="nil"/>
              <w:bottom w:val="nil"/>
              <w:right w:val="nil"/>
            </w:tcBorders>
            <w:shd w:val="clear" w:color="FFFFFF" w:fill="FFFFFF"/>
            <w:noWrap/>
            <w:vAlign w:val="bottom"/>
            <w:hideMark/>
          </w:tcPr>
          <w:p w14:paraId="2494016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D0768E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225,495</w:t>
            </w:r>
          </w:p>
        </w:tc>
        <w:tc>
          <w:tcPr>
            <w:tcW w:w="236" w:type="dxa"/>
            <w:tcBorders>
              <w:top w:val="nil"/>
              <w:left w:val="nil"/>
              <w:bottom w:val="nil"/>
              <w:right w:val="nil"/>
            </w:tcBorders>
            <w:shd w:val="clear" w:color="FFFFFF" w:fill="FFFFFF"/>
            <w:noWrap/>
            <w:vAlign w:val="bottom"/>
            <w:hideMark/>
          </w:tcPr>
          <w:p w14:paraId="0050F3A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CA070A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11,797</w:t>
            </w:r>
          </w:p>
        </w:tc>
        <w:tc>
          <w:tcPr>
            <w:tcW w:w="236" w:type="dxa"/>
            <w:tcBorders>
              <w:top w:val="nil"/>
              <w:left w:val="nil"/>
              <w:bottom w:val="nil"/>
              <w:right w:val="nil"/>
            </w:tcBorders>
            <w:shd w:val="clear" w:color="FFFFFF" w:fill="FFFFFF"/>
            <w:noWrap/>
            <w:vAlign w:val="bottom"/>
            <w:hideMark/>
          </w:tcPr>
          <w:p w14:paraId="720DF9A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1D304F9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73,951</w:t>
            </w:r>
          </w:p>
        </w:tc>
        <w:tc>
          <w:tcPr>
            <w:tcW w:w="236" w:type="dxa"/>
            <w:tcBorders>
              <w:top w:val="nil"/>
              <w:left w:val="nil"/>
              <w:bottom w:val="nil"/>
              <w:right w:val="nil"/>
            </w:tcBorders>
            <w:shd w:val="clear" w:color="FFFFFF" w:fill="FFFFFF"/>
            <w:noWrap/>
            <w:vAlign w:val="bottom"/>
            <w:hideMark/>
          </w:tcPr>
          <w:p w14:paraId="616B3E4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DF2DB31" w14:textId="77777777">
        <w:trPr>
          <w:trHeight w:val="250"/>
        </w:trPr>
        <w:tc>
          <w:tcPr>
            <w:tcW w:w="4428" w:type="dxa"/>
            <w:tcBorders>
              <w:top w:val="nil"/>
              <w:left w:val="nil"/>
              <w:bottom w:val="nil"/>
              <w:right w:val="nil"/>
            </w:tcBorders>
            <w:shd w:val="clear" w:color="FFFFFF" w:fill="FFFFFF"/>
            <w:vAlign w:val="bottom"/>
            <w:hideMark/>
          </w:tcPr>
          <w:p w14:paraId="6461A5D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GST received</w:t>
            </w:r>
          </w:p>
        </w:tc>
        <w:tc>
          <w:tcPr>
            <w:tcW w:w="738" w:type="dxa"/>
            <w:tcBorders>
              <w:top w:val="nil"/>
              <w:left w:val="nil"/>
              <w:bottom w:val="nil"/>
              <w:right w:val="nil"/>
            </w:tcBorders>
            <w:shd w:val="clear" w:color="FFFFFF" w:fill="FFFFFF"/>
            <w:noWrap/>
            <w:vAlign w:val="bottom"/>
            <w:hideMark/>
          </w:tcPr>
          <w:p w14:paraId="1124F1BE"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15AD36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141,879</w:t>
            </w:r>
          </w:p>
        </w:tc>
        <w:tc>
          <w:tcPr>
            <w:tcW w:w="236" w:type="dxa"/>
            <w:tcBorders>
              <w:top w:val="nil"/>
              <w:left w:val="nil"/>
              <w:bottom w:val="nil"/>
              <w:right w:val="nil"/>
            </w:tcBorders>
            <w:shd w:val="clear" w:color="FFFFFF" w:fill="FFFFFF"/>
            <w:noWrap/>
            <w:vAlign w:val="bottom"/>
            <w:hideMark/>
          </w:tcPr>
          <w:p w14:paraId="246DC86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2AED08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128,031</w:t>
            </w:r>
          </w:p>
        </w:tc>
        <w:tc>
          <w:tcPr>
            <w:tcW w:w="236" w:type="dxa"/>
            <w:tcBorders>
              <w:top w:val="nil"/>
              <w:left w:val="nil"/>
              <w:bottom w:val="nil"/>
              <w:right w:val="nil"/>
            </w:tcBorders>
            <w:shd w:val="clear" w:color="FFFFFF" w:fill="FFFFFF"/>
            <w:noWrap/>
            <w:vAlign w:val="bottom"/>
            <w:hideMark/>
          </w:tcPr>
          <w:p w14:paraId="2783414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716B55D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93,937</w:t>
            </w:r>
          </w:p>
        </w:tc>
        <w:tc>
          <w:tcPr>
            <w:tcW w:w="236" w:type="dxa"/>
            <w:tcBorders>
              <w:top w:val="nil"/>
              <w:left w:val="nil"/>
              <w:bottom w:val="nil"/>
              <w:right w:val="nil"/>
            </w:tcBorders>
            <w:shd w:val="clear" w:color="FFFFFF" w:fill="FFFFFF"/>
            <w:noWrap/>
            <w:vAlign w:val="bottom"/>
            <w:hideMark/>
          </w:tcPr>
          <w:p w14:paraId="3DCA1E22"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26E04FC4" w14:textId="77777777">
        <w:trPr>
          <w:trHeight w:val="250"/>
        </w:trPr>
        <w:tc>
          <w:tcPr>
            <w:tcW w:w="4428" w:type="dxa"/>
            <w:tcBorders>
              <w:top w:val="nil"/>
              <w:left w:val="nil"/>
              <w:bottom w:val="nil"/>
              <w:right w:val="nil"/>
            </w:tcBorders>
            <w:shd w:val="clear" w:color="FFFFFF" w:fill="FFFFFF"/>
            <w:vAlign w:val="bottom"/>
            <w:hideMark/>
          </w:tcPr>
          <w:p w14:paraId="38CF9C4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w:t>
            </w:r>
          </w:p>
        </w:tc>
        <w:tc>
          <w:tcPr>
            <w:tcW w:w="738" w:type="dxa"/>
            <w:tcBorders>
              <w:top w:val="nil"/>
              <w:left w:val="nil"/>
              <w:bottom w:val="nil"/>
              <w:right w:val="nil"/>
            </w:tcBorders>
            <w:shd w:val="clear" w:color="FFFFFF" w:fill="FFFFFF"/>
            <w:noWrap/>
            <w:vAlign w:val="bottom"/>
            <w:hideMark/>
          </w:tcPr>
          <w:p w14:paraId="0FAC03F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52144A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27,109</w:t>
            </w:r>
          </w:p>
        </w:tc>
        <w:tc>
          <w:tcPr>
            <w:tcW w:w="236" w:type="dxa"/>
            <w:tcBorders>
              <w:top w:val="nil"/>
              <w:left w:val="nil"/>
              <w:bottom w:val="nil"/>
              <w:right w:val="nil"/>
            </w:tcBorders>
            <w:shd w:val="clear" w:color="FFFFFF" w:fill="FFFFFF"/>
            <w:noWrap/>
            <w:vAlign w:val="bottom"/>
            <w:hideMark/>
          </w:tcPr>
          <w:p w14:paraId="78542C7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503A8AA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22,631</w:t>
            </w:r>
          </w:p>
        </w:tc>
        <w:tc>
          <w:tcPr>
            <w:tcW w:w="236" w:type="dxa"/>
            <w:tcBorders>
              <w:top w:val="nil"/>
              <w:left w:val="nil"/>
              <w:bottom w:val="nil"/>
              <w:right w:val="nil"/>
            </w:tcBorders>
            <w:shd w:val="clear" w:color="FFFFFF" w:fill="FFFFFF"/>
            <w:noWrap/>
            <w:vAlign w:val="bottom"/>
            <w:hideMark/>
          </w:tcPr>
          <w:p w14:paraId="70E4FB5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1B8BCD1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53,000</w:t>
            </w:r>
          </w:p>
        </w:tc>
        <w:tc>
          <w:tcPr>
            <w:tcW w:w="236" w:type="dxa"/>
            <w:tcBorders>
              <w:top w:val="nil"/>
              <w:left w:val="nil"/>
              <w:bottom w:val="nil"/>
              <w:right w:val="nil"/>
            </w:tcBorders>
            <w:shd w:val="clear" w:color="FFFFFF" w:fill="FFFFFF"/>
            <w:noWrap/>
            <w:vAlign w:val="bottom"/>
            <w:hideMark/>
          </w:tcPr>
          <w:p w14:paraId="5D47CF15"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3DF57525" w14:textId="77777777">
        <w:trPr>
          <w:trHeight w:val="250"/>
        </w:trPr>
        <w:tc>
          <w:tcPr>
            <w:tcW w:w="4428" w:type="dxa"/>
            <w:tcBorders>
              <w:top w:val="nil"/>
              <w:left w:val="nil"/>
              <w:bottom w:val="nil"/>
              <w:right w:val="nil"/>
            </w:tcBorders>
            <w:shd w:val="clear" w:color="FFFFFF" w:fill="FFFFFF"/>
            <w:vAlign w:val="bottom"/>
            <w:hideMark/>
          </w:tcPr>
          <w:p w14:paraId="0660E4B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cash received</w:t>
            </w:r>
          </w:p>
        </w:tc>
        <w:tc>
          <w:tcPr>
            <w:tcW w:w="738" w:type="dxa"/>
            <w:tcBorders>
              <w:top w:val="nil"/>
              <w:left w:val="nil"/>
              <w:bottom w:val="nil"/>
              <w:right w:val="nil"/>
            </w:tcBorders>
            <w:shd w:val="clear" w:color="FFFFFF" w:fill="FFFFFF"/>
            <w:noWrap/>
            <w:vAlign w:val="bottom"/>
            <w:hideMark/>
          </w:tcPr>
          <w:p w14:paraId="4E32805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single" w:sz="4" w:space="0" w:color="auto"/>
              <w:left w:val="nil"/>
              <w:bottom w:val="single" w:sz="4" w:space="0" w:color="auto"/>
              <w:right w:val="nil"/>
            </w:tcBorders>
            <w:shd w:val="clear" w:color="FFFFFF" w:fill="FFFFFF"/>
            <w:noWrap/>
            <w:vAlign w:val="bottom"/>
            <w:hideMark/>
          </w:tcPr>
          <w:p w14:paraId="0272773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35,974,412</w:t>
            </w:r>
          </w:p>
        </w:tc>
        <w:tc>
          <w:tcPr>
            <w:tcW w:w="236" w:type="dxa"/>
            <w:tcBorders>
              <w:top w:val="nil"/>
              <w:left w:val="nil"/>
              <w:bottom w:val="nil"/>
              <w:right w:val="nil"/>
            </w:tcBorders>
            <w:shd w:val="clear" w:color="FFFFFF" w:fill="FFFFFF"/>
            <w:noWrap/>
            <w:vAlign w:val="bottom"/>
            <w:hideMark/>
          </w:tcPr>
          <w:p w14:paraId="7C54BBF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59BAFE8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29,596,943</w:t>
            </w:r>
          </w:p>
        </w:tc>
        <w:tc>
          <w:tcPr>
            <w:tcW w:w="236" w:type="dxa"/>
            <w:tcBorders>
              <w:top w:val="nil"/>
              <w:left w:val="nil"/>
              <w:bottom w:val="nil"/>
              <w:right w:val="nil"/>
            </w:tcBorders>
            <w:shd w:val="clear" w:color="FFFFFF" w:fill="FFFFFF"/>
            <w:noWrap/>
            <w:vAlign w:val="bottom"/>
            <w:hideMark/>
          </w:tcPr>
          <w:p w14:paraId="75C3095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564AEE7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34,634,872</w:t>
            </w:r>
          </w:p>
        </w:tc>
        <w:tc>
          <w:tcPr>
            <w:tcW w:w="236" w:type="dxa"/>
            <w:tcBorders>
              <w:top w:val="nil"/>
              <w:left w:val="nil"/>
              <w:bottom w:val="nil"/>
              <w:right w:val="nil"/>
            </w:tcBorders>
            <w:shd w:val="clear" w:color="FFFFFF" w:fill="FFFFFF"/>
            <w:noWrap/>
            <w:vAlign w:val="bottom"/>
            <w:hideMark/>
          </w:tcPr>
          <w:p w14:paraId="13ABB96E"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vertAlign w:val="superscript"/>
                <w:lang w:val="en-AU" w:eastAsia="en-US"/>
              </w:rPr>
              <w:t> </w:t>
            </w:r>
          </w:p>
        </w:tc>
      </w:tr>
      <w:tr w:rsidR="00F2518A" w:rsidRPr="007C747A" w14:paraId="77264D94" w14:textId="77777777">
        <w:trPr>
          <w:trHeight w:val="133"/>
        </w:trPr>
        <w:tc>
          <w:tcPr>
            <w:tcW w:w="4428" w:type="dxa"/>
            <w:tcBorders>
              <w:top w:val="nil"/>
              <w:left w:val="nil"/>
              <w:bottom w:val="nil"/>
              <w:right w:val="nil"/>
            </w:tcBorders>
            <w:shd w:val="clear" w:color="FFFFFF" w:fill="FFFFFF"/>
            <w:noWrap/>
            <w:vAlign w:val="bottom"/>
            <w:hideMark/>
          </w:tcPr>
          <w:p w14:paraId="0C9BF186"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c>
          <w:tcPr>
            <w:tcW w:w="738" w:type="dxa"/>
            <w:tcBorders>
              <w:top w:val="nil"/>
              <w:left w:val="nil"/>
              <w:bottom w:val="nil"/>
              <w:right w:val="nil"/>
            </w:tcBorders>
            <w:shd w:val="clear" w:color="FFFFFF" w:fill="FFFFFF"/>
            <w:noWrap/>
            <w:vAlign w:val="bottom"/>
            <w:hideMark/>
          </w:tcPr>
          <w:p w14:paraId="558D566E"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2A398F0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D2FF96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48078D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FA839B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33BA7C5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44005AC"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0181A05C" w14:textId="77777777">
        <w:trPr>
          <w:trHeight w:val="250"/>
        </w:trPr>
        <w:tc>
          <w:tcPr>
            <w:tcW w:w="4428" w:type="dxa"/>
            <w:tcBorders>
              <w:top w:val="nil"/>
              <w:left w:val="nil"/>
              <w:bottom w:val="nil"/>
              <w:right w:val="nil"/>
            </w:tcBorders>
            <w:shd w:val="clear" w:color="FFFFFF" w:fill="FFFFFF"/>
            <w:vAlign w:val="bottom"/>
            <w:hideMark/>
          </w:tcPr>
          <w:p w14:paraId="137B2C8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Cash used</w:t>
            </w:r>
          </w:p>
        </w:tc>
        <w:tc>
          <w:tcPr>
            <w:tcW w:w="738" w:type="dxa"/>
            <w:tcBorders>
              <w:top w:val="nil"/>
              <w:left w:val="nil"/>
              <w:bottom w:val="nil"/>
              <w:right w:val="nil"/>
            </w:tcBorders>
            <w:shd w:val="clear" w:color="FFFFFF" w:fill="FFFFFF"/>
            <w:noWrap/>
            <w:vAlign w:val="bottom"/>
            <w:hideMark/>
          </w:tcPr>
          <w:p w14:paraId="77678044"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8B0B95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EC4575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1D5778A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FBD570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5DC124C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5ADA436"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0B038D1D" w14:textId="77777777">
        <w:trPr>
          <w:trHeight w:val="253"/>
        </w:trPr>
        <w:tc>
          <w:tcPr>
            <w:tcW w:w="4428" w:type="dxa"/>
            <w:tcBorders>
              <w:top w:val="nil"/>
              <w:left w:val="nil"/>
              <w:bottom w:val="nil"/>
              <w:right w:val="nil"/>
            </w:tcBorders>
            <w:shd w:val="clear" w:color="FFFFFF" w:fill="FFFFFF"/>
            <w:vAlign w:val="bottom"/>
            <w:hideMark/>
          </w:tcPr>
          <w:p w14:paraId="64F19CBF"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Employee benefits</w:t>
            </w:r>
          </w:p>
        </w:tc>
        <w:tc>
          <w:tcPr>
            <w:tcW w:w="738" w:type="dxa"/>
            <w:tcBorders>
              <w:top w:val="nil"/>
              <w:left w:val="nil"/>
              <w:bottom w:val="nil"/>
              <w:right w:val="nil"/>
            </w:tcBorders>
            <w:shd w:val="clear" w:color="FFFFFF" w:fill="FFFFFF"/>
            <w:noWrap/>
            <w:vAlign w:val="bottom"/>
            <w:hideMark/>
          </w:tcPr>
          <w:p w14:paraId="2417357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296BC32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539,546</w:t>
            </w:r>
          </w:p>
        </w:tc>
        <w:tc>
          <w:tcPr>
            <w:tcW w:w="236" w:type="dxa"/>
            <w:tcBorders>
              <w:top w:val="nil"/>
              <w:left w:val="nil"/>
              <w:bottom w:val="nil"/>
              <w:right w:val="nil"/>
            </w:tcBorders>
            <w:shd w:val="clear" w:color="FFFFFF" w:fill="FFFFFF"/>
            <w:noWrap/>
            <w:vAlign w:val="bottom"/>
            <w:hideMark/>
          </w:tcPr>
          <w:p w14:paraId="262A27E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A498B0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473,053</w:t>
            </w:r>
          </w:p>
        </w:tc>
        <w:tc>
          <w:tcPr>
            <w:tcW w:w="236" w:type="dxa"/>
            <w:tcBorders>
              <w:top w:val="nil"/>
              <w:left w:val="nil"/>
              <w:bottom w:val="nil"/>
              <w:right w:val="nil"/>
            </w:tcBorders>
            <w:shd w:val="clear" w:color="FFFFFF" w:fill="FFFFFF"/>
            <w:noWrap/>
            <w:vAlign w:val="bottom"/>
            <w:hideMark/>
          </w:tcPr>
          <w:p w14:paraId="3266872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225B71D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480,205</w:t>
            </w:r>
          </w:p>
        </w:tc>
        <w:tc>
          <w:tcPr>
            <w:tcW w:w="236" w:type="dxa"/>
            <w:tcBorders>
              <w:top w:val="nil"/>
              <w:left w:val="nil"/>
              <w:bottom w:val="nil"/>
              <w:right w:val="nil"/>
            </w:tcBorders>
            <w:shd w:val="clear" w:color="FFFFFF" w:fill="FFFFFF"/>
            <w:noWrap/>
            <w:vAlign w:val="bottom"/>
            <w:hideMark/>
          </w:tcPr>
          <w:p w14:paraId="292BA91D"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31A61454" w14:textId="77777777">
        <w:trPr>
          <w:trHeight w:val="250"/>
        </w:trPr>
        <w:tc>
          <w:tcPr>
            <w:tcW w:w="4428" w:type="dxa"/>
            <w:tcBorders>
              <w:top w:val="nil"/>
              <w:left w:val="nil"/>
              <w:bottom w:val="nil"/>
              <w:right w:val="nil"/>
            </w:tcBorders>
            <w:shd w:val="clear" w:color="FFFFFF" w:fill="FFFFFF"/>
            <w:vAlign w:val="bottom"/>
            <w:hideMark/>
          </w:tcPr>
          <w:p w14:paraId="2249414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Supplier expenses</w:t>
            </w:r>
          </w:p>
        </w:tc>
        <w:tc>
          <w:tcPr>
            <w:tcW w:w="738" w:type="dxa"/>
            <w:tcBorders>
              <w:top w:val="nil"/>
              <w:left w:val="nil"/>
              <w:bottom w:val="nil"/>
              <w:right w:val="nil"/>
            </w:tcBorders>
            <w:shd w:val="clear" w:color="FFFFFF" w:fill="FFFFFF"/>
            <w:noWrap/>
            <w:vAlign w:val="bottom"/>
            <w:hideMark/>
          </w:tcPr>
          <w:p w14:paraId="6F599C3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BCB44B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800,260</w:t>
            </w:r>
          </w:p>
        </w:tc>
        <w:tc>
          <w:tcPr>
            <w:tcW w:w="236" w:type="dxa"/>
            <w:tcBorders>
              <w:top w:val="nil"/>
              <w:left w:val="nil"/>
              <w:bottom w:val="nil"/>
              <w:right w:val="nil"/>
            </w:tcBorders>
            <w:shd w:val="clear" w:color="FFFFFF" w:fill="FFFFFF"/>
            <w:noWrap/>
            <w:vAlign w:val="bottom"/>
            <w:hideMark/>
          </w:tcPr>
          <w:p w14:paraId="201742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762AA9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549,186</w:t>
            </w:r>
          </w:p>
        </w:tc>
        <w:tc>
          <w:tcPr>
            <w:tcW w:w="236" w:type="dxa"/>
            <w:tcBorders>
              <w:top w:val="nil"/>
              <w:left w:val="nil"/>
              <w:bottom w:val="nil"/>
              <w:right w:val="nil"/>
            </w:tcBorders>
            <w:shd w:val="clear" w:color="FFFFFF" w:fill="FFFFFF"/>
            <w:noWrap/>
            <w:vAlign w:val="bottom"/>
            <w:hideMark/>
          </w:tcPr>
          <w:p w14:paraId="5F36655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44DAFE0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1,552,697</w:t>
            </w:r>
          </w:p>
        </w:tc>
        <w:tc>
          <w:tcPr>
            <w:tcW w:w="236" w:type="dxa"/>
            <w:tcBorders>
              <w:top w:val="nil"/>
              <w:left w:val="nil"/>
              <w:bottom w:val="nil"/>
              <w:right w:val="nil"/>
            </w:tcBorders>
            <w:shd w:val="clear" w:color="FFFFFF" w:fill="FFFFFF"/>
            <w:noWrap/>
            <w:vAlign w:val="bottom"/>
            <w:hideMark/>
          </w:tcPr>
          <w:p w14:paraId="204FD4DE"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52D21C98" w14:textId="77777777">
        <w:trPr>
          <w:trHeight w:val="250"/>
        </w:trPr>
        <w:tc>
          <w:tcPr>
            <w:tcW w:w="4428" w:type="dxa"/>
            <w:tcBorders>
              <w:top w:val="nil"/>
              <w:left w:val="nil"/>
              <w:bottom w:val="nil"/>
              <w:right w:val="nil"/>
            </w:tcBorders>
            <w:shd w:val="clear" w:color="FFFFFF" w:fill="FFFFFF"/>
            <w:vAlign w:val="bottom"/>
            <w:hideMark/>
          </w:tcPr>
          <w:p w14:paraId="4B669F8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Interest payments on lease liabilities</w:t>
            </w:r>
          </w:p>
        </w:tc>
        <w:tc>
          <w:tcPr>
            <w:tcW w:w="738" w:type="dxa"/>
            <w:tcBorders>
              <w:top w:val="nil"/>
              <w:left w:val="nil"/>
              <w:bottom w:val="nil"/>
              <w:right w:val="nil"/>
            </w:tcBorders>
            <w:shd w:val="clear" w:color="FFFFFF" w:fill="FFFFFF"/>
            <w:noWrap/>
            <w:vAlign w:val="bottom"/>
            <w:hideMark/>
          </w:tcPr>
          <w:p w14:paraId="3B02BCAF"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730D59B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1,555</w:t>
            </w:r>
          </w:p>
        </w:tc>
        <w:tc>
          <w:tcPr>
            <w:tcW w:w="236" w:type="dxa"/>
            <w:tcBorders>
              <w:top w:val="nil"/>
              <w:left w:val="nil"/>
              <w:bottom w:val="nil"/>
              <w:right w:val="nil"/>
            </w:tcBorders>
            <w:shd w:val="clear" w:color="FFFFFF" w:fill="FFFFFF"/>
            <w:noWrap/>
            <w:vAlign w:val="bottom"/>
            <w:hideMark/>
          </w:tcPr>
          <w:p w14:paraId="6237C10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0FF4499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1,256</w:t>
            </w:r>
          </w:p>
        </w:tc>
        <w:tc>
          <w:tcPr>
            <w:tcW w:w="236" w:type="dxa"/>
            <w:tcBorders>
              <w:top w:val="nil"/>
              <w:left w:val="nil"/>
              <w:bottom w:val="nil"/>
              <w:right w:val="nil"/>
            </w:tcBorders>
            <w:shd w:val="clear" w:color="FFFFFF" w:fill="FFFFFF"/>
            <w:noWrap/>
            <w:vAlign w:val="bottom"/>
            <w:hideMark/>
          </w:tcPr>
          <w:p w14:paraId="29B6D90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66AFBDF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2,391</w:t>
            </w:r>
          </w:p>
        </w:tc>
        <w:tc>
          <w:tcPr>
            <w:tcW w:w="236" w:type="dxa"/>
            <w:tcBorders>
              <w:top w:val="nil"/>
              <w:left w:val="nil"/>
              <w:bottom w:val="nil"/>
              <w:right w:val="nil"/>
            </w:tcBorders>
            <w:shd w:val="clear" w:color="FFFFFF" w:fill="FFFFFF"/>
            <w:noWrap/>
            <w:vAlign w:val="bottom"/>
            <w:hideMark/>
          </w:tcPr>
          <w:p w14:paraId="7F17E5A6"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009B2D51" w14:textId="77777777">
        <w:trPr>
          <w:trHeight w:val="250"/>
        </w:trPr>
        <w:tc>
          <w:tcPr>
            <w:tcW w:w="4428" w:type="dxa"/>
            <w:tcBorders>
              <w:top w:val="nil"/>
              <w:left w:val="nil"/>
              <w:bottom w:val="nil"/>
              <w:right w:val="nil"/>
            </w:tcBorders>
            <w:shd w:val="clear" w:color="FFFFFF" w:fill="FFFFFF"/>
            <w:vAlign w:val="bottom"/>
            <w:hideMark/>
          </w:tcPr>
          <w:p w14:paraId="619FE6D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Community partnership costs</w:t>
            </w:r>
          </w:p>
        </w:tc>
        <w:tc>
          <w:tcPr>
            <w:tcW w:w="738" w:type="dxa"/>
            <w:tcBorders>
              <w:top w:val="nil"/>
              <w:left w:val="nil"/>
              <w:bottom w:val="nil"/>
              <w:right w:val="nil"/>
            </w:tcBorders>
            <w:shd w:val="clear" w:color="FFFFFF" w:fill="FFFFFF"/>
            <w:noWrap/>
            <w:vAlign w:val="bottom"/>
            <w:hideMark/>
          </w:tcPr>
          <w:p w14:paraId="4E675DA2"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E7FEB0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608,767</w:t>
            </w:r>
          </w:p>
        </w:tc>
        <w:tc>
          <w:tcPr>
            <w:tcW w:w="236" w:type="dxa"/>
            <w:tcBorders>
              <w:top w:val="nil"/>
              <w:left w:val="nil"/>
              <w:bottom w:val="nil"/>
              <w:right w:val="nil"/>
            </w:tcBorders>
            <w:shd w:val="clear" w:color="FFFFFF" w:fill="FFFFFF"/>
            <w:noWrap/>
            <w:vAlign w:val="bottom"/>
            <w:hideMark/>
          </w:tcPr>
          <w:p w14:paraId="3C68BAA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18CD27E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559,766</w:t>
            </w:r>
          </w:p>
        </w:tc>
        <w:tc>
          <w:tcPr>
            <w:tcW w:w="236" w:type="dxa"/>
            <w:tcBorders>
              <w:top w:val="nil"/>
              <w:left w:val="nil"/>
              <w:bottom w:val="nil"/>
              <w:right w:val="nil"/>
            </w:tcBorders>
            <w:shd w:val="clear" w:color="FFFFFF" w:fill="FFFFFF"/>
            <w:noWrap/>
            <w:vAlign w:val="bottom"/>
            <w:hideMark/>
          </w:tcPr>
          <w:p w14:paraId="117FB7B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6BB773D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77E3FE2E"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4E6EEF77" w14:textId="77777777">
        <w:trPr>
          <w:trHeight w:val="250"/>
        </w:trPr>
        <w:tc>
          <w:tcPr>
            <w:tcW w:w="4428" w:type="dxa"/>
            <w:tcBorders>
              <w:top w:val="nil"/>
              <w:left w:val="nil"/>
              <w:bottom w:val="nil"/>
              <w:right w:val="nil"/>
            </w:tcBorders>
            <w:shd w:val="clear" w:color="FFFFFF" w:fill="FFFFFF"/>
            <w:vAlign w:val="bottom"/>
            <w:hideMark/>
          </w:tcPr>
          <w:p w14:paraId="5C26209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Participant plan expenses</w:t>
            </w:r>
          </w:p>
        </w:tc>
        <w:tc>
          <w:tcPr>
            <w:tcW w:w="738" w:type="dxa"/>
            <w:tcBorders>
              <w:top w:val="nil"/>
              <w:left w:val="nil"/>
              <w:bottom w:val="nil"/>
              <w:right w:val="nil"/>
            </w:tcBorders>
            <w:shd w:val="clear" w:color="FFFFFF" w:fill="FFFFFF"/>
            <w:noWrap/>
            <w:vAlign w:val="bottom"/>
            <w:hideMark/>
          </w:tcPr>
          <w:p w14:paraId="3DBE1CF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416A5E0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34,109,901</w:t>
            </w:r>
          </w:p>
        </w:tc>
        <w:tc>
          <w:tcPr>
            <w:tcW w:w="236" w:type="dxa"/>
            <w:tcBorders>
              <w:top w:val="nil"/>
              <w:left w:val="nil"/>
              <w:bottom w:val="nil"/>
              <w:right w:val="nil"/>
            </w:tcBorders>
            <w:shd w:val="clear" w:color="FFFFFF" w:fill="FFFFFF"/>
            <w:noWrap/>
            <w:vAlign w:val="bottom"/>
            <w:hideMark/>
          </w:tcPr>
          <w:p w14:paraId="28A585F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7111054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26,878,414</w:t>
            </w:r>
          </w:p>
        </w:tc>
        <w:tc>
          <w:tcPr>
            <w:tcW w:w="236" w:type="dxa"/>
            <w:tcBorders>
              <w:top w:val="nil"/>
              <w:left w:val="nil"/>
              <w:bottom w:val="nil"/>
              <w:right w:val="nil"/>
            </w:tcBorders>
            <w:shd w:val="clear" w:color="FFFFFF" w:fill="FFFFFF"/>
            <w:noWrap/>
            <w:vAlign w:val="bottom"/>
            <w:hideMark/>
          </w:tcPr>
          <w:p w14:paraId="35048FF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0B13FDD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32,018,029</w:t>
            </w:r>
          </w:p>
        </w:tc>
        <w:tc>
          <w:tcPr>
            <w:tcW w:w="236" w:type="dxa"/>
            <w:tcBorders>
              <w:top w:val="nil"/>
              <w:left w:val="nil"/>
              <w:bottom w:val="nil"/>
              <w:right w:val="nil"/>
            </w:tcBorders>
            <w:shd w:val="clear" w:color="FFFFFF" w:fill="FFFFFF"/>
            <w:noWrap/>
            <w:vAlign w:val="bottom"/>
            <w:hideMark/>
          </w:tcPr>
          <w:p w14:paraId="18FD749A"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21108A16" w14:textId="77777777">
        <w:trPr>
          <w:trHeight w:val="250"/>
        </w:trPr>
        <w:tc>
          <w:tcPr>
            <w:tcW w:w="4428" w:type="dxa"/>
            <w:tcBorders>
              <w:top w:val="nil"/>
              <w:left w:val="nil"/>
              <w:bottom w:val="nil"/>
              <w:right w:val="nil"/>
            </w:tcBorders>
            <w:shd w:val="clear" w:color="FFFFFF" w:fill="FFFFFF"/>
            <w:vAlign w:val="bottom"/>
            <w:hideMark/>
          </w:tcPr>
          <w:p w14:paraId="10E598E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GST paid</w:t>
            </w:r>
          </w:p>
        </w:tc>
        <w:tc>
          <w:tcPr>
            <w:tcW w:w="738" w:type="dxa"/>
            <w:tcBorders>
              <w:top w:val="nil"/>
              <w:left w:val="nil"/>
              <w:bottom w:val="nil"/>
              <w:right w:val="nil"/>
            </w:tcBorders>
            <w:shd w:val="clear" w:color="FFFFFF" w:fill="FFFFFF"/>
            <w:noWrap/>
            <w:vAlign w:val="bottom"/>
            <w:hideMark/>
          </w:tcPr>
          <w:p w14:paraId="532876C4"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2611FA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730863C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3E954F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496C4E2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5AFE4B1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94,152</w:t>
            </w:r>
          </w:p>
        </w:tc>
        <w:tc>
          <w:tcPr>
            <w:tcW w:w="236" w:type="dxa"/>
            <w:tcBorders>
              <w:top w:val="nil"/>
              <w:left w:val="nil"/>
              <w:bottom w:val="nil"/>
              <w:right w:val="nil"/>
            </w:tcBorders>
            <w:shd w:val="clear" w:color="FFFFFF" w:fill="FFFFFF"/>
            <w:noWrap/>
            <w:vAlign w:val="bottom"/>
            <w:hideMark/>
          </w:tcPr>
          <w:p w14:paraId="68946C6D"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474D3BB6" w14:textId="77777777">
        <w:trPr>
          <w:trHeight w:val="250"/>
        </w:trPr>
        <w:tc>
          <w:tcPr>
            <w:tcW w:w="4428" w:type="dxa"/>
            <w:tcBorders>
              <w:top w:val="nil"/>
              <w:left w:val="nil"/>
              <w:bottom w:val="nil"/>
              <w:right w:val="nil"/>
            </w:tcBorders>
            <w:shd w:val="clear" w:color="FFFFFF" w:fill="FFFFFF"/>
            <w:vAlign w:val="bottom"/>
            <w:hideMark/>
          </w:tcPr>
          <w:p w14:paraId="128E247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Grant payments</w:t>
            </w:r>
          </w:p>
        </w:tc>
        <w:tc>
          <w:tcPr>
            <w:tcW w:w="738" w:type="dxa"/>
            <w:tcBorders>
              <w:top w:val="nil"/>
              <w:left w:val="nil"/>
              <w:bottom w:val="nil"/>
              <w:right w:val="nil"/>
            </w:tcBorders>
            <w:shd w:val="clear" w:color="FFFFFF" w:fill="FFFFFF"/>
            <w:noWrap/>
            <w:vAlign w:val="bottom"/>
            <w:hideMark/>
          </w:tcPr>
          <w:p w14:paraId="7219C51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1AAF7B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523</w:t>
            </w:r>
          </w:p>
        </w:tc>
        <w:tc>
          <w:tcPr>
            <w:tcW w:w="236" w:type="dxa"/>
            <w:tcBorders>
              <w:top w:val="nil"/>
              <w:left w:val="nil"/>
              <w:bottom w:val="nil"/>
              <w:right w:val="nil"/>
            </w:tcBorders>
            <w:shd w:val="clear" w:color="FFFFFF" w:fill="FFFFFF"/>
            <w:noWrap/>
            <w:vAlign w:val="bottom"/>
            <w:hideMark/>
          </w:tcPr>
          <w:p w14:paraId="76EE2B2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9F9704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262</w:t>
            </w:r>
          </w:p>
        </w:tc>
        <w:tc>
          <w:tcPr>
            <w:tcW w:w="236" w:type="dxa"/>
            <w:tcBorders>
              <w:top w:val="nil"/>
              <w:left w:val="nil"/>
              <w:bottom w:val="nil"/>
              <w:right w:val="nil"/>
            </w:tcBorders>
            <w:shd w:val="clear" w:color="FFFFFF" w:fill="FFFFFF"/>
            <w:noWrap/>
            <w:vAlign w:val="bottom"/>
            <w:hideMark/>
          </w:tcPr>
          <w:p w14:paraId="6155EF3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38C8235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7100D08A"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478DA33E" w14:textId="77777777">
        <w:trPr>
          <w:trHeight w:val="250"/>
        </w:trPr>
        <w:tc>
          <w:tcPr>
            <w:tcW w:w="4428" w:type="dxa"/>
            <w:tcBorders>
              <w:top w:val="nil"/>
              <w:left w:val="nil"/>
              <w:bottom w:val="nil"/>
              <w:right w:val="nil"/>
            </w:tcBorders>
            <w:shd w:val="clear" w:color="FFFFFF" w:fill="FFFFFF"/>
            <w:vAlign w:val="bottom"/>
            <w:hideMark/>
          </w:tcPr>
          <w:p w14:paraId="78F89F70"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cash used</w:t>
            </w:r>
          </w:p>
        </w:tc>
        <w:tc>
          <w:tcPr>
            <w:tcW w:w="738" w:type="dxa"/>
            <w:tcBorders>
              <w:top w:val="nil"/>
              <w:left w:val="nil"/>
              <w:bottom w:val="nil"/>
              <w:right w:val="nil"/>
            </w:tcBorders>
            <w:shd w:val="clear" w:color="FFFFFF" w:fill="FFFFFF"/>
            <w:noWrap/>
            <w:vAlign w:val="bottom"/>
            <w:hideMark/>
          </w:tcPr>
          <w:p w14:paraId="7509823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single" w:sz="4" w:space="0" w:color="auto"/>
              <w:left w:val="nil"/>
              <w:bottom w:val="single" w:sz="4" w:space="0" w:color="auto"/>
              <w:right w:val="nil"/>
            </w:tcBorders>
            <w:shd w:val="clear" w:color="FFFFFF" w:fill="FFFFFF"/>
            <w:noWrap/>
            <w:vAlign w:val="bottom"/>
            <w:hideMark/>
          </w:tcPr>
          <w:p w14:paraId="08D5AC5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36,060,552</w:t>
            </w:r>
          </w:p>
        </w:tc>
        <w:tc>
          <w:tcPr>
            <w:tcW w:w="236" w:type="dxa"/>
            <w:tcBorders>
              <w:top w:val="nil"/>
              <w:left w:val="nil"/>
              <w:bottom w:val="nil"/>
              <w:right w:val="nil"/>
            </w:tcBorders>
            <w:shd w:val="clear" w:color="FFFFFF" w:fill="FFFFFF"/>
            <w:noWrap/>
            <w:vAlign w:val="bottom"/>
            <w:hideMark/>
          </w:tcPr>
          <w:p w14:paraId="08411AD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44AE608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28,461,937</w:t>
            </w:r>
          </w:p>
        </w:tc>
        <w:tc>
          <w:tcPr>
            <w:tcW w:w="236" w:type="dxa"/>
            <w:tcBorders>
              <w:top w:val="nil"/>
              <w:left w:val="nil"/>
              <w:bottom w:val="nil"/>
              <w:right w:val="nil"/>
            </w:tcBorders>
            <w:shd w:val="clear" w:color="FFFFFF" w:fill="FFFFFF"/>
            <w:noWrap/>
            <w:vAlign w:val="bottom"/>
            <w:hideMark/>
          </w:tcPr>
          <w:p w14:paraId="70BAC38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47EC2F1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34,147,474</w:t>
            </w:r>
          </w:p>
        </w:tc>
        <w:tc>
          <w:tcPr>
            <w:tcW w:w="236" w:type="dxa"/>
            <w:tcBorders>
              <w:top w:val="nil"/>
              <w:left w:val="nil"/>
              <w:bottom w:val="nil"/>
              <w:right w:val="nil"/>
            </w:tcBorders>
            <w:shd w:val="clear" w:color="FFFFFF" w:fill="FFFFFF"/>
            <w:noWrap/>
            <w:vAlign w:val="bottom"/>
            <w:hideMark/>
          </w:tcPr>
          <w:p w14:paraId="4AD77AC5"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vertAlign w:val="superscript"/>
                <w:lang w:val="en-AU" w:eastAsia="en-US"/>
              </w:rPr>
              <w:t> </w:t>
            </w:r>
          </w:p>
        </w:tc>
      </w:tr>
      <w:tr w:rsidR="00F2518A" w:rsidRPr="007C747A" w14:paraId="1BD89E7A" w14:textId="77777777">
        <w:trPr>
          <w:trHeight w:val="270"/>
        </w:trPr>
        <w:tc>
          <w:tcPr>
            <w:tcW w:w="4428" w:type="dxa"/>
            <w:tcBorders>
              <w:top w:val="nil"/>
              <w:left w:val="nil"/>
              <w:bottom w:val="nil"/>
              <w:right w:val="nil"/>
            </w:tcBorders>
            <w:shd w:val="clear" w:color="FFFFFF" w:fill="FFFFFF"/>
            <w:vAlign w:val="bottom"/>
            <w:hideMark/>
          </w:tcPr>
          <w:p w14:paraId="1FBC6CE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cash from / (used by) operating activities</w:t>
            </w:r>
          </w:p>
        </w:tc>
        <w:tc>
          <w:tcPr>
            <w:tcW w:w="738" w:type="dxa"/>
            <w:tcBorders>
              <w:top w:val="nil"/>
              <w:left w:val="nil"/>
              <w:bottom w:val="nil"/>
              <w:right w:val="nil"/>
            </w:tcBorders>
            <w:shd w:val="clear" w:color="FFFFFF" w:fill="FFFFFF"/>
            <w:noWrap/>
            <w:vAlign w:val="bottom"/>
            <w:hideMark/>
          </w:tcPr>
          <w:p w14:paraId="1AAA7233"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single" w:sz="4" w:space="0" w:color="auto"/>
              <w:right w:val="nil"/>
            </w:tcBorders>
            <w:shd w:val="clear" w:color="FFFFFF" w:fill="FFFFFF"/>
            <w:noWrap/>
            <w:vAlign w:val="bottom"/>
            <w:hideMark/>
          </w:tcPr>
          <w:p w14:paraId="17EBBC5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(86,140)</w:t>
            </w:r>
          </w:p>
        </w:tc>
        <w:tc>
          <w:tcPr>
            <w:tcW w:w="236" w:type="dxa"/>
            <w:tcBorders>
              <w:top w:val="nil"/>
              <w:left w:val="nil"/>
              <w:bottom w:val="nil"/>
              <w:right w:val="nil"/>
            </w:tcBorders>
            <w:shd w:val="clear" w:color="FFFFFF" w:fill="FFFFFF"/>
            <w:noWrap/>
            <w:vAlign w:val="bottom"/>
            <w:hideMark/>
          </w:tcPr>
          <w:p w14:paraId="49A3FBD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single" w:sz="4" w:space="0" w:color="auto"/>
              <w:right w:val="nil"/>
            </w:tcBorders>
            <w:shd w:val="clear" w:color="FFFFFF" w:fill="FFFFFF"/>
            <w:noWrap/>
            <w:vAlign w:val="bottom"/>
            <w:hideMark/>
          </w:tcPr>
          <w:p w14:paraId="33022CF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1,135,006</w:t>
            </w:r>
          </w:p>
        </w:tc>
        <w:tc>
          <w:tcPr>
            <w:tcW w:w="236" w:type="dxa"/>
            <w:tcBorders>
              <w:top w:val="nil"/>
              <w:left w:val="nil"/>
              <w:bottom w:val="nil"/>
              <w:right w:val="nil"/>
            </w:tcBorders>
            <w:shd w:val="clear" w:color="FFFFFF" w:fill="FFFFFF"/>
            <w:noWrap/>
            <w:vAlign w:val="bottom"/>
            <w:hideMark/>
          </w:tcPr>
          <w:p w14:paraId="7583FE3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single" w:sz="4" w:space="0" w:color="auto"/>
              <w:right w:val="nil"/>
            </w:tcBorders>
            <w:shd w:val="clear" w:color="FFFFFF" w:fill="FFFFFF"/>
            <w:noWrap/>
            <w:vAlign w:val="bottom"/>
            <w:hideMark/>
          </w:tcPr>
          <w:p w14:paraId="63BC287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487,398</w:t>
            </w:r>
          </w:p>
        </w:tc>
        <w:tc>
          <w:tcPr>
            <w:tcW w:w="236" w:type="dxa"/>
            <w:tcBorders>
              <w:top w:val="nil"/>
              <w:left w:val="nil"/>
              <w:bottom w:val="nil"/>
              <w:right w:val="nil"/>
            </w:tcBorders>
            <w:shd w:val="clear" w:color="FFFFFF" w:fill="FFFFFF"/>
            <w:noWrap/>
            <w:vAlign w:val="bottom"/>
            <w:hideMark/>
          </w:tcPr>
          <w:p w14:paraId="44696F1E"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vertAlign w:val="superscript"/>
                <w:lang w:val="en-AU" w:eastAsia="en-US"/>
              </w:rPr>
              <w:t> </w:t>
            </w:r>
          </w:p>
        </w:tc>
      </w:tr>
      <w:tr w:rsidR="00F2518A" w:rsidRPr="007C747A" w14:paraId="12806E24" w14:textId="77777777">
        <w:trPr>
          <w:trHeight w:val="228"/>
        </w:trPr>
        <w:tc>
          <w:tcPr>
            <w:tcW w:w="4428" w:type="dxa"/>
            <w:tcBorders>
              <w:top w:val="nil"/>
              <w:left w:val="nil"/>
              <w:bottom w:val="nil"/>
              <w:right w:val="nil"/>
            </w:tcBorders>
            <w:shd w:val="clear" w:color="FFFFFF" w:fill="FFFFFF"/>
            <w:noWrap/>
            <w:vAlign w:val="bottom"/>
            <w:hideMark/>
          </w:tcPr>
          <w:p w14:paraId="60447A3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738" w:type="dxa"/>
            <w:tcBorders>
              <w:top w:val="nil"/>
              <w:left w:val="nil"/>
              <w:bottom w:val="nil"/>
              <w:right w:val="nil"/>
            </w:tcBorders>
            <w:shd w:val="clear" w:color="FFFFFF" w:fill="FFFFFF"/>
            <w:noWrap/>
            <w:vAlign w:val="bottom"/>
            <w:hideMark/>
          </w:tcPr>
          <w:p w14:paraId="3E11B69F"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4897CA6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23CA6B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6BD37C8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B5D825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3D5F1E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525B43E"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581593C4" w14:textId="77777777">
        <w:trPr>
          <w:trHeight w:val="250"/>
        </w:trPr>
        <w:tc>
          <w:tcPr>
            <w:tcW w:w="4428" w:type="dxa"/>
            <w:tcBorders>
              <w:top w:val="nil"/>
              <w:left w:val="nil"/>
              <w:bottom w:val="nil"/>
              <w:right w:val="nil"/>
            </w:tcBorders>
            <w:shd w:val="clear" w:color="FFFFFF" w:fill="FFFFFF"/>
            <w:vAlign w:val="bottom"/>
            <w:hideMark/>
          </w:tcPr>
          <w:p w14:paraId="640E16B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INVESTING ACTIVITIES</w:t>
            </w:r>
          </w:p>
        </w:tc>
        <w:tc>
          <w:tcPr>
            <w:tcW w:w="738" w:type="dxa"/>
            <w:tcBorders>
              <w:top w:val="nil"/>
              <w:left w:val="nil"/>
              <w:bottom w:val="nil"/>
              <w:right w:val="nil"/>
            </w:tcBorders>
            <w:shd w:val="clear" w:color="FFFFFF" w:fill="FFFFFF"/>
            <w:noWrap/>
            <w:vAlign w:val="bottom"/>
            <w:hideMark/>
          </w:tcPr>
          <w:p w14:paraId="0B8A812A"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B89E67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45A9A7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2E505D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71E334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7CA1A4F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041D1AC"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14354F17" w14:textId="77777777">
        <w:trPr>
          <w:trHeight w:val="250"/>
        </w:trPr>
        <w:tc>
          <w:tcPr>
            <w:tcW w:w="4428" w:type="dxa"/>
            <w:tcBorders>
              <w:top w:val="nil"/>
              <w:left w:val="nil"/>
              <w:bottom w:val="nil"/>
              <w:right w:val="nil"/>
            </w:tcBorders>
            <w:shd w:val="clear" w:color="FFFFFF" w:fill="FFFFFF"/>
            <w:vAlign w:val="bottom"/>
            <w:hideMark/>
          </w:tcPr>
          <w:p w14:paraId="4ED2AFB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Cash received</w:t>
            </w:r>
          </w:p>
        </w:tc>
        <w:tc>
          <w:tcPr>
            <w:tcW w:w="738" w:type="dxa"/>
            <w:tcBorders>
              <w:top w:val="nil"/>
              <w:left w:val="nil"/>
              <w:bottom w:val="nil"/>
              <w:right w:val="nil"/>
            </w:tcBorders>
            <w:shd w:val="clear" w:color="FFFFFF" w:fill="FFFFFF"/>
            <w:noWrap/>
            <w:vAlign w:val="bottom"/>
            <w:hideMark/>
          </w:tcPr>
          <w:p w14:paraId="03AB5CA5"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00DC7A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BB16E3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0DD38C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1D8D2A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661579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0E6E03C"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66214811" w14:textId="77777777">
        <w:trPr>
          <w:trHeight w:val="460"/>
        </w:trPr>
        <w:tc>
          <w:tcPr>
            <w:tcW w:w="4428" w:type="dxa"/>
            <w:tcBorders>
              <w:top w:val="nil"/>
              <w:left w:val="nil"/>
              <w:bottom w:val="nil"/>
              <w:right w:val="nil"/>
            </w:tcBorders>
            <w:shd w:val="clear" w:color="FFFFFF" w:fill="FFFFFF"/>
            <w:vAlign w:val="bottom"/>
            <w:hideMark/>
          </w:tcPr>
          <w:p w14:paraId="5C27F16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 xml:space="preserve">Proceeds from sales of property, plant and </w:t>
            </w:r>
            <w:r w:rsidRPr="007C747A">
              <w:rPr>
                <w:rFonts w:eastAsia="Times New Roman" w:cs="Arial"/>
                <w:sz w:val="18"/>
                <w:szCs w:val="18"/>
                <w:lang w:val="en-AU" w:eastAsia="en-US"/>
              </w:rPr>
              <w:br/>
              <w:t xml:space="preserve">    equipment</w:t>
            </w:r>
          </w:p>
        </w:tc>
        <w:tc>
          <w:tcPr>
            <w:tcW w:w="738" w:type="dxa"/>
            <w:tcBorders>
              <w:top w:val="nil"/>
              <w:left w:val="nil"/>
              <w:bottom w:val="nil"/>
              <w:right w:val="nil"/>
            </w:tcBorders>
            <w:shd w:val="clear" w:color="FFFFFF" w:fill="FFFFFF"/>
            <w:noWrap/>
            <w:vAlign w:val="bottom"/>
            <w:hideMark/>
          </w:tcPr>
          <w:p w14:paraId="03650AA3"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5655B94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1,202</w:t>
            </w:r>
          </w:p>
        </w:tc>
        <w:tc>
          <w:tcPr>
            <w:tcW w:w="236" w:type="dxa"/>
            <w:tcBorders>
              <w:top w:val="nil"/>
              <w:left w:val="nil"/>
              <w:bottom w:val="nil"/>
              <w:right w:val="nil"/>
            </w:tcBorders>
            <w:shd w:val="clear" w:color="FFFFFF" w:fill="FFFFFF"/>
            <w:noWrap/>
            <w:vAlign w:val="bottom"/>
            <w:hideMark/>
          </w:tcPr>
          <w:p w14:paraId="31B0A24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604DF89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1,286</w:t>
            </w:r>
          </w:p>
        </w:tc>
        <w:tc>
          <w:tcPr>
            <w:tcW w:w="236" w:type="dxa"/>
            <w:tcBorders>
              <w:top w:val="nil"/>
              <w:left w:val="nil"/>
              <w:bottom w:val="nil"/>
              <w:right w:val="nil"/>
            </w:tcBorders>
            <w:shd w:val="clear" w:color="FFFFFF" w:fill="FFFFFF"/>
            <w:noWrap/>
            <w:vAlign w:val="bottom"/>
            <w:hideMark/>
          </w:tcPr>
          <w:p w14:paraId="2A47D78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212377B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68B440A7"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24751B9B" w14:textId="77777777">
        <w:trPr>
          <w:trHeight w:val="250"/>
        </w:trPr>
        <w:tc>
          <w:tcPr>
            <w:tcW w:w="4428" w:type="dxa"/>
            <w:tcBorders>
              <w:top w:val="nil"/>
              <w:left w:val="nil"/>
              <w:bottom w:val="nil"/>
              <w:right w:val="nil"/>
            </w:tcBorders>
            <w:shd w:val="clear" w:color="FFFFFF" w:fill="FFFFFF"/>
            <w:vAlign w:val="bottom"/>
            <w:hideMark/>
          </w:tcPr>
          <w:p w14:paraId="25D6A89E"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Proceeds from sales of financial instruments</w:t>
            </w:r>
          </w:p>
        </w:tc>
        <w:tc>
          <w:tcPr>
            <w:tcW w:w="738" w:type="dxa"/>
            <w:tcBorders>
              <w:top w:val="nil"/>
              <w:left w:val="nil"/>
              <w:bottom w:val="nil"/>
              <w:right w:val="nil"/>
            </w:tcBorders>
            <w:shd w:val="clear" w:color="FFFFFF" w:fill="FFFFFF"/>
            <w:noWrap/>
            <w:vAlign w:val="bottom"/>
            <w:hideMark/>
          </w:tcPr>
          <w:p w14:paraId="370F7337"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6C3D93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7,985,000</w:t>
            </w:r>
          </w:p>
        </w:tc>
        <w:tc>
          <w:tcPr>
            <w:tcW w:w="236" w:type="dxa"/>
            <w:tcBorders>
              <w:top w:val="nil"/>
              <w:left w:val="nil"/>
              <w:bottom w:val="nil"/>
              <w:right w:val="nil"/>
            </w:tcBorders>
            <w:shd w:val="clear" w:color="FFFFFF" w:fill="FFFFFF"/>
            <w:noWrap/>
            <w:vAlign w:val="bottom"/>
            <w:hideMark/>
          </w:tcPr>
          <w:p w14:paraId="027059A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B2C83F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7,390,000</w:t>
            </w:r>
          </w:p>
        </w:tc>
        <w:tc>
          <w:tcPr>
            <w:tcW w:w="236" w:type="dxa"/>
            <w:tcBorders>
              <w:top w:val="nil"/>
              <w:left w:val="nil"/>
              <w:bottom w:val="nil"/>
              <w:right w:val="nil"/>
            </w:tcBorders>
            <w:shd w:val="clear" w:color="FFFFFF" w:fill="FFFFFF"/>
            <w:noWrap/>
            <w:vAlign w:val="bottom"/>
            <w:hideMark/>
          </w:tcPr>
          <w:p w14:paraId="65CF267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5704B47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6A8C53B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6E7672A" w14:textId="77777777">
        <w:trPr>
          <w:trHeight w:val="250"/>
        </w:trPr>
        <w:tc>
          <w:tcPr>
            <w:tcW w:w="4428" w:type="dxa"/>
            <w:tcBorders>
              <w:top w:val="nil"/>
              <w:left w:val="nil"/>
              <w:bottom w:val="nil"/>
              <w:right w:val="nil"/>
            </w:tcBorders>
            <w:shd w:val="clear" w:color="FFFFFF" w:fill="FFFFFF"/>
            <w:vAlign w:val="bottom"/>
            <w:hideMark/>
          </w:tcPr>
          <w:p w14:paraId="3BB0C7A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cash received</w:t>
            </w:r>
          </w:p>
        </w:tc>
        <w:tc>
          <w:tcPr>
            <w:tcW w:w="738" w:type="dxa"/>
            <w:tcBorders>
              <w:top w:val="nil"/>
              <w:left w:val="nil"/>
              <w:bottom w:val="nil"/>
              <w:right w:val="nil"/>
            </w:tcBorders>
            <w:shd w:val="clear" w:color="FFFFFF" w:fill="FFFFFF"/>
            <w:noWrap/>
            <w:vAlign w:val="bottom"/>
            <w:hideMark/>
          </w:tcPr>
          <w:p w14:paraId="07E809F1"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single" w:sz="4" w:space="0" w:color="auto"/>
              <w:left w:val="nil"/>
              <w:bottom w:val="single" w:sz="4" w:space="0" w:color="auto"/>
              <w:right w:val="nil"/>
            </w:tcBorders>
            <w:shd w:val="clear" w:color="FFFFFF" w:fill="FFFFFF"/>
            <w:noWrap/>
            <w:vAlign w:val="bottom"/>
            <w:hideMark/>
          </w:tcPr>
          <w:p w14:paraId="6BD225D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7,986,202</w:t>
            </w:r>
          </w:p>
        </w:tc>
        <w:tc>
          <w:tcPr>
            <w:tcW w:w="236" w:type="dxa"/>
            <w:tcBorders>
              <w:top w:val="nil"/>
              <w:left w:val="nil"/>
              <w:bottom w:val="nil"/>
              <w:right w:val="nil"/>
            </w:tcBorders>
            <w:shd w:val="clear" w:color="FFFFFF" w:fill="FFFFFF"/>
            <w:noWrap/>
            <w:vAlign w:val="bottom"/>
            <w:hideMark/>
          </w:tcPr>
          <w:p w14:paraId="780260E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0E4D4A6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7,391,286</w:t>
            </w:r>
          </w:p>
        </w:tc>
        <w:tc>
          <w:tcPr>
            <w:tcW w:w="236" w:type="dxa"/>
            <w:tcBorders>
              <w:top w:val="nil"/>
              <w:left w:val="nil"/>
              <w:bottom w:val="nil"/>
              <w:right w:val="nil"/>
            </w:tcBorders>
            <w:shd w:val="clear" w:color="FFFFFF" w:fill="FFFFFF"/>
            <w:noWrap/>
            <w:vAlign w:val="bottom"/>
            <w:hideMark/>
          </w:tcPr>
          <w:p w14:paraId="462B1C7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7EEFE80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w:t>
            </w:r>
          </w:p>
        </w:tc>
        <w:tc>
          <w:tcPr>
            <w:tcW w:w="236" w:type="dxa"/>
            <w:tcBorders>
              <w:top w:val="nil"/>
              <w:left w:val="nil"/>
              <w:bottom w:val="nil"/>
              <w:right w:val="nil"/>
            </w:tcBorders>
            <w:shd w:val="clear" w:color="FFFFFF" w:fill="FFFFFF"/>
            <w:noWrap/>
            <w:vAlign w:val="bottom"/>
            <w:hideMark/>
          </w:tcPr>
          <w:p w14:paraId="54A55CD6"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12756A8F" w14:textId="77777777">
        <w:trPr>
          <w:trHeight w:val="250"/>
        </w:trPr>
        <w:tc>
          <w:tcPr>
            <w:tcW w:w="4428" w:type="dxa"/>
            <w:tcBorders>
              <w:top w:val="nil"/>
              <w:left w:val="nil"/>
              <w:bottom w:val="nil"/>
              <w:right w:val="nil"/>
            </w:tcBorders>
            <w:shd w:val="clear" w:color="FFFFFF" w:fill="FFFFFF"/>
            <w:vAlign w:val="bottom"/>
            <w:hideMark/>
          </w:tcPr>
          <w:p w14:paraId="566DA5E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738" w:type="dxa"/>
            <w:tcBorders>
              <w:top w:val="nil"/>
              <w:left w:val="nil"/>
              <w:bottom w:val="nil"/>
              <w:right w:val="nil"/>
            </w:tcBorders>
            <w:shd w:val="clear" w:color="FFFFFF" w:fill="FFFFFF"/>
            <w:noWrap/>
            <w:vAlign w:val="bottom"/>
            <w:hideMark/>
          </w:tcPr>
          <w:p w14:paraId="47825B1F"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EEE83A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F3EBF1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535D29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CDBA5C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4174418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402975C"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27C9923B" w14:textId="77777777">
        <w:trPr>
          <w:trHeight w:val="250"/>
        </w:trPr>
        <w:tc>
          <w:tcPr>
            <w:tcW w:w="4428" w:type="dxa"/>
            <w:tcBorders>
              <w:top w:val="nil"/>
              <w:left w:val="nil"/>
              <w:bottom w:val="nil"/>
              <w:right w:val="nil"/>
            </w:tcBorders>
            <w:shd w:val="clear" w:color="FFFFFF" w:fill="FFFFFF"/>
            <w:vAlign w:val="bottom"/>
            <w:hideMark/>
          </w:tcPr>
          <w:p w14:paraId="3D85A40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Cash used</w:t>
            </w:r>
          </w:p>
        </w:tc>
        <w:tc>
          <w:tcPr>
            <w:tcW w:w="738" w:type="dxa"/>
            <w:tcBorders>
              <w:top w:val="nil"/>
              <w:left w:val="nil"/>
              <w:bottom w:val="nil"/>
              <w:right w:val="nil"/>
            </w:tcBorders>
            <w:shd w:val="clear" w:color="FFFFFF" w:fill="FFFFFF"/>
            <w:noWrap/>
            <w:vAlign w:val="bottom"/>
            <w:hideMark/>
          </w:tcPr>
          <w:p w14:paraId="4AF25D3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4EEFA59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AB0165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305650A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A60642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5EEF8F2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7529FCF"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04445A80" w14:textId="77777777">
        <w:trPr>
          <w:trHeight w:val="260"/>
        </w:trPr>
        <w:tc>
          <w:tcPr>
            <w:tcW w:w="4428" w:type="dxa"/>
            <w:tcBorders>
              <w:top w:val="nil"/>
              <w:left w:val="nil"/>
              <w:bottom w:val="nil"/>
              <w:right w:val="nil"/>
            </w:tcBorders>
            <w:shd w:val="clear" w:color="FFFFFF" w:fill="FFFFFF"/>
            <w:vAlign w:val="bottom"/>
            <w:hideMark/>
          </w:tcPr>
          <w:p w14:paraId="7AFBA69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Purchase of property, plant &amp; equipment</w:t>
            </w:r>
          </w:p>
        </w:tc>
        <w:tc>
          <w:tcPr>
            <w:tcW w:w="738" w:type="dxa"/>
            <w:tcBorders>
              <w:top w:val="nil"/>
              <w:left w:val="nil"/>
              <w:bottom w:val="nil"/>
              <w:right w:val="nil"/>
            </w:tcBorders>
            <w:shd w:val="clear" w:color="FFFFFF" w:fill="FFFFFF"/>
            <w:noWrap/>
            <w:vAlign w:val="bottom"/>
            <w:hideMark/>
          </w:tcPr>
          <w:p w14:paraId="2332E1C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720D1B2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30,495</w:t>
            </w:r>
          </w:p>
        </w:tc>
        <w:tc>
          <w:tcPr>
            <w:tcW w:w="236" w:type="dxa"/>
            <w:tcBorders>
              <w:top w:val="nil"/>
              <w:left w:val="nil"/>
              <w:bottom w:val="nil"/>
              <w:right w:val="nil"/>
            </w:tcBorders>
            <w:shd w:val="clear" w:color="FFFFFF" w:fill="FFFFFF"/>
            <w:noWrap/>
            <w:vAlign w:val="bottom"/>
            <w:hideMark/>
          </w:tcPr>
          <w:p w14:paraId="7BD7DBB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315FEF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27,299</w:t>
            </w:r>
          </w:p>
        </w:tc>
        <w:tc>
          <w:tcPr>
            <w:tcW w:w="236" w:type="dxa"/>
            <w:tcBorders>
              <w:top w:val="nil"/>
              <w:left w:val="nil"/>
              <w:bottom w:val="nil"/>
              <w:right w:val="nil"/>
            </w:tcBorders>
            <w:shd w:val="clear" w:color="FFFFFF" w:fill="FFFFFF"/>
            <w:noWrap/>
            <w:vAlign w:val="bottom"/>
            <w:hideMark/>
          </w:tcPr>
          <w:p w14:paraId="1DE1FAD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016169D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31,610</w:t>
            </w:r>
          </w:p>
        </w:tc>
        <w:tc>
          <w:tcPr>
            <w:tcW w:w="236" w:type="dxa"/>
            <w:tcBorders>
              <w:top w:val="nil"/>
              <w:left w:val="nil"/>
              <w:bottom w:val="nil"/>
              <w:right w:val="nil"/>
            </w:tcBorders>
            <w:shd w:val="clear" w:color="FFFFFF" w:fill="FFFFFF"/>
            <w:noWrap/>
            <w:vAlign w:val="bottom"/>
            <w:hideMark/>
          </w:tcPr>
          <w:p w14:paraId="1126457C"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5C3A672D" w14:textId="77777777">
        <w:trPr>
          <w:trHeight w:val="250"/>
        </w:trPr>
        <w:tc>
          <w:tcPr>
            <w:tcW w:w="4428" w:type="dxa"/>
            <w:tcBorders>
              <w:top w:val="nil"/>
              <w:left w:val="nil"/>
              <w:bottom w:val="nil"/>
              <w:right w:val="nil"/>
            </w:tcBorders>
            <w:shd w:val="clear" w:color="FFFFFF" w:fill="FFFFFF"/>
            <w:vAlign w:val="bottom"/>
            <w:hideMark/>
          </w:tcPr>
          <w:p w14:paraId="4D50A52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Purchase of financial instruments</w:t>
            </w:r>
          </w:p>
        </w:tc>
        <w:tc>
          <w:tcPr>
            <w:tcW w:w="738" w:type="dxa"/>
            <w:tcBorders>
              <w:top w:val="nil"/>
              <w:left w:val="nil"/>
              <w:bottom w:val="nil"/>
              <w:right w:val="nil"/>
            </w:tcBorders>
            <w:shd w:val="clear" w:color="FFFFFF" w:fill="FFFFFF"/>
            <w:noWrap/>
            <w:vAlign w:val="bottom"/>
            <w:hideMark/>
          </w:tcPr>
          <w:p w14:paraId="29DD61D0"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2CFE3C0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7,020,000</w:t>
            </w:r>
          </w:p>
        </w:tc>
        <w:tc>
          <w:tcPr>
            <w:tcW w:w="236" w:type="dxa"/>
            <w:tcBorders>
              <w:top w:val="nil"/>
              <w:left w:val="nil"/>
              <w:bottom w:val="nil"/>
              <w:right w:val="nil"/>
            </w:tcBorders>
            <w:shd w:val="clear" w:color="FFFFFF" w:fill="FFFFFF"/>
            <w:noWrap/>
            <w:vAlign w:val="bottom"/>
            <w:hideMark/>
          </w:tcPr>
          <w:p w14:paraId="3051E61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50F4920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8,360,000</w:t>
            </w:r>
          </w:p>
        </w:tc>
        <w:tc>
          <w:tcPr>
            <w:tcW w:w="236" w:type="dxa"/>
            <w:tcBorders>
              <w:top w:val="nil"/>
              <w:left w:val="nil"/>
              <w:bottom w:val="nil"/>
              <w:right w:val="nil"/>
            </w:tcBorders>
            <w:shd w:val="clear" w:color="FFFFFF" w:fill="FFFFFF"/>
            <w:noWrap/>
            <w:vAlign w:val="bottom"/>
            <w:hideMark/>
          </w:tcPr>
          <w:p w14:paraId="51935E6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1D98736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1,186,440</w:t>
            </w:r>
          </w:p>
        </w:tc>
        <w:tc>
          <w:tcPr>
            <w:tcW w:w="236" w:type="dxa"/>
            <w:tcBorders>
              <w:top w:val="nil"/>
              <w:left w:val="nil"/>
              <w:bottom w:val="nil"/>
              <w:right w:val="nil"/>
            </w:tcBorders>
            <w:shd w:val="clear" w:color="FFFFFF" w:fill="FFFFFF"/>
            <w:noWrap/>
            <w:vAlign w:val="bottom"/>
            <w:hideMark/>
          </w:tcPr>
          <w:p w14:paraId="7C90DB4F"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01E8D28E" w14:textId="77777777">
        <w:trPr>
          <w:trHeight w:val="250"/>
        </w:trPr>
        <w:tc>
          <w:tcPr>
            <w:tcW w:w="4428" w:type="dxa"/>
            <w:tcBorders>
              <w:top w:val="nil"/>
              <w:left w:val="nil"/>
              <w:bottom w:val="nil"/>
              <w:right w:val="nil"/>
            </w:tcBorders>
            <w:shd w:val="clear" w:color="FFFFFF" w:fill="FFFFFF"/>
            <w:vAlign w:val="bottom"/>
            <w:hideMark/>
          </w:tcPr>
          <w:p w14:paraId="4794FE6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cash used</w:t>
            </w:r>
          </w:p>
        </w:tc>
        <w:tc>
          <w:tcPr>
            <w:tcW w:w="738" w:type="dxa"/>
            <w:tcBorders>
              <w:top w:val="nil"/>
              <w:left w:val="nil"/>
              <w:bottom w:val="nil"/>
              <w:right w:val="nil"/>
            </w:tcBorders>
            <w:shd w:val="clear" w:color="FFFFFF" w:fill="FFFFFF"/>
            <w:noWrap/>
            <w:vAlign w:val="bottom"/>
            <w:hideMark/>
          </w:tcPr>
          <w:p w14:paraId="39F02263"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single" w:sz="4" w:space="0" w:color="auto"/>
              <w:left w:val="nil"/>
              <w:bottom w:val="single" w:sz="4" w:space="0" w:color="auto"/>
              <w:right w:val="nil"/>
            </w:tcBorders>
            <w:shd w:val="clear" w:color="FFFFFF" w:fill="FFFFFF"/>
            <w:noWrap/>
            <w:vAlign w:val="bottom"/>
            <w:hideMark/>
          </w:tcPr>
          <w:p w14:paraId="4C64048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7,050,495</w:t>
            </w:r>
          </w:p>
        </w:tc>
        <w:tc>
          <w:tcPr>
            <w:tcW w:w="236" w:type="dxa"/>
            <w:tcBorders>
              <w:top w:val="nil"/>
              <w:left w:val="nil"/>
              <w:bottom w:val="nil"/>
              <w:right w:val="nil"/>
            </w:tcBorders>
            <w:shd w:val="clear" w:color="FFFFFF" w:fill="FFFFFF"/>
            <w:noWrap/>
            <w:vAlign w:val="bottom"/>
            <w:hideMark/>
          </w:tcPr>
          <w:p w14:paraId="340FBE9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5B0E614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8,387,299</w:t>
            </w:r>
          </w:p>
        </w:tc>
        <w:tc>
          <w:tcPr>
            <w:tcW w:w="236" w:type="dxa"/>
            <w:tcBorders>
              <w:top w:val="nil"/>
              <w:left w:val="nil"/>
              <w:bottom w:val="nil"/>
              <w:right w:val="nil"/>
            </w:tcBorders>
            <w:shd w:val="clear" w:color="FFFFFF" w:fill="FFFFFF"/>
            <w:noWrap/>
            <w:vAlign w:val="bottom"/>
            <w:hideMark/>
          </w:tcPr>
          <w:p w14:paraId="51B66E6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5EB74E0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1,218,050</w:t>
            </w:r>
          </w:p>
        </w:tc>
        <w:tc>
          <w:tcPr>
            <w:tcW w:w="236" w:type="dxa"/>
            <w:tcBorders>
              <w:top w:val="nil"/>
              <w:left w:val="nil"/>
              <w:bottom w:val="nil"/>
              <w:right w:val="nil"/>
            </w:tcBorders>
            <w:shd w:val="clear" w:color="FFFFFF" w:fill="FFFFFF"/>
            <w:noWrap/>
            <w:vAlign w:val="bottom"/>
            <w:hideMark/>
          </w:tcPr>
          <w:p w14:paraId="393A0544"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vertAlign w:val="superscript"/>
                <w:lang w:val="en-AU" w:eastAsia="en-US"/>
              </w:rPr>
              <w:t> </w:t>
            </w:r>
          </w:p>
        </w:tc>
      </w:tr>
      <w:tr w:rsidR="00F2518A" w:rsidRPr="007C747A" w14:paraId="343FA5EB" w14:textId="77777777">
        <w:trPr>
          <w:trHeight w:val="250"/>
        </w:trPr>
        <w:tc>
          <w:tcPr>
            <w:tcW w:w="4428" w:type="dxa"/>
            <w:tcBorders>
              <w:top w:val="nil"/>
              <w:left w:val="nil"/>
              <w:bottom w:val="nil"/>
              <w:right w:val="nil"/>
            </w:tcBorders>
            <w:shd w:val="clear" w:color="FFFFFF" w:fill="FFFFFF"/>
            <w:vAlign w:val="bottom"/>
            <w:hideMark/>
          </w:tcPr>
          <w:p w14:paraId="5BE244B0"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cash from / (used by) investing activities</w:t>
            </w:r>
          </w:p>
        </w:tc>
        <w:tc>
          <w:tcPr>
            <w:tcW w:w="738" w:type="dxa"/>
            <w:tcBorders>
              <w:top w:val="nil"/>
              <w:left w:val="nil"/>
              <w:bottom w:val="nil"/>
              <w:right w:val="nil"/>
            </w:tcBorders>
            <w:shd w:val="clear" w:color="FFFFFF" w:fill="FFFFFF"/>
            <w:noWrap/>
            <w:vAlign w:val="bottom"/>
            <w:hideMark/>
          </w:tcPr>
          <w:p w14:paraId="1271E923"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single" w:sz="4" w:space="0" w:color="auto"/>
              <w:right w:val="nil"/>
            </w:tcBorders>
            <w:shd w:val="clear" w:color="FFFFFF" w:fill="FFFFFF"/>
            <w:noWrap/>
            <w:vAlign w:val="bottom"/>
            <w:hideMark/>
          </w:tcPr>
          <w:p w14:paraId="37099BF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935,707</w:t>
            </w:r>
          </w:p>
        </w:tc>
        <w:tc>
          <w:tcPr>
            <w:tcW w:w="236" w:type="dxa"/>
            <w:tcBorders>
              <w:top w:val="nil"/>
              <w:left w:val="nil"/>
              <w:bottom w:val="nil"/>
              <w:right w:val="nil"/>
            </w:tcBorders>
            <w:shd w:val="clear" w:color="FFFFFF" w:fill="FFFFFF"/>
            <w:noWrap/>
            <w:vAlign w:val="bottom"/>
            <w:hideMark/>
          </w:tcPr>
          <w:p w14:paraId="06B1FC3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single" w:sz="4" w:space="0" w:color="auto"/>
              <w:right w:val="nil"/>
            </w:tcBorders>
            <w:shd w:val="clear" w:color="FFFFFF" w:fill="FFFFFF"/>
            <w:noWrap/>
            <w:vAlign w:val="bottom"/>
            <w:hideMark/>
          </w:tcPr>
          <w:p w14:paraId="7524E85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(996,013)</w:t>
            </w:r>
          </w:p>
        </w:tc>
        <w:tc>
          <w:tcPr>
            <w:tcW w:w="236" w:type="dxa"/>
            <w:tcBorders>
              <w:top w:val="nil"/>
              <w:left w:val="nil"/>
              <w:bottom w:val="nil"/>
              <w:right w:val="nil"/>
            </w:tcBorders>
            <w:shd w:val="clear" w:color="FFFFFF" w:fill="FFFFFF"/>
            <w:noWrap/>
            <w:vAlign w:val="bottom"/>
            <w:hideMark/>
          </w:tcPr>
          <w:p w14:paraId="23F2848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single" w:sz="4" w:space="0" w:color="auto"/>
              <w:right w:val="nil"/>
            </w:tcBorders>
            <w:shd w:val="clear" w:color="FFFFFF" w:fill="FFFFFF"/>
            <w:noWrap/>
            <w:vAlign w:val="bottom"/>
            <w:hideMark/>
          </w:tcPr>
          <w:p w14:paraId="29D34C5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(1,218,050)</w:t>
            </w:r>
          </w:p>
        </w:tc>
        <w:tc>
          <w:tcPr>
            <w:tcW w:w="236" w:type="dxa"/>
            <w:tcBorders>
              <w:top w:val="nil"/>
              <w:left w:val="nil"/>
              <w:bottom w:val="nil"/>
              <w:right w:val="nil"/>
            </w:tcBorders>
            <w:shd w:val="clear" w:color="FFFFFF" w:fill="FFFFFF"/>
            <w:noWrap/>
            <w:vAlign w:val="bottom"/>
            <w:hideMark/>
          </w:tcPr>
          <w:p w14:paraId="2A23A362"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vertAlign w:val="superscript"/>
                <w:lang w:val="en-AU" w:eastAsia="en-US"/>
              </w:rPr>
              <w:t> </w:t>
            </w:r>
          </w:p>
        </w:tc>
      </w:tr>
      <w:tr w:rsidR="00F2518A" w:rsidRPr="007C747A" w14:paraId="26730D73" w14:textId="77777777">
        <w:trPr>
          <w:trHeight w:val="133"/>
        </w:trPr>
        <w:tc>
          <w:tcPr>
            <w:tcW w:w="4428" w:type="dxa"/>
            <w:tcBorders>
              <w:top w:val="nil"/>
              <w:left w:val="nil"/>
              <w:bottom w:val="nil"/>
              <w:right w:val="nil"/>
            </w:tcBorders>
            <w:shd w:val="clear" w:color="FFFFFF" w:fill="FFFFFF"/>
            <w:noWrap/>
            <w:vAlign w:val="bottom"/>
            <w:hideMark/>
          </w:tcPr>
          <w:p w14:paraId="08CCEE8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738" w:type="dxa"/>
            <w:tcBorders>
              <w:top w:val="nil"/>
              <w:left w:val="nil"/>
              <w:bottom w:val="nil"/>
              <w:right w:val="nil"/>
            </w:tcBorders>
            <w:shd w:val="clear" w:color="FFFFFF" w:fill="FFFFFF"/>
            <w:noWrap/>
            <w:vAlign w:val="bottom"/>
            <w:hideMark/>
          </w:tcPr>
          <w:p w14:paraId="38E6A54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03605E0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304115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6E1994B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66BEC9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5560B6F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A583EED"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0CE3860B" w14:textId="77777777">
        <w:trPr>
          <w:trHeight w:val="250"/>
        </w:trPr>
        <w:tc>
          <w:tcPr>
            <w:tcW w:w="4428" w:type="dxa"/>
            <w:tcBorders>
              <w:top w:val="nil"/>
              <w:left w:val="nil"/>
              <w:bottom w:val="nil"/>
              <w:right w:val="nil"/>
            </w:tcBorders>
            <w:shd w:val="clear" w:color="FFFFFF" w:fill="FFFFFF"/>
            <w:vAlign w:val="bottom"/>
            <w:hideMark/>
          </w:tcPr>
          <w:p w14:paraId="26D7B84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FINANCING ACTIVITIES</w:t>
            </w:r>
          </w:p>
        </w:tc>
        <w:tc>
          <w:tcPr>
            <w:tcW w:w="738" w:type="dxa"/>
            <w:tcBorders>
              <w:top w:val="nil"/>
              <w:left w:val="nil"/>
              <w:bottom w:val="nil"/>
              <w:right w:val="nil"/>
            </w:tcBorders>
            <w:shd w:val="clear" w:color="FFFFFF" w:fill="FFFFFF"/>
            <w:noWrap/>
            <w:vAlign w:val="bottom"/>
            <w:hideMark/>
          </w:tcPr>
          <w:p w14:paraId="3CC5BB9C"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08BB298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F34584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662ADBB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53C632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48B4E7A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F27974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35F74C2D" w14:textId="77777777">
        <w:trPr>
          <w:trHeight w:val="250"/>
        </w:trPr>
        <w:tc>
          <w:tcPr>
            <w:tcW w:w="4428" w:type="dxa"/>
            <w:tcBorders>
              <w:top w:val="nil"/>
              <w:left w:val="nil"/>
              <w:bottom w:val="nil"/>
              <w:right w:val="nil"/>
            </w:tcBorders>
            <w:shd w:val="clear" w:color="FFFFFF" w:fill="FFFFFF"/>
            <w:vAlign w:val="bottom"/>
            <w:hideMark/>
          </w:tcPr>
          <w:p w14:paraId="0F9A022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Cash used</w:t>
            </w:r>
          </w:p>
        </w:tc>
        <w:tc>
          <w:tcPr>
            <w:tcW w:w="738" w:type="dxa"/>
            <w:tcBorders>
              <w:top w:val="nil"/>
              <w:left w:val="nil"/>
              <w:bottom w:val="nil"/>
              <w:right w:val="nil"/>
            </w:tcBorders>
            <w:shd w:val="clear" w:color="FFFFFF" w:fill="FFFFFF"/>
            <w:noWrap/>
            <w:vAlign w:val="bottom"/>
            <w:hideMark/>
          </w:tcPr>
          <w:p w14:paraId="225167D0"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280861A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496AA9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031A5C4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5532DA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030BC81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60842C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F9777A1" w14:textId="77777777">
        <w:trPr>
          <w:trHeight w:val="250"/>
        </w:trPr>
        <w:tc>
          <w:tcPr>
            <w:tcW w:w="4428" w:type="dxa"/>
            <w:tcBorders>
              <w:top w:val="nil"/>
              <w:left w:val="nil"/>
              <w:bottom w:val="nil"/>
              <w:right w:val="nil"/>
            </w:tcBorders>
            <w:shd w:val="clear" w:color="FFFFFF" w:fill="FFFFFF"/>
            <w:vAlign w:val="bottom"/>
            <w:hideMark/>
          </w:tcPr>
          <w:p w14:paraId="6B323070"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Principal payments of lease liabilities</w:t>
            </w:r>
          </w:p>
        </w:tc>
        <w:tc>
          <w:tcPr>
            <w:tcW w:w="738" w:type="dxa"/>
            <w:tcBorders>
              <w:top w:val="nil"/>
              <w:left w:val="nil"/>
              <w:bottom w:val="nil"/>
              <w:right w:val="nil"/>
            </w:tcBorders>
            <w:shd w:val="clear" w:color="FFFFFF" w:fill="FFFFFF"/>
            <w:noWrap/>
            <w:vAlign w:val="bottom"/>
            <w:hideMark/>
          </w:tcPr>
          <w:p w14:paraId="7F792D92"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6D6480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38,744</w:t>
            </w:r>
          </w:p>
        </w:tc>
        <w:tc>
          <w:tcPr>
            <w:tcW w:w="236" w:type="dxa"/>
            <w:tcBorders>
              <w:top w:val="nil"/>
              <w:left w:val="nil"/>
              <w:bottom w:val="nil"/>
              <w:right w:val="nil"/>
            </w:tcBorders>
            <w:shd w:val="clear" w:color="FFFFFF" w:fill="FFFFFF"/>
            <w:noWrap/>
            <w:vAlign w:val="bottom"/>
            <w:hideMark/>
          </w:tcPr>
          <w:p w14:paraId="4596167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29E9094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39,121</w:t>
            </w:r>
          </w:p>
        </w:tc>
        <w:tc>
          <w:tcPr>
            <w:tcW w:w="236" w:type="dxa"/>
            <w:tcBorders>
              <w:top w:val="nil"/>
              <w:left w:val="nil"/>
              <w:bottom w:val="nil"/>
              <w:right w:val="nil"/>
            </w:tcBorders>
            <w:shd w:val="clear" w:color="FFFFFF" w:fill="FFFFFF"/>
            <w:noWrap/>
            <w:vAlign w:val="bottom"/>
            <w:hideMark/>
          </w:tcPr>
          <w:p w14:paraId="6C16DE0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444FE96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41,439</w:t>
            </w:r>
          </w:p>
        </w:tc>
        <w:tc>
          <w:tcPr>
            <w:tcW w:w="236" w:type="dxa"/>
            <w:tcBorders>
              <w:top w:val="nil"/>
              <w:left w:val="nil"/>
              <w:bottom w:val="nil"/>
              <w:right w:val="nil"/>
            </w:tcBorders>
            <w:shd w:val="clear" w:color="FFFFFF" w:fill="FFFFFF"/>
            <w:noWrap/>
            <w:vAlign w:val="bottom"/>
            <w:hideMark/>
          </w:tcPr>
          <w:p w14:paraId="48BA568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6097063" w14:textId="77777777">
        <w:trPr>
          <w:trHeight w:val="250"/>
        </w:trPr>
        <w:tc>
          <w:tcPr>
            <w:tcW w:w="4428" w:type="dxa"/>
            <w:tcBorders>
              <w:top w:val="nil"/>
              <w:left w:val="nil"/>
              <w:bottom w:val="nil"/>
              <w:right w:val="nil"/>
            </w:tcBorders>
            <w:shd w:val="clear" w:color="FFFFFF" w:fill="FFFFFF"/>
            <w:vAlign w:val="bottom"/>
            <w:hideMark/>
          </w:tcPr>
          <w:p w14:paraId="60D5207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cash used</w:t>
            </w:r>
          </w:p>
        </w:tc>
        <w:tc>
          <w:tcPr>
            <w:tcW w:w="738" w:type="dxa"/>
            <w:tcBorders>
              <w:top w:val="nil"/>
              <w:left w:val="nil"/>
              <w:bottom w:val="nil"/>
              <w:right w:val="nil"/>
            </w:tcBorders>
            <w:shd w:val="clear" w:color="FFFFFF" w:fill="FFFFFF"/>
            <w:noWrap/>
            <w:vAlign w:val="bottom"/>
            <w:hideMark/>
          </w:tcPr>
          <w:p w14:paraId="6B4C8D23"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single" w:sz="4" w:space="0" w:color="auto"/>
              <w:left w:val="nil"/>
              <w:bottom w:val="single" w:sz="4" w:space="0" w:color="auto"/>
              <w:right w:val="nil"/>
            </w:tcBorders>
            <w:shd w:val="clear" w:color="FFFFFF" w:fill="FFFFFF"/>
            <w:noWrap/>
            <w:vAlign w:val="bottom"/>
            <w:hideMark/>
          </w:tcPr>
          <w:p w14:paraId="72CF723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38,744</w:t>
            </w:r>
          </w:p>
        </w:tc>
        <w:tc>
          <w:tcPr>
            <w:tcW w:w="236" w:type="dxa"/>
            <w:tcBorders>
              <w:top w:val="nil"/>
              <w:left w:val="nil"/>
              <w:bottom w:val="nil"/>
              <w:right w:val="nil"/>
            </w:tcBorders>
            <w:shd w:val="clear" w:color="FFFFFF" w:fill="FFFFFF"/>
            <w:noWrap/>
            <w:vAlign w:val="bottom"/>
            <w:hideMark/>
          </w:tcPr>
          <w:p w14:paraId="1B5DCDF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78B2A3A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39,121</w:t>
            </w:r>
          </w:p>
        </w:tc>
        <w:tc>
          <w:tcPr>
            <w:tcW w:w="236" w:type="dxa"/>
            <w:tcBorders>
              <w:top w:val="nil"/>
              <w:left w:val="nil"/>
              <w:bottom w:val="nil"/>
              <w:right w:val="nil"/>
            </w:tcBorders>
            <w:shd w:val="clear" w:color="FFFFFF" w:fill="FFFFFF"/>
            <w:noWrap/>
            <w:vAlign w:val="bottom"/>
            <w:hideMark/>
          </w:tcPr>
          <w:p w14:paraId="783CA58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49A78CC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41,439</w:t>
            </w:r>
          </w:p>
        </w:tc>
        <w:tc>
          <w:tcPr>
            <w:tcW w:w="236" w:type="dxa"/>
            <w:tcBorders>
              <w:top w:val="nil"/>
              <w:left w:val="nil"/>
              <w:bottom w:val="nil"/>
              <w:right w:val="nil"/>
            </w:tcBorders>
            <w:shd w:val="clear" w:color="FFFFFF" w:fill="FFFFFF"/>
            <w:noWrap/>
            <w:vAlign w:val="bottom"/>
            <w:hideMark/>
          </w:tcPr>
          <w:p w14:paraId="3BCF981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253B203" w14:textId="77777777">
        <w:trPr>
          <w:trHeight w:val="270"/>
        </w:trPr>
        <w:tc>
          <w:tcPr>
            <w:tcW w:w="4428" w:type="dxa"/>
            <w:tcBorders>
              <w:top w:val="nil"/>
              <w:left w:val="nil"/>
              <w:bottom w:val="nil"/>
              <w:right w:val="nil"/>
            </w:tcBorders>
            <w:shd w:val="clear" w:color="FFFFFF" w:fill="FFFFFF"/>
            <w:vAlign w:val="bottom"/>
            <w:hideMark/>
          </w:tcPr>
          <w:p w14:paraId="53293FE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cash from / (used by) financing activities</w:t>
            </w:r>
          </w:p>
        </w:tc>
        <w:tc>
          <w:tcPr>
            <w:tcW w:w="738" w:type="dxa"/>
            <w:tcBorders>
              <w:top w:val="nil"/>
              <w:left w:val="nil"/>
              <w:bottom w:val="nil"/>
              <w:right w:val="nil"/>
            </w:tcBorders>
            <w:shd w:val="clear" w:color="FFFFFF" w:fill="FFFFFF"/>
            <w:noWrap/>
            <w:vAlign w:val="bottom"/>
            <w:hideMark/>
          </w:tcPr>
          <w:p w14:paraId="7084AA99"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single" w:sz="4" w:space="0" w:color="auto"/>
              <w:right w:val="nil"/>
            </w:tcBorders>
            <w:shd w:val="clear" w:color="FFFFFF" w:fill="FFFFFF"/>
            <w:noWrap/>
            <w:vAlign w:val="bottom"/>
            <w:hideMark/>
          </w:tcPr>
          <w:p w14:paraId="2C91A63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(38,744)</w:t>
            </w:r>
          </w:p>
        </w:tc>
        <w:tc>
          <w:tcPr>
            <w:tcW w:w="236" w:type="dxa"/>
            <w:tcBorders>
              <w:top w:val="nil"/>
              <w:left w:val="nil"/>
              <w:bottom w:val="nil"/>
              <w:right w:val="nil"/>
            </w:tcBorders>
            <w:shd w:val="clear" w:color="FFFFFF" w:fill="FFFFFF"/>
            <w:noWrap/>
            <w:vAlign w:val="bottom"/>
            <w:hideMark/>
          </w:tcPr>
          <w:p w14:paraId="6AA1945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single" w:sz="4" w:space="0" w:color="auto"/>
              <w:right w:val="nil"/>
            </w:tcBorders>
            <w:shd w:val="clear" w:color="FFFFFF" w:fill="FFFFFF"/>
            <w:noWrap/>
            <w:vAlign w:val="bottom"/>
            <w:hideMark/>
          </w:tcPr>
          <w:p w14:paraId="53C3E48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(39,121)</w:t>
            </w:r>
          </w:p>
        </w:tc>
        <w:tc>
          <w:tcPr>
            <w:tcW w:w="236" w:type="dxa"/>
            <w:tcBorders>
              <w:top w:val="nil"/>
              <w:left w:val="nil"/>
              <w:bottom w:val="nil"/>
              <w:right w:val="nil"/>
            </w:tcBorders>
            <w:shd w:val="clear" w:color="FFFFFF" w:fill="FFFFFF"/>
            <w:noWrap/>
            <w:vAlign w:val="bottom"/>
            <w:hideMark/>
          </w:tcPr>
          <w:p w14:paraId="1D24027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single" w:sz="4" w:space="0" w:color="auto"/>
              <w:right w:val="nil"/>
            </w:tcBorders>
            <w:shd w:val="clear" w:color="FFFFFF" w:fill="FFFFFF"/>
            <w:noWrap/>
            <w:vAlign w:val="bottom"/>
            <w:hideMark/>
          </w:tcPr>
          <w:p w14:paraId="097F51C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(41,439)</w:t>
            </w:r>
          </w:p>
        </w:tc>
        <w:tc>
          <w:tcPr>
            <w:tcW w:w="236" w:type="dxa"/>
            <w:tcBorders>
              <w:top w:val="nil"/>
              <w:left w:val="nil"/>
              <w:bottom w:val="nil"/>
              <w:right w:val="nil"/>
            </w:tcBorders>
            <w:shd w:val="clear" w:color="FFFFFF" w:fill="FFFFFF"/>
            <w:noWrap/>
            <w:vAlign w:val="bottom"/>
            <w:hideMark/>
          </w:tcPr>
          <w:p w14:paraId="7470B16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vertAlign w:val="superscript"/>
                <w:lang w:val="en-AU" w:eastAsia="en-US"/>
              </w:rPr>
              <w:t> </w:t>
            </w:r>
          </w:p>
        </w:tc>
      </w:tr>
      <w:tr w:rsidR="00F2518A" w:rsidRPr="007C747A" w14:paraId="35C23E18" w14:textId="77777777">
        <w:trPr>
          <w:trHeight w:val="133"/>
        </w:trPr>
        <w:tc>
          <w:tcPr>
            <w:tcW w:w="4428" w:type="dxa"/>
            <w:tcBorders>
              <w:top w:val="nil"/>
              <w:left w:val="nil"/>
              <w:bottom w:val="nil"/>
              <w:right w:val="nil"/>
            </w:tcBorders>
            <w:shd w:val="clear" w:color="FFFFFF" w:fill="FFFFFF"/>
            <w:noWrap/>
            <w:vAlign w:val="bottom"/>
            <w:hideMark/>
          </w:tcPr>
          <w:p w14:paraId="7FE0EA0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738" w:type="dxa"/>
            <w:tcBorders>
              <w:top w:val="nil"/>
              <w:left w:val="nil"/>
              <w:bottom w:val="nil"/>
              <w:right w:val="nil"/>
            </w:tcBorders>
            <w:shd w:val="clear" w:color="FFFFFF" w:fill="FFFFFF"/>
            <w:noWrap/>
            <w:vAlign w:val="bottom"/>
            <w:hideMark/>
          </w:tcPr>
          <w:p w14:paraId="727F7060"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1E06FEB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D65DB3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1796A93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9E56DB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41AF69D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17D0F5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124BD39" w14:textId="77777777">
        <w:trPr>
          <w:trHeight w:val="250"/>
        </w:trPr>
        <w:tc>
          <w:tcPr>
            <w:tcW w:w="4428" w:type="dxa"/>
            <w:tcBorders>
              <w:top w:val="nil"/>
              <w:left w:val="nil"/>
              <w:bottom w:val="nil"/>
              <w:right w:val="nil"/>
            </w:tcBorders>
            <w:shd w:val="clear" w:color="FFFFFF" w:fill="FFFFFF"/>
            <w:vAlign w:val="bottom"/>
            <w:hideMark/>
          </w:tcPr>
          <w:p w14:paraId="77D4EF1D"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increase / (decrease) in cash held</w:t>
            </w:r>
          </w:p>
        </w:tc>
        <w:tc>
          <w:tcPr>
            <w:tcW w:w="738" w:type="dxa"/>
            <w:tcBorders>
              <w:top w:val="nil"/>
              <w:left w:val="nil"/>
              <w:bottom w:val="nil"/>
              <w:right w:val="nil"/>
            </w:tcBorders>
            <w:shd w:val="clear" w:color="FFFFFF" w:fill="FFFFFF"/>
            <w:noWrap/>
            <w:vAlign w:val="bottom"/>
            <w:hideMark/>
          </w:tcPr>
          <w:p w14:paraId="3EE63361"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single" w:sz="4" w:space="0" w:color="auto"/>
              <w:left w:val="nil"/>
              <w:bottom w:val="single" w:sz="4" w:space="0" w:color="auto"/>
              <w:right w:val="nil"/>
            </w:tcBorders>
            <w:shd w:val="clear" w:color="FFFFFF" w:fill="FFFFFF"/>
            <w:noWrap/>
            <w:vAlign w:val="bottom"/>
            <w:hideMark/>
          </w:tcPr>
          <w:p w14:paraId="204DF63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810,823</w:t>
            </w:r>
          </w:p>
        </w:tc>
        <w:tc>
          <w:tcPr>
            <w:tcW w:w="236" w:type="dxa"/>
            <w:tcBorders>
              <w:top w:val="nil"/>
              <w:left w:val="nil"/>
              <w:bottom w:val="nil"/>
              <w:right w:val="nil"/>
            </w:tcBorders>
            <w:shd w:val="clear" w:color="FFFFFF" w:fill="FFFFFF"/>
            <w:noWrap/>
            <w:vAlign w:val="bottom"/>
            <w:hideMark/>
          </w:tcPr>
          <w:p w14:paraId="69EB7DF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0A4D1CD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99,872</w:t>
            </w:r>
          </w:p>
        </w:tc>
        <w:tc>
          <w:tcPr>
            <w:tcW w:w="236" w:type="dxa"/>
            <w:tcBorders>
              <w:top w:val="nil"/>
              <w:left w:val="nil"/>
              <w:bottom w:val="nil"/>
              <w:right w:val="nil"/>
            </w:tcBorders>
            <w:shd w:val="clear" w:color="FFFFFF" w:fill="FFFFFF"/>
            <w:noWrap/>
            <w:vAlign w:val="bottom"/>
            <w:hideMark/>
          </w:tcPr>
          <w:p w14:paraId="4B592ED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3766BEC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(772,091)</w:t>
            </w:r>
          </w:p>
        </w:tc>
        <w:tc>
          <w:tcPr>
            <w:tcW w:w="236" w:type="dxa"/>
            <w:tcBorders>
              <w:top w:val="nil"/>
              <w:left w:val="nil"/>
              <w:bottom w:val="nil"/>
              <w:right w:val="nil"/>
            </w:tcBorders>
            <w:shd w:val="clear" w:color="FFFFFF" w:fill="FFFFFF"/>
            <w:noWrap/>
            <w:vAlign w:val="bottom"/>
            <w:hideMark/>
          </w:tcPr>
          <w:p w14:paraId="7BB2B05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EBA1449" w14:textId="77777777">
        <w:trPr>
          <w:trHeight w:val="450"/>
        </w:trPr>
        <w:tc>
          <w:tcPr>
            <w:tcW w:w="4428" w:type="dxa"/>
            <w:tcBorders>
              <w:top w:val="nil"/>
              <w:left w:val="nil"/>
              <w:bottom w:val="nil"/>
              <w:right w:val="nil"/>
            </w:tcBorders>
            <w:shd w:val="clear" w:color="FFFFFF" w:fill="FFFFFF"/>
            <w:vAlign w:val="bottom"/>
            <w:hideMark/>
          </w:tcPr>
          <w:p w14:paraId="497BFAAA"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 xml:space="preserve">Cash and cash equivalents at the beginning of the </w:t>
            </w:r>
            <w:r w:rsidRPr="007C747A">
              <w:rPr>
                <w:rFonts w:eastAsia="Times New Roman" w:cs="Arial"/>
                <w:sz w:val="18"/>
                <w:szCs w:val="18"/>
                <w:lang w:val="en-AU" w:eastAsia="en-US"/>
              </w:rPr>
              <w:br/>
              <w:t xml:space="preserve">    reporting period</w:t>
            </w:r>
          </w:p>
        </w:tc>
        <w:tc>
          <w:tcPr>
            <w:tcW w:w="738" w:type="dxa"/>
            <w:tcBorders>
              <w:top w:val="nil"/>
              <w:left w:val="nil"/>
              <w:bottom w:val="nil"/>
              <w:right w:val="nil"/>
            </w:tcBorders>
            <w:shd w:val="clear" w:color="FFFFFF" w:fill="FFFFFF"/>
            <w:noWrap/>
            <w:vAlign w:val="bottom"/>
            <w:hideMark/>
          </w:tcPr>
          <w:p w14:paraId="344C261F"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 </w:t>
            </w:r>
          </w:p>
        </w:tc>
        <w:tc>
          <w:tcPr>
            <w:tcW w:w="1090" w:type="dxa"/>
            <w:tcBorders>
              <w:top w:val="nil"/>
              <w:left w:val="nil"/>
              <w:bottom w:val="nil"/>
              <w:right w:val="nil"/>
            </w:tcBorders>
            <w:shd w:val="clear" w:color="FFFFFF" w:fill="FFFFFF"/>
            <w:noWrap/>
            <w:vAlign w:val="bottom"/>
            <w:hideMark/>
          </w:tcPr>
          <w:p w14:paraId="685F4F5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1,918,956</w:t>
            </w:r>
          </w:p>
        </w:tc>
        <w:tc>
          <w:tcPr>
            <w:tcW w:w="236" w:type="dxa"/>
            <w:tcBorders>
              <w:top w:val="nil"/>
              <w:left w:val="nil"/>
              <w:bottom w:val="nil"/>
              <w:right w:val="nil"/>
            </w:tcBorders>
            <w:shd w:val="clear" w:color="FFFFFF" w:fill="FFFFFF"/>
            <w:noWrap/>
            <w:vAlign w:val="bottom"/>
            <w:hideMark/>
          </w:tcPr>
          <w:p w14:paraId="2B73EC3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nil"/>
              <w:left w:val="nil"/>
              <w:bottom w:val="nil"/>
              <w:right w:val="nil"/>
            </w:tcBorders>
            <w:shd w:val="clear" w:color="FFFFFF" w:fill="FFFFFF"/>
            <w:noWrap/>
            <w:vAlign w:val="bottom"/>
            <w:hideMark/>
          </w:tcPr>
          <w:p w14:paraId="193AB10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1,819,084</w:t>
            </w:r>
          </w:p>
        </w:tc>
        <w:tc>
          <w:tcPr>
            <w:tcW w:w="236" w:type="dxa"/>
            <w:tcBorders>
              <w:top w:val="nil"/>
              <w:left w:val="nil"/>
              <w:bottom w:val="nil"/>
              <w:right w:val="nil"/>
            </w:tcBorders>
            <w:shd w:val="clear" w:color="FFFFFF" w:fill="FFFFFF"/>
            <w:noWrap/>
            <w:vAlign w:val="bottom"/>
            <w:hideMark/>
          </w:tcPr>
          <w:p w14:paraId="7BA5733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nil"/>
              <w:left w:val="nil"/>
              <w:bottom w:val="nil"/>
              <w:right w:val="nil"/>
            </w:tcBorders>
            <w:shd w:val="clear" w:color="FFFFFF" w:fill="FFFFFF"/>
            <w:noWrap/>
            <w:vAlign w:val="bottom"/>
            <w:hideMark/>
          </w:tcPr>
          <w:p w14:paraId="1540F3F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1,918,956</w:t>
            </w:r>
          </w:p>
        </w:tc>
        <w:tc>
          <w:tcPr>
            <w:tcW w:w="236" w:type="dxa"/>
            <w:tcBorders>
              <w:top w:val="nil"/>
              <w:left w:val="nil"/>
              <w:bottom w:val="nil"/>
              <w:right w:val="nil"/>
            </w:tcBorders>
            <w:shd w:val="clear" w:color="FFFFFF" w:fill="FFFFFF"/>
            <w:noWrap/>
            <w:vAlign w:val="bottom"/>
            <w:hideMark/>
          </w:tcPr>
          <w:p w14:paraId="77DD455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36A8352" w14:textId="77777777">
        <w:trPr>
          <w:trHeight w:val="250"/>
        </w:trPr>
        <w:tc>
          <w:tcPr>
            <w:tcW w:w="4428" w:type="dxa"/>
            <w:tcBorders>
              <w:top w:val="nil"/>
              <w:left w:val="nil"/>
              <w:bottom w:val="nil"/>
              <w:right w:val="nil"/>
            </w:tcBorders>
            <w:shd w:val="clear" w:color="FFFFFF" w:fill="FFFFFF"/>
            <w:vAlign w:val="bottom"/>
            <w:hideMark/>
          </w:tcPr>
          <w:p w14:paraId="43A9341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Cash and cash equivalents at the end of the reporting period</w:t>
            </w:r>
          </w:p>
        </w:tc>
        <w:tc>
          <w:tcPr>
            <w:tcW w:w="738" w:type="dxa"/>
            <w:tcBorders>
              <w:top w:val="nil"/>
              <w:left w:val="nil"/>
              <w:bottom w:val="nil"/>
              <w:right w:val="nil"/>
            </w:tcBorders>
            <w:shd w:val="clear" w:color="FFFFFF" w:fill="FFFFFF"/>
            <w:noWrap/>
            <w:vAlign w:val="bottom"/>
            <w:hideMark/>
          </w:tcPr>
          <w:p w14:paraId="4D416FFD" w14:textId="77777777" w:rsidR="00F2518A" w:rsidRPr="007C747A" w:rsidRDefault="00F2518A" w:rsidP="00F2518A">
            <w:pPr>
              <w:spacing w:after="0" w:line="260" w:lineRule="atLeast"/>
              <w:jc w:val="center"/>
              <w:rPr>
                <w:rFonts w:eastAsia="Times New Roman" w:cs="Arial"/>
                <w:sz w:val="18"/>
                <w:szCs w:val="18"/>
                <w:lang w:val="en-AU" w:eastAsia="en-US"/>
              </w:rPr>
            </w:pPr>
            <w:r w:rsidRPr="007C747A">
              <w:rPr>
                <w:rFonts w:eastAsia="Times New Roman" w:cs="Arial"/>
                <w:sz w:val="18"/>
                <w:szCs w:val="18"/>
                <w:lang w:val="en-AU" w:eastAsia="en-US"/>
              </w:rPr>
              <w:t>2.1A</w:t>
            </w:r>
          </w:p>
        </w:tc>
        <w:tc>
          <w:tcPr>
            <w:tcW w:w="1090" w:type="dxa"/>
            <w:tcBorders>
              <w:top w:val="single" w:sz="4" w:space="0" w:color="auto"/>
              <w:left w:val="nil"/>
              <w:bottom w:val="single" w:sz="4" w:space="0" w:color="auto"/>
              <w:right w:val="nil"/>
            </w:tcBorders>
            <w:shd w:val="clear" w:color="FFFFFF" w:fill="FFFFFF"/>
            <w:noWrap/>
            <w:vAlign w:val="bottom"/>
            <w:hideMark/>
          </w:tcPr>
          <w:p w14:paraId="627217D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2,729,779</w:t>
            </w:r>
          </w:p>
        </w:tc>
        <w:tc>
          <w:tcPr>
            <w:tcW w:w="236" w:type="dxa"/>
            <w:tcBorders>
              <w:top w:val="nil"/>
              <w:left w:val="nil"/>
              <w:bottom w:val="nil"/>
              <w:right w:val="nil"/>
            </w:tcBorders>
            <w:shd w:val="clear" w:color="FFFFFF" w:fill="FFFFFF"/>
            <w:noWrap/>
            <w:vAlign w:val="bottom"/>
            <w:hideMark/>
          </w:tcPr>
          <w:p w14:paraId="4E0AB37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1" w:type="dxa"/>
            <w:tcBorders>
              <w:top w:val="single" w:sz="4" w:space="0" w:color="auto"/>
              <w:left w:val="nil"/>
              <w:bottom w:val="single" w:sz="4" w:space="0" w:color="auto"/>
              <w:right w:val="nil"/>
            </w:tcBorders>
            <w:shd w:val="clear" w:color="FFFFFF" w:fill="FFFFFF"/>
            <w:noWrap/>
            <w:vAlign w:val="bottom"/>
            <w:hideMark/>
          </w:tcPr>
          <w:p w14:paraId="0B945DF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1,918,956</w:t>
            </w:r>
          </w:p>
        </w:tc>
        <w:tc>
          <w:tcPr>
            <w:tcW w:w="236" w:type="dxa"/>
            <w:tcBorders>
              <w:top w:val="nil"/>
              <w:left w:val="nil"/>
              <w:bottom w:val="nil"/>
              <w:right w:val="nil"/>
            </w:tcBorders>
            <w:shd w:val="clear" w:color="FFFFFF" w:fill="FFFFFF"/>
            <w:noWrap/>
            <w:vAlign w:val="bottom"/>
            <w:hideMark/>
          </w:tcPr>
          <w:p w14:paraId="55E6606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062" w:type="dxa"/>
            <w:tcBorders>
              <w:top w:val="single" w:sz="4" w:space="0" w:color="auto"/>
              <w:left w:val="nil"/>
              <w:bottom w:val="single" w:sz="4" w:space="0" w:color="auto"/>
              <w:right w:val="nil"/>
            </w:tcBorders>
            <w:shd w:val="clear" w:color="FFFFFF" w:fill="FFFFFF"/>
            <w:noWrap/>
            <w:vAlign w:val="bottom"/>
            <w:hideMark/>
          </w:tcPr>
          <w:p w14:paraId="020CBFF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1,146,865</w:t>
            </w:r>
          </w:p>
        </w:tc>
        <w:tc>
          <w:tcPr>
            <w:tcW w:w="236" w:type="dxa"/>
            <w:tcBorders>
              <w:top w:val="nil"/>
              <w:left w:val="nil"/>
              <w:bottom w:val="nil"/>
              <w:right w:val="nil"/>
            </w:tcBorders>
            <w:shd w:val="clear" w:color="FFFFFF" w:fill="FFFFFF"/>
            <w:noWrap/>
            <w:vAlign w:val="bottom"/>
            <w:hideMark/>
          </w:tcPr>
          <w:p w14:paraId="3E2DF05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bl>
    <w:p w14:paraId="4A8C88CB" w14:textId="77777777" w:rsidR="00443CB3" w:rsidRPr="007C747A" w:rsidRDefault="00443CB3" w:rsidP="00F2518A">
      <w:pPr>
        <w:spacing w:after="0" w:line="240" w:lineRule="auto"/>
        <w:rPr>
          <w:rFonts w:eastAsia="Times New Roman"/>
          <w:sz w:val="18"/>
          <w:szCs w:val="20"/>
          <w:lang w:val="en-AU" w:eastAsia="en-AU"/>
        </w:rPr>
      </w:pPr>
      <w:bookmarkStart w:id="131" w:name="OLE_LINK1"/>
      <w:bookmarkStart w:id="132" w:name="OLE_LINK4"/>
      <w:bookmarkStart w:id="133" w:name="OLE_LINK5"/>
      <w:bookmarkStart w:id="134" w:name="OLE_LINK6"/>
    </w:p>
    <w:p w14:paraId="34A10271" w14:textId="01C3AB3A" w:rsidR="00F2518A" w:rsidRPr="007C747A" w:rsidRDefault="00F2518A" w:rsidP="00F2518A">
      <w:pPr>
        <w:spacing w:after="0" w:line="240" w:lineRule="auto"/>
        <w:rPr>
          <w:rFonts w:eastAsia="Times New Roman"/>
          <w:sz w:val="18"/>
          <w:szCs w:val="20"/>
          <w:lang w:val="en-AU" w:eastAsia="en-AU"/>
        </w:rPr>
      </w:pPr>
      <w:r w:rsidRPr="007C747A">
        <w:rPr>
          <w:rFonts w:eastAsia="Times New Roman"/>
          <w:sz w:val="18"/>
          <w:szCs w:val="20"/>
          <w:lang w:val="en-AU" w:eastAsia="en-AU"/>
        </w:rPr>
        <w:t>The above statement should be read in conjunction with the accompanying notes.</w:t>
      </w:r>
    </w:p>
    <w:bookmarkEnd w:id="131"/>
    <w:bookmarkEnd w:id="132"/>
    <w:bookmarkEnd w:id="133"/>
    <w:bookmarkEnd w:id="134"/>
    <w:p w14:paraId="1FE767FE" w14:textId="5818D903" w:rsidR="00F2518A" w:rsidRPr="007C747A" w:rsidRDefault="00F2518A" w:rsidP="00F2518A">
      <w:pPr>
        <w:spacing w:after="0" w:line="240" w:lineRule="auto"/>
        <w:rPr>
          <w:rFonts w:eastAsia="Times New Roman"/>
          <w:sz w:val="18"/>
          <w:szCs w:val="20"/>
          <w:lang w:val="en-AU" w:eastAsia="en-AU"/>
        </w:rPr>
      </w:pPr>
      <w:r w:rsidRPr="007C747A">
        <w:rPr>
          <w:rFonts w:eastAsia="Times New Roman"/>
          <w:sz w:val="16"/>
          <w:szCs w:val="18"/>
          <w:vertAlign w:val="superscript"/>
          <w:lang w:val="en-AU" w:eastAsia="en-AU"/>
        </w:rPr>
        <w:t>1</w:t>
      </w:r>
      <w:r w:rsidRPr="007C747A">
        <w:rPr>
          <w:rFonts w:eastAsia="Times New Roman"/>
          <w:sz w:val="18"/>
          <w:szCs w:val="20"/>
          <w:lang w:val="en-AU" w:eastAsia="en-AU"/>
        </w:rPr>
        <w:t xml:space="preserve">Original Budget refers to the figures published in the Portfolio Budget Statements </w:t>
      </w:r>
      <w:r w:rsidRPr="007C747A">
        <w:rPr>
          <w:rFonts w:eastAsia="Times New Roman"/>
          <w:sz w:val="18"/>
          <w:szCs w:val="20"/>
          <w:lang w:val="en-AU" w:eastAsia="en-AU"/>
        </w:rPr>
        <w:fldChar w:fldCharType="begin"/>
      </w:r>
      <w:r w:rsidRPr="007C747A">
        <w:rPr>
          <w:rFonts w:eastAsia="Times New Roman"/>
          <w:sz w:val="18"/>
          <w:szCs w:val="20"/>
          <w:lang w:val="en-AU" w:eastAsia="en-AU"/>
        </w:rPr>
        <w:instrText xml:space="preserve"> DOCPROPERTY  prYear  \* MERGEFORMAT </w:instrText>
      </w:r>
      <w:r w:rsidRPr="007C747A">
        <w:rPr>
          <w:rFonts w:eastAsia="Times New Roman"/>
          <w:sz w:val="18"/>
          <w:szCs w:val="20"/>
          <w:lang w:val="en-AU" w:eastAsia="en-AU"/>
        </w:rPr>
        <w:fldChar w:fldCharType="separate"/>
      </w:r>
      <w:r w:rsidRPr="007C747A">
        <w:rPr>
          <w:rFonts w:eastAsia="Times New Roman"/>
          <w:sz w:val="18"/>
          <w:szCs w:val="20"/>
          <w:lang w:val="en-AU" w:eastAsia="en-AU"/>
        </w:rPr>
        <w:t>2022</w:t>
      </w:r>
      <w:r w:rsidRPr="007C747A">
        <w:rPr>
          <w:rFonts w:eastAsia="Times New Roman"/>
          <w:sz w:val="18"/>
          <w:szCs w:val="20"/>
          <w:lang w:val="en-AU" w:eastAsia="en-AU"/>
        </w:rPr>
        <w:fldChar w:fldCharType="end"/>
      </w:r>
      <w:r w:rsidRPr="007C747A">
        <w:rPr>
          <w:rFonts w:eastAsia="Times New Roman"/>
          <w:sz w:val="18"/>
          <w:szCs w:val="20"/>
          <w:lang w:val="en-AU" w:eastAsia="en-AU"/>
        </w:rPr>
        <w:t>-23, tabled 25 October 2022.</w:t>
      </w:r>
    </w:p>
    <w:p w14:paraId="0B8D44EE" w14:textId="77777777" w:rsidR="00F2518A" w:rsidRPr="007C747A" w:rsidRDefault="00F2518A" w:rsidP="00F2518A">
      <w:pPr>
        <w:spacing w:after="120" w:line="120" w:lineRule="atLeast"/>
        <w:rPr>
          <w:rFonts w:eastAsia="Times New Roman" w:cs="Arial"/>
          <w:b/>
          <w:bCs/>
          <w:sz w:val="18"/>
          <w:szCs w:val="18"/>
          <w:lang w:val="en-AU" w:eastAsia="en-US"/>
        </w:rPr>
      </w:pPr>
    </w:p>
    <w:p w14:paraId="459A2724"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Budget Variances Commentary </w:t>
      </w:r>
    </w:p>
    <w:p w14:paraId="45DC7143"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Cash Flow Statement</w:t>
      </w:r>
    </w:p>
    <w:p w14:paraId="34F1E15F"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The following major variance explanations between the Original Budget as presented in the October 2022 Portfolio Budget Statements and the 2022–23 financial statements are presented in accordance with Australian Accounting Standards. The 2022-23 Portfolio Budget Statements contain the original financial statements’ budget estimates presented to Parliament in respect of the 2022–23 financial year. The information presented below should be read in the context of the following:</w:t>
      </w:r>
    </w:p>
    <w:p w14:paraId="3E5FBEAC"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 major variances are determined in accordance with Department of Finance guidelines;</w:t>
      </w:r>
    </w:p>
    <w:p w14:paraId="7A22990F"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 variances relating to cash flows are a result of the factors explained for net cost of services, assets or liabilities variations. Unless otherwise individually significant, no additional commentary has been included; and</w:t>
      </w:r>
    </w:p>
    <w:p w14:paraId="1C56C6B8" w14:textId="77777777" w:rsidR="00F2518A" w:rsidRPr="007C747A" w:rsidRDefault="00F2518A" w:rsidP="00F2518A">
      <w:pPr>
        <w:spacing w:before="100" w:beforeAutospacing="1" w:after="240" w:line="240" w:lineRule="auto"/>
        <w:rPr>
          <w:rFonts w:eastAsia="Times New Roman" w:cs="Arial"/>
          <w:sz w:val="18"/>
          <w:szCs w:val="18"/>
          <w:lang w:val="en-AU" w:eastAsia="en-AU"/>
        </w:rPr>
      </w:pPr>
      <w:r w:rsidRPr="007C747A">
        <w:rPr>
          <w:rFonts w:eastAsia="Times New Roman" w:cs="Arial"/>
          <w:sz w:val="18"/>
          <w:szCs w:val="18"/>
          <w:lang w:val="en-AU" w:eastAsia="en-AU"/>
        </w:rPr>
        <w:t>· the Budget is not audited.</w:t>
      </w:r>
    </w:p>
    <w:p w14:paraId="48123478" w14:textId="77777777" w:rsidR="00F2518A" w:rsidRPr="007C747A" w:rsidRDefault="00F2518A" w:rsidP="00F2518A">
      <w:pPr>
        <w:spacing w:after="0" w:line="260" w:lineRule="atLeast"/>
        <w:rPr>
          <w:rFonts w:eastAsia="Calibri" w:cs="Arial"/>
          <w:sz w:val="18"/>
          <w:szCs w:val="18"/>
          <w:lang w:val="en-AU" w:eastAsia="en-US"/>
        </w:rPr>
        <w:sectPr w:rsidR="00F2518A" w:rsidRPr="007C747A" w:rsidSect="00AE321D">
          <w:headerReference w:type="even" r:id="rId36"/>
          <w:headerReference w:type="default" r:id="rId37"/>
          <w:headerReference w:type="first" r:id="rId38"/>
          <w:pgSz w:w="11906" w:h="16838" w:code="9"/>
          <w:pgMar w:top="567" w:right="1701" w:bottom="567" w:left="1134" w:header="454" w:footer="454" w:gutter="0"/>
          <w:cols w:space="708"/>
          <w:docGrid w:linePitch="360"/>
        </w:sectPr>
      </w:pPr>
    </w:p>
    <w:p w14:paraId="1CFDCD7A" w14:textId="77777777" w:rsidR="006B79CC" w:rsidRPr="007C747A" w:rsidRDefault="006B79CC" w:rsidP="00274F5A">
      <w:pPr>
        <w:tabs>
          <w:tab w:val="left" w:pos="9214"/>
        </w:tabs>
        <w:spacing w:before="120" w:after="220" w:line="260" w:lineRule="atLeast"/>
        <w:ind w:left="-360"/>
        <w:rPr>
          <w:rFonts w:eastAsia="Times New Roman" w:cs="Arial"/>
          <w:noProof/>
          <w:sz w:val="22"/>
          <w:szCs w:val="22"/>
          <w:lang w:val="en-AU" w:eastAsia="en-US"/>
        </w:rPr>
      </w:pPr>
      <w:bookmarkStart w:id="136" w:name="_Hlk146189371"/>
      <w:r w:rsidRPr="007C747A">
        <w:rPr>
          <w:rFonts w:eastAsia="Times New Roman" w:cs="Arial"/>
          <w:noProof/>
          <w:sz w:val="22"/>
          <w:szCs w:val="22"/>
          <w:lang w:val="en-AU" w:eastAsia="en-US"/>
        </w:rPr>
        <w:t>Table of Contents</w:t>
      </w:r>
    </w:p>
    <w:bookmarkEnd w:id="136"/>
    <w:p w14:paraId="4FC0716C" w14:textId="0E0D6EFA" w:rsidR="006B79CC" w:rsidRPr="007C747A" w:rsidRDefault="006B79CC" w:rsidP="00274F5A">
      <w:pPr>
        <w:tabs>
          <w:tab w:val="left" w:pos="9214"/>
        </w:tabs>
        <w:spacing w:before="120" w:after="220" w:line="260" w:lineRule="atLeast"/>
        <w:ind w:left="-360"/>
        <w:rPr>
          <w:rFonts w:eastAsia="SimSun" w:cs="Arial"/>
          <w:noProof/>
          <w:kern w:val="2"/>
          <w:sz w:val="22"/>
          <w:szCs w:val="22"/>
          <w:lang w:val="en-AU" w:eastAsia="en-AU"/>
          <w14:ligatures w14:val="standardContextual"/>
        </w:rPr>
      </w:pPr>
      <w:r w:rsidRPr="007C747A">
        <w:rPr>
          <w:rFonts w:eastAsia="Times New Roman" w:cs="Arial"/>
          <w:noProof/>
          <w:sz w:val="22"/>
          <w:szCs w:val="22"/>
          <w:lang w:val="en-AU" w:eastAsia="en-US"/>
        </w:rPr>
        <w:fldChar w:fldCharType="begin"/>
      </w:r>
      <w:r w:rsidRPr="007C747A">
        <w:rPr>
          <w:rFonts w:eastAsia="Times New Roman" w:cs="Arial"/>
          <w:noProof/>
          <w:sz w:val="22"/>
          <w:szCs w:val="22"/>
          <w:lang w:val="en-AU" w:eastAsia="en-US"/>
        </w:rPr>
        <w:instrText xml:space="preserve"> TOC \o "1-3" \h \z \u </w:instrText>
      </w:r>
      <w:r w:rsidRPr="007C747A">
        <w:rPr>
          <w:rFonts w:eastAsia="Times New Roman" w:cs="Arial"/>
          <w:noProof/>
          <w:sz w:val="22"/>
          <w:szCs w:val="22"/>
          <w:lang w:val="en-AU" w:eastAsia="en-US"/>
        </w:rPr>
        <w:fldChar w:fldCharType="separate"/>
      </w:r>
      <w:hyperlink w:anchor="_Toc145583269" w:history="1">
        <w:r w:rsidRPr="007C747A">
          <w:rPr>
            <w:rFonts w:eastAsia="Times New Roman" w:cs="Arial"/>
            <w:noProof/>
            <w:sz w:val="22"/>
            <w:szCs w:val="22"/>
            <w:lang w:val="en-AU" w:eastAsia="en-US"/>
          </w:rPr>
          <w:t>Overview</w:t>
        </w:r>
        <w:r w:rsidRPr="007C747A">
          <w:rPr>
            <w:rFonts w:eastAsia="Times New Roman" w:cs="Arial"/>
            <w:noProof/>
            <w:webHidden/>
            <w:sz w:val="22"/>
            <w:szCs w:val="22"/>
            <w:lang w:val="en-AU" w:eastAsia="en-US"/>
          </w:rPr>
          <w:tab/>
        </w:r>
        <w:r w:rsidRPr="007C747A">
          <w:rPr>
            <w:rFonts w:eastAsia="Times New Roman" w:cs="Arial"/>
            <w:noProof/>
            <w:webHidden/>
            <w:sz w:val="22"/>
            <w:szCs w:val="22"/>
            <w:lang w:val="en-AU" w:eastAsia="en-US"/>
          </w:rPr>
          <w:fldChar w:fldCharType="begin"/>
        </w:r>
        <w:r w:rsidRPr="007C747A">
          <w:rPr>
            <w:rFonts w:eastAsia="Times New Roman" w:cs="Arial"/>
            <w:noProof/>
            <w:webHidden/>
            <w:sz w:val="22"/>
            <w:szCs w:val="22"/>
            <w:lang w:val="en-AU" w:eastAsia="en-US"/>
          </w:rPr>
          <w:instrText xml:space="preserve"> PAGEREF _Toc145583269 \h </w:instrText>
        </w:r>
        <w:r w:rsidRPr="007C747A">
          <w:rPr>
            <w:rFonts w:eastAsia="Times New Roman" w:cs="Arial"/>
            <w:noProof/>
            <w:webHidden/>
            <w:sz w:val="22"/>
            <w:szCs w:val="22"/>
            <w:lang w:val="en-AU" w:eastAsia="en-US"/>
          </w:rPr>
        </w:r>
        <w:r w:rsidRPr="007C747A">
          <w:rPr>
            <w:rFonts w:eastAsia="Times New Roman" w:cs="Arial"/>
            <w:noProof/>
            <w:webHidden/>
            <w:sz w:val="22"/>
            <w:szCs w:val="22"/>
            <w:lang w:val="en-AU" w:eastAsia="en-US"/>
          </w:rPr>
          <w:fldChar w:fldCharType="separate"/>
        </w:r>
        <w:r w:rsidR="005969AA" w:rsidRPr="007C747A">
          <w:rPr>
            <w:rFonts w:eastAsia="Times New Roman" w:cs="Arial"/>
            <w:noProof/>
            <w:webHidden/>
            <w:sz w:val="22"/>
            <w:szCs w:val="22"/>
            <w:lang w:val="en-AU" w:eastAsia="en-US"/>
          </w:rPr>
          <w:t>36</w:t>
        </w:r>
        <w:r w:rsidRPr="007C747A">
          <w:rPr>
            <w:rFonts w:eastAsia="Times New Roman" w:cs="Arial"/>
            <w:noProof/>
            <w:webHidden/>
            <w:sz w:val="22"/>
            <w:szCs w:val="22"/>
            <w:lang w:val="en-AU" w:eastAsia="en-US"/>
          </w:rPr>
          <w:fldChar w:fldCharType="end"/>
        </w:r>
      </w:hyperlink>
    </w:p>
    <w:p w14:paraId="24CC2D9A" w14:textId="721F92EC" w:rsidR="006B79CC" w:rsidRPr="007C747A" w:rsidRDefault="00A21E0D" w:rsidP="00274F5A">
      <w:pPr>
        <w:tabs>
          <w:tab w:val="left" w:pos="9214"/>
        </w:tabs>
        <w:spacing w:before="120" w:after="220" w:line="260" w:lineRule="atLeast"/>
        <w:ind w:left="-360"/>
        <w:rPr>
          <w:rFonts w:eastAsia="SimSun" w:cs="Arial"/>
          <w:noProof/>
          <w:kern w:val="2"/>
          <w:sz w:val="22"/>
          <w:szCs w:val="22"/>
          <w:lang w:val="en-AU" w:eastAsia="en-AU"/>
          <w14:ligatures w14:val="standardContextual"/>
        </w:rPr>
      </w:pPr>
      <w:hyperlink w:anchor="_Toc145583270" w:history="1">
        <w:r w:rsidR="006B79CC" w:rsidRPr="007C747A">
          <w:rPr>
            <w:rFonts w:eastAsia="Times New Roman" w:cs="Arial"/>
            <w:noProof/>
            <w:sz w:val="22"/>
            <w:szCs w:val="22"/>
            <w:lang w:val="en-AU" w:eastAsia="en-US"/>
          </w:rPr>
          <w:t>1. Financial Performance</w:t>
        </w:r>
        <w:r w:rsidR="006B79CC" w:rsidRPr="007C747A">
          <w:rPr>
            <w:rFonts w:eastAsia="Times New Roman" w:cs="Arial"/>
            <w:noProof/>
            <w:webHidden/>
            <w:sz w:val="22"/>
            <w:szCs w:val="22"/>
            <w:lang w:val="en-AU" w:eastAsia="en-US"/>
          </w:rPr>
          <w:tab/>
        </w:r>
        <w:r w:rsidR="006B79CC" w:rsidRPr="007C747A">
          <w:rPr>
            <w:rFonts w:eastAsia="Times New Roman" w:cs="Arial"/>
            <w:noProof/>
            <w:webHidden/>
            <w:sz w:val="22"/>
            <w:szCs w:val="22"/>
            <w:lang w:val="en-AU" w:eastAsia="en-US"/>
          </w:rPr>
          <w:fldChar w:fldCharType="begin"/>
        </w:r>
        <w:r w:rsidR="006B79CC" w:rsidRPr="007C747A">
          <w:rPr>
            <w:rFonts w:eastAsia="Times New Roman" w:cs="Arial"/>
            <w:noProof/>
            <w:webHidden/>
            <w:sz w:val="22"/>
            <w:szCs w:val="22"/>
            <w:lang w:val="en-AU" w:eastAsia="en-US"/>
          </w:rPr>
          <w:instrText xml:space="preserve"> PAGEREF _Toc145583270 \h </w:instrText>
        </w:r>
        <w:r w:rsidR="006B79CC" w:rsidRPr="007C747A">
          <w:rPr>
            <w:rFonts w:eastAsia="Times New Roman" w:cs="Arial"/>
            <w:noProof/>
            <w:webHidden/>
            <w:sz w:val="22"/>
            <w:szCs w:val="22"/>
            <w:lang w:val="en-AU" w:eastAsia="en-US"/>
          </w:rPr>
        </w:r>
        <w:r w:rsidR="006B79CC" w:rsidRPr="007C747A">
          <w:rPr>
            <w:rFonts w:eastAsia="Times New Roman" w:cs="Arial"/>
            <w:noProof/>
            <w:webHidden/>
            <w:sz w:val="22"/>
            <w:szCs w:val="22"/>
            <w:lang w:val="en-AU" w:eastAsia="en-US"/>
          </w:rPr>
          <w:fldChar w:fldCharType="separate"/>
        </w:r>
        <w:r w:rsidR="005969AA" w:rsidRPr="007C747A">
          <w:rPr>
            <w:rFonts w:eastAsia="Times New Roman" w:cs="Arial"/>
            <w:noProof/>
            <w:webHidden/>
            <w:sz w:val="22"/>
            <w:szCs w:val="22"/>
            <w:lang w:val="en-AU" w:eastAsia="en-US"/>
          </w:rPr>
          <w:t>38</w:t>
        </w:r>
        <w:r w:rsidR="006B79CC" w:rsidRPr="007C747A">
          <w:rPr>
            <w:rFonts w:eastAsia="Times New Roman" w:cs="Arial"/>
            <w:noProof/>
            <w:webHidden/>
            <w:sz w:val="22"/>
            <w:szCs w:val="22"/>
            <w:lang w:val="en-AU" w:eastAsia="en-US"/>
          </w:rPr>
          <w:fldChar w:fldCharType="end"/>
        </w:r>
      </w:hyperlink>
    </w:p>
    <w:p w14:paraId="47FE3FF7" w14:textId="001D2FBC"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1"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1.1.</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Expenses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_Toc145583271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38</w:t>
        </w:r>
        <w:r w:rsidR="006B79CC" w:rsidRPr="007C747A">
          <w:rPr>
            <w:rFonts w:eastAsia="Times New Roman" w:cs="Arial"/>
            <w:iCs/>
            <w:noProof/>
            <w:webHidden/>
            <w:sz w:val="22"/>
            <w:szCs w:val="22"/>
            <w:lang w:val="en-AU" w:eastAsia="en-US"/>
          </w:rPr>
          <w:fldChar w:fldCharType="end"/>
        </w:r>
      </w:hyperlink>
    </w:p>
    <w:p w14:paraId="7FE8CA75" w14:textId="3D334DAF"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2"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1.2.</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Own-Source Revenue and Gains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_Toc145583272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41</w:t>
        </w:r>
        <w:r w:rsidR="006B79CC" w:rsidRPr="007C747A">
          <w:rPr>
            <w:rFonts w:eastAsia="Times New Roman" w:cs="Arial"/>
            <w:iCs/>
            <w:noProof/>
            <w:webHidden/>
            <w:sz w:val="22"/>
            <w:szCs w:val="22"/>
            <w:lang w:val="en-AU" w:eastAsia="en-US"/>
          </w:rPr>
          <w:fldChar w:fldCharType="end"/>
        </w:r>
      </w:hyperlink>
    </w:p>
    <w:p w14:paraId="20ABE1A4" w14:textId="21E2B6FB" w:rsidR="006B79CC" w:rsidRPr="007C747A" w:rsidRDefault="00A21E0D" w:rsidP="00274F5A">
      <w:pPr>
        <w:tabs>
          <w:tab w:val="left" w:pos="440"/>
          <w:tab w:val="left" w:pos="9214"/>
        </w:tabs>
        <w:spacing w:before="120" w:after="220" w:line="260" w:lineRule="atLeast"/>
        <w:ind w:left="-360"/>
        <w:rPr>
          <w:rFonts w:eastAsia="SimSun" w:cs="Arial"/>
          <w:noProof/>
          <w:kern w:val="2"/>
          <w:sz w:val="22"/>
          <w:szCs w:val="22"/>
          <w:lang w:val="en-AU" w:eastAsia="en-AU"/>
          <w14:ligatures w14:val="standardContextual"/>
        </w:rPr>
      </w:pPr>
      <w:hyperlink w:anchor="_Toc145583273" w:history="1">
        <w:r w:rsidR="006B79CC" w:rsidRPr="007C747A">
          <w:rPr>
            <w:rFonts w:eastAsia="Times New Roman" w:cs="Arial"/>
            <w:noProof/>
            <w:sz w:val="22"/>
            <w:szCs w:val="22"/>
            <w:lang w:val="en-AU" w:eastAsia="en-US"/>
          </w:rPr>
          <w:t>2.</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noProof/>
            <w:sz w:val="22"/>
            <w:szCs w:val="22"/>
            <w:lang w:val="en-AU" w:eastAsia="en-US"/>
          </w:rPr>
          <w:t>Financial Position</w:t>
        </w:r>
        <w:r w:rsidR="006B79CC" w:rsidRPr="007C747A">
          <w:rPr>
            <w:rFonts w:eastAsia="Times New Roman" w:cs="Arial"/>
            <w:noProof/>
            <w:webHidden/>
            <w:sz w:val="22"/>
            <w:szCs w:val="22"/>
            <w:lang w:val="en-AU" w:eastAsia="en-US"/>
          </w:rPr>
          <w:tab/>
        </w:r>
        <w:r w:rsidR="006B79CC" w:rsidRPr="007C747A">
          <w:rPr>
            <w:rFonts w:eastAsia="Times New Roman" w:cs="Arial"/>
            <w:noProof/>
            <w:webHidden/>
            <w:sz w:val="22"/>
            <w:szCs w:val="22"/>
            <w:lang w:val="en-AU" w:eastAsia="en-US"/>
          </w:rPr>
          <w:fldChar w:fldCharType="begin"/>
        </w:r>
        <w:r w:rsidR="006B79CC" w:rsidRPr="007C747A">
          <w:rPr>
            <w:rFonts w:eastAsia="Times New Roman" w:cs="Arial"/>
            <w:noProof/>
            <w:webHidden/>
            <w:sz w:val="22"/>
            <w:szCs w:val="22"/>
            <w:lang w:val="en-AU" w:eastAsia="en-US"/>
          </w:rPr>
          <w:instrText xml:space="preserve"> PAGEREF _Toc145583273 \h </w:instrText>
        </w:r>
        <w:r w:rsidR="006B79CC" w:rsidRPr="007C747A">
          <w:rPr>
            <w:rFonts w:eastAsia="Times New Roman" w:cs="Arial"/>
            <w:noProof/>
            <w:webHidden/>
            <w:sz w:val="22"/>
            <w:szCs w:val="22"/>
            <w:lang w:val="en-AU" w:eastAsia="en-US"/>
          </w:rPr>
        </w:r>
        <w:r w:rsidR="006B79CC" w:rsidRPr="007C747A">
          <w:rPr>
            <w:rFonts w:eastAsia="Times New Roman" w:cs="Arial"/>
            <w:noProof/>
            <w:webHidden/>
            <w:sz w:val="22"/>
            <w:szCs w:val="22"/>
            <w:lang w:val="en-AU" w:eastAsia="en-US"/>
          </w:rPr>
          <w:fldChar w:fldCharType="separate"/>
        </w:r>
        <w:r w:rsidR="005969AA" w:rsidRPr="007C747A">
          <w:rPr>
            <w:rFonts w:eastAsia="Times New Roman" w:cs="Arial"/>
            <w:noProof/>
            <w:webHidden/>
            <w:sz w:val="22"/>
            <w:szCs w:val="22"/>
            <w:lang w:val="en-AU" w:eastAsia="en-US"/>
          </w:rPr>
          <w:t>44</w:t>
        </w:r>
        <w:r w:rsidR="006B79CC" w:rsidRPr="007C747A">
          <w:rPr>
            <w:rFonts w:eastAsia="Times New Roman" w:cs="Arial"/>
            <w:noProof/>
            <w:webHidden/>
            <w:sz w:val="22"/>
            <w:szCs w:val="22"/>
            <w:lang w:val="en-AU" w:eastAsia="en-US"/>
          </w:rPr>
          <w:fldChar w:fldCharType="end"/>
        </w:r>
      </w:hyperlink>
    </w:p>
    <w:p w14:paraId="7CFC2338" w14:textId="3AEE0C95"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4"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2.1.</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Financial Assets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_Toc145583274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44</w:t>
        </w:r>
        <w:r w:rsidR="006B79CC" w:rsidRPr="007C747A">
          <w:rPr>
            <w:rFonts w:eastAsia="Times New Roman" w:cs="Arial"/>
            <w:iCs/>
            <w:noProof/>
            <w:webHidden/>
            <w:sz w:val="22"/>
            <w:szCs w:val="22"/>
            <w:lang w:val="en-AU" w:eastAsia="en-US"/>
          </w:rPr>
          <w:fldChar w:fldCharType="end"/>
        </w:r>
      </w:hyperlink>
    </w:p>
    <w:p w14:paraId="6FE028F5" w14:textId="272B839D"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5"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2.2.</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Non-Financial Assets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_Toc145583275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46</w:t>
        </w:r>
        <w:r w:rsidR="006B79CC" w:rsidRPr="007C747A">
          <w:rPr>
            <w:rFonts w:eastAsia="Times New Roman" w:cs="Arial"/>
            <w:iCs/>
            <w:noProof/>
            <w:webHidden/>
            <w:sz w:val="22"/>
            <w:szCs w:val="22"/>
            <w:lang w:val="en-AU" w:eastAsia="en-US"/>
          </w:rPr>
          <w:fldChar w:fldCharType="end"/>
        </w:r>
      </w:hyperlink>
    </w:p>
    <w:p w14:paraId="05902489" w14:textId="77CBC8FB"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6"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2.3.</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Payables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_Toc145583276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48</w:t>
        </w:r>
        <w:r w:rsidR="006B79CC" w:rsidRPr="007C747A">
          <w:rPr>
            <w:rFonts w:eastAsia="Times New Roman" w:cs="Arial"/>
            <w:iCs/>
            <w:noProof/>
            <w:webHidden/>
            <w:sz w:val="22"/>
            <w:szCs w:val="22"/>
            <w:lang w:val="en-AU" w:eastAsia="en-US"/>
          </w:rPr>
          <w:fldChar w:fldCharType="end"/>
        </w:r>
      </w:hyperlink>
    </w:p>
    <w:p w14:paraId="05D6540B" w14:textId="37750FBC"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7"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2.4.</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Unearned Income</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_Toc145583277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49</w:t>
        </w:r>
        <w:r w:rsidR="006B79CC" w:rsidRPr="007C747A">
          <w:rPr>
            <w:rFonts w:eastAsia="Times New Roman" w:cs="Arial"/>
            <w:iCs/>
            <w:noProof/>
            <w:webHidden/>
            <w:sz w:val="22"/>
            <w:szCs w:val="22"/>
            <w:lang w:val="en-AU" w:eastAsia="en-US"/>
          </w:rPr>
          <w:fldChar w:fldCharType="end"/>
        </w:r>
      </w:hyperlink>
    </w:p>
    <w:p w14:paraId="0A62ED49" w14:textId="33C59455"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8"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2.5.</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Interest Bearing Liabilities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_Toc145583278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49</w:t>
        </w:r>
        <w:r w:rsidR="006B79CC" w:rsidRPr="007C747A">
          <w:rPr>
            <w:rFonts w:eastAsia="Times New Roman" w:cs="Arial"/>
            <w:iCs/>
            <w:noProof/>
            <w:webHidden/>
            <w:sz w:val="22"/>
            <w:szCs w:val="22"/>
            <w:lang w:val="en-AU" w:eastAsia="en-US"/>
          </w:rPr>
          <w:fldChar w:fldCharType="end"/>
        </w:r>
      </w:hyperlink>
    </w:p>
    <w:p w14:paraId="1035C158" w14:textId="300337AE"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79"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2.6.</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Provisions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_Toc145583279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50</w:t>
        </w:r>
        <w:r w:rsidR="006B79CC" w:rsidRPr="007C747A">
          <w:rPr>
            <w:rFonts w:eastAsia="Times New Roman" w:cs="Arial"/>
            <w:iCs/>
            <w:noProof/>
            <w:webHidden/>
            <w:sz w:val="22"/>
            <w:szCs w:val="22"/>
            <w:lang w:val="en-AU" w:eastAsia="en-US"/>
          </w:rPr>
          <w:fldChar w:fldCharType="end"/>
        </w:r>
      </w:hyperlink>
    </w:p>
    <w:p w14:paraId="79470CCE" w14:textId="5A3FEF5E" w:rsidR="006B79CC" w:rsidRPr="007C747A" w:rsidRDefault="00A21E0D" w:rsidP="00274F5A">
      <w:pPr>
        <w:tabs>
          <w:tab w:val="left" w:pos="440"/>
          <w:tab w:val="left" w:pos="9214"/>
        </w:tabs>
        <w:spacing w:before="120" w:after="220" w:line="260" w:lineRule="atLeast"/>
        <w:ind w:left="-360"/>
        <w:rPr>
          <w:rFonts w:eastAsia="SimSun" w:cs="Arial"/>
          <w:noProof/>
          <w:kern w:val="2"/>
          <w:sz w:val="22"/>
          <w:szCs w:val="22"/>
          <w:lang w:val="en-AU" w:eastAsia="en-AU"/>
          <w14:ligatures w14:val="standardContextual"/>
        </w:rPr>
      </w:pPr>
      <w:hyperlink w:anchor="_Toc145583280" w:history="1">
        <w:r w:rsidR="006B79CC" w:rsidRPr="007C747A">
          <w:rPr>
            <w:rFonts w:eastAsia="Times New Roman" w:cs="Arial"/>
            <w:noProof/>
            <w:sz w:val="22"/>
            <w:szCs w:val="22"/>
            <w:lang w:val="en-AU" w:eastAsia="en-US"/>
          </w:rPr>
          <w:t>3.</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noProof/>
            <w:sz w:val="22"/>
            <w:szCs w:val="22"/>
            <w:lang w:val="en-AU" w:eastAsia="en-US"/>
          </w:rPr>
          <w:t>People and Relationships</w:t>
        </w:r>
        <w:r w:rsidR="006B79CC" w:rsidRPr="007C747A">
          <w:rPr>
            <w:rFonts w:eastAsia="Times New Roman" w:cs="Arial"/>
            <w:noProof/>
            <w:webHidden/>
            <w:sz w:val="22"/>
            <w:szCs w:val="22"/>
            <w:lang w:val="en-AU" w:eastAsia="en-US"/>
          </w:rPr>
          <w:tab/>
        </w:r>
        <w:r w:rsidR="006B79CC" w:rsidRPr="007C747A">
          <w:rPr>
            <w:rFonts w:eastAsia="Times New Roman" w:cs="Arial"/>
            <w:noProof/>
            <w:webHidden/>
            <w:sz w:val="22"/>
            <w:szCs w:val="22"/>
            <w:lang w:val="en-AU" w:eastAsia="en-US"/>
          </w:rPr>
          <w:fldChar w:fldCharType="begin"/>
        </w:r>
        <w:r w:rsidR="006B79CC" w:rsidRPr="007C747A">
          <w:rPr>
            <w:rFonts w:eastAsia="Times New Roman" w:cs="Arial"/>
            <w:noProof/>
            <w:webHidden/>
            <w:sz w:val="22"/>
            <w:szCs w:val="22"/>
            <w:lang w:val="en-AU" w:eastAsia="en-US"/>
          </w:rPr>
          <w:instrText xml:space="preserve"> PAGEREF _Toc145583280 \h </w:instrText>
        </w:r>
        <w:r w:rsidR="006B79CC" w:rsidRPr="007C747A">
          <w:rPr>
            <w:rFonts w:eastAsia="Times New Roman" w:cs="Arial"/>
            <w:noProof/>
            <w:webHidden/>
            <w:sz w:val="22"/>
            <w:szCs w:val="22"/>
            <w:lang w:val="en-AU" w:eastAsia="en-US"/>
          </w:rPr>
        </w:r>
        <w:r w:rsidR="006B79CC" w:rsidRPr="007C747A">
          <w:rPr>
            <w:rFonts w:eastAsia="Times New Roman" w:cs="Arial"/>
            <w:noProof/>
            <w:webHidden/>
            <w:sz w:val="22"/>
            <w:szCs w:val="22"/>
            <w:lang w:val="en-AU" w:eastAsia="en-US"/>
          </w:rPr>
          <w:fldChar w:fldCharType="separate"/>
        </w:r>
        <w:r w:rsidR="005969AA" w:rsidRPr="007C747A">
          <w:rPr>
            <w:rFonts w:eastAsia="Times New Roman" w:cs="Arial"/>
            <w:noProof/>
            <w:webHidden/>
            <w:sz w:val="22"/>
            <w:szCs w:val="22"/>
            <w:lang w:val="en-AU" w:eastAsia="en-US"/>
          </w:rPr>
          <w:t>52</w:t>
        </w:r>
        <w:r w:rsidR="006B79CC" w:rsidRPr="007C747A">
          <w:rPr>
            <w:rFonts w:eastAsia="Times New Roman" w:cs="Arial"/>
            <w:noProof/>
            <w:webHidden/>
            <w:sz w:val="22"/>
            <w:szCs w:val="22"/>
            <w:lang w:val="en-AU" w:eastAsia="en-US"/>
          </w:rPr>
          <w:fldChar w:fldCharType="end"/>
        </w:r>
      </w:hyperlink>
    </w:p>
    <w:p w14:paraId="35C331C0" w14:textId="56BEB730"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81"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3.1.</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Key Management Personnel Remuneration</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_Toc145583281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53</w:t>
        </w:r>
        <w:r w:rsidR="006B79CC" w:rsidRPr="007C747A">
          <w:rPr>
            <w:rFonts w:eastAsia="Times New Roman" w:cs="Arial"/>
            <w:iCs/>
            <w:noProof/>
            <w:webHidden/>
            <w:sz w:val="22"/>
            <w:szCs w:val="22"/>
            <w:lang w:val="en-AU" w:eastAsia="en-US"/>
          </w:rPr>
          <w:fldChar w:fldCharType="end"/>
        </w:r>
      </w:hyperlink>
    </w:p>
    <w:p w14:paraId="1C58506B" w14:textId="61215231"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82"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3.2.</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Related Party Disclosures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_Toc145583282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53</w:t>
        </w:r>
        <w:r w:rsidR="006B79CC" w:rsidRPr="007C747A">
          <w:rPr>
            <w:rFonts w:eastAsia="Times New Roman" w:cs="Arial"/>
            <w:iCs/>
            <w:noProof/>
            <w:webHidden/>
            <w:sz w:val="22"/>
            <w:szCs w:val="22"/>
            <w:lang w:val="en-AU" w:eastAsia="en-US"/>
          </w:rPr>
          <w:fldChar w:fldCharType="end"/>
        </w:r>
      </w:hyperlink>
    </w:p>
    <w:p w14:paraId="0311DF28" w14:textId="7BD0901C" w:rsidR="006B79CC" w:rsidRPr="007C747A" w:rsidRDefault="00A21E0D" w:rsidP="00274F5A">
      <w:pPr>
        <w:tabs>
          <w:tab w:val="left" w:pos="440"/>
          <w:tab w:val="left" w:pos="9214"/>
        </w:tabs>
        <w:spacing w:before="120" w:after="220" w:line="260" w:lineRule="atLeast"/>
        <w:ind w:left="-360"/>
        <w:rPr>
          <w:rFonts w:eastAsia="SimSun" w:cs="Arial"/>
          <w:noProof/>
          <w:kern w:val="2"/>
          <w:sz w:val="22"/>
          <w:szCs w:val="22"/>
          <w:lang w:val="en-AU" w:eastAsia="en-AU"/>
          <w14:ligatures w14:val="standardContextual"/>
        </w:rPr>
      </w:pPr>
      <w:hyperlink w:anchor="_Toc145583283" w:history="1">
        <w:r w:rsidR="006B79CC" w:rsidRPr="007C747A">
          <w:rPr>
            <w:rFonts w:eastAsia="Times New Roman" w:cs="Arial"/>
            <w:noProof/>
            <w:sz w:val="22"/>
            <w:szCs w:val="22"/>
            <w:lang w:val="en-AU" w:eastAsia="en-US"/>
          </w:rPr>
          <w:t>4.</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noProof/>
            <w:sz w:val="22"/>
            <w:szCs w:val="22"/>
            <w:lang w:val="en-AU" w:eastAsia="en-US"/>
          </w:rPr>
          <w:t>Managing Uncertainties</w:t>
        </w:r>
        <w:r w:rsidR="006B79CC" w:rsidRPr="007C747A">
          <w:rPr>
            <w:rFonts w:eastAsia="Times New Roman" w:cs="Arial"/>
            <w:noProof/>
            <w:webHidden/>
            <w:sz w:val="22"/>
            <w:szCs w:val="22"/>
            <w:lang w:val="en-AU" w:eastAsia="en-US"/>
          </w:rPr>
          <w:tab/>
        </w:r>
        <w:r w:rsidR="006B79CC" w:rsidRPr="007C747A">
          <w:rPr>
            <w:rFonts w:eastAsia="Times New Roman" w:cs="Arial"/>
            <w:noProof/>
            <w:webHidden/>
            <w:sz w:val="22"/>
            <w:szCs w:val="22"/>
            <w:lang w:val="en-AU" w:eastAsia="en-US"/>
          </w:rPr>
          <w:fldChar w:fldCharType="begin"/>
        </w:r>
        <w:r w:rsidR="006B79CC" w:rsidRPr="007C747A">
          <w:rPr>
            <w:rFonts w:eastAsia="Times New Roman" w:cs="Arial"/>
            <w:noProof/>
            <w:webHidden/>
            <w:sz w:val="22"/>
            <w:szCs w:val="22"/>
            <w:lang w:val="en-AU" w:eastAsia="en-US"/>
          </w:rPr>
          <w:instrText xml:space="preserve"> PAGEREF _Toc145583283 \h </w:instrText>
        </w:r>
        <w:r w:rsidR="006B79CC" w:rsidRPr="007C747A">
          <w:rPr>
            <w:rFonts w:eastAsia="Times New Roman" w:cs="Arial"/>
            <w:noProof/>
            <w:webHidden/>
            <w:sz w:val="22"/>
            <w:szCs w:val="22"/>
            <w:lang w:val="en-AU" w:eastAsia="en-US"/>
          </w:rPr>
        </w:r>
        <w:r w:rsidR="006B79CC" w:rsidRPr="007C747A">
          <w:rPr>
            <w:rFonts w:eastAsia="Times New Roman" w:cs="Arial"/>
            <w:noProof/>
            <w:webHidden/>
            <w:sz w:val="22"/>
            <w:szCs w:val="22"/>
            <w:lang w:val="en-AU" w:eastAsia="en-US"/>
          </w:rPr>
          <w:fldChar w:fldCharType="separate"/>
        </w:r>
        <w:r w:rsidR="005969AA" w:rsidRPr="007C747A">
          <w:rPr>
            <w:rFonts w:eastAsia="Times New Roman" w:cs="Arial"/>
            <w:noProof/>
            <w:webHidden/>
            <w:sz w:val="22"/>
            <w:szCs w:val="22"/>
            <w:lang w:val="en-AU" w:eastAsia="en-US"/>
          </w:rPr>
          <w:t>55</w:t>
        </w:r>
        <w:r w:rsidR="006B79CC" w:rsidRPr="007C747A">
          <w:rPr>
            <w:rFonts w:eastAsia="Times New Roman" w:cs="Arial"/>
            <w:noProof/>
            <w:webHidden/>
            <w:sz w:val="22"/>
            <w:szCs w:val="22"/>
            <w:lang w:val="en-AU" w:eastAsia="en-US"/>
          </w:rPr>
          <w:fldChar w:fldCharType="end"/>
        </w:r>
      </w:hyperlink>
    </w:p>
    <w:p w14:paraId="5FAAC38B" w14:textId="1C424C5F"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84"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4.1.</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Contingent Assets and Liabilities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_Toc145583284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55</w:t>
        </w:r>
        <w:r w:rsidR="006B79CC" w:rsidRPr="007C747A">
          <w:rPr>
            <w:rFonts w:eastAsia="Times New Roman" w:cs="Arial"/>
            <w:iCs/>
            <w:noProof/>
            <w:webHidden/>
            <w:sz w:val="22"/>
            <w:szCs w:val="22"/>
            <w:lang w:val="en-AU" w:eastAsia="en-US"/>
          </w:rPr>
          <w:fldChar w:fldCharType="end"/>
        </w:r>
      </w:hyperlink>
    </w:p>
    <w:p w14:paraId="351C8650" w14:textId="48EA22BB"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85"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4.2.</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Financial Instruments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_Toc145583285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56</w:t>
        </w:r>
        <w:r w:rsidR="006B79CC" w:rsidRPr="007C747A">
          <w:rPr>
            <w:rFonts w:eastAsia="Times New Roman" w:cs="Arial"/>
            <w:iCs/>
            <w:noProof/>
            <w:webHidden/>
            <w:sz w:val="22"/>
            <w:szCs w:val="22"/>
            <w:lang w:val="en-AU" w:eastAsia="en-US"/>
          </w:rPr>
          <w:fldChar w:fldCharType="end"/>
        </w:r>
      </w:hyperlink>
    </w:p>
    <w:p w14:paraId="22597B3D" w14:textId="01A4E2C5" w:rsidR="006B79CC" w:rsidRPr="007C747A" w:rsidRDefault="00A21E0D" w:rsidP="00274F5A">
      <w:pPr>
        <w:tabs>
          <w:tab w:val="left" w:pos="440"/>
          <w:tab w:val="left" w:pos="9214"/>
        </w:tabs>
        <w:spacing w:before="120" w:after="220" w:line="260" w:lineRule="atLeast"/>
        <w:ind w:left="-360"/>
        <w:rPr>
          <w:rFonts w:eastAsia="SimSun" w:cs="Arial"/>
          <w:noProof/>
          <w:kern w:val="2"/>
          <w:sz w:val="22"/>
          <w:szCs w:val="22"/>
          <w:lang w:val="en-AU" w:eastAsia="en-AU"/>
          <w14:ligatures w14:val="standardContextual"/>
        </w:rPr>
      </w:pPr>
      <w:hyperlink w:anchor="_Toc145583286" w:history="1">
        <w:r w:rsidR="006B79CC" w:rsidRPr="007C747A">
          <w:rPr>
            <w:rFonts w:eastAsia="Times New Roman" w:cs="Arial"/>
            <w:noProof/>
            <w:sz w:val="22"/>
            <w:szCs w:val="22"/>
            <w:lang w:val="en-AU" w:eastAsia="en-US"/>
          </w:rPr>
          <w:t>5.</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noProof/>
            <w:sz w:val="22"/>
            <w:szCs w:val="22"/>
            <w:lang w:val="en-AU" w:eastAsia="en-US"/>
          </w:rPr>
          <w:t>Other Information</w:t>
        </w:r>
        <w:r w:rsidR="006B79CC" w:rsidRPr="007C747A">
          <w:rPr>
            <w:rFonts w:eastAsia="Times New Roman" w:cs="Arial"/>
            <w:noProof/>
            <w:webHidden/>
            <w:sz w:val="22"/>
            <w:szCs w:val="22"/>
            <w:lang w:val="en-AU" w:eastAsia="en-US"/>
          </w:rPr>
          <w:tab/>
        </w:r>
        <w:r w:rsidR="006B79CC" w:rsidRPr="007C747A">
          <w:rPr>
            <w:rFonts w:eastAsia="Times New Roman" w:cs="Arial"/>
            <w:noProof/>
            <w:webHidden/>
            <w:sz w:val="22"/>
            <w:szCs w:val="22"/>
            <w:lang w:val="en-AU" w:eastAsia="en-US"/>
          </w:rPr>
          <w:fldChar w:fldCharType="begin"/>
        </w:r>
        <w:r w:rsidR="006B79CC" w:rsidRPr="007C747A">
          <w:rPr>
            <w:rFonts w:eastAsia="Times New Roman" w:cs="Arial"/>
            <w:noProof/>
            <w:webHidden/>
            <w:sz w:val="22"/>
            <w:szCs w:val="22"/>
            <w:lang w:val="en-AU" w:eastAsia="en-US"/>
          </w:rPr>
          <w:instrText xml:space="preserve"> PAGEREF _Toc145583286 \h </w:instrText>
        </w:r>
        <w:r w:rsidR="006B79CC" w:rsidRPr="007C747A">
          <w:rPr>
            <w:rFonts w:eastAsia="Times New Roman" w:cs="Arial"/>
            <w:noProof/>
            <w:webHidden/>
            <w:sz w:val="22"/>
            <w:szCs w:val="22"/>
            <w:lang w:val="en-AU" w:eastAsia="en-US"/>
          </w:rPr>
        </w:r>
        <w:r w:rsidR="006B79CC" w:rsidRPr="007C747A">
          <w:rPr>
            <w:rFonts w:eastAsia="Times New Roman" w:cs="Arial"/>
            <w:noProof/>
            <w:webHidden/>
            <w:sz w:val="22"/>
            <w:szCs w:val="22"/>
            <w:lang w:val="en-AU" w:eastAsia="en-US"/>
          </w:rPr>
          <w:fldChar w:fldCharType="separate"/>
        </w:r>
        <w:r w:rsidR="005969AA" w:rsidRPr="007C747A">
          <w:rPr>
            <w:rFonts w:eastAsia="Times New Roman" w:cs="Arial"/>
            <w:noProof/>
            <w:webHidden/>
            <w:sz w:val="22"/>
            <w:szCs w:val="22"/>
            <w:lang w:val="en-AU" w:eastAsia="en-US"/>
          </w:rPr>
          <w:t>58</w:t>
        </w:r>
        <w:r w:rsidR="006B79CC" w:rsidRPr="007C747A">
          <w:rPr>
            <w:rFonts w:eastAsia="Times New Roman" w:cs="Arial"/>
            <w:noProof/>
            <w:webHidden/>
            <w:sz w:val="22"/>
            <w:szCs w:val="22"/>
            <w:lang w:val="en-AU" w:eastAsia="en-US"/>
          </w:rPr>
          <w:fldChar w:fldCharType="end"/>
        </w:r>
      </w:hyperlink>
    </w:p>
    <w:p w14:paraId="5DD99445" w14:textId="638EE31F" w:rsidR="006B79CC" w:rsidRPr="007C747A" w:rsidRDefault="00A21E0D" w:rsidP="00274F5A">
      <w:pPr>
        <w:tabs>
          <w:tab w:val="left" w:pos="880"/>
          <w:tab w:val="left" w:pos="9214"/>
          <w:tab w:val="right" w:pos="9356"/>
          <w:tab w:val="left" w:pos="9638"/>
        </w:tabs>
        <w:spacing w:before="120" w:after="0" w:line="260" w:lineRule="atLeast"/>
        <w:ind w:left="220"/>
        <w:rPr>
          <w:rFonts w:eastAsia="SimSun" w:cs="Arial"/>
          <w:noProof/>
          <w:kern w:val="2"/>
          <w:sz w:val="22"/>
          <w:szCs w:val="22"/>
          <w:lang w:val="en-AU" w:eastAsia="en-AU"/>
          <w14:ligatures w14:val="standardContextual"/>
        </w:rPr>
      </w:pPr>
      <w:hyperlink w:anchor="_Toc145583287" w:history="1">
        <w:r w:rsidR="006B79CC" w:rsidRPr="007C747A">
          <w:rPr>
            <w:rFonts w:eastAsia="Times New Roman" w:cs="Arial"/>
            <w:iCs/>
            <w:noProof/>
            <w:sz w:val="22"/>
            <w:szCs w:val="22"/>
            <w:lang w:val="en-AU" w:eastAsia="en-US"/>
            <w14:scene3d>
              <w14:camera w14:prst="orthographicFront"/>
              <w14:lightRig w14:rig="threePt" w14:dir="t">
                <w14:rot w14:lat="0" w14:lon="0" w14:rev="0"/>
              </w14:lightRig>
            </w14:scene3d>
          </w:rPr>
          <w:t>5.1.</w:t>
        </w:r>
        <w:r w:rsidR="006B79CC" w:rsidRPr="007C747A">
          <w:rPr>
            <w:rFonts w:eastAsia="SimSun" w:cs="Arial"/>
            <w:noProof/>
            <w:kern w:val="2"/>
            <w:sz w:val="22"/>
            <w:szCs w:val="22"/>
            <w:lang w:val="en-AU" w:eastAsia="en-AU"/>
            <w14:ligatures w14:val="standardContextual"/>
          </w:rPr>
          <w:tab/>
        </w:r>
        <w:r w:rsidR="006B79CC" w:rsidRPr="007C747A">
          <w:rPr>
            <w:rFonts w:eastAsia="Times New Roman" w:cs="Arial"/>
            <w:iCs/>
            <w:noProof/>
            <w:sz w:val="22"/>
            <w:szCs w:val="22"/>
            <w:lang w:val="en-AU" w:eastAsia="en-US"/>
          </w:rPr>
          <w:t>Current/Non-current Distinction for Assets and Liabilities</w:t>
        </w:r>
        <w:r w:rsidR="006B79CC" w:rsidRPr="007C747A">
          <w:rPr>
            <w:rFonts w:eastAsia="Times New Roman" w:cs="Arial"/>
            <w:iCs/>
            <w:noProof/>
            <w:webHidden/>
            <w:sz w:val="22"/>
            <w:szCs w:val="22"/>
            <w:lang w:val="en-AU" w:eastAsia="en-US"/>
          </w:rPr>
          <w:tab/>
        </w:r>
        <w:r w:rsidR="006B79CC" w:rsidRPr="007C747A">
          <w:rPr>
            <w:rFonts w:eastAsia="Times New Roman" w:cs="Arial"/>
            <w:iCs/>
            <w:noProof/>
            <w:webHidden/>
            <w:sz w:val="22"/>
            <w:szCs w:val="22"/>
            <w:lang w:val="en-AU" w:eastAsia="en-US"/>
          </w:rPr>
          <w:fldChar w:fldCharType="begin"/>
        </w:r>
        <w:r w:rsidR="006B79CC" w:rsidRPr="007C747A">
          <w:rPr>
            <w:rFonts w:eastAsia="Times New Roman" w:cs="Arial"/>
            <w:iCs/>
            <w:noProof/>
            <w:webHidden/>
            <w:sz w:val="22"/>
            <w:szCs w:val="22"/>
            <w:lang w:val="en-AU" w:eastAsia="en-US"/>
          </w:rPr>
          <w:instrText xml:space="preserve"> PAGEREF _Toc145583287 \h </w:instrText>
        </w:r>
        <w:r w:rsidR="006B79CC" w:rsidRPr="007C747A">
          <w:rPr>
            <w:rFonts w:eastAsia="Times New Roman" w:cs="Arial"/>
            <w:iCs/>
            <w:noProof/>
            <w:webHidden/>
            <w:sz w:val="22"/>
            <w:szCs w:val="22"/>
            <w:lang w:val="en-AU" w:eastAsia="en-US"/>
          </w:rPr>
        </w:r>
        <w:r w:rsidR="006B79CC" w:rsidRPr="007C747A">
          <w:rPr>
            <w:rFonts w:eastAsia="Times New Roman" w:cs="Arial"/>
            <w:iCs/>
            <w:noProof/>
            <w:webHidden/>
            <w:sz w:val="22"/>
            <w:szCs w:val="22"/>
            <w:lang w:val="en-AU" w:eastAsia="en-US"/>
          </w:rPr>
          <w:fldChar w:fldCharType="separate"/>
        </w:r>
        <w:r w:rsidR="005969AA" w:rsidRPr="007C747A">
          <w:rPr>
            <w:rFonts w:eastAsia="Times New Roman" w:cs="Arial"/>
            <w:iCs/>
            <w:noProof/>
            <w:webHidden/>
            <w:sz w:val="22"/>
            <w:szCs w:val="22"/>
            <w:lang w:val="en-AU" w:eastAsia="en-US"/>
          </w:rPr>
          <w:t>58</w:t>
        </w:r>
        <w:r w:rsidR="006B79CC" w:rsidRPr="007C747A">
          <w:rPr>
            <w:rFonts w:eastAsia="Times New Roman" w:cs="Arial"/>
            <w:iCs/>
            <w:noProof/>
            <w:webHidden/>
            <w:sz w:val="22"/>
            <w:szCs w:val="22"/>
            <w:lang w:val="en-AU" w:eastAsia="en-US"/>
          </w:rPr>
          <w:fldChar w:fldCharType="end"/>
        </w:r>
      </w:hyperlink>
    </w:p>
    <w:p w14:paraId="343434E6" w14:textId="7E5B6DF2" w:rsidR="00F2518A" w:rsidRPr="007C747A" w:rsidRDefault="006B79CC" w:rsidP="00274F5A">
      <w:pPr>
        <w:shd w:val="clear" w:color="auto" w:fill="FFFFFF"/>
        <w:tabs>
          <w:tab w:val="left" w:pos="9214"/>
        </w:tabs>
        <w:spacing w:after="0" w:line="240" w:lineRule="auto"/>
        <w:rPr>
          <w:rFonts w:ascii="Times New Roman" w:eastAsia="Times New Roman" w:hAnsi="Times New Roman"/>
          <w:sz w:val="22"/>
          <w:szCs w:val="20"/>
          <w:lang w:val="en-AU" w:eastAsia="en-US"/>
        </w:rPr>
        <w:sectPr w:rsidR="00F2518A" w:rsidRPr="007C747A">
          <w:headerReference w:type="even" r:id="rId39"/>
          <w:headerReference w:type="default" r:id="rId40"/>
          <w:headerReference w:type="first" r:id="rId41"/>
          <w:pgSz w:w="11906" w:h="16838" w:code="9"/>
          <w:pgMar w:top="1134" w:right="1134" w:bottom="1134" w:left="1134" w:header="958" w:footer="737" w:gutter="0"/>
          <w:cols w:space="708"/>
          <w:docGrid w:linePitch="360"/>
        </w:sectPr>
      </w:pPr>
      <w:r w:rsidRPr="007C747A">
        <w:rPr>
          <w:rFonts w:eastAsia="Times New Roman" w:cs="Arial"/>
          <w:noProof/>
          <w:sz w:val="22"/>
          <w:szCs w:val="22"/>
          <w:lang w:val="en-AU" w:eastAsia="en-US"/>
        </w:rPr>
        <w:fldChar w:fldCharType="end"/>
      </w:r>
    </w:p>
    <w:p w14:paraId="51DE194B" w14:textId="77777777" w:rsidR="00F2518A" w:rsidRPr="007C747A" w:rsidRDefault="00F2518A" w:rsidP="00F2518A">
      <w:pPr>
        <w:spacing w:after="0" w:line="240" w:lineRule="auto"/>
        <w:rPr>
          <w:rFonts w:ascii="Times New Roman" w:eastAsia="Times New Roman" w:hAnsi="Times New Roman" w:cs="Arial"/>
          <w:sz w:val="18"/>
          <w:szCs w:val="18"/>
          <w:lang w:val="en-AU" w:eastAsia="en-US"/>
        </w:rPr>
        <w:sectPr w:rsidR="00F2518A" w:rsidRPr="007C747A">
          <w:type w:val="continuous"/>
          <w:pgSz w:w="11906" w:h="16838" w:code="9"/>
          <w:pgMar w:top="1134" w:right="1700" w:bottom="1134" w:left="1134" w:header="958" w:footer="737" w:gutter="0"/>
          <w:cols w:space="708"/>
          <w:docGrid w:linePitch="360"/>
        </w:sectPr>
      </w:pPr>
      <w:r w:rsidRPr="007C747A">
        <w:rPr>
          <w:rFonts w:ascii="Times New Roman" w:eastAsia="Times New Roman" w:hAnsi="Times New Roman"/>
          <w:sz w:val="22"/>
          <w:szCs w:val="20"/>
          <w:lang w:val="en-AU" w:eastAsia="en-US"/>
        </w:rPr>
        <w:br w:type="page"/>
      </w:r>
      <w:bookmarkStart w:id="137" w:name="_Toc393360771"/>
      <w:bookmarkStart w:id="138" w:name="_Toc393784905"/>
    </w:p>
    <w:p w14:paraId="507D45DC" w14:textId="77777777" w:rsidR="00F2518A" w:rsidRPr="007C747A" w:rsidRDefault="00F2518A" w:rsidP="007E4E69">
      <w:pPr>
        <w:pStyle w:val="SectionHeading-NoNumber"/>
        <w:outlineLvl w:val="2"/>
      </w:pPr>
      <w:bookmarkStart w:id="139" w:name="_Toc443469521"/>
      <w:bookmarkStart w:id="140" w:name="_Toc444065769"/>
      <w:bookmarkStart w:id="141" w:name="_Toc444077331"/>
      <w:bookmarkStart w:id="142" w:name="_Toc447030534"/>
      <w:bookmarkStart w:id="143" w:name="_Toc447030686"/>
      <w:bookmarkStart w:id="144" w:name="_Toc447030779"/>
      <w:bookmarkStart w:id="145" w:name="_Toc65742842"/>
      <w:bookmarkStart w:id="146" w:name="_Toc145583269"/>
      <w:bookmarkStart w:id="147" w:name="_Toc145949749"/>
      <w:bookmarkStart w:id="148" w:name="_Toc146191212"/>
      <w:bookmarkStart w:id="149" w:name="_Toc146195312"/>
      <w:bookmarkStart w:id="150" w:name="_Toc146200281"/>
      <w:bookmarkStart w:id="151" w:name="_Toc146203436"/>
      <w:bookmarkStart w:id="152" w:name="_Toc146289444"/>
      <w:bookmarkStart w:id="153" w:name="_Toc146538793"/>
      <w:bookmarkStart w:id="154" w:name="_Toc146545530"/>
      <w:bookmarkStart w:id="155" w:name="_Toc147769228"/>
      <w:bookmarkStart w:id="156" w:name="_Toc147834875"/>
      <w:bookmarkStart w:id="157" w:name="_Toc147992016"/>
      <w:bookmarkStart w:id="158" w:name="_Toc148020777"/>
      <w:bookmarkStart w:id="159" w:name="_Toc148108396"/>
      <w:r w:rsidRPr="007C747A">
        <w:t>Overview</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7C747A">
        <w:rPr>
          <w:highlight w:val="darkMagenta"/>
        </w:rPr>
        <w:tab/>
      </w:r>
    </w:p>
    <w:p w14:paraId="70EDED2C" w14:textId="77777777" w:rsidR="00F2518A" w:rsidRPr="007C747A" w:rsidRDefault="00F2518A" w:rsidP="00F2518A">
      <w:pPr>
        <w:spacing w:after="120" w:line="120" w:lineRule="atLeast"/>
        <w:rPr>
          <w:rFonts w:eastAsia="Times New Roman"/>
          <w:b/>
          <w:bCs/>
          <w:sz w:val="4"/>
          <w:szCs w:val="4"/>
          <w:lang w:val="en-AU" w:eastAsia="en-US"/>
        </w:rPr>
      </w:pPr>
    </w:p>
    <w:p w14:paraId="72B0B288" w14:textId="77777777" w:rsidR="00F2518A" w:rsidRPr="007C747A" w:rsidRDefault="00F2518A" w:rsidP="007E4E69">
      <w:pPr>
        <w:spacing w:after="0" w:line="240" w:lineRule="auto"/>
        <w:jc w:val="both"/>
        <w:outlineLvl w:val="3"/>
        <w:rPr>
          <w:rFonts w:eastAsia="Times New Roman" w:cs="Arial"/>
          <w:b/>
          <w:bCs/>
          <w:color w:val="800080"/>
          <w:sz w:val="18"/>
          <w:szCs w:val="18"/>
          <w:lang w:val="en-AU" w:eastAsia="en-AU"/>
        </w:rPr>
      </w:pPr>
      <w:r w:rsidRPr="007C747A">
        <w:rPr>
          <w:rFonts w:eastAsia="Times New Roman" w:cs="Arial"/>
          <w:b/>
          <w:bCs/>
          <w:color w:val="800080"/>
          <w:sz w:val="18"/>
          <w:szCs w:val="18"/>
          <w:lang w:val="en-AU" w:eastAsia="en-AU"/>
        </w:rPr>
        <w:t>General information</w:t>
      </w:r>
    </w:p>
    <w:p w14:paraId="7FBE0DDA" w14:textId="77777777" w:rsidR="00F2518A" w:rsidRPr="007C747A" w:rsidRDefault="00F2518A" w:rsidP="00F2518A">
      <w:pPr>
        <w:spacing w:after="0" w:line="240" w:lineRule="auto"/>
        <w:jc w:val="both"/>
        <w:rPr>
          <w:rFonts w:eastAsia="Times New Roman" w:cs="Arial"/>
          <w:sz w:val="18"/>
          <w:szCs w:val="18"/>
          <w:lang w:val="en-AU" w:eastAsia="en-AU"/>
        </w:rPr>
      </w:pPr>
    </w:p>
    <w:p w14:paraId="39266D8A" w14:textId="77777777" w:rsidR="00F2518A" w:rsidRPr="007C747A" w:rsidRDefault="00F2518A" w:rsidP="00F2518A">
      <w:pPr>
        <w:tabs>
          <w:tab w:val="left" w:pos="9504"/>
        </w:tabs>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 xml:space="preserve">The National Disability Insurance Agency (‘the Agency’) was established on 29 March 2013 by the </w:t>
      </w:r>
      <w:r w:rsidRPr="007C747A">
        <w:rPr>
          <w:rFonts w:eastAsia="Times New Roman" w:cs="Arial"/>
          <w:i/>
          <w:sz w:val="18"/>
          <w:szCs w:val="18"/>
          <w:lang w:val="en-AU" w:eastAsia="en-AU"/>
        </w:rPr>
        <w:t>National Disability Insurance Scheme Act 2013</w:t>
      </w:r>
      <w:r w:rsidRPr="007C747A">
        <w:rPr>
          <w:rFonts w:eastAsia="Times New Roman" w:cs="Arial"/>
          <w:sz w:val="18"/>
          <w:szCs w:val="18"/>
          <w:lang w:val="en-AU" w:eastAsia="en-AU"/>
        </w:rPr>
        <w:t xml:space="preserve"> (‘the Act’). The Agency is an Australian Government controlled not-for-profit entity.</w:t>
      </w:r>
    </w:p>
    <w:p w14:paraId="12451F07" w14:textId="77777777" w:rsidR="00F2518A" w:rsidRPr="007C747A" w:rsidRDefault="00F2518A" w:rsidP="00F2518A">
      <w:pPr>
        <w:tabs>
          <w:tab w:val="left" w:pos="9504"/>
        </w:tabs>
        <w:spacing w:after="0" w:line="240" w:lineRule="auto"/>
        <w:jc w:val="both"/>
        <w:rPr>
          <w:rFonts w:eastAsia="Times New Roman" w:cs="Arial"/>
          <w:sz w:val="18"/>
          <w:szCs w:val="18"/>
          <w:lang w:val="en-AU" w:eastAsia="en-AU"/>
        </w:rPr>
      </w:pPr>
    </w:p>
    <w:p w14:paraId="00C4057F" w14:textId="77777777" w:rsidR="00F2518A" w:rsidRPr="007C747A" w:rsidRDefault="00F2518A" w:rsidP="00F2518A">
      <w:pPr>
        <w:tabs>
          <w:tab w:val="left" w:pos="7230"/>
          <w:tab w:val="left" w:pos="9504"/>
        </w:tabs>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Scheme has operations in all states and territories of Australia, with its national office at 13 – 19 Malop Street, Geelong, Victoria, 3220.</w:t>
      </w:r>
    </w:p>
    <w:p w14:paraId="7B138438" w14:textId="77777777" w:rsidR="00F2518A" w:rsidRPr="007C747A" w:rsidRDefault="00F2518A" w:rsidP="00F2518A">
      <w:pPr>
        <w:tabs>
          <w:tab w:val="left" w:pos="7230"/>
          <w:tab w:val="left" w:pos="9504"/>
        </w:tabs>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ab/>
      </w:r>
    </w:p>
    <w:p w14:paraId="36C44332" w14:textId="77777777" w:rsidR="00F2518A" w:rsidRPr="007C747A" w:rsidRDefault="00F2518A" w:rsidP="007E4E69">
      <w:pPr>
        <w:spacing w:after="0" w:line="240" w:lineRule="auto"/>
        <w:jc w:val="both"/>
        <w:outlineLvl w:val="3"/>
        <w:rPr>
          <w:rFonts w:eastAsia="Times New Roman" w:cs="Arial"/>
          <w:b/>
          <w:bCs/>
          <w:color w:val="800080"/>
          <w:sz w:val="18"/>
          <w:szCs w:val="18"/>
          <w:lang w:val="en-AU" w:eastAsia="en-AU"/>
        </w:rPr>
      </w:pPr>
      <w:r w:rsidRPr="007C747A">
        <w:rPr>
          <w:rFonts w:eastAsia="Times New Roman" w:cs="Arial"/>
          <w:b/>
          <w:bCs/>
          <w:color w:val="800080"/>
          <w:sz w:val="18"/>
          <w:szCs w:val="18"/>
          <w:lang w:val="en-AU" w:eastAsia="en-AU"/>
        </w:rPr>
        <w:t>Objectives of the Agency</w:t>
      </w:r>
    </w:p>
    <w:p w14:paraId="225294EE" w14:textId="77777777" w:rsidR="00F2518A" w:rsidRPr="007C747A" w:rsidRDefault="00F2518A" w:rsidP="00F2518A">
      <w:pPr>
        <w:spacing w:after="0" w:line="240" w:lineRule="auto"/>
        <w:jc w:val="both"/>
        <w:rPr>
          <w:rFonts w:eastAsia="Times New Roman" w:cs="Arial"/>
          <w:sz w:val="18"/>
          <w:szCs w:val="18"/>
          <w:lang w:val="en-AU" w:eastAsia="en-AU"/>
        </w:rPr>
      </w:pPr>
    </w:p>
    <w:p w14:paraId="5528380A" w14:textId="77777777" w:rsidR="00F2518A" w:rsidRPr="007C747A" w:rsidRDefault="00F2518A" w:rsidP="00F2518A">
      <w:pPr>
        <w:spacing w:after="0" w:line="240" w:lineRule="auto"/>
        <w:jc w:val="both"/>
        <w:rPr>
          <w:rFonts w:eastAsia="Times New Roman" w:cs="Arial"/>
          <w:sz w:val="18"/>
          <w:szCs w:val="18"/>
          <w:highlight w:val="cyan"/>
          <w:lang w:val="en-AU" w:eastAsia="en-AU"/>
        </w:rPr>
      </w:pPr>
      <w:r w:rsidRPr="007C747A">
        <w:rPr>
          <w:rFonts w:eastAsia="Times New Roman" w:cs="Arial"/>
          <w:sz w:val="18"/>
          <w:szCs w:val="18"/>
          <w:lang w:val="en-AU" w:eastAsia="en-AU"/>
        </w:rPr>
        <w:t xml:space="preserve">The objective of the Agency is to operate under the Act, and in conjunction with other legislation, to give effect to Australia’s obligations under the Convention on the Rights of Persons with Disabilities. In doing so, the Agency supports the independence, social and economic participation of people with a disability. </w:t>
      </w:r>
    </w:p>
    <w:p w14:paraId="02FABFB6" w14:textId="77777777" w:rsidR="00F2518A" w:rsidRPr="007C747A" w:rsidRDefault="00F2518A" w:rsidP="00F2518A">
      <w:pPr>
        <w:spacing w:after="0" w:line="240" w:lineRule="auto"/>
        <w:jc w:val="both"/>
        <w:rPr>
          <w:rFonts w:eastAsia="Times New Roman" w:cs="Arial"/>
          <w:sz w:val="18"/>
          <w:szCs w:val="18"/>
          <w:lang w:val="en-AU" w:eastAsia="en-AU"/>
        </w:rPr>
      </w:pPr>
    </w:p>
    <w:p w14:paraId="6899680E" w14:textId="77777777" w:rsidR="00F2518A" w:rsidRPr="007C747A" w:rsidRDefault="00F2518A" w:rsidP="00F2518A">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Agency is structured to meet the following outcome:</w:t>
      </w:r>
    </w:p>
    <w:p w14:paraId="6039D11B" w14:textId="77777777" w:rsidR="00F2518A" w:rsidRPr="007C747A" w:rsidRDefault="00F2518A" w:rsidP="00F2518A">
      <w:pPr>
        <w:spacing w:after="0" w:line="240" w:lineRule="auto"/>
        <w:jc w:val="both"/>
        <w:rPr>
          <w:rFonts w:eastAsia="Times New Roman" w:cs="Arial"/>
          <w:sz w:val="18"/>
          <w:szCs w:val="18"/>
          <w:lang w:val="en-AU" w:eastAsia="en-AU"/>
        </w:rPr>
      </w:pPr>
    </w:p>
    <w:p w14:paraId="2517D87E" w14:textId="77777777" w:rsidR="00F2518A" w:rsidRPr="007C747A" w:rsidRDefault="00F2518A" w:rsidP="00F2518A">
      <w:pPr>
        <w:spacing w:after="0" w:line="240" w:lineRule="auto"/>
        <w:jc w:val="both"/>
        <w:rPr>
          <w:rFonts w:eastAsia="Times New Roman" w:cs="Arial"/>
          <w:i/>
          <w:sz w:val="18"/>
          <w:szCs w:val="18"/>
          <w:lang w:val="en-AU" w:eastAsia="en-AU"/>
        </w:rPr>
      </w:pPr>
      <w:r w:rsidRPr="007C747A">
        <w:rPr>
          <w:rFonts w:eastAsia="Times New Roman" w:cs="Arial"/>
          <w:i/>
          <w:sz w:val="18"/>
          <w:szCs w:val="18"/>
          <w:lang w:val="en-AU" w:eastAsia="en-AU"/>
        </w:rPr>
        <w:t>To implement a National Disability Insurance Scheme that provides individual control and choice in the delivery of reasonable and necessary supports to improve the independence, social and economic participation of eligible people with disability, their families and carers, and associated referral services and activities.</w:t>
      </w:r>
    </w:p>
    <w:p w14:paraId="1ED931E4" w14:textId="77777777" w:rsidR="00F2518A" w:rsidRPr="007C747A" w:rsidRDefault="00F2518A" w:rsidP="00F2518A">
      <w:pPr>
        <w:spacing w:after="0" w:line="240" w:lineRule="auto"/>
        <w:jc w:val="both"/>
        <w:rPr>
          <w:rFonts w:eastAsia="Times New Roman" w:cs="Arial"/>
          <w:sz w:val="18"/>
          <w:szCs w:val="18"/>
          <w:lang w:val="en-AU" w:eastAsia="en-AU"/>
        </w:rPr>
      </w:pPr>
    </w:p>
    <w:p w14:paraId="0D5BC2AF" w14:textId="77777777" w:rsidR="00F2518A" w:rsidRPr="007C747A" w:rsidRDefault="00F2518A" w:rsidP="00F2518A">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continued existence of the Agency in its present form and with its present programs is dependent on Commonwealth Government policy, continuing funding by Parliament for the Agency’s administration and programs and agreement with state and territory governments. States and territories have continued to provide funding as set out in the bilateral agreements between each state and territory and the Commonwealth.</w:t>
      </w:r>
    </w:p>
    <w:p w14:paraId="144878A9" w14:textId="77777777" w:rsidR="00F2518A" w:rsidRPr="007C747A" w:rsidRDefault="00F2518A" w:rsidP="00F2518A">
      <w:pPr>
        <w:spacing w:after="0" w:line="240" w:lineRule="auto"/>
        <w:jc w:val="both"/>
        <w:rPr>
          <w:rFonts w:eastAsia="Times New Roman" w:cs="Arial"/>
          <w:sz w:val="18"/>
          <w:szCs w:val="18"/>
          <w:lang w:val="en-AU" w:eastAsia="en-AU"/>
        </w:rPr>
      </w:pPr>
    </w:p>
    <w:p w14:paraId="3B49B101" w14:textId="77777777" w:rsidR="00F2518A" w:rsidRPr="007C747A" w:rsidRDefault="00F2518A" w:rsidP="007E4E69">
      <w:pPr>
        <w:spacing w:after="0" w:line="240" w:lineRule="auto"/>
        <w:jc w:val="both"/>
        <w:outlineLvl w:val="3"/>
        <w:rPr>
          <w:rFonts w:eastAsia="Times New Roman" w:cs="Arial"/>
          <w:b/>
          <w:bCs/>
          <w:color w:val="800080"/>
          <w:sz w:val="18"/>
          <w:szCs w:val="18"/>
          <w:lang w:val="en-AU" w:eastAsia="en-AU"/>
        </w:rPr>
      </w:pPr>
      <w:r w:rsidRPr="007C747A">
        <w:rPr>
          <w:rFonts w:eastAsia="Times New Roman" w:cs="Arial"/>
          <w:b/>
          <w:bCs/>
          <w:color w:val="800080"/>
          <w:sz w:val="18"/>
          <w:szCs w:val="18"/>
          <w:lang w:val="en-AU" w:eastAsia="en-AU"/>
        </w:rPr>
        <w:t>The Basis of Preparation</w:t>
      </w:r>
    </w:p>
    <w:p w14:paraId="15184364" w14:textId="77777777" w:rsidR="00F2518A" w:rsidRPr="007C747A" w:rsidRDefault="00F2518A" w:rsidP="00F2518A">
      <w:pPr>
        <w:spacing w:after="0" w:line="240" w:lineRule="auto"/>
        <w:jc w:val="both"/>
        <w:rPr>
          <w:rFonts w:eastAsia="Times New Roman" w:cs="Arial"/>
          <w:sz w:val="18"/>
          <w:szCs w:val="18"/>
          <w:lang w:val="en-AU" w:eastAsia="en-AU"/>
        </w:rPr>
      </w:pPr>
    </w:p>
    <w:p w14:paraId="5EDE0681" w14:textId="77777777" w:rsidR="00F2518A" w:rsidRPr="007C747A" w:rsidRDefault="00F2518A" w:rsidP="00F2518A">
      <w:pPr>
        <w:spacing w:after="0" w:line="240" w:lineRule="auto"/>
        <w:jc w:val="both"/>
        <w:rPr>
          <w:rFonts w:eastAsia="Times New Roman" w:cs="Arial"/>
          <w:bCs/>
          <w:sz w:val="18"/>
          <w:szCs w:val="18"/>
          <w:lang w:val="en-AU" w:eastAsia="en-AU"/>
        </w:rPr>
      </w:pPr>
      <w:r w:rsidRPr="007C747A">
        <w:rPr>
          <w:rFonts w:eastAsia="Times New Roman" w:cs="Arial"/>
          <w:bCs/>
          <w:sz w:val="18"/>
          <w:szCs w:val="18"/>
          <w:lang w:val="en-AU" w:eastAsia="en-AU"/>
        </w:rPr>
        <w:t xml:space="preserve">The financial statements are required by section 42 of the </w:t>
      </w:r>
      <w:r w:rsidRPr="007C747A">
        <w:rPr>
          <w:rFonts w:eastAsia="Times New Roman" w:cs="Arial"/>
          <w:bCs/>
          <w:i/>
          <w:sz w:val="18"/>
          <w:szCs w:val="18"/>
          <w:lang w:val="en-AU" w:eastAsia="en-AU"/>
        </w:rPr>
        <w:t>Public Governance, Performance and Accountability Act 2013</w:t>
      </w:r>
      <w:r w:rsidRPr="007C747A">
        <w:rPr>
          <w:rFonts w:eastAsia="Times New Roman" w:cs="Arial"/>
          <w:bCs/>
          <w:sz w:val="18"/>
          <w:szCs w:val="18"/>
          <w:lang w:val="en-AU" w:eastAsia="en-AU"/>
        </w:rPr>
        <w:t>.</w:t>
      </w:r>
    </w:p>
    <w:p w14:paraId="06AC5F07" w14:textId="77777777" w:rsidR="00F2518A" w:rsidRPr="007C747A" w:rsidRDefault="00F2518A" w:rsidP="00F2518A">
      <w:pPr>
        <w:spacing w:after="0" w:line="240" w:lineRule="auto"/>
        <w:jc w:val="both"/>
        <w:rPr>
          <w:rFonts w:eastAsia="Times New Roman" w:cs="Arial"/>
          <w:sz w:val="18"/>
          <w:szCs w:val="18"/>
          <w:lang w:val="en-AU" w:eastAsia="en-AU"/>
        </w:rPr>
      </w:pPr>
    </w:p>
    <w:p w14:paraId="1DC6530E" w14:textId="77777777" w:rsidR="00F2518A" w:rsidRPr="007C747A" w:rsidRDefault="00F2518A" w:rsidP="00F2518A">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financial statements have been prepared in accordance with:</w:t>
      </w:r>
    </w:p>
    <w:p w14:paraId="5C6D0CD0" w14:textId="77777777" w:rsidR="00F2518A" w:rsidRPr="007C747A" w:rsidRDefault="00F2518A" w:rsidP="001E2D18">
      <w:pPr>
        <w:numPr>
          <w:ilvl w:val="0"/>
          <w:numId w:val="38"/>
        </w:numPr>
        <w:spacing w:after="0" w:line="240" w:lineRule="auto"/>
        <w:contextualSpacing/>
        <w:jc w:val="both"/>
        <w:rPr>
          <w:rFonts w:eastAsia="Times New Roman" w:cs="Arial"/>
          <w:sz w:val="18"/>
          <w:szCs w:val="18"/>
          <w:lang w:val="en-AU" w:eastAsia="en-AU"/>
        </w:rPr>
      </w:pPr>
      <w:r w:rsidRPr="007C747A">
        <w:rPr>
          <w:rFonts w:eastAsia="Times New Roman" w:cs="Arial"/>
          <w:i/>
          <w:sz w:val="18"/>
          <w:szCs w:val="18"/>
          <w:lang w:val="en-AU" w:eastAsia="en-AU"/>
        </w:rPr>
        <w:t>Public Governance, Performance and Accountability (Financial Reporting) Rule 2015</w:t>
      </w:r>
      <w:r w:rsidRPr="007C747A">
        <w:rPr>
          <w:rFonts w:eastAsia="Times New Roman" w:cs="Arial"/>
          <w:sz w:val="18"/>
          <w:szCs w:val="18"/>
          <w:lang w:val="en-AU" w:eastAsia="en-AU"/>
        </w:rPr>
        <w:t xml:space="preserve"> (FRR); and  </w:t>
      </w:r>
    </w:p>
    <w:p w14:paraId="5E916166" w14:textId="77777777" w:rsidR="00F2518A" w:rsidRPr="007C747A" w:rsidRDefault="00F2518A" w:rsidP="001E2D18">
      <w:pPr>
        <w:numPr>
          <w:ilvl w:val="0"/>
          <w:numId w:val="38"/>
        </w:numPr>
        <w:spacing w:after="0" w:line="240" w:lineRule="auto"/>
        <w:contextualSpacing/>
        <w:jc w:val="both"/>
        <w:rPr>
          <w:rFonts w:eastAsia="Times New Roman" w:cs="Arial"/>
          <w:sz w:val="18"/>
          <w:szCs w:val="18"/>
          <w:lang w:val="en-AU" w:eastAsia="en-AU"/>
        </w:rPr>
      </w:pPr>
      <w:r w:rsidRPr="007C747A">
        <w:rPr>
          <w:rFonts w:eastAsia="Times New Roman" w:cs="Arial"/>
          <w:sz w:val="18"/>
          <w:szCs w:val="18"/>
          <w:lang w:val="en-AU" w:eastAsia="en-AU"/>
        </w:rPr>
        <w:t>Australian Accounting Standards and Interpretations – including simplified disclosures for Tier 2 Entities under AASB 1060 issued by the Australian Accounting Standards Board (AASB) that apply for the reporting period.</w:t>
      </w:r>
      <w:r w:rsidRPr="007C747A">
        <w:rPr>
          <w:rFonts w:eastAsia="Times New Roman" w:cs="Arial"/>
          <w:sz w:val="18"/>
          <w:szCs w:val="18"/>
          <w:lang w:val="en-AU" w:eastAsia="en-AU"/>
        </w:rPr>
        <w:tab/>
      </w:r>
    </w:p>
    <w:p w14:paraId="0A527E18" w14:textId="77777777" w:rsidR="00F2518A" w:rsidRPr="007C747A" w:rsidRDefault="00F2518A" w:rsidP="00F2518A">
      <w:pPr>
        <w:spacing w:after="0" w:line="240" w:lineRule="auto"/>
        <w:jc w:val="both"/>
        <w:rPr>
          <w:rFonts w:eastAsia="Times New Roman" w:cs="Arial"/>
          <w:sz w:val="18"/>
          <w:szCs w:val="18"/>
          <w:lang w:val="en-AU" w:eastAsia="en-AU"/>
        </w:rPr>
      </w:pPr>
    </w:p>
    <w:p w14:paraId="19BC11BF" w14:textId="77777777" w:rsidR="00F2518A" w:rsidRPr="007C747A" w:rsidRDefault="00F2518A" w:rsidP="00F2518A">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financial statements have been prepared on an accrual basis and in accordance with the historical cost convention, except for certain assets and liabilities, which are measured at fair value. Except where stated, no allowance is made for the effect of changing prices on the results or the financial position. The financial statements are presented in Australian dollars and values are rounded to the nearest thousand dollars, unless otherwise specified.</w:t>
      </w:r>
    </w:p>
    <w:p w14:paraId="5F019A9C" w14:textId="46157FD4" w:rsidR="00F2518A" w:rsidRPr="007C747A" w:rsidRDefault="00F2518A" w:rsidP="00F2518A">
      <w:pPr>
        <w:spacing w:after="0" w:line="240" w:lineRule="auto"/>
        <w:jc w:val="both"/>
        <w:rPr>
          <w:rFonts w:eastAsia="Times New Roman" w:cs="Arial"/>
          <w:sz w:val="18"/>
          <w:szCs w:val="18"/>
          <w:lang w:val="en-AU" w:eastAsia="en-AU"/>
        </w:rPr>
      </w:pPr>
    </w:p>
    <w:p w14:paraId="5B9544C9" w14:textId="77777777" w:rsidR="00F2518A" w:rsidRPr="007C747A" w:rsidRDefault="00F2518A" w:rsidP="007E4E69">
      <w:pPr>
        <w:spacing w:after="0" w:line="240" w:lineRule="auto"/>
        <w:outlineLvl w:val="3"/>
        <w:rPr>
          <w:rFonts w:eastAsia="Times New Roman" w:cs="Arial"/>
          <w:b/>
          <w:bCs/>
          <w:color w:val="800080"/>
          <w:sz w:val="18"/>
          <w:szCs w:val="18"/>
          <w:lang w:val="en-AU" w:eastAsia="en-AU"/>
        </w:rPr>
      </w:pPr>
      <w:r w:rsidRPr="007C747A">
        <w:rPr>
          <w:rFonts w:eastAsia="Times New Roman" w:cs="Arial"/>
          <w:b/>
          <w:bCs/>
          <w:color w:val="800080"/>
          <w:sz w:val="18"/>
          <w:szCs w:val="18"/>
          <w:lang w:val="en-AU" w:eastAsia="en-AU"/>
        </w:rPr>
        <w:t>New Accounting Standards</w:t>
      </w:r>
    </w:p>
    <w:p w14:paraId="087CC55D" w14:textId="77777777" w:rsidR="00F2518A" w:rsidRPr="007C747A" w:rsidRDefault="00F2518A" w:rsidP="00F2518A">
      <w:pPr>
        <w:spacing w:after="0" w:line="260" w:lineRule="atLeast"/>
        <w:jc w:val="both"/>
        <w:rPr>
          <w:rFonts w:eastAsia="Times New Roman" w:cs="Arial"/>
          <w:sz w:val="18"/>
          <w:szCs w:val="18"/>
          <w:lang w:val="en-AU" w:eastAsia="en-AU"/>
        </w:rPr>
      </w:pPr>
    </w:p>
    <w:p w14:paraId="35AC3B4E" w14:textId="77777777" w:rsidR="00F2518A" w:rsidRPr="007C747A" w:rsidRDefault="00F2518A" w:rsidP="00F2518A">
      <w:pPr>
        <w:spacing w:after="0" w:line="260" w:lineRule="atLeast"/>
        <w:jc w:val="both"/>
        <w:rPr>
          <w:rFonts w:eastAsia="Times New Roman" w:cs="Arial"/>
          <w:sz w:val="18"/>
          <w:szCs w:val="18"/>
          <w:lang w:val="en-AU" w:eastAsia="en-AU"/>
        </w:rPr>
      </w:pPr>
      <w:r w:rsidRPr="007C747A">
        <w:rPr>
          <w:rFonts w:eastAsia="Times New Roman" w:cs="Arial"/>
          <w:sz w:val="18"/>
          <w:szCs w:val="18"/>
          <w:lang w:val="en-AU" w:eastAsia="en-AU"/>
        </w:rPr>
        <w:t xml:space="preserve">Two amending standards (AASB 2021-2 and AASB 2021-6) were adopted earlier than the application date as stated in the standard. These amending standards have been adopted for the 2022-23 reporting period. </w:t>
      </w:r>
    </w:p>
    <w:p w14:paraId="2B6BF3DB" w14:textId="77777777" w:rsidR="00F2518A" w:rsidRPr="007C747A" w:rsidRDefault="00F2518A" w:rsidP="00F2518A">
      <w:pPr>
        <w:spacing w:after="0" w:line="260" w:lineRule="atLeast"/>
        <w:jc w:val="both"/>
        <w:rPr>
          <w:rFonts w:eastAsia="Times New Roman" w:cs="Arial"/>
          <w:sz w:val="18"/>
          <w:szCs w:val="18"/>
          <w:lang w:val="en-AU" w:eastAsia="en-AU"/>
        </w:rPr>
      </w:pPr>
    </w:p>
    <w:p w14:paraId="6776EE33" w14:textId="77777777" w:rsidR="00F2518A" w:rsidRPr="007C747A" w:rsidRDefault="00F2518A" w:rsidP="00F2518A">
      <w:pPr>
        <w:spacing w:after="0" w:line="260" w:lineRule="atLeast"/>
        <w:jc w:val="both"/>
        <w:rPr>
          <w:rFonts w:eastAsia="Times New Roman" w:cs="Arial"/>
          <w:sz w:val="18"/>
          <w:szCs w:val="18"/>
          <w:lang w:val="en-AU" w:eastAsia="en-AU"/>
        </w:rPr>
      </w:pPr>
      <w:r w:rsidRPr="007C747A">
        <w:rPr>
          <w:rFonts w:eastAsia="Times New Roman" w:cs="Arial"/>
          <w:sz w:val="18"/>
          <w:szCs w:val="18"/>
          <w:lang w:val="en-AU" w:eastAsia="en-AU"/>
        </w:rPr>
        <w:t>The following amending standards were issued prior to the signing of the statement by the accountable authority and chief financial officer, were applicable to the current reporting period and had no material effect on the entity’s financial statements:</w:t>
      </w:r>
    </w:p>
    <w:p w14:paraId="1BE10316" w14:textId="032D1EBE" w:rsidR="00FA114E" w:rsidRPr="007C747A" w:rsidRDefault="00FA114E">
      <w:pPr>
        <w:spacing w:after="0" w:line="240" w:lineRule="auto"/>
        <w:rPr>
          <w:rFonts w:eastAsia="Times New Roman" w:cs="Arial"/>
          <w:sz w:val="18"/>
          <w:szCs w:val="18"/>
          <w:lang w:val="en-AU" w:eastAsia="en-AU"/>
        </w:rPr>
      </w:pPr>
      <w:r w:rsidRPr="007C747A">
        <w:rPr>
          <w:rFonts w:eastAsia="Times New Roman" w:cs="Arial"/>
          <w:sz w:val="18"/>
          <w:szCs w:val="18"/>
          <w:lang w:val="en-AU" w:eastAsia="en-AU"/>
        </w:rPr>
        <w:br w:type="page"/>
      </w:r>
    </w:p>
    <w:tbl>
      <w:tblPr>
        <w:tblStyle w:val="TableGrid5"/>
        <w:tblW w:w="9491" w:type="dxa"/>
        <w:tblBorders>
          <w:top w:val="single" w:sz="24" w:space="0" w:color="auto"/>
          <w:left w:val="none" w:sz="0" w:space="0" w:color="auto"/>
          <w:bottom w:val="single" w:sz="24" w:space="0" w:color="auto"/>
          <w:right w:val="none" w:sz="0" w:space="0" w:color="auto"/>
          <w:insideH w:val="single" w:sz="24" w:space="0" w:color="auto"/>
          <w:insideV w:val="single" w:sz="12" w:space="0" w:color="808080"/>
        </w:tblBorders>
        <w:tblLayout w:type="fixed"/>
        <w:tblLook w:val="04A0" w:firstRow="1" w:lastRow="0" w:firstColumn="1" w:lastColumn="0" w:noHBand="0" w:noVBand="1"/>
      </w:tblPr>
      <w:tblGrid>
        <w:gridCol w:w="3595"/>
        <w:gridCol w:w="5896"/>
      </w:tblGrid>
      <w:tr w:rsidR="00F2518A" w:rsidRPr="007C747A" w14:paraId="47050DE0" w14:textId="77777777" w:rsidTr="00F2518A">
        <w:trPr>
          <w:trHeight w:val="724"/>
        </w:trPr>
        <w:tc>
          <w:tcPr>
            <w:tcW w:w="3595" w:type="dxa"/>
          </w:tcPr>
          <w:p w14:paraId="2911B615" w14:textId="77777777" w:rsidR="00F2518A" w:rsidRPr="007C747A" w:rsidRDefault="00F2518A" w:rsidP="00F2518A">
            <w:pPr>
              <w:spacing w:after="0" w:line="260" w:lineRule="atLeast"/>
              <w:jc w:val="both"/>
              <w:rPr>
                <w:rFonts w:cs="Arial"/>
                <w:color w:val="000000"/>
                <w:sz w:val="18"/>
                <w:szCs w:val="18"/>
                <w:lang w:val="en-AU" w:eastAsia="en-AU" w:bidi="th-TH"/>
              </w:rPr>
            </w:pPr>
          </w:p>
          <w:p w14:paraId="278301E5" w14:textId="77777777" w:rsidR="00F2518A" w:rsidRPr="007C747A" w:rsidRDefault="00F2518A" w:rsidP="00F2518A">
            <w:pPr>
              <w:spacing w:after="0" w:line="260" w:lineRule="atLeast"/>
              <w:jc w:val="both"/>
              <w:rPr>
                <w:rFonts w:cs="Arial"/>
                <w:sz w:val="18"/>
                <w:szCs w:val="18"/>
                <w:lang w:val="en-AU" w:eastAsia="en-AU"/>
              </w:rPr>
            </w:pPr>
            <w:r w:rsidRPr="007C747A">
              <w:rPr>
                <w:rFonts w:cs="Arial"/>
                <w:color w:val="000000"/>
                <w:sz w:val="18"/>
                <w:szCs w:val="18"/>
                <w:lang w:val="en-AU" w:eastAsia="en-AU" w:bidi="th-TH"/>
              </w:rPr>
              <w:t>Standard/ Interpretation</w:t>
            </w:r>
          </w:p>
        </w:tc>
        <w:tc>
          <w:tcPr>
            <w:tcW w:w="5896" w:type="dxa"/>
          </w:tcPr>
          <w:p w14:paraId="67EC85DB" w14:textId="77777777" w:rsidR="00F2518A" w:rsidRPr="007C747A" w:rsidRDefault="00F2518A" w:rsidP="00F2518A">
            <w:pPr>
              <w:spacing w:after="0" w:line="260" w:lineRule="atLeast"/>
              <w:jc w:val="both"/>
              <w:rPr>
                <w:rFonts w:cs="Arial"/>
                <w:color w:val="000000"/>
                <w:sz w:val="18"/>
                <w:szCs w:val="18"/>
                <w:lang w:val="en-AU" w:eastAsia="en-AU" w:bidi="th-TH"/>
              </w:rPr>
            </w:pPr>
          </w:p>
          <w:p w14:paraId="77D81053" w14:textId="77777777" w:rsidR="00F2518A" w:rsidRPr="007C747A" w:rsidRDefault="00F2518A" w:rsidP="00F2518A">
            <w:pPr>
              <w:spacing w:after="0" w:line="260" w:lineRule="atLeast"/>
              <w:jc w:val="both"/>
              <w:rPr>
                <w:rFonts w:cs="Arial"/>
                <w:color w:val="000000"/>
                <w:sz w:val="18"/>
                <w:szCs w:val="18"/>
                <w:lang w:val="en-AU" w:eastAsia="en-AU" w:bidi="th-TH"/>
              </w:rPr>
            </w:pPr>
            <w:r w:rsidRPr="007C747A">
              <w:rPr>
                <w:rFonts w:cs="Arial"/>
                <w:color w:val="000000"/>
                <w:sz w:val="18"/>
                <w:szCs w:val="18"/>
                <w:lang w:val="en-AU" w:eastAsia="en-AU" w:bidi="th-TH"/>
              </w:rPr>
              <w:t>Nature of change in accounting policy, transitional provisions, and adjustment to financial statements</w:t>
            </w:r>
          </w:p>
          <w:p w14:paraId="36F74454" w14:textId="77777777" w:rsidR="00F2518A" w:rsidRPr="007C747A" w:rsidRDefault="00F2518A" w:rsidP="00F2518A">
            <w:pPr>
              <w:spacing w:after="0" w:line="260" w:lineRule="atLeast"/>
              <w:jc w:val="both"/>
              <w:rPr>
                <w:rFonts w:cs="Arial"/>
                <w:sz w:val="18"/>
                <w:szCs w:val="18"/>
                <w:lang w:val="en-AU" w:eastAsia="en-AU"/>
              </w:rPr>
            </w:pPr>
          </w:p>
        </w:tc>
      </w:tr>
      <w:tr w:rsidR="00F2518A" w:rsidRPr="007C747A" w14:paraId="4598CC78" w14:textId="77777777" w:rsidTr="00F2518A">
        <w:trPr>
          <w:trHeight w:val="3948"/>
        </w:trPr>
        <w:tc>
          <w:tcPr>
            <w:tcW w:w="3595" w:type="dxa"/>
          </w:tcPr>
          <w:p w14:paraId="27F22F88" w14:textId="77777777" w:rsidR="00F2518A" w:rsidRPr="007C747A" w:rsidRDefault="00F2518A" w:rsidP="00F2518A">
            <w:pPr>
              <w:spacing w:after="0" w:line="260" w:lineRule="atLeast"/>
              <w:jc w:val="both"/>
              <w:rPr>
                <w:rFonts w:cs="Arial"/>
                <w:color w:val="000000"/>
                <w:sz w:val="18"/>
                <w:szCs w:val="18"/>
                <w:lang w:val="en-AU" w:eastAsia="en-AU" w:bidi="th-TH"/>
              </w:rPr>
            </w:pPr>
          </w:p>
          <w:p w14:paraId="11163021" w14:textId="77777777" w:rsidR="00F2518A" w:rsidRPr="007C747A" w:rsidRDefault="00F2518A" w:rsidP="00F2518A">
            <w:pPr>
              <w:spacing w:after="0" w:line="260" w:lineRule="atLeast"/>
              <w:jc w:val="both"/>
              <w:rPr>
                <w:rFonts w:cs="Arial"/>
                <w:color w:val="000000"/>
                <w:sz w:val="18"/>
                <w:szCs w:val="18"/>
                <w:lang w:val="en-AU" w:eastAsia="en-AU" w:bidi="th-TH"/>
              </w:rPr>
            </w:pPr>
            <w:r w:rsidRPr="007C747A">
              <w:rPr>
                <w:rFonts w:cs="Arial"/>
                <w:color w:val="000000"/>
                <w:sz w:val="18"/>
                <w:szCs w:val="18"/>
                <w:lang w:val="en-AU" w:eastAsia="en-AU" w:bidi="th-TH"/>
              </w:rPr>
              <w:t xml:space="preserve">AASB 2021-2 </w:t>
            </w:r>
            <w:r w:rsidRPr="007C747A">
              <w:rPr>
                <w:rFonts w:cs="Arial"/>
                <w:i/>
                <w:iCs/>
                <w:color w:val="000000"/>
                <w:sz w:val="18"/>
                <w:szCs w:val="18"/>
                <w:lang w:val="en-AU" w:eastAsia="en-AU" w:bidi="th-TH"/>
              </w:rPr>
              <w:t>Amendments to Australian Accounting Standards – Disclosure of Accounting Policies and Definition of Accounting Estimates</w:t>
            </w:r>
            <w:r w:rsidRPr="007C747A">
              <w:rPr>
                <w:rFonts w:cs="Arial"/>
                <w:color w:val="000000"/>
                <w:sz w:val="18"/>
                <w:szCs w:val="18"/>
                <w:lang w:val="en-AU" w:eastAsia="en-AU" w:bidi="th-TH"/>
              </w:rPr>
              <w:t xml:space="preserve"> (AASB 2021-2) </w:t>
            </w:r>
          </w:p>
          <w:p w14:paraId="1B410C8D" w14:textId="77777777" w:rsidR="00F2518A" w:rsidRPr="007C747A" w:rsidRDefault="00F2518A" w:rsidP="00F2518A">
            <w:pPr>
              <w:spacing w:after="0" w:line="260" w:lineRule="atLeast"/>
              <w:jc w:val="both"/>
              <w:rPr>
                <w:rFonts w:cs="Arial"/>
                <w:color w:val="000000"/>
                <w:sz w:val="18"/>
                <w:szCs w:val="18"/>
                <w:lang w:val="en-AU" w:eastAsia="en-AU" w:bidi="th-TH"/>
              </w:rPr>
            </w:pPr>
          </w:p>
          <w:p w14:paraId="298B374B" w14:textId="77777777" w:rsidR="00F2518A" w:rsidRPr="007C747A" w:rsidRDefault="00F2518A" w:rsidP="00F2518A">
            <w:pPr>
              <w:spacing w:after="0" w:line="260" w:lineRule="atLeast"/>
              <w:jc w:val="both"/>
              <w:rPr>
                <w:rFonts w:cs="Arial"/>
                <w:color w:val="000000"/>
                <w:sz w:val="18"/>
                <w:szCs w:val="18"/>
                <w:lang w:val="en-AU" w:eastAsia="en-AU" w:bidi="th-TH"/>
              </w:rPr>
            </w:pPr>
          </w:p>
          <w:p w14:paraId="5CD50951" w14:textId="77777777" w:rsidR="00F2518A" w:rsidRPr="007C747A" w:rsidRDefault="00F2518A" w:rsidP="00F2518A">
            <w:pPr>
              <w:spacing w:after="0" w:line="260" w:lineRule="atLeast"/>
              <w:jc w:val="both"/>
              <w:rPr>
                <w:rFonts w:cs="Arial"/>
                <w:color w:val="000000"/>
                <w:sz w:val="18"/>
                <w:szCs w:val="18"/>
                <w:lang w:val="en-AU" w:eastAsia="en-AU" w:bidi="th-TH"/>
              </w:rPr>
            </w:pPr>
            <w:r w:rsidRPr="007C747A">
              <w:rPr>
                <w:rFonts w:cs="Arial"/>
                <w:color w:val="000000"/>
                <w:sz w:val="18"/>
                <w:szCs w:val="18"/>
                <w:u w:val="thick"/>
                <w:lang w:val="en-AU" w:eastAsia="en-AU" w:bidi="th-TH"/>
              </w:rPr>
              <w:t>_________________________________</w:t>
            </w:r>
          </w:p>
          <w:p w14:paraId="73D356CB" w14:textId="14E1938F" w:rsidR="00F2518A" w:rsidRPr="007C747A" w:rsidRDefault="00F2518A" w:rsidP="00F2518A">
            <w:pPr>
              <w:spacing w:after="0" w:line="260" w:lineRule="atLeast"/>
              <w:jc w:val="both"/>
              <w:rPr>
                <w:rFonts w:cs="Arial"/>
                <w:color w:val="000000"/>
                <w:sz w:val="18"/>
                <w:szCs w:val="18"/>
                <w:lang w:val="en-AU" w:eastAsia="en-AU" w:bidi="th-TH"/>
              </w:rPr>
            </w:pPr>
            <w:r w:rsidRPr="007C747A">
              <w:rPr>
                <w:rFonts w:cs="Arial"/>
                <w:color w:val="000000"/>
                <w:sz w:val="18"/>
                <w:szCs w:val="18"/>
                <w:lang w:val="en-AU" w:eastAsia="en-AU" w:bidi="th-TH"/>
              </w:rPr>
              <w:t xml:space="preserve">AASB 2021-6 </w:t>
            </w:r>
            <w:r w:rsidRPr="007C747A">
              <w:rPr>
                <w:rFonts w:cs="Arial"/>
                <w:i/>
                <w:iCs/>
                <w:color w:val="000000"/>
                <w:sz w:val="18"/>
                <w:szCs w:val="18"/>
                <w:lang w:val="en-AU" w:eastAsia="en-AU" w:bidi="th-TH"/>
              </w:rPr>
              <w:t>Amendments to Australian Accounting Standards</w:t>
            </w:r>
            <w:r w:rsidR="005907F9" w:rsidRPr="007C747A">
              <w:rPr>
                <w:rFonts w:cs="Arial"/>
                <w:i/>
                <w:iCs/>
                <w:color w:val="000000"/>
                <w:sz w:val="18"/>
                <w:szCs w:val="18"/>
                <w:lang w:val="en-AU" w:eastAsia="en-AU" w:bidi="th-TH"/>
              </w:rPr>
              <w:t xml:space="preserve"> – </w:t>
            </w:r>
            <w:r w:rsidRPr="007C747A">
              <w:rPr>
                <w:rFonts w:cs="Arial"/>
                <w:i/>
                <w:iCs/>
                <w:color w:val="000000"/>
                <w:sz w:val="18"/>
                <w:szCs w:val="18"/>
                <w:lang w:val="en-AU" w:eastAsia="en-AU" w:bidi="th-TH"/>
              </w:rPr>
              <w:t xml:space="preserve">Disclosure of Accounting Policies: Tier 2 and Other Australian Accounting Standards </w:t>
            </w:r>
            <w:r w:rsidRPr="007C747A">
              <w:rPr>
                <w:rFonts w:cs="Arial"/>
                <w:color w:val="000000"/>
                <w:sz w:val="18"/>
                <w:szCs w:val="18"/>
                <w:lang w:val="en-AU" w:eastAsia="en-AU" w:bidi="th-TH"/>
              </w:rPr>
              <w:t>(AASB 2021-6)</w:t>
            </w:r>
          </w:p>
          <w:p w14:paraId="0DB598F1" w14:textId="77777777" w:rsidR="00F2518A" w:rsidRPr="007C747A" w:rsidRDefault="00F2518A" w:rsidP="00F2518A">
            <w:pPr>
              <w:spacing w:after="0" w:line="260" w:lineRule="atLeast"/>
              <w:jc w:val="both"/>
              <w:rPr>
                <w:rFonts w:cs="Arial"/>
                <w:color w:val="000000"/>
                <w:sz w:val="18"/>
                <w:szCs w:val="18"/>
                <w:lang w:val="en-AU" w:eastAsia="en-AU" w:bidi="th-TH"/>
              </w:rPr>
            </w:pPr>
          </w:p>
          <w:p w14:paraId="0AB91E4F" w14:textId="77777777" w:rsidR="00F2518A" w:rsidRPr="007C747A" w:rsidRDefault="00F2518A" w:rsidP="00F2518A">
            <w:pPr>
              <w:spacing w:after="0" w:line="260" w:lineRule="atLeast"/>
              <w:jc w:val="both"/>
              <w:rPr>
                <w:rFonts w:cs="Arial"/>
                <w:color w:val="000000"/>
                <w:sz w:val="18"/>
                <w:szCs w:val="18"/>
                <w:lang w:val="en-AU" w:eastAsia="en-AU" w:bidi="th-TH"/>
              </w:rPr>
            </w:pPr>
          </w:p>
          <w:p w14:paraId="7ACC7E7C" w14:textId="77777777" w:rsidR="00F2518A" w:rsidRPr="007C747A" w:rsidRDefault="00F2518A" w:rsidP="00F2518A">
            <w:pPr>
              <w:spacing w:after="0" w:line="260" w:lineRule="atLeast"/>
              <w:jc w:val="both"/>
              <w:rPr>
                <w:rFonts w:cs="Arial"/>
                <w:sz w:val="18"/>
                <w:szCs w:val="18"/>
                <w:lang w:val="en-AU" w:eastAsia="en-AU"/>
              </w:rPr>
            </w:pPr>
          </w:p>
        </w:tc>
        <w:tc>
          <w:tcPr>
            <w:tcW w:w="5896" w:type="dxa"/>
            <w:vAlign w:val="center"/>
          </w:tcPr>
          <w:p w14:paraId="121D4752" w14:textId="77777777" w:rsidR="00F2518A" w:rsidRPr="007C747A" w:rsidRDefault="00F2518A" w:rsidP="00F2518A">
            <w:pPr>
              <w:spacing w:after="0" w:line="260" w:lineRule="atLeast"/>
              <w:jc w:val="both"/>
              <w:rPr>
                <w:rFonts w:cs="Arial"/>
                <w:color w:val="000000"/>
                <w:sz w:val="18"/>
                <w:szCs w:val="18"/>
                <w:lang w:val="en-AU" w:eastAsia="en-AU" w:bidi="th-TH"/>
              </w:rPr>
            </w:pPr>
          </w:p>
          <w:p w14:paraId="0845DA67" w14:textId="77777777" w:rsidR="00F2518A" w:rsidRPr="007C747A" w:rsidRDefault="00F2518A" w:rsidP="00F2518A">
            <w:pPr>
              <w:spacing w:after="0" w:line="260" w:lineRule="atLeast"/>
              <w:jc w:val="both"/>
              <w:rPr>
                <w:rFonts w:cs="Arial"/>
                <w:color w:val="000000"/>
                <w:sz w:val="18"/>
                <w:szCs w:val="18"/>
                <w:lang w:val="en-AU" w:eastAsia="en-AU" w:bidi="th-TH"/>
              </w:rPr>
            </w:pPr>
            <w:r w:rsidRPr="007C747A">
              <w:rPr>
                <w:rFonts w:cs="Arial"/>
                <w:color w:val="000000"/>
                <w:sz w:val="18"/>
                <w:szCs w:val="18"/>
                <w:lang w:val="en-AU" w:eastAsia="en-AU" w:bidi="th-TH"/>
              </w:rPr>
              <w:t>AASB 2021-2 amends AASB 7, AASB 101, AASB 108, AASB 134 and AASB Practice Statement 2. The amending standard requires the disclosure of material, rather than significant, accounting policies, and clarifies what is considered a change in accounting policy compared to a change in accounting estimate.</w:t>
            </w:r>
          </w:p>
          <w:p w14:paraId="7AD84B13" w14:textId="77777777" w:rsidR="00F2518A" w:rsidRPr="007C747A" w:rsidRDefault="00F2518A" w:rsidP="00F2518A">
            <w:pPr>
              <w:spacing w:after="0" w:line="260" w:lineRule="atLeast"/>
              <w:jc w:val="both"/>
              <w:rPr>
                <w:rFonts w:cs="Arial"/>
                <w:color w:val="000000"/>
                <w:sz w:val="18"/>
                <w:szCs w:val="18"/>
                <w:lang w:val="en-AU" w:eastAsia="zh-CN" w:bidi="th-TH"/>
              </w:rPr>
            </w:pPr>
          </w:p>
          <w:p w14:paraId="56C517CE" w14:textId="77777777" w:rsidR="00F2518A" w:rsidRPr="007C747A" w:rsidRDefault="00F2518A" w:rsidP="00F2518A">
            <w:pPr>
              <w:spacing w:after="0" w:line="260" w:lineRule="atLeast"/>
              <w:jc w:val="both"/>
              <w:rPr>
                <w:rFonts w:cs="Arial"/>
                <w:color w:val="000000"/>
                <w:sz w:val="18"/>
                <w:szCs w:val="18"/>
                <w:lang w:val="en-AU" w:eastAsia="zh-CN" w:bidi="th-TH"/>
              </w:rPr>
            </w:pPr>
            <w:r w:rsidRPr="007C747A">
              <w:rPr>
                <w:rFonts w:cs="Arial"/>
                <w:color w:val="000000"/>
                <w:sz w:val="18"/>
                <w:szCs w:val="18"/>
                <w:lang w:val="en-AU" w:eastAsia="zh-CN" w:bidi="th-TH"/>
              </w:rPr>
              <w:t>AASB 2021-6 amends the Tier 2 reporting requirements set out in AASB 1049, AASB 1054 and AASB 1060 to reflect the changes made by AASB 2021-2.</w:t>
            </w:r>
          </w:p>
          <w:p w14:paraId="622F1612" w14:textId="77777777" w:rsidR="00F2518A" w:rsidRPr="007C747A" w:rsidRDefault="00F2518A" w:rsidP="00F2518A">
            <w:pPr>
              <w:spacing w:after="0" w:line="260" w:lineRule="atLeast"/>
              <w:jc w:val="both"/>
              <w:rPr>
                <w:rFonts w:cs="Arial"/>
                <w:color w:val="000000"/>
                <w:sz w:val="18"/>
                <w:szCs w:val="18"/>
                <w:lang w:val="en-AU" w:eastAsia="zh-CN" w:bidi="th-TH"/>
              </w:rPr>
            </w:pPr>
          </w:p>
          <w:p w14:paraId="436EA162" w14:textId="77777777" w:rsidR="00F2518A" w:rsidRPr="007C747A" w:rsidRDefault="00F2518A" w:rsidP="00F2518A">
            <w:pPr>
              <w:spacing w:after="0" w:line="260" w:lineRule="atLeast"/>
              <w:jc w:val="both"/>
              <w:rPr>
                <w:rFonts w:cs="Arial"/>
                <w:color w:val="000000"/>
                <w:sz w:val="18"/>
                <w:szCs w:val="18"/>
                <w:lang w:val="en-AU" w:eastAsia="zh-CN" w:bidi="th-TH"/>
              </w:rPr>
            </w:pPr>
            <w:r w:rsidRPr="007C747A">
              <w:rPr>
                <w:rFonts w:cs="Arial"/>
                <w:color w:val="000000"/>
                <w:sz w:val="18"/>
                <w:szCs w:val="18"/>
                <w:lang w:val="en-AU" w:eastAsia="zh-CN" w:bidi="th-TH"/>
              </w:rPr>
              <w:t>This amending standard is not expected to have a material impact on the Agency’s financial statements for the current reporting period or future reporting periods.</w:t>
            </w:r>
          </w:p>
          <w:p w14:paraId="0631F536" w14:textId="77777777" w:rsidR="00F2518A" w:rsidRPr="007C747A" w:rsidRDefault="00F2518A" w:rsidP="00F2518A">
            <w:pPr>
              <w:spacing w:after="0" w:line="260" w:lineRule="atLeast"/>
              <w:jc w:val="both"/>
              <w:rPr>
                <w:rFonts w:cs="Arial"/>
                <w:sz w:val="18"/>
                <w:szCs w:val="18"/>
                <w:lang w:val="en-AU" w:eastAsia="en-AU"/>
              </w:rPr>
            </w:pPr>
          </w:p>
        </w:tc>
      </w:tr>
    </w:tbl>
    <w:p w14:paraId="11E8E5BF" w14:textId="77777777" w:rsidR="00F2518A" w:rsidRPr="007C747A" w:rsidRDefault="00F2518A" w:rsidP="00F2518A">
      <w:pPr>
        <w:spacing w:after="0" w:line="260" w:lineRule="atLeast"/>
        <w:jc w:val="both"/>
        <w:rPr>
          <w:rFonts w:eastAsia="Times New Roman" w:cs="Arial"/>
          <w:sz w:val="18"/>
          <w:szCs w:val="18"/>
          <w:lang w:val="en-AU" w:eastAsia="en-AU"/>
        </w:rPr>
      </w:pPr>
    </w:p>
    <w:p w14:paraId="2EC2952C" w14:textId="77777777" w:rsidR="00F2518A" w:rsidRPr="007C747A" w:rsidRDefault="00F2518A" w:rsidP="00F2518A">
      <w:pPr>
        <w:spacing w:after="0" w:line="260" w:lineRule="atLeast"/>
        <w:jc w:val="both"/>
        <w:rPr>
          <w:rFonts w:eastAsia="Times New Roman" w:cs="Arial"/>
          <w:sz w:val="18"/>
          <w:szCs w:val="18"/>
          <w:lang w:val="en-AU" w:eastAsia="en-AU"/>
        </w:rPr>
      </w:pPr>
    </w:p>
    <w:p w14:paraId="79E18914" w14:textId="77777777" w:rsidR="00F2518A" w:rsidRPr="007C747A" w:rsidRDefault="00F2518A" w:rsidP="007E4E69">
      <w:pPr>
        <w:spacing w:after="0" w:line="240" w:lineRule="auto"/>
        <w:outlineLvl w:val="3"/>
        <w:rPr>
          <w:rFonts w:eastAsia="Times New Roman" w:cs="Arial"/>
          <w:b/>
          <w:bCs/>
          <w:color w:val="800080"/>
          <w:sz w:val="18"/>
          <w:szCs w:val="18"/>
          <w:lang w:val="en-AU" w:eastAsia="en-AU"/>
        </w:rPr>
      </w:pPr>
      <w:r w:rsidRPr="007C747A">
        <w:rPr>
          <w:rFonts w:eastAsia="Times New Roman" w:cs="Arial"/>
          <w:b/>
          <w:bCs/>
          <w:color w:val="800080"/>
          <w:sz w:val="18"/>
          <w:szCs w:val="18"/>
          <w:lang w:val="en-AU" w:eastAsia="en-AU"/>
        </w:rPr>
        <w:t>Taxation</w:t>
      </w:r>
    </w:p>
    <w:p w14:paraId="5C54CB23" w14:textId="77777777" w:rsidR="00F2518A" w:rsidRPr="007C747A" w:rsidRDefault="00F2518A" w:rsidP="00F2518A">
      <w:pPr>
        <w:spacing w:after="0" w:line="240" w:lineRule="auto"/>
        <w:rPr>
          <w:rFonts w:eastAsia="Times New Roman" w:cs="Arial"/>
          <w:b/>
          <w:bCs/>
          <w:color w:val="800080"/>
          <w:sz w:val="18"/>
          <w:szCs w:val="18"/>
          <w:lang w:val="en-AU" w:eastAsia="en-AU"/>
        </w:rPr>
      </w:pPr>
    </w:p>
    <w:p w14:paraId="3C01D5C2" w14:textId="77777777" w:rsidR="00F2518A" w:rsidRPr="007C747A" w:rsidRDefault="00F2518A" w:rsidP="00F2518A">
      <w:pPr>
        <w:keepNext/>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Agency is exempt from all forms of Commonwealth, state, and territory taxation except Fringe Benefits Tax (FBT) and the Goods and Services Tax</w:t>
      </w:r>
      <w:r w:rsidRPr="007C747A" w:rsidDel="00AB0C22">
        <w:rPr>
          <w:rFonts w:eastAsia="Times New Roman" w:cs="Arial"/>
          <w:sz w:val="18"/>
          <w:szCs w:val="18"/>
          <w:lang w:val="en-AU" w:eastAsia="en-AU"/>
        </w:rPr>
        <w:t xml:space="preserve"> </w:t>
      </w:r>
      <w:r w:rsidRPr="007C747A">
        <w:rPr>
          <w:rFonts w:eastAsia="Times New Roman" w:cs="Arial"/>
          <w:sz w:val="18"/>
          <w:szCs w:val="18"/>
          <w:lang w:val="en-AU" w:eastAsia="en-AU"/>
        </w:rPr>
        <w:t>(GST).</w:t>
      </w:r>
    </w:p>
    <w:p w14:paraId="2D72375D" w14:textId="77777777" w:rsidR="00F2518A" w:rsidRPr="007C747A" w:rsidRDefault="00F2518A" w:rsidP="00F2518A">
      <w:pPr>
        <w:keepNext/>
        <w:spacing w:after="0" w:line="240" w:lineRule="auto"/>
        <w:jc w:val="both"/>
        <w:rPr>
          <w:rFonts w:eastAsia="Times New Roman" w:cs="Arial"/>
          <w:sz w:val="18"/>
          <w:szCs w:val="18"/>
          <w:lang w:val="en-AU" w:eastAsia="en-AU"/>
        </w:rPr>
      </w:pPr>
    </w:p>
    <w:p w14:paraId="11C2B3FE" w14:textId="77777777" w:rsidR="00F2518A" w:rsidRPr="007C747A" w:rsidRDefault="00F2518A" w:rsidP="007E4E69">
      <w:pPr>
        <w:spacing w:after="0" w:line="240" w:lineRule="auto"/>
        <w:outlineLvl w:val="3"/>
        <w:rPr>
          <w:rFonts w:eastAsia="Times New Roman" w:cs="Arial"/>
          <w:b/>
          <w:bCs/>
          <w:color w:val="800080"/>
          <w:sz w:val="18"/>
          <w:szCs w:val="18"/>
          <w:lang w:val="en-AU" w:eastAsia="en-AU"/>
        </w:rPr>
      </w:pPr>
      <w:r w:rsidRPr="007C747A">
        <w:rPr>
          <w:rFonts w:eastAsia="Times New Roman" w:cs="Arial"/>
          <w:b/>
          <w:bCs/>
          <w:color w:val="800080"/>
          <w:sz w:val="18"/>
          <w:szCs w:val="18"/>
          <w:lang w:val="en-AU" w:eastAsia="en-AU"/>
        </w:rPr>
        <w:t>Events after the reporting period</w:t>
      </w:r>
    </w:p>
    <w:p w14:paraId="757FDC81" w14:textId="77777777" w:rsidR="00F2518A" w:rsidRPr="007C747A" w:rsidRDefault="00F2518A" w:rsidP="00F2518A">
      <w:pPr>
        <w:spacing w:after="0" w:line="240" w:lineRule="auto"/>
        <w:rPr>
          <w:rFonts w:eastAsia="Times New Roman" w:cs="Arial"/>
          <w:b/>
          <w:bCs/>
          <w:color w:val="800080"/>
          <w:sz w:val="18"/>
          <w:szCs w:val="18"/>
          <w:lang w:val="en-AU" w:eastAsia="en-AU"/>
        </w:rPr>
      </w:pPr>
    </w:p>
    <w:p w14:paraId="453B3AC6" w14:textId="77777777" w:rsidR="00F2518A" w:rsidRPr="007C747A" w:rsidRDefault="00F2518A" w:rsidP="00F2518A">
      <w:pPr>
        <w:keepNext/>
        <w:spacing w:after="0" w:line="240" w:lineRule="auto"/>
        <w:jc w:val="both"/>
        <w:rPr>
          <w:rFonts w:eastAsia="Times New Roman" w:cs="Arial"/>
          <w:sz w:val="18"/>
          <w:szCs w:val="18"/>
          <w:lang w:val="en-AU" w:eastAsia="en-AU"/>
        </w:rPr>
      </w:pPr>
      <w:bookmarkStart w:id="160" w:name="_Toc444065770"/>
      <w:bookmarkStart w:id="161" w:name="_Toc444077332"/>
      <w:bookmarkEnd w:id="137"/>
      <w:bookmarkEnd w:id="138"/>
      <w:r w:rsidRPr="007C747A">
        <w:rPr>
          <w:rFonts w:eastAsia="Times New Roman" w:cs="Arial"/>
          <w:sz w:val="18"/>
          <w:szCs w:val="18"/>
          <w:lang w:val="en-AU" w:eastAsia="en-AU"/>
        </w:rPr>
        <w:t xml:space="preserve">There are no known events occurring after the reporting period that could have a material impact on the financial statements. </w:t>
      </w:r>
    </w:p>
    <w:p w14:paraId="0C4A85CA" w14:textId="77777777" w:rsidR="00F2518A" w:rsidRPr="007C747A" w:rsidRDefault="00F2518A" w:rsidP="00F2518A">
      <w:pPr>
        <w:keepNext/>
        <w:spacing w:after="0" w:line="240" w:lineRule="auto"/>
        <w:jc w:val="both"/>
        <w:rPr>
          <w:rFonts w:eastAsia="Times New Roman" w:cs="Arial"/>
          <w:sz w:val="18"/>
          <w:szCs w:val="18"/>
          <w:lang w:val="en-AU" w:eastAsia="en-AU"/>
        </w:rPr>
      </w:pPr>
    </w:p>
    <w:p w14:paraId="21FB5147" w14:textId="77777777" w:rsidR="00F2518A" w:rsidRPr="007C747A" w:rsidRDefault="00F2518A" w:rsidP="00F2518A">
      <w:pPr>
        <w:keepNext/>
        <w:spacing w:after="0" w:line="240" w:lineRule="auto"/>
        <w:jc w:val="both"/>
        <w:rPr>
          <w:rFonts w:eastAsia="Times New Roman" w:cs="Arial"/>
          <w:sz w:val="18"/>
          <w:szCs w:val="18"/>
          <w:lang w:val="en-AU" w:eastAsia="en-AU"/>
        </w:rPr>
      </w:pPr>
    </w:p>
    <w:p w14:paraId="4169E1CA" w14:textId="77777777" w:rsidR="00F2518A" w:rsidRPr="007C747A" w:rsidRDefault="00F2518A" w:rsidP="00F2518A">
      <w:pPr>
        <w:spacing w:after="0" w:line="240" w:lineRule="auto"/>
        <w:rPr>
          <w:rFonts w:ascii="Times New Roman" w:eastAsia="Times New Roman" w:hAnsi="Times New Roman"/>
          <w:sz w:val="22"/>
          <w:szCs w:val="20"/>
          <w:lang w:val="en-AU" w:eastAsia="en-US"/>
        </w:rPr>
        <w:sectPr w:rsidR="00F2518A" w:rsidRPr="007C747A">
          <w:type w:val="continuous"/>
          <w:pgSz w:w="11906" w:h="16838" w:code="9"/>
          <w:pgMar w:top="1134" w:right="1700" w:bottom="1134" w:left="1134" w:header="958" w:footer="737" w:gutter="0"/>
          <w:cols w:space="708"/>
          <w:docGrid w:linePitch="360"/>
        </w:sectPr>
      </w:pPr>
      <w:r w:rsidRPr="007C747A">
        <w:rPr>
          <w:rFonts w:ascii="Times New Roman" w:eastAsia="Times New Roman" w:hAnsi="Times New Roman"/>
          <w:sz w:val="22"/>
          <w:szCs w:val="20"/>
          <w:lang w:val="en-AU" w:eastAsia="en-US"/>
        </w:rPr>
        <w:t xml:space="preserve"> </w:t>
      </w:r>
    </w:p>
    <w:p w14:paraId="1607E9C9" w14:textId="77777777" w:rsidR="00F2518A" w:rsidRPr="007C747A" w:rsidRDefault="00F2518A" w:rsidP="00F2518A">
      <w:pPr>
        <w:spacing w:after="0" w:line="240" w:lineRule="auto"/>
        <w:rPr>
          <w:rFonts w:ascii="Times New Roman" w:eastAsia="Times New Roman" w:hAnsi="Times New Roman"/>
          <w:sz w:val="22"/>
          <w:szCs w:val="20"/>
          <w:lang w:val="en-AU" w:eastAsia="en-US"/>
        </w:rPr>
        <w:sectPr w:rsidR="00F2518A" w:rsidRPr="007C747A">
          <w:type w:val="continuous"/>
          <w:pgSz w:w="11906" w:h="16838" w:code="9"/>
          <w:pgMar w:top="1134" w:right="1700" w:bottom="1134" w:left="1134" w:header="958" w:footer="737" w:gutter="0"/>
          <w:cols w:space="708"/>
          <w:docGrid w:linePitch="360"/>
        </w:sectPr>
      </w:pPr>
    </w:p>
    <w:p w14:paraId="7F127E8A" w14:textId="77777777" w:rsidR="00052F7E" w:rsidRPr="007C747A" w:rsidRDefault="00052F7E" w:rsidP="007E4E69">
      <w:pPr>
        <w:pStyle w:val="SectionHeading"/>
        <w:outlineLvl w:val="2"/>
      </w:pPr>
      <w:bookmarkStart w:id="162" w:name="_Toc145949750"/>
      <w:bookmarkStart w:id="163" w:name="_Toc146191213"/>
      <w:bookmarkStart w:id="164" w:name="_Toc146195313"/>
      <w:bookmarkStart w:id="165" w:name="_Toc146200282"/>
      <w:bookmarkStart w:id="166" w:name="_Toc146203437"/>
      <w:bookmarkStart w:id="167" w:name="_Toc146289445"/>
      <w:bookmarkStart w:id="168" w:name="_Toc146538794"/>
      <w:bookmarkStart w:id="169" w:name="_Toc146545531"/>
      <w:bookmarkStart w:id="170" w:name="_Toc147769229"/>
      <w:bookmarkStart w:id="171" w:name="_Toc147834876"/>
      <w:bookmarkStart w:id="172" w:name="_Toc147992017"/>
      <w:bookmarkStart w:id="173" w:name="_Toc148020778"/>
      <w:bookmarkStart w:id="174" w:name="_Toc148108397"/>
      <w:bookmarkStart w:id="175" w:name="_Toc447030535"/>
      <w:bookmarkStart w:id="176" w:name="_Toc447030687"/>
      <w:bookmarkStart w:id="177" w:name="_Toc447030780"/>
      <w:bookmarkStart w:id="178" w:name="_Toc65742843"/>
      <w:bookmarkStart w:id="179" w:name="_Toc145583270"/>
      <w:r w:rsidRPr="007C747A">
        <w:t>Financial Performance</w:t>
      </w:r>
      <w:bookmarkEnd w:id="162"/>
      <w:bookmarkEnd w:id="163"/>
      <w:bookmarkEnd w:id="164"/>
      <w:bookmarkEnd w:id="165"/>
      <w:bookmarkEnd w:id="166"/>
      <w:bookmarkEnd w:id="167"/>
      <w:bookmarkEnd w:id="168"/>
      <w:bookmarkEnd w:id="169"/>
      <w:bookmarkEnd w:id="170"/>
      <w:bookmarkEnd w:id="171"/>
      <w:bookmarkEnd w:id="172"/>
      <w:bookmarkEnd w:id="173"/>
      <w:bookmarkEnd w:id="174"/>
    </w:p>
    <w:p w14:paraId="038D79CF" w14:textId="77777777" w:rsidR="00052F7E" w:rsidRPr="007C747A" w:rsidRDefault="00052F7E" w:rsidP="00052F7E">
      <w:pPr>
        <w:shd w:val="clear" w:color="00CC99" w:fill="800080"/>
        <w:spacing w:after="0" w:line="260" w:lineRule="atLeast"/>
        <w:rPr>
          <w:rFonts w:eastAsia="Times New Roman"/>
          <w:color w:val="FFFFFF"/>
          <w:sz w:val="18"/>
          <w:szCs w:val="18"/>
          <w:lang w:val="en-AU" w:eastAsia="en-US"/>
        </w:rPr>
      </w:pPr>
      <w:r w:rsidRPr="007C747A">
        <w:rPr>
          <w:rFonts w:eastAsia="Times New Roman"/>
          <w:color w:val="FFFFFF"/>
          <w:sz w:val="18"/>
          <w:szCs w:val="18"/>
          <w:lang w:val="en-AU" w:eastAsia="en-US"/>
        </w:rPr>
        <w:t xml:space="preserve">This section analyses the financial performance of the Agency for the year ended </w:t>
      </w:r>
      <w:r w:rsidRPr="007C747A">
        <w:rPr>
          <w:rFonts w:eastAsia="Times New Roman"/>
          <w:color w:val="FFFFFF"/>
          <w:sz w:val="18"/>
          <w:szCs w:val="18"/>
          <w:lang w:val="en-AU" w:eastAsia="en-US"/>
        </w:rPr>
        <w:fldChar w:fldCharType="begin"/>
      </w:r>
      <w:r w:rsidRPr="007C747A">
        <w:rPr>
          <w:rFonts w:eastAsia="Times New Roman"/>
          <w:color w:val="FFFFFF"/>
          <w:sz w:val="18"/>
          <w:szCs w:val="18"/>
          <w:lang w:val="en-AU" w:eastAsia="en-US"/>
        </w:rPr>
        <w:instrText xml:space="preserve"> DOCPROPERTY  pEnd  \* MERGEFORMAT </w:instrText>
      </w:r>
      <w:r w:rsidRPr="007C747A">
        <w:rPr>
          <w:rFonts w:eastAsia="Times New Roman"/>
          <w:color w:val="FFFFFF"/>
          <w:sz w:val="18"/>
          <w:szCs w:val="18"/>
          <w:lang w:val="en-AU" w:eastAsia="en-US"/>
        </w:rPr>
        <w:fldChar w:fldCharType="separate"/>
      </w:r>
      <w:r w:rsidRPr="007C747A">
        <w:rPr>
          <w:rFonts w:eastAsia="Times New Roman"/>
          <w:color w:val="FFFFFF"/>
          <w:sz w:val="18"/>
          <w:szCs w:val="18"/>
          <w:lang w:val="en-AU" w:eastAsia="en-US"/>
        </w:rPr>
        <w:t>30 June</w:t>
      </w:r>
      <w:r w:rsidRPr="007C747A">
        <w:rPr>
          <w:rFonts w:eastAsia="Times New Roman"/>
          <w:color w:val="FFFFFF"/>
          <w:sz w:val="18"/>
          <w:szCs w:val="18"/>
          <w:lang w:val="en-AU" w:eastAsia="en-US"/>
        </w:rPr>
        <w:fldChar w:fldCharType="end"/>
      </w:r>
      <w:r w:rsidRPr="007C747A">
        <w:rPr>
          <w:rFonts w:eastAsia="Times New Roman"/>
          <w:color w:val="FFFFFF"/>
          <w:sz w:val="18"/>
          <w:szCs w:val="18"/>
          <w:lang w:val="en-AU" w:eastAsia="en-US"/>
        </w:rPr>
        <w:t xml:space="preserve"> </w:t>
      </w:r>
      <w:r w:rsidRPr="007C747A">
        <w:rPr>
          <w:rFonts w:eastAsia="Times New Roman"/>
          <w:color w:val="FFFFFF"/>
          <w:sz w:val="18"/>
          <w:szCs w:val="18"/>
          <w:lang w:val="en-AU" w:eastAsia="en-US"/>
        </w:rPr>
        <w:fldChar w:fldCharType="begin"/>
      </w:r>
      <w:r w:rsidRPr="007C747A">
        <w:rPr>
          <w:rFonts w:eastAsia="Times New Roman"/>
          <w:color w:val="FFFFFF"/>
          <w:sz w:val="18"/>
          <w:szCs w:val="18"/>
          <w:lang w:val="en-AU" w:eastAsia="en-US"/>
        </w:rPr>
        <w:instrText xml:space="preserve"> DOCPROPERTY  crYear  \* MERGEFORMAT </w:instrText>
      </w:r>
      <w:r w:rsidRPr="007C747A">
        <w:rPr>
          <w:rFonts w:eastAsia="Times New Roman"/>
          <w:color w:val="FFFFFF"/>
          <w:sz w:val="18"/>
          <w:szCs w:val="18"/>
          <w:lang w:val="en-AU" w:eastAsia="en-US"/>
        </w:rPr>
        <w:fldChar w:fldCharType="separate"/>
      </w:r>
      <w:r w:rsidRPr="007C747A">
        <w:rPr>
          <w:rFonts w:eastAsia="Times New Roman"/>
          <w:color w:val="FFFFFF"/>
          <w:sz w:val="18"/>
          <w:szCs w:val="18"/>
          <w:lang w:val="en-AU" w:eastAsia="en-US"/>
        </w:rPr>
        <w:t>2023</w:t>
      </w:r>
      <w:r w:rsidRPr="007C747A">
        <w:rPr>
          <w:rFonts w:eastAsia="Times New Roman"/>
          <w:color w:val="FFFFFF"/>
          <w:sz w:val="18"/>
          <w:szCs w:val="18"/>
          <w:lang w:val="en-AU" w:eastAsia="en-US"/>
        </w:rPr>
        <w:fldChar w:fldCharType="end"/>
      </w:r>
      <w:r w:rsidRPr="007C747A">
        <w:rPr>
          <w:rFonts w:eastAsia="Times New Roman"/>
          <w:color w:val="FFFFFF"/>
          <w:sz w:val="18"/>
          <w:szCs w:val="18"/>
          <w:lang w:val="en-AU" w:eastAsia="en-US"/>
        </w:rPr>
        <w:t>.</w:t>
      </w:r>
    </w:p>
    <w:p w14:paraId="6586AF79" w14:textId="57D9A844" w:rsidR="00052F7E" w:rsidRPr="007C747A" w:rsidRDefault="003412DE" w:rsidP="007E4E69">
      <w:pPr>
        <w:pStyle w:val="SubHeading"/>
        <w:numPr>
          <w:ilvl w:val="0"/>
          <w:numId w:val="0"/>
        </w:numPr>
        <w:outlineLvl w:val="3"/>
      </w:pPr>
      <w:bookmarkStart w:id="180" w:name="_Toc145949751"/>
      <w:bookmarkStart w:id="181" w:name="_Toc146191214"/>
      <w:bookmarkStart w:id="182" w:name="_Toc146195314"/>
      <w:bookmarkStart w:id="183" w:name="_Toc146200283"/>
      <w:bookmarkStart w:id="184" w:name="_Toc146203438"/>
      <w:bookmarkStart w:id="185" w:name="_Toc146538795"/>
      <w:bookmarkStart w:id="186" w:name="_Toc146545532"/>
      <w:bookmarkStart w:id="187" w:name="_Toc147769230"/>
      <w:bookmarkStart w:id="188" w:name="_Toc147834877"/>
      <w:bookmarkStart w:id="189" w:name="_Toc147992018"/>
      <w:bookmarkStart w:id="190" w:name="_Toc148020779"/>
      <w:bookmarkStart w:id="191" w:name="_Toc148108398"/>
      <w:bookmarkStart w:id="192" w:name="_Hlk145941685"/>
      <w:r w:rsidRPr="007C747A">
        <w:t>1.1</w:t>
      </w:r>
      <w:r w:rsidR="006F7E78" w:rsidRPr="007C747A">
        <w:tab/>
      </w:r>
      <w:r w:rsidR="00052F7E" w:rsidRPr="007C747A">
        <w:t>Expenses</w:t>
      </w:r>
      <w:bookmarkEnd w:id="180"/>
      <w:bookmarkEnd w:id="181"/>
      <w:bookmarkEnd w:id="182"/>
      <w:bookmarkEnd w:id="183"/>
      <w:bookmarkEnd w:id="184"/>
      <w:bookmarkEnd w:id="185"/>
      <w:bookmarkEnd w:id="186"/>
      <w:bookmarkEnd w:id="187"/>
      <w:bookmarkEnd w:id="188"/>
      <w:bookmarkEnd w:id="189"/>
      <w:bookmarkEnd w:id="190"/>
      <w:bookmarkEnd w:id="191"/>
    </w:p>
    <w:tbl>
      <w:tblPr>
        <w:tblW w:w="9087" w:type="dxa"/>
        <w:tblLayout w:type="fixed"/>
        <w:tblLook w:val="04A0" w:firstRow="1" w:lastRow="0" w:firstColumn="1" w:lastColumn="0" w:noHBand="0" w:noVBand="1"/>
      </w:tblPr>
      <w:tblGrid>
        <w:gridCol w:w="6400"/>
        <w:gridCol w:w="1258"/>
        <w:gridCol w:w="236"/>
        <w:gridCol w:w="1193"/>
      </w:tblGrid>
      <w:tr w:rsidR="003C1F10" w:rsidRPr="007C747A" w14:paraId="5B7A133B" w14:textId="77777777">
        <w:trPr>
          <w:trHeight w:val="253"/>
        </w:trPr>
        <w:tc>
          <w:tcPr>
            <w:tcW w:w="6400" w:type="dxa"/>
            <w:tcBorders>
              <w:top w:val="nil"/>
              <w:left w:val="nil"/>
              <w:bottom w:val="nil"/>
              <w:right w:val="nil"/>
            </w:tcBorders>
            <w:shd w:val="clear" w:color="FFFFFF" w:fill="FFFFFF"/>
            <w:noWrap/>
            <w:vAlign w:val="bottom"/>
            <w:hideMark/>
          </w:tcPr>
          <w:p w14:paraId="209079C0" w14:textId="77777777" w:rsidR="003C1F10" w:rsidRPr="007C747A" w:rsidRDefault="003C1F10" w:rsidP="003C1F10">
            <w:pPr>
              <w:spacing w:after="0" w:line="260" w:lineRule="atLeast"/>
              <w:rPr>
                <w:rFonts w:eastAsia="Times New Roman" w:cs="Arial"/>
                <w:sz w:val="18"/>
                <w:szCs w:val="18"/>
                <w:lang w:val="en-AU" w:eastAsia="en-US"/>
              </w:rPr>
            </w:pPr>
            <w:bookmarkStart w:id="193" w:name="Note_EEXTABLE1" w:colFirst="0" w:colLast="0"/>
            <w:bookmarkStart w:id="194" w:name="_Toc443469523"/>
            <w:bookmarkStart w:id="195" w:name="_Toc444065772"/>
            <w:bookmarkStart w:id="196" w:name="_Toc444077333"/>
            <w:bookmarkStart w:id="197" w:name="_Toc447030536"/>
            <w:bookmarkStart w:id="198" w:name="_Toc447030688"/>
            <w:bookmarkStart w:id="199" w:name="_Toc447030781"/>
            <w:bookmarkStart w:id="200" w:name="_Toc65742844"/>
            <w:bookmarkStart w:id="201" w:name="_Toc145583271"/>
            <w:bookmarkStart w:id="202" w:name="_Hlk145942045"/>
            <w:bookmarkEnd w:id="160"/>
            <w:bookmarkEnd w:id="161"/>
            <w:bookmarkEnd w:id="175"/>
            <w:bookmarkEnd w:id="176"/>
            <w:bookmarkEnd w:id="177"/>
            <w:bookmarkEnd w:id="178"/>
            <w:bookmarkEnd w:id="179"/>
            <w:bookmarkEnd w:id="192"/>
            <w:r w:rsidRPr="007C747A">
              <w:rPr>
                <w:rFonts w:eastAsia="Times New Roman" w:cs="Arial"/>
                <w:sz w:val="18"/>
                <w:szCs w:val="18"/>
                <w:lang w:val="en-AU" w:eastAsia="en-US"/>
              </w:rPr>
              <w:t> </w:t>
            </w:r>
          </w:p>
        </w:tc>
        <w:tc>
          <w:tcPr>
            <w:tcW w:w="1258" w:type="dxa"/>
            <w:tcBorders>
              <w:top w:val="nil"/>
              <w:left w:val="nil"/>
              <w:bottom w:val="nil"/>
              <w:right w:val="nil"/>
            </w:tcBorders>
            <w:shd w:val="clear" w:color="FFFFFF" w:fill="FFFFFF"/>
            <w:vAlign w:val="bottom"/>
            <w:hideMark/>
          </w:tcPr>
          <w:p w14:paraId="619B8BF8" w14:textId="44975B9D"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007C3D66" w:rsidRPr="007C747A">
              <w:rPr>
                <w:rFonts w:eastAsia="Times New Roman" w:cs="Arial"/>
                <w:b/>
                <w:bCs/>
                <w:sz w:val="18"/>
                <w:szCs w:val="18"/>
                <w:lang w:val="en-AU" w:eastAsia="en-US"/>
              </w:rPr>
              <w:br/>
              <w:t>$'000</w:t>
            </w:r>
          </w:p>
        </w:tc>
        <w:tc>
          <w:tcPr>
            <w:tcW w:w="236" w:type="dxa"/>
            <w:tcBorders>
              <w:top w:val="nil"/>
              <w:left w:val="nil"/>
              <w:bottom w:val="nil"/>
              <w:right w:val="nil"/>
            </w:tcBorders>
            <w:shd w:val="clear" w:color="FFFFFF" w:fill="FFFFFF"/>
            <w:noWrap/>
            <w:vAlign w:val="bottom"/>
            <w:hideMark/>
          </w:tcPr>
          <w:p w14:paraId="2755A567"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vAlign w:val="bottom"/>
            <w:hideMark/>
          </w:tcPr>
          <w:p w14:paraId="1BB72102" w14:textId="173D5C9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007C3D66" w:rsidRPr="007C747A">
              <w:rPr>
                <w:rFonts w:eastAsia="Times New Roman" w:cs="Arial"/>
                <w:sz w:val="18"/>
                <w:szCs w:val="18"/>
                <w:lang w:val="en-AU" w:eastAsia="en-US"/>
              </w:rPr>
              <w:br/>
              <w:t>$'000</w:t>
            </w:r>
          </w:p>
        </w:tc>
      </w:tr>
      <w:bookmarkEnd w:id="193"/>
      <w:tr w:rsidR="003C1F10" w:rsidRPr="007C747A" w14:paraId="7FEC65F7" w14:textId="77777777">
        <w:trPr>
          <w:trHeight w:val="253"/>
        </w:trPr>
        <w:tc>
          <w:tcPr>
            <w:tcW w:w="6400" w:type="dxa"/>
            <w:tcBorders>
              <w:top w:val="nil"/>
              <w:left w:val="nil"/>
              <w:bottom w:val="nil"/>
              <w:right w:val="nil"/>
            </w:tcBorders>
            <w:shd w:val="clear" w:color="FFFFFF" w:fill="FFFFFF"/>
            <w:noWrap/>
            <w:vAlign w:val="bottom"/>
            <w:hideMark/>
          </w:tcPr>
          <w:p w14:paraId="119BFFF1" w14:textId="77777777" w:rsidR="003C1F10" w:rsidRPr="007C747A" w:rsidRDefault="003C1F10" w:rsidP="003C1F10">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1.1A: Employee benefits</w:t>
            </w:r>
          </w:p>
        </w:tc>
        <w:tc>
          <w:tcPr>
            <w:tcW w:w="1258" w:type="dxa"/>
            <w:tcBorders>
              <w:top w:val="nil"/>
              <w:left w:val="nil"/>
              <w:bottom w:val="nil"/>
              <w:right w:val="nil"/>
            </w:tcBorders>
            <w:shd w:val="clear" w:color="FFFFFF" w:fill="FFFFFF"/>
            <w:vAlign w:val="bottom"/>
            <w:hideMark/>
          </w:tcPr>
          <w:p w14:paraId="28B66D6F"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9910D98"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vAlign w:val="bottom"/>
            <w:hideMark/>
          </w:tcPr>
          <w:p w14:paraId="4CC36AFE"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3C1F10" w:rsidRPr="007C747A" w14:paraId="1295E99A" w14:textId="77777777">
        <w:trPr>
          <w:trHeight w:val="253"/>
        </w:trPr>
        <w:tc>
          <w:tcPr>
            <w:tcW w:w="6400" w:type="dxa"/>
            <w:tcBorders>
              <w:top w:val="nil"/>
              <w:left w:val="nil"/>
              <w:bottom w:val="nil"/>
              <w:right w:val="nil"/>
            </w:tcBorders>
            <w:shd w:val="clear" w:color="FFFFFF" w:fill="FFFFFF"/>
            <w:vAlign w:val="bottom"/>
            <w:hideMark/>
          </w:tcPr>
          <w:p w14:paraId="2B10B0D0"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Wages and salaries</w:t>
            </w:r>
          </w:p>
        </w:tc>
        <w:tc>
          <w:tcPr>
            <w:tcW w:w="1258" w:type="dxa"/>
            <w:tcBorders>
              <w:top w:val="nil"/>
              <w:left w:val="nil"/>
              <w:bottom w:val="nil"/>
              <w:right w:val="nil"/>
            </w:tcBorders>
            <w:shd w:val="clear" w:color="FFFFFF" w:fill="FFFFFF"/>
            <w:noWrap/>
            <w:vAlign w:val="bottom"/>
            <w:hideMark/>
          </w:tcPr>
          <w:p w14:paraId="3A5BED9C"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429,897</w:t>
            </w:r>
          </w:p>
        </w:tc>
        <w:tc>
          <w:tcPr>
            <w:tcW w:w="236" w:type="dxa"/>
            <w:tcBorders>
              <w:top w:val="nil"/>
              <w:left w:val="nil"/>
              <w:bottom w:val="nil"/>
              <w:right w:val="nil"/>
            </w:tcBorders>
            <w:shd w:val="clear" w:color="FFFFFF" w:fill="FFFFFF"/>
            <w:noWrap/>
            <w:vAlign w:val="bottom"/>
            <w:hideMark/>
          </w:tcPr>
          <w:p w14:paraId="73B74F89"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5A73411D"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380,548</w:t>
            </w:r>
          </w:p>
        </w:tc>
      </w:tr>
      <w:tr w:rsidR="003C1F10" w:rsidRPr="007C747A" w14:paraId="6566EA22" w14:textId="77777777">
        <w:trPr>
          <w:trHeight w:val="253"/>
        </w:trPr>
        <w:tc>
          <w:tcPr>
            <w:tcW w:w="6400" w:type="dxa"/>
            <w:tcBorders>
              <w:top w:val="nil"/>
              <w:left w:val="nil"/>
              <w:bottom w:val="nil"/>
              <w:right w:val="nil"/>
            </w:tcBorders>
            <w:shd w:val="clear" w:color="FFFFFF" w:fill="FFFFFF"/>
            <w:vAlign w:val="bottom"/>
            <w:hideMark/>
          </w:tcPr>
          <w:p w14:paraId="1C2F7A49"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Superannuation</w:t>
            </w:r>
          </w:p>
        </w:tc>
        <w:tc>
          <w:tcPr>
            <w:tcW w:w="1258" w:type="dxa"/>
            <w:tcBorders>
              <w:top w:val="nil"/>
              <w:left w:val="nil"/>
              <w:bottom w:val="nil"/>
              <w:right w:val="nil"/>
            </w:tcBorders>
            <w:shd w:val="clear" w:color="FFFFFF" w:fill="FFFFFF"/>
            <w:noWrap/>
            <w:vAlign w:val="bottom"/>
            <w:hideMark/>
          </w:tcPr>
          <w:p w14:paraId="647304FB"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B92EF72"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3EF8AF39"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3C1F10" w:rsidRPr="007C747A" w14:paraId="0921295D" w14:textId="77777777">
        <w:trPr>
          <w:trHeight w:val="253"/>
        </w:trPr>
        <w:tc>
          <w:tcPr>
            <w:tcW w:w="6400" w:type="dxa"/>
            <w:tcBorders>
              <w:top w:val="nil"/>
              <w:left w:val="nil"/>
              <w:bottom w:val="nil"/>
              <w:right w:val="nil"/>
            </w:tcBorders>
            <w:shd w:val="clear" w:color="FFFFFF" w:fill="FFFFFF"/>
            <w:noWrap/>
            <w:vAlign w:val="bottom"/>
            <w:hideMark/>
          </w:tcPr>
          <w:p w14:paraId="3830FEAE" w14:textId="77777777" w:rsidR="003C1F10" w:rsidRPr="007C747A" w:rsidRDefault="003C1F10" w:rsidP="003C1F10">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Defined contribution plans</w:t>
            </w:r>
          </w:p>
        </w:tc>
        <w:tc>
          <w:tcPr>
            <w:tcW w:w="1258" w:type="dxa"/>
            <w:tcBorders>
              <w:top w:val="nil"/>
              <w:left w:val="nil"/>
              <w:bottom w:val="nil"/>
              <w:right w:val="nil"/>
            </w:tcBorders>
            <w:shd w:val="clear" w:color="FFFFFF" w:fill="FFFFFF"/>
            <w:noWrap/>
            <w:vAlign w:val="bottom"/>
            <w:hideMark/>
          </w:tcPr>
          <w:p w14:paraId="4AA73B5E"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62,685</w:t>
            </w:r>
          </w:p>
        </w:tc>
        <w:tc>
          <w:tcPr>
            <w:tcW w:w="236" w:type="dxa"/>
            <w:tcBorders>
              <w:top w:val="nil"/>
              <w:left w:val="nil"/>
              <w:bottom w:val="nil"/>
              <w:right w:val="nil"/>
            </w:tcBorders>
            <w:shd w:val="clear" w:color="FFFFFF" w:fill="FFFFFF"/>
            <w:noWrap/>
            <w:vAlign w:val="bottom"/>
            <w:hideMark/>
          </w:tcPr>
          <w:p w14:paraId="0C9D5D0B"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0C0724F3"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54,550</w:t>
            </w:r>
          </w:p>
        </w:tc>
      </w:tr>
      <w:tr w:rsidR="003C1F10" w:rsidRPr="007C747A" w14:paraId="57117B28" w14:textId="77777777">
        <w:trPr>
          <w:trHeight w:val="253"/>
        </w:trPr>
        <w:tc>
          <w:tcPr>
            <w:tcW w:w="6400" w:type="dxa"/>
            <w:tcBorders>
              <w:top w:val="nil"/>
              <w:left w:val="nil"/>
              <w:bottom w:val="nil"/>
              <w:right w:val="nil"/>
            </w:tcBorders>
            <w:shd w:val="clear" w:color="FFFFFF" w:fill="FFFFFF"/>
            <w:noWrap/>
            <w:vAlign w:val="bottom"/>
            <w:hideMark/>
          </w:tcPr>
          <w:p w14:paraId="583C9945" w14:textId="77777777" w:rsidR="003C1F10" w:rsidRPr="007C747A" w:rsidRDefault="003C1F10" w:rsidP="003C1F10">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Defined benefit plans</w:t>
            </w:r>
          </w:p>
        </w:tc>
        <w:tc>
          <w:tcPr>
            <w:tcW w:w="1258" w:type="dxa"/>
            <w:tcBorders>
              <w:top w:val="nil"/>
              <w:left w:val="nil"/>
              <w:bottom w:val="nil"/>
              <w:right w:val="nil"/>
            </w:tcBorders>
            <w:shd w:val="clear" w:color="FFFFFF" w:fill="FFFFFF"/>
            <w:noWrap/>
            <w:vAlign w:val="bottom"/>
            <w:hideMark/>
          </w:tcPr>
          <w:p w14:paraId="27D0C6A8"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10,826</w:t>
            </w:r>
          </w:p>
        </w:tc>
        <w:tc>
          <w:tcPr>
            <w:tcW w:w="236" w:type="dxa"/>
            <w:tcBorders>
              <w:top w:val="nil"/>
              <w:left w:val="nil"/>
              <w:bottom w:val="nil"/>
              <w:right w:val="nil"/>
            </w:tcBorders>
            <w:shd w:val="clear" w:color="FFFFFF" w:fill="FFFFFF"/>
            <w:noWrap/>
            <w:vAlign w:val="bottom"/>
            <w:hideMark/>
          </w:tcPr>
          <w:p w14:paraId="0F61E5AA"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39B45AF0"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10,154</w:t>
            </w:r>
          </w:p>
        </w:tc>
      </w:tr>
      <w:tr w:rsidR="003C1F10" w:rsidRPr="007C747A" w14:paraId="789BF54E" w14:textId="77777777">
        <w:trPr>
          <w:trHeight w:val="253"/>
        </w:trPr>
        <w:tc>
          <w:tcPr>
            <w:tcW w:w="6400" w:type="dxa"/>
            <w:tcBorders>
              <w:top w:val="nil"/>
              <w:left w:val="nil"/>
              <w:bottom w:val="nil"/>
              <w:right w:val="nil"/>
            </w:tcBorders>
            <w:shd w:val="clear" w:color="FFFFFF" w:fill="FFFFFF"/>
            <w:vAlign w:val="bottom"/>
            <w:hideMark/>
          </w:tcPr>
          <w:p w14:paraId="54AEA2CB"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Leave and other entitlements</w:t>
            </w:r>
          </w:p>
        </w:tc>
        <w:tc>
          <w:tcPr>
            <w:tcW w:w="1258" w:type="dxa"/>
            <w:tcBorders>
              <w:top w:val="nil"/>
              <w:left w:val="nil"/>
              <w:bottom w:val="nil"/>
              <w:right w:val="nil"/>
            </w:tcBorders>
            <w:shd w:val="clear" w:color="FFFFFF" w:fill="FFFFFF"/>
            <w:noWrap/>
            <w:vAlign w:val="bottom"/>
            <w:hideMark/>
          </w:tcPr>
          <w:p w14:paraId="4AA829DA"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48,145</w:t>
            </w:r>
          </w:p>
        </w:tc>
        <w:tc>
          <w:tcPr>
            <w:tcW w:w="236" w:type="dxa"/>
            <w:tcBorders>
              <w:top w:val="nil"/>
              <w:left w:val="nil"/>
              <w:bottom w:val="nil"/>
              <w:right w:val="nil"/>
            </w:tcBorders>
            <w:shd w:val="clear" w:color="FFFFFF" w:fill="FFFFFF"/>
            <w:noWrap/>
            <w:vAlign w:val="bottom"/>
            <w:hideMark/>
          </w:tcPr>
          <w:p w14:paraId="305A5D73"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15BFC2AC"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36,844</w:t>
            </w:r>
          </w:p>
        </w:tc>
      </w:tr>
      <w:tr w:rsidR="003C1F10" w:rsidRPr="007C747A" w14:paraId="6B4A2C0F" w14:textId="77777777">
        <w:trPr>
          <w:trHeight w:val="253"/>
        </w:trPr>
        <w:tc>
          <w:tcPr>
            <w:tcW w:w="6400" w:type="dxa"/>
            <w:tcBorders>
              <w:top w:val="nil"/>
              <w:left w:val="nil"/>
              <w:bottom w:val="nil"/>
              <w:right w:val="nil"/>
            </w:tcBorders>
            <w:shd w:val="clear" w:color="FFFFFF" w:fill="FFFFFF"/>
            <w:vAlign w:val="bottom"/>
            <w:hideMark/>
          </w:tcPr>
          <w:p w14:paraId="121EB3B7"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Separation and redundancies</w:t>
            </w:r>
          </w:p>
        </w:tc>
        <w:tc>
          <w:tcPr>
            <w:tcW w:w="1258" w:type="dxa"/>
            <w:tcBorders>
              <w:top w:val="nil"/>
              <w:left w:val="nil"/>
              <w:bottom w:val="nil"/>
              <w:right w:val="nil"/>
            </w:tcBorders>
            <w:shd w:val="clear" w:color="FFFFFF" w:fill="FFFFFF"/>
            <w:noWrap/>
            <w:vAlign w:val="bottom"/>
            <w:hideMark/>
          </w:tcPr>
          <w:p w14:paraId="3EE1290E"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87</w:t>
            </w:r>
          </w:p>
        </w:tc>
        <w:tc>
          <w:tcPr>
            <w:tcW w:w="236" w:type="dxa"/>
            <w:tcBorders>
              <w:top w:val="nil"/>
              <w:left w:val="nil"/>
              <w:bottom w:val="nil"/>
              <w:right w:val="nil"/>
            </w:tcBorders>
            <w:shd w:val="clear" w:color="FFFFFF" w:fill="FFFFFF"/>
            <w:noWrap/>
            <w:vAlign w:val="bottom"/>
            <w:hideMark/>
          </w:tcPr>
          <w:p w14:paraId="5EF0D30E"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57DD992D"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123</w:t>
            </w:r>
          </w:p>
        </w:tc>
      </w:tr>
      <w:tr w:rsidR="003C1F10" w:rsidRPr="007C747A" w14:paraId="56256F0C" w14:textId="77777777">
        <w:trPr>
          <w:trHeight w:val="253"/>
        </w:trPr>
        <w:tc>
          <w:tcPr>
            <w:tcW w:w="6400" w:type="dxa"/>
            <w:tcBorders>
              <w:top w:val="nil"/>
              <w:left w:val="nil"/>
              <w:bottom w:val="nil"/>
              <w:right w:val="nil"/>
            </w:tcBorders>
            <w:shd w:val="clear" w:color="FFFFFF" w:fill="FFFFFF"/>
            <w:vAlign w:val="bottom"/>
            <w:hideMark/>
          </w:tcPr>
          <w:p w14:paraId="17893E0D" w14:textId="77777777" w:rsidR="003C1F10" w:rsidRPr="007C747A" w:rsidRDefault="003C1F10" w:rsidP="003C1F10">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employee benefits</w:t>
            </w:r>
          </w:p>
        </w:tc>
        <w:tc>
          <w:tcPr>
            <w:tcW w:w="1258" w:type="dxa"/>
            <w:tcBorders>
              <w:top w:val="single" w:sz="4" w:space="0" w:color="auto"/>
              <w:left w:val="nil"/>
              <w:bottom w:val="single" w:sz="4" w:space="0" w:color="auto"/>
              <w:right w:val="nil"/>
            </w:tcBorders>
            <w:shd w:val="clear" w:color="FFFFFF" w:fill="FFFFFF"/>
            <w:noWrap/>
            <w:vAlign w:val="bottom"/>
            <w:hideMark/>
          </w:tcPr>
          <w:p w14:paraId="071E4348" w14:textId="77777777" w:rsidR="003C1F10" w:rsidRPr="007C747A" w:rsidRDefault="003C1F10" w:rsidP="003C1F10">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551,640</w:t>
            </w:r>
          </w:p>
        </w:tc>
        <w:tc>
          <w:tcPr>
            <w:tcW w:w="236" w:type="dxa"/>
            <w:tcBorders>
              <w:top w:val="nil"/>
              <w:left w:val="nil"/>
              <w:bottom w:val="nil"/>
              <w:right w:val="nil"/>
            </w:tcBorders>
            <w:shd w:val="clear" w:color="FFFFFF" w:fill="FFFFFF"/>
            <w:noWrap/>
            <w:vAlign w:val="bottom"/>
            <w:hideMark/>
          </w:tcPr>
          <w:p w14:paraId="2F07CA5E" w14:textId="77777777" w:rsidR="003C1F10" w:rsidRPr="007C747A" w:rsidRDefault="003C1F10" w:rsidP="003C1F10">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single" w:sz="4" w:space="0" w:color="auto"/>
              <w:left w:val="nil"/>
              <w:bottom w:val="single" w:sz="4" w:space="0" w:color="auto"/>
              <w:right w:val="nil"/>
            </w:tcBorders>
            <w:shd w:val="clear" w:color="FFFFFF" w:fill="FFFFFF"/>
            <w:noWrap/>
            <w:vAlign w:val="bottom"/>
            <w:hideMark/>
          </w:tcPr>
          <w:p w14:paraId="58EB4E3D" w14:textId="77777777" w:rsidR="003C1F10" w:rsidRPr="007C747A" w:rsidRDefault="003C1F10" w:rsidP="003C1F10">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482,219</w:t>
            </w:r>
          </w:p>
        </w:tc>
      </w:tr>
      <w:bookmarkEnd w:id="194"/>
      <w:bookmarkEnd w:id="195"/>
      <w:bookmarkEnd w:id="196"/>
      <w:bookmarkEnd w:id="197"/>
      <w:bookmarkEnd w:id="198"/>
      <w:bookmarkEnd w:id="199"/>
      <w:bookmarkEnd w:id="200"/>
      <w:bookmarkEnd w:id="201"/>
      <w:bookmarkEnd w:id="202"/>
    </w:tbl>
    <w:p w14:paraId="1B264A5F" w14:textId="77777777" w:rsidR="00F2518A" w:rsidRPr="007C747A" w:rsidRDefault="00F2518A" w:rsidP="00F2518A">
      <w:pPr>
        <w:spacing w:after="0" w:line="240" w:lineRule="auto"/>
        <w:rPr>
          <w:rFonts w:eastAsia="Times New Roman"/>
          <w:sz w:val="18"/>
          <w:szCs w:val="20"/>
          <w:lang w:val="en-AU" w:eastAsia="en-AU"/>
        </w:rPr>
      </w:pPr>
    </w:p>
    <w:p w14:paraId="26FFD62F"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3FC8A157"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Accounting policies for employee related expenses are contained in Section 3. People and Relationships. </w:t>
      </w:r>
    </w:p>
    <w:tbl>
      <w:tblPr>
        <w:tblW w:w="9087" w:type="dxa"/>
        <w:tblLayout w:type="fixed"/>
        <w:tblLook w:val="04A0" w:firstRow="1" w:lastRow="0" w:firstColumn="1" w:lastColumn="0" w:noHBand="0" w:noVBand="1"/>
      </w:tblPr>
      <w:tblGrid>
        <w:gridCol w:w="6400"/>
        <w:gridCol w:w="1258"/>
        <w:gridCol w:w="236"/>
        <w:gridCol w:w="1193"/>
      </w:tblGrid>
      <w:tr w:rsidR="00F2518A" w:rsidRPr="007C747A" w14:paraId="76672299" w14:textId="77777777">
        <w:trPr>
          <w:trHeight w:val="260"/>
        </w:trPr>
        <w:tc>
          <w:tcPr>
            <w:tcW w:w="6400" w:type="dxa"/>
            <w:tcBorders>
              <w:top w:val="nil"/>
              <w:left w:val="nil"/>
              <w:bottom w:val="nil"/>
              <w:right w:val="nil"/>
            </w:tcBorders>
            <w:shd w:val="clear" w:color="FFFFFF" w:fill="FFFFFF"/>
            <w:noWrap/>
            <w:vAlign w:val="bottom"/>
            <w:hideMark/>
          </w:tcPr>
          <w:p w14:paraId="0EE25F66"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03" w:name="Note_SXPTABLE1" w:colFirst="0" w:colLast="0"/>
            <w:r w:rsidRPr="007C747A">
              <w:rPr>
                <w:rFonts w:eastAsia="Times New Roman" w:cs="Arial"/>
                <w:b/>
                <w:bCs/>
                <w:sz w:val="18"/>
                <w:szCs w:val="18"/>
                <w:u w:val="single"/>
                <w:lang w:val="en-AU" w:eastAsia="en-US"/>
              </w:rPr>
              <w:t>Note 1.1B: Suppliers</w:t>
            </w:r>
          </w:p>
        </w:tc>
        <w:tc>
          <w:tcPr>
            <w:tcW w:w="1258" w:type="dxa"/>
            <w:tcBorders>
              <w:top w:val="nil"/>
              <w:left w:val="nil"/>
              <w:bottom w:val="nil"/>
              <w:right w:val="nil"/>
            </w:tcBorders>
            <w:shd w:val="clear" w:color="FFFFFF" w:fill="FFFFFF"/>
            <w:vAlign w:val="bottom"/>
            <w:hideMark/>
          </w:tcPr>
          <w:p w14:paraId="1D7288E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DFAA5E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vAlign w:val="bottom"/>
            <w:hideMark/>
          </w:tcPr>
          <w:p w14:paraId="23BBCAF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bookmarkEnd w:id="203"/>
      <w:tr w:rsidR="00F2518A" w:rsidRPr="007C747A" w14:paraId="30925793" w14:textId="77777777">
        <w:trPr>
          <w:trHeight w:val="260"/>
        </w:trPr>
        <w:tc>
          <w:tcPr>
            <w:tcW w:w="6400" w:type="dxa"/>
            <w:tcBorders>
              <w:top w:val="nil"/>
              <w:left w:val="nil"/>
              <w:bottom w:val="nil"/>
              <w:right w:val="nil"/>
            </w:tcBorders>
            <w:shd w:val="clear" w:color="FFFFFF" w:fill="FFFFFF"/>
            <w:vAlign w:val="bottom"/>
            <w:hideMark/>
          </w:tcPr>
          <w:p w14:paraId="6DA74DD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Services rendered</w:t>
            </w:r>
          </w:p>
        </w:tc>
        <w:tc>
          <w:tcPr>
            <w:tcW w:w="1258" w:type="dxa"/>
            <w:tcBorders>
              <w:top w:val="nil"/>
              <w:left w:val="nil"/>
              <w:bottom w:val="nil"/>
              <w:right w:val="nil"/>
            </w:tcBorders>
            <w:shd w:val="clear" w:color="FFFFFF" w:fill="FFFFFF"/>
            <w:noWrap/>
            <w:vAlign w:val="bottom"/>
            <w:hideMark/>
          </w:tcPr>
          <w:p w14:paraId="4662913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E69CFE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4C59EAD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AB08324" w14:textId="77777777">
        <w:trPr>
          <w:trHeight w:val="270"/>
        </w:trPr>
        <w:tc>
          <w:tcPr>
            <w:tcW w:w="6400" w:type="dxa"/>
            <w:tcBorders>
              <w:top w:val="nil"/>
              <w:left w:val="nil"/>
              <w:bottom w:val="nil"/>
              <w:right w:val="nil"/>
            </w:tcBorders>
            <w:shd w:val="clear" w:color="FFFFFF" w:fill="FFFFFF"/>
            <w:noWrap/>
            <w:vAlign w:val="bottom"/>
            <w:hideMark/>
          </w:tcPr>
          <w:p w14:paraId="793681B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Service providers</w:t>
            </w:r>
            <w:r w:rsidRPr="007C747A">
              <w:rPr>
                <w:rFonts w:eastAsia="Times New Roman" w:cs="Arial"/>
                <w:sz w:val="18"/>
                <w:szCs w:val="18"/>
                <w:vertAlign w:val="superscript"/>
                <w:lang w:val="en-AU" w:eastAsia="en-US"/>
              </w:rPr>
              <w:t>1</w:t>
            </w:r>
          </w:p>
        </w:tc>
        <w:tc>
          <w:tcPr>
            <w:tcW w:w="1258" w:type="dxa"/>
            <w:tcBorders>
              <w:top w:val="nil"/>
              <w:left w:val="nil"/>
              <w:bottom w:val="nil"/>
              <w:right w:val="nil"/>
            </w:tcBorders>
            <w:shd w:val="clear" w:color="FFFFFF" w:fill="FFFFFF"/>
            <w:noWrap/>
            <w:vAlign w:val="bottom"/>
            <w:hideMark/>
          </w:tcPr>
          <w:p w14:paraId="3B1AFEC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351,164</w:t>
            </w:r>
          </w:p>
        </w:tc>
        <w:tc>
          <w:tcPr>
            <w:tcW w:w="236" w:type="dxa"/>
            <w:tcBorders>
              <w:top w:val="nil"/>
              <w:left w:val="nil"/>
              <w:bottom w:val="nil"/>
              <w:right w:val="nil"/>
            </w:tcBorders>
            <w:shd w:val="clear" w:color="FFFFFF" w:fill="FFFFFF"/>
            <w:noWrap/>
            <w:vAlign w:val="bottom"/>
            <w:hideMark/>
          </w:tcPr>
          <w:p w14:paraId="15AC11A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052DD77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264,464</w:t>
            </w:r>
          </w:p>
        </w:tc>
      </w:tr>
      <w:tr w:rsidR="00F2518A" w:rsidRPr="007C747A" w14:paraId="7DAB3477" w14:textId="77777777">
        <w:trPr>
          <w:trHeight w:val="250"/>
        </w:trPr>
        <w:tc>
          <w:tcPr>
            <w:tcW w:w="6400" w:type="dxa"/>
            <w:tcBorders>
              <w:top w:val="nil"/>
              <w:left w:val="nil"/>
              <w:bottom w:val="nil"/>
              <w:right w:val="nil"/>
            </w:tcBorders>
            <w:shd w:val="clear" w:color="FFFFFF" w:fill="FFFFFF"/>
            <w:noWrap/>
            <w:vAlign w:val="bottom"/>
            <w:hideMark/>
          </w:tcPr>
          <w:p w14:paraId="70A3E6C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Legal expenses</w:t>
            </w:r>
          </w:p>
        </w:tc>
        <w:tc>
          <w:tcPr>
            <w:tcW w:w="1258" w:type="dxa"/>
            <w:tcBorders>
              <w:top w:val="nil"/>
              <w:left w:val="nil"/>
              <w:bottom w:val="nil"/>
              <w:right w:val="nil"/>
            </w:tcBorders>
            <w:shd w:val="clear" w:color="FFFFFF" w:fill="FFFFFF"/>
            <w:noWrap/>
            <w:vAlign w:val="bottom"/>
            <w:hideMark/>
          </w:tcPr>
          <w:p w14:paraId="5AD92CF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72,272</w:t>
            </w:r>
          </w:p>
        </w:tc>
        <w:tc>
          <w:tcPr>
            <w:tcW w:w="236" w:type="dxa"/>
            <w:tcBorders>
              <w:top w:val="nil"/>
              <w:left w:val="nil"/>
              <w:bottom w:val="nil"/>
              <w:right w:val="nil"/>
            </w:tcBorders>
            <w:shd w:val="clear" w:color="FFFFFF" w:fill="FFFFFF"/>
            <w:noWrap/>
            <w:vAlign w:val="bottom"/>
            <w:hideMark/>
          </w:tcPr>
          <w:p w14:paraId="589E12D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43465EA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58,771</w:t>
            </w:r>
          </w:p>
        </w:tc>
      </w:tr>
      <w:tr w:rsidR="00F2518A" w:rsidRPr="007C747A" w14:paraId="38B8B451" w14:textId="77777777">
        <w:trPr>
          <w:trHeight w:val="250"/>
        </w:trPr>
        <w:tc>
          <w:tcPr>
            <w:tcW w:w="6400" w:type="dxa"/>
            <w:tcBorders>
              <w:top w:val="nil"/>
              <w:left w:val="nil"/>
              <w:bottom w:val="nil"/>
              <w:right w:val="nil"/>
            </w:tcBorders>
            <w:shd w:val="clear" w:color="FFFFFF" w:fill="FFFFFF"/>
            <w:noWrap/>
            <w:vAlign w:val="bottom"/>
            <w:hideMark/>
          </w:tcPr>
          <w:p w14:paraId="2C08B1B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Information technology expenses</w:t>
            </w:r>
          </w:p>
        </w:tc>
        <w:tc>
          <w:tcPr>
            <w:tcW w:w="1258" w:type="dxa"/>
            <w:tcBorders>
              <w:top w:val="nil"/>
              <w:left w:val="nil"/>
              <w:bottom w:val="nil"/>
              <w:right w:val="nil"/>
            </w:tcBorders>
            <w:shd w:val="clear" w:color="FFFFFF" w:fill="FFFFFF"/>
            <w:noWrap/>
            <w:vAlign w:val="bottom"/>
            <w:hideMark/>
          </w:tcPr>
          <w:p w14:paraId="6496965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58,240</w:t>
            </w:r>
          </w:p>
        </w:tc>
        <w:tc>
          <w:tcPr>
            <w:tcW w:w="236" w:type="dxa"/>
            <w:tcBorders>
              <w:top w:val="nil"/>
              <w:left w:val="nil"/>
              <w:bottom w:val="nil"/>
              <w:right w:val="nil"/>
            </w:tcBorders>
            <w:shd w:val="clear" w:color="FFFFFF" w:fill="FFFFFF"/>
            <w:noWrap/>
            <w:vAlign w:val="bottom"/>
            <w:hideMark/>
          </w:tcPr>
          <w:p w14:paraId="00117D4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3A004DE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40,943</w:t>
            </w:r>
          </w:p>
        </w:tc>
      </w:tr>
      <w:tr w:rsidR="00F2518A" w:rsidRPr="007C747A" w14:paraId="6769A010" w14:textId="77777777">
        <w:trPr>
          <w:trHeight w:val="270"/>
        </w:trPr>
        <w:tc>
          <w:tcPr>
            <w:tcW w:w="6400" w:type="dxa"/>
            <w:tcBorders>
              <w:top w:val="nil"/>
              <w:left w:val="nil"/>
              <w:bottom w:val="nil"/>
              <w:right w:val="nil"/>
            </w:tcBorders>
            <w:shd w:val="clear" w:color="FFFFFF" w:fill="FFFFFF"/>
            <w:noWrap/>
            <w:vAlign w:val="bottom"/>
            <w:hideMark/>
          </w:tcPr>
          <w:p w14:paraId="20EA470B"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Shared Services</w:t>
            </w:r>
            <w:r w:rsidRPr="007C747A">
              <w:rPr>
                <w:rFonts w:eastAsia="Times New Roman" w:cs="Arial"/>
                <w:sz w:val="18"/>
                <w:szCs w:val="18"/>
                <w:vertAlign w:val="superscript"/>
                <w:lang w:val="en-AU" w:eastAsia="en-US"/>
              </w:rPr>
              <w:t>2</w:t>
            </w:r>
          </w:p>
        </w:tc>
        <w:tc>
          <w:tcPr>
            <w:tcW w:w="1258" w:type="dxa"/>
            <w:tcBorders>
              <w:top w:val="nil"/>
              <w:left w:val="nil"/>
              <w:bottom w:val="nil"/>
              <w:right w:val="nil"/>
            </w:tcBorders>
            <w:shd w:val="clear" w:color="FFFFFF" w:fill="FFFFFF"/>
            <w:noWrap/>
            <w:vAlign w:val="bottom"/>
            <w:hideMark/>
          </w:tcPr>
          <w:p w14:paraId="56B42CA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45,903</w:t>
            </w:r>
          </w:p>
        </w:tc>
        <w:tc>
          <w:tcPr>
            <w:tcW w:w="236" w:type="dxa"/>
            <w:tcBorders>
              <w:top w:val="nil"/>
              <w:left w:val="nil"/>
              <w:bottom w:val="nil"/>
              <w:right w:val="nil"/>
            </w:tcBorders>
            <w:shd w:val="clear" w:color="FFFFFF" w:fill="FFFFFF"/>
            <w:noWrap/>
            <w:vAlign w:val="bottom"/>
            <w:hideMark/>
          </w:tcPr>
          <w:p w14:paraId="5921598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6F749AF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53,098</w:t>
            </w:r>
          </w:p>
        </w:tc>
      </w:tr>
      <w:tr w:rsidR="00F2518A" w:rsidRPr="007C747A" w14:paraId="2F5B7BDB" w14:textId="77777777">
        <w:trPr>
          <w:trHeight w:val="250"/>
        </w:trPr>
        <w:tc>
          <w:tcPr>
            <w:tcW w:w="6400" w:type="dxa"/>
            <w:tcBorders>
              <w:top w:val="nil"/>
              <w:left w:val="nil"/>
              <w:bottom w:val="nil"/>
              <w:right w:val="nil"/>
            </w:tcBorders>
            <w:shd w:val="clear" w:color="FFFFFF" w:fill="FFFFFF"/>
            <w:noWrap/>
            <w:vAlign w:val="bottom"/>
            <w:hideMark/>
          </w:tcPr>
          <w:p w14:paraId="5A2E77C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Community connector management fees</w:t>
            </w:r>
          </w:p>
        </w:tc>
        <w:tc>
          <w:tcPr>
            <w:tcW w:w="1258" w:type="dxa"/>
            <w:tcBorders>
              <w:top w:val="nil"/>
              <w:left w:val="nil"/>
              <w:bottom w:val="nil"/>
              <w:right w:val="nil"/>
            </w:tcBorders>
            <w:shd w:val="clear" w:color="FFFFFF" w:fill="FFFFFF"/>
            <w:noWrap/>
            <w:vAlign w:val="bottom"/>
            <w:hideMark/>
          </w:tcPr>
          <w:p w14:paraId="43B5F1B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20,153</w:t>
            </w:r>
          </w:p>
        </w:tc>
        <w:tc>
          <w:tcPr>
            <w:tcW w:w="236" w:type="dxa"/>
            <w:tcBorders>
              <w:top w:val="nil"/>
              <w:left w:val="nil"/>
              <w:bottom w:val="nil"/>
              <w:right w:val="nil"/>
            </w:tcBorders>
            <w:shd w:val="clear" w:color="FFFFFF" w:fill="FFFFFF"/>
            <w:noWrap/>
            <w:vAlign w:val="bottom"/>
            <w:hideMark/>
          </w:tcPr>
          <w:p w14:paraId="360622C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2471732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17,683</w:t>
            </w:r>
          </w:p>
        </w:tc>
      </w:tr>
      <w:tr w:rsidR="00F2518A" w:rsidRPr="007C747A" w14:paraId="6272624D" w14:textId="77777777">
        <w:trPr>
          <w:trHeight w:val="250"/>
        </w:trPr>
        <w:tc>
          <w:tcPr>
            <w:tcW w:w="6400" w:type="dxa"/>
            <w:tcBorders>
              <w:top w:val="nil"/>
              <w:left w:val="nil"/>
              <w:bottom w:val="nil"/>
              <w:right w:val="nil"/>
            </w:tcBorders>
            <w:shd w:val="clear" w:color="FFFFFF" w:fill="FFFFFF"/>
            <w:noWrap/>
            <w:vAlign w:val="bottom"/>
            <w:hideMark/>
          </w:tcPr>
          <w:p w14:paraId="63AB4E7B"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Property operating expenses</w:t>
            </w:r>
          </w:p>
        </w:tc>
        <w:tc>
          <w:tcPr>
            <w:tcW w:w="1258" w:type="dxa"/>
            <w:tcBorders>
              <w:top w:val="nil"/>
              <w:left w:val="nil"/>
              <w:bottom w:val="nil"/>
              <w:right w:val="nil"/>
            </w:tcBorders>
            <w:shd w:val="clear" w:color="FFFFFF" w:fill="FFFFFF"/>
            <w:noWrap/>
            <w:vAlign w:val="bottom"/>
            <w:hideMark/>
          </w:tcPr>
          <w:p w14:paraId="3DEEC14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9,706</w:t>
            </w:r>
          </w:p>
        </w:tc>
        <w:tc>
          <w:tcPr>
            <w:tcW w:w="236" w:type="dxa"/>
            <w:tcBorders>
              <w:top w:val="nil"/>
              <w:left w:val="nil"/>
              <w:bottom w:val="nil"/>
              <w:right w:val="nil"/>
            </w:tcBorders>
            <w:shd w:val="clear" w:color="FFFFFF" w:fill="FFFFFF"/>
            <w:noWrap/>
            <w:vAlign w:val="bottom"/>
            <w:hideMark/>
          </w:tcPr>
          <w:p w14:paraId="0B7A105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64D1DF5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10,276</w:t>
            </w:r>
          </w:p>
        </w:tc>
      </w:tr>
      <w:tr w:rsidR="00F2518A" w:rsidRPr="007C747A" w14:paraId="35D6E8C3" w14:textId="77777777">
        <w:trPr>
          <w:trHeight w:val="250"/>
        </w:trPr>
        <w:tc>
          <w:tcPr>
            <w:tcW w:w="6400" w:type="dxa"/>
            <w:tcBorders>
              <w:top w:val="nil"/>
              <w:left w:val="nil"/>
              <w:bottom w:val="nil"/>
              <w:right w:val="nil"/>
            </w:tcBorders>
            <w:shd w:val="clear" w:color="FFFFFF" w:fill="FFFFFF"/>
            <w:noWrap/>
            <w:vAlign w:val="bottom"/>
            <w:hideMark/>
          </w:tcPr>
          <w:p w14:paraId="5931FF4F"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 xml:space="preserve">Other </w:t>
            </w:r>
          </w:p>
        </w:tc>
        <w:tc>
          <w:tcPr>
            <w:tcW w:w="1258" w:type="dxa"/>
            <w:tcBorders>
              <w:top w:val="nil"/>
              <w:left w:val="nil"/>
              <w:bottom w:val="nil"/>
              <w:right w:val="nil"/>
            </w:tcBorders>
            <w:shd w:val="clear" w:color="FFFFFF" w:fill="FFFFFF"/>
            <w:noWrap/>
            <w:vAlign w:val="bottom"/>
            <w:hideMark/>
          </w:tcPr>
          <w:p w14:paraId="6E1C63A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9,293</w:t>
            </w:r>
          </w:p>
        </w:tc>
        <w:tc>
          <w:tcPr>
            <w:tcW w:w="236" w:type="dxa"/>
            <w:tcBorders>
              <w:top w:val="nil"/>
              <w:left w:val="nil"/>
              <w:bottom w:val="nil"/>
              <w:right w:val="nil"/>
            </w:tcBorders>
            <w:shd w:val="clear" w:color="FFFFFF" w:fill="FFFFFF"/>
            <w:noWrap/>
            <w:vAlign w:val="bottom"/>
            <w:hideMark/>
          </w:tcPr>
          <w:p w14:paraId="5227AB0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56D7F4C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6,685</w:t>
            </w:r>
          </w:p>
        </w:tc>
      </w:tr>
      <w:tr w:rsidR="00F2518A" w:rsidRPr="007C747A" w14:paraId="466B7CE7" w14:textId="77777777">
        <w:trPr>
          <w:trHeight w:val="250"/>
        </w:trPr>
        <w:tc>
          <w:tcPr>
            <w:tcW w:w="6400" w:type="dxa"/>
            <w:tcBorders>
              <w:top w:val="nil"/>
              <w:left w:val="nil"/>
              <w:bottom w:val="nil"/>
              <w:right w:val="nil"/>
            </w:tcBorders>
            <w:shd w:val="clear" w:color="FFFFFF" w:fill="FFFFFF"/>
            <w:noWrap/>
            <w:vAlign w:val="bottom"/>
            <w:hideMark/>
          </w:tcPr>
          <w:p w14:paraId="10AC529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Travel</w:t>
            </w:r>
          </w:p>
        </w:tc>
        <w:tc>
          <w:tcPr>
            <w:tcW w:w="1258" w:type="dxa"/>
            <w:tcBorders>
              <w:top w:val="nil"/>
              <w:left w:val="nil"/>
              <w:bottom w:val="nil"/>
              <w:right w:val="nil"/>
            </w:tcBorders>
            <w:shd w:val="clear" w:color="FFFFFF" w:fill="FFFFFF"/>
            <w:noWrap/>
            <w:vAlign w:val="bottom"/>
            <w:hideMark/>
          </w:tcPr>
          <w:p w14:paraId="3DE924D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5,981</w:t>
            </w:r>
          </w:p>
        </w:tc>
        <w:tc>
          <w:tcPr>
            <w:tcW w:w="236" w:type="dxa"/>
            <w:tcBorders>
              <w:top w:val="nil"/>
              <w:left w:val="nil"/>
              <w:bottom w:val="nil"/>
              <w:right w:val="nil"/>
            </w:tcBorders>
            <w:shd w:val="clear" w:color="FFFFFF" w:fill="FFFFFF"/>
            <w:noWrap/>
            <w:vAlign w:val="bottom"/>
            <w:hideMark/>
          </w:tcPr>
          <w:p w14:paraId="3437894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519B1B1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2,775</w:t>
            </w:r>
          </w:p>
        </w:tc>
      </w:tr>
      <w:tr w:rsidR="00F2518A" w:rsidRPr="007C747A" w14:paraId="2D5DA85E" w14:textId="77777777">
        <w:trPr>
          <w:trHeight w:val="250"/>
        </w:trPr>
        <w:tc>
          <w:tcPr>
            <w:tcW w:w="6400" w:type="dxa"/>
            <w:tcBorders>
              <w:top w:val="nil"/>
              <w:left w:val="nil"/>
              <w:bottom w:val="nil"/>
              <w:right w:val="nil"/>
            </w:tcBorders>
            <w:shd w:val="clear" w:color="FFFFFF" w:fill="FFFFFF"/>
            <w:noWrap/>
            <w:vAlign w:val="bottom"/>
            <w:hideMark/>
          </w:tcPr>
          <w:p w14:paraId="24A37632"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Comcover</w:t>
            </w:r>
          </w:p>
        </w:tc>
        <w:tc>
          <w:tcPr>
            <w:tcW w:w="1258" w:type="dxa"/>
            <w:tcBorders>
              <w:top w:val="nil"/>
              <w:left w:val="nil"/>
              <w:bottom w:val="nil"/>
              <w:right w:val="nil"/>
            </w:tcBorders>
            <w:shd w:val="clear" w:color="FFFFFF" w:fill="FFFFFF"/>
            <w:noWrap/>
            <w:vAlign w:val="bottom"/>
            <w:hideMark/>
          </w:tcPr>
          <w:p w14:paraId="2DFA328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5,936</w:t>
            </w:r>
          </w:p>
        </w:tc>
        <w:tc>
          <w:tcPr>
            <w:tcW w:w="236" w:type="dxa"/>
            <w:tcBorders>
              <w:top w:val="nil"/>
              <w:left w:val="nil"/>
              <w:bottom w:val="nil"/>
              <w:right w:val="nil"/>
            </w:tcBorders>
            <w:shd w:val="clear" w:color="FFFFFF" w:fill="FFFFFF"/>
            <w:noWrap/>
            <w:vAlign w:val="bottom"/>
            <w:hideMark/>
          </w:tcPr>
          <w:p w14:paraId="72725BF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283FA9B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5,367</w:t>
            </w:r>
          </w:p>
        </w:tc>
      </w:tr>
      <w:tr w:rsidR="00F2518A" w:rsidRPr="007C747A" w14:paraId="314BF527" w14:textId="77777777">
        <w:trPr>
          <w:trHeight w:val="250"/>
        </w:trPr>
        <w:tc>
          <w:tcPr>
            <w:tcW w:w="6400" w:type="dxa"/>
            <w:tcBorders>
              <w:top w:val="nil"/>
              <w:left w:val="nil"/>
              <w:bottom w:val="nil"/>
              <w:right w:val="nil"/>
            </w:tcBorders>
            <w:shd w:val="clear" w:color="FFFFFF" w:fill="FFFFFF"/>
            <w:noWrap/>
            <w:vAlign w:val="bottom"/>
            <w:hideMark/>
          </w:tcPr>
          <w:p w14:paraId="7D10F96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Staff welfare and training</w:t>
            </w:r>
          </w:p>
        </w:tc>
        <w:tc>
          <w:tcPr>
            <w:tcW w:w="1258" w:type="dxa"/>
            <w:tcBorders>
              <w:top w:val="nil"/>
              <w:left w:val="nil"/>
              <w:bottom w:val="nil"/>
              <w:right w:val="nil"/>
            </w:tcBorders>
            <w:shd w:val="clear" w:color="FFFFFF" w:fill="FFFFFF"/>
            <w:noWrap/>
            <w:vAlign w:val="bottom"/>
            <w:hideMark/>
          </w:tcPr>
          <w:p w14:paraId="0F3D142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5,392</w:t>
            </w:r>
          </w:p>
        </w:tc>
        <w:tc>
          <w:tcPr>
            <w:tcW w:w="236" w:type="dxa"/>
            <w:tcBorders>
              <w:top w:val="nil"/>
              <w:left w:val="nil"/>
              <w:bottom w:val="nil"/>
              <w:right w:val="nil"/>
            </w:tcBorders>
            <w:shd w:val="clear" w:color="FFFFFF" w:fill="FFFFFF"/>
            <w:noWrap/>
            <w:vAlign w:val="bottom"/>
            <w:hideMark/>
          </w:tcPr>
          <w:p w14:paraId="3539E78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09738F4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4,644</w:t>
            </w:r>
          </w:p>
        </w:tc>
      </w:tr>
      <w:tr w:rsidR="00F2518A" w:rsidRPr="007C747A" w14:paraId="41A47D2B" w14:textId="77777777">
        <w:trPr>
          <w:trHeight w:val="250"/>
        </w:trPr>
        <w:tc>
          <w:tcPr>
            <w:tcW w:w="6400" w:type="dxa"/>
            <w:tcBorders>
              <w:top w:val="nil"/>
              <w:left w:val="nil"/>
              <w:bottom w:val="nil"/>
              <w:right w:val="nil"/>
            </w:tcBorders>
            <w:shd w:val="clear" w:color="FFFFFF" w:fill="FFFFFF"/>
            <w:noWrap/>
            <w:vAlign w:val="bottom"/>
            <w:hideMark/>
          </w:tcPr>
          <w:p w14:paraId="4A089DA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Market research</w:t>
            </w:r>
          </w:p>
        </w:tc>
        <w:tc>
          <w:tcPr>
            <w:tcW w:w="1258" w:type="dxa"/>
            <w:tcBorders>
              <w:top w:val="nil"/>
              <w:left w:val="nil"/>
              <w:bottom w:val="nil"/>
              <w:right w:val="nil"/>
            </w:tcBorders>
            <w:shd w:val="clear" w:color="FFFFFF" w:fill="FFFFFF"/>
            <w:noWrap/>
            <w:vAlign w:val="bottom"/>
            <w:hideMark/>
          </w:tcPr>
          <w:p w14:paraId="4794EA4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3,815</w:t>
            </w:r>
          </w:p>
        </w:tc>
        <w:tc>
          <w:tcPr>
            <w:tcW w:w="236" w:type="dxa"/>
            <w:tcBorders>
              <w:top w:val="nil"/>
              <w:left w:val="nil"/>
              <w:bottom w:val="nil"/>
              <w:right w:val="nil"/>
            </w:tcBorders>
            <w:shd w:val="clear" w:color="FFFFFF" w:fill="FFFFFF"/>
            <w:noWrap/>
            <w:vAlign w:val="bottom"/>
            <w:hideMark/>
          </w:tcPr>
          <w:p w14:paraId="36EBB09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0AE300D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4,051</w:t>
            </w:r>
          </w:p>
        </w:tc>
      </w:tr>
      <w:tr w:rsidR="00F2518A" w:rsidRPr="007C747A" w14:paraId="778A4928" w14:textId="77777777">
        <w:trPr>
          <w:trHeight w:val="250"/>
        </w:trPr>
        <w:tc>
          <w:tcPr>
            <w:tcW w:w="6400" w:type="dxa"/>
            <w:tcBorders>
              <w:top w:val="nil"/>
              <w:left w:val="nil"/>
              <w:bottom w:val="nil"/>
              <w:right w:val="nil"/>
            </w:tcBorders>
            <w:shd w:val="clear" w:color="FFFFFF" w:fill="FFFFFF"/>
            <w:noWrap/>
            <w:vAlign w:val="bottom"/>
            <w:hideMark/>
          </w:tcPr>
          <w:p w14:paraId="5E62A98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Staff recruitment and relocation</w:t>
            </w:r>
          </w:p>
        </w:tc>
        <w:tc>
          <w:tcPr>
            <w:tcW w:w="1258" w:type="dxa"/>
            <w:tcBorders>
              <w:top w:val="nil"/>
              <w:left w:val="nil"/>
              <w:bottom w:val="nil"/>
              <w:right w:val="nil"/>
            </w:tcBorders>
            <w:shd w:val="clear" w:color="FFFFFF" w:fill="FFFFFF"/>
            <w:noWrap/>
            <w:vAlign w:val="bottom"/>
            <w:hideMark/>
          </w:tcPr>
          <w:p w14:paraId="0A0E376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3,121</w:t>
            </w:r>
          </w:p>
        </w:tc>
        <w:tc>
          <w:tcPr>
            <w:tcW w:w="236" w:type="dxa"/>
            <w:tcBorders>
              <w:top w:val="nil"/>
              <w:left w:val="nil"/>
              <w:bottom w:val="nil"/>
              <w:right w:val="nil"/>
            </w:tcBorders>
            <w:shd w:val="clear" w:color="FFFFFF" w:fill="FFFFFF"/>
            <w:noWrap/>
            <w:vAlign w:val="bottom"/>
            <w:hideMark/>
          </w:tcPr>
          <w:p w14:paraId="5E70F77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2ED3344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2,183</w:t>
            </w:r>
          </w:p>
        </w:tc>
      </w:tr>
      <w:tr w:rsidR="00F2518A" w:rsidRPr="007C747A" w14:paraId="4BADE4E2" w14:textId="77777777">
        <w:trPr>
          <w:trHeight w:val="250"/>
        </w:trPr>
        <w:tc>
          <w:tcPr>
            <w:tcW w:w="6400" w:type="dxa"/>
            <w:tcBorders>
              <w:top w:val="nil"/>
              <w:left w:val="nil"/>
              <w:bottom w:val="nil"/>
              <w:right w:val="nil"/>
            </w:tcBorders>
            <w:shd w:val="clear" w:color="FFFFFF" w:fill="FFFFFF"/>
            <w:noWrap/>
            <w:vAlign w:val="bottom"/>
            <w:hideMark/>
          </w:tcPr>
          <w:p w14:paraId="0F2585E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Translator and interpreter services</w:t>
            </w:r>
          </w:p>
        </w:tc>
        <w:tc>
          <w:tcPr>
            <w:tcW w:w="1258" w:type="dxa"/>
            <w:tcBorders>
              <w:top w:val="nil"/>
              <w:left w:val="nil"/>
              <w:bottom w:val="nil"/>
              <w:right w:val="nil"/>
            </w:tcBorders>
            <w:shd w:val="clear" w:color="FFFFFF" w:fill="FFFFFF"/>
            <w:noWrap/>
            <w:vAlign w:val="bottom"/>
            <w:hideMark/>
          </w:tcPr>
          <w:p w14:paraId="2D8EF13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1,705</w:t>
            </w:r>
          </w:p>
        </w:tc>
        <w:tc>
          <w:tcPr>
            <w:tcW w:w="236" w:type="dxa"/>
            <w:tcBorders>
              <w:top w:val="nil"/>
              <w:left w:val="nil"/>
              <w:bottom w:val="nil"/>
              <w:right w:val="nil"/>
            </w:tcBorders>
            <w:shd w:val="clear" w:color="FFFFFF" w:fill="FFFFFF"/>
            <w:noWrap/>
            <w:vAlign w:val="bottom"/>
            <w:hideMark/>
          </w:tcPr>
          <w:p w14:paraId="5FC8C65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346CC42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2,239</w:t>
            </w:r>
          </w:p>
        </w:tc>
      </w:tr>
      <w:tr w:rsidR="00F2518A" w:rsidRPr="007C747A" w14:paraId="3BA17143" w14:textId="77777777">
        <w:trPr>
          <w:trHeight w:val="250"/>
        </w:trPr>
        <w:tc>
          <w:tcPr>
            <w:tcW w:w="6400" w:type="dxa"/>
            <w:tcBorders>
              <w:top w:val="nil"/>
              <w:left w:val="nil"/>
              <w:bottom w:val="nil"/>
              <w:right w:val="nil"/>
            </w:tcBorders>
            <w:shd w:val="clear" w:color="FFFFFF" w:fill="FFFFFF"/>
            <w:noWrap/>
            <w:vAlign w:val="bottom"/>
            <w:hideMark/>
          </w:tcPr>
          <w:p w14:paraId="69328E5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Repairs and maintenance</w:t>
            </w:r>
          </w:p>
        </w:tc>
        <w:tc>
          <w:tcPr>
            <w:tcW w:w="1258" w:type="dxa"/>
            <w:tcBorders>
              <w:top w:val="nil"/>
              <w:left w:val="nil"/>
              <w:bottom w:val="nil"/>
              <w:right w:val="nil"/>
            </w:tcBorders>
            <w:shd w:val="clear" w:color="FFFFFF" w:fill="FFFFFF"/>
            <w:noWrap/>
            <w:vAlign w:val="bottom"/>
            <w:hideMark/>
          </w:tcPr>
          <w:p w14:paraId="538B6A1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781</w:t>
            </w:r>
          </w:p>
        </w:tc>
        <w:tc>
          <w:tcPr>
            <w:tcW w:w="236" w:type="dxa"/>
            <w:tcBorders>
              <w:top w:val="nil"/>
              <w:left w:val="nil"/>
              <w:bottom w:val="nil"/>
              <w:right w:val="nil"/>
            </w:tcBorders>
            <w:shd w:val="clear" w:color="FFFFFF" w:fill="FFFFFF"/>
            <w:noWrap/>
            <w:vAlign w:val="bottom"/>
            <w:hideMark/>
          </w:tcPr>
          <w:p w14:paraId="267196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6EAB45C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1,016</w:t>
            </w:r>
          </w:p>
        </w:tc>
      </w:tr>
      <w:tr w:rsidR="00F2518A" w:rsidRPr="007C747A" w14:paraId="321927EF" w14:textId="77777777">
        <w:trPr>
          <w:trHeight w:val="250"/>
        </w:trPr>
        <w:tc>
          <w:tcPr>
            <w:tcW w:w="6400" w:type="dxa"/>
            <w:tcBorders>
              <w:top w:val="nil"/>
              <w:left w:val="nil"/>
              <w:bottom w:val="nil"/>
              <w:right w:val="nil"/>
            </w:tcBorders>
            <w:shd w:val="clear" w:color="FFFFFF" w:fill="FFFFFF"/>
            <w:noWrap/>
            <w:vAlign w:val="bottom"/>
            <w:hideMark/>
          </w:tcPr>
          <w:p w14:paraId="3B82DC33"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Audit fees</w:t>
            </w:r>
          </w:p>
        </w:tc>
        <w:tc>
          <w:tcPr>
            <w:tcW w:w="1258" w:type="dxa"/>
            <w:tcBorders>
              <w:top w:val="nil"/>
              <w:left w:val="nil"/>
              <w:bottom w:val="nil"/>
              <w:right w:val="nil"/>
            </w:tcBorders>
            <w:shd w:val="clear" w:color="FFFFFF" w:fill="FFFFFF"/>
            <w:noWrap/>
            <w:vAlign w:val="bottom"/>
            <w:hideMark/>
          </w:tcPr>
          <w:p w14:paraId="2646679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680</w:t>
            </w:r>
          </w:p>
        </w:tc>
        <w:tc>
          <w:tcPr>
            <w:tcW w:w="236" w:type="dxa"/>
            <w:tcBorders>
              <w:top w:val="nil"/>
              <w:left w:val="nil"/>
              <w:bottom w:val="nil"/>
              <w:right w:val="nil"/>
            </w:tcBorders>
            <w:shd w:val="clear" w:color="FFFFFF" w:fill="FFFFFF"/>
            <w:noWrap/>
            <w:vAlign w:val="bottom"/>
            <w:hideMark/>
          </w:tcPr>
          <w:p w14:paraId="76010E9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219A28B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623</w:t>
            </w:r>
          </w:p>
        </w:tc>
      </w:tr>
      <w:tr w:rsidR="00F2518A" w:rsidRPr="007C747A" w14:paraId="4153C319" w14:textId="77777777">
        <w:trPr>
          <w:trHeight w:val="250"/>
        </w:trPr>
        <w:tc>
          <w:tcPr>
            <w:tcW w:w="6400" w:type="dxa"/>
            <w:tcBorders>
              <w:top w:val="nil"/>
              <w:left w:val="nil"/>
              <w:bottom w:val="nil"/>
              <w:right w:val="nil"/>
            </w:tcBorders>
            <w:shd w:val="clear" w:color="FFFFFF" w:fill="FFFFFF"/>
            <w:vAlign w:val="bottom"/>
            <w:hideMark/>
          </w:tcPr>
          <w:p w14:paraId="0A1DD6C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services rendered</w:t>
            </w:r>
          </w:p>
        </w:tc>
        <w:tc>
          <w:tcPr>
            <w:tcW w:w="1258" w:type="dxa"/>
            <w:tcBorders>
              <w:top w:val="single" w:sz="4" w:space="0" w:color="auto"/>
              <w:left w:val="nil"/>
              <w:bottom w:val="single" w:sz="4" w:space="0" w:color="auto"/>
              <w:right w:val="nil"/>
            </w:tcBorders>
            <w:shd w:val="clear" w:color="FFFFFF" w:fill="FFFFFF"/>
            <w:noWrap/>
            <w:vAlign w:val="bottom"/>
            <w:hideMark/>
          </w:tcPr>
          <w:p w14:paraId="35C5CA7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594,142</w:t>
            </w:r>
          </w:p>
        </w:tc>
        <w:tc>
          <w:tcPr>
            <w:tcW w:w="236" w:type="dxa"/>
            <w:tcBorders>
              <w:top w:val="nil"/>
              <w:left w:val="nil"/>
              <w:bottom w:val="nil"/>
              <w:right w:val="nil"/>
            </w:tcBorders>
            <w:shd w:val="clear" w:color="FFFFFF" w:fill="FFFFFF"/>
            <w:noWrap/>
            <w:vAlign w:val="bottom"/>
            <w:hideMark/>
          </w:tcPr>
          <w:p w14:paraId="7FF605B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single" w:sz="4" w:space="0" w:color="auto"/>
              <w:left w:val="nil"/>
              <w:bottom w:val="single" w:sz="4" w:space="0" w:color="auto"/>
              <w:right w:val="nil"/>
            </w:tcBorders>
            <w:shd w:val="clear" w:color="FFFFFF" w:fill="FFFFFF"/>
            <w:noWrap/>
            <w:vAlign w:val="bottom"/>
            <w:hideMark/>
          </w:tcPr>
          <w:p w14:paraId="1C45EAF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474,818</w:t>
            </w:r>
          </w:p>
        </w:tc>
      </w:tr>
      <w:tr w:rsidR="00F2518A" w:rsidRPr="007C747A" w14:paraId="7FA1D6B8" w14:textId="77777777">
        <w:trPr>
          <w:trHeight w:val="210"/>
        </w:trPr>
        <w:tc>
          <w:tcPr>
            <w:tcW w:w="6400" w:type="dxa"/>
            <w:tcBorders>
              <w:top w:val="nil"/>
              <w:left w:val="nil"/>
              <w:bottom w:val="nil"/>
              <w:right w:val="nil"/>
            </w:tcBorders>
            <w:shd w:val="clear" w:color="FFFFFF" w:fill="FFFFFF"/>
            <w:vAlign w:val="bottom"/>
            <w:hideMark/>
          </w:tcPr>
          <w:p w14:paraId="457066DB"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58" w:type="dxa"/>
            <w:tcBorders>
              <w:top w:val="nil"/>
              <w:left w:val="nil"/>
              <w:bottom w:val="nil"/>
              <w:right w:val="nil"/>
            </w:tcBorders>
            <w:shd w:val="clear" w:color="FFFFFF" w:fill="FFFFFF"/>
            <w:noWrap/>
            <w:vAlign w:val="bottom"/>
            <w:hideMark/>
          </w:tcPr>
          <w:p w14:paraId="0426B20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B899C6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4941E2A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34C2F7B" w14:textId="77777777">
        <w:trPr>
          <w:trHeight w:val="250"/>
        </w:trPr>
        <w:tc>
          <w:tcPr>
            <w:tcW w:w="6400" w:type="dxa"/>
            <w:tcBorders>
              <w:top w:val="nil"/>
              <w:left w:val="nil"/>
              <w:bottom w:val="nil"/>
              <w:right w:val="nil"/>
            </w:tcBorders>
            <w:shd w:val="clear" w:color="FFFFFF" w:fill="FFFFFF"/>
            <w:vAlign w:val="bottom"/>
            <w:hideMark/>
          </w:tcPr>
          <w:p w14:paraId="7EB742CE"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Other suppliers</w:t>
            </w:r>
          </w:p>
        </w:tc>
        <w:tc>
          <w:tcPr>
            <w:tcW w:w="1258" w:type="dxa"/>
            <w:tcBorders>
              <w:top w:val="nil"/>
              <w:left w:val="nil"/>
              <w:bottom w:val="nil"/>
              <w:right w:val="nil"/>
            </w:tcBorders>
            <w:shd w:val="clear" w:color="FFFFFF" w:fill="FFFFFF"/>
            <w:noWrap/>
            <w:vAlign w:val="bottom"/>
            <w:hideMark/>
          </w:tcPr>
          <w:p w14:paraId="578AE3A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64D540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5F9CF41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C8ED7EE" w14:textId="77777777">
        <w:trPr>
          <w:trHeight w:val="250"/>
        </w:trPr>
        <w:tc>
          <w:tcPr>
            <w:tcW w:w="6400" w:type="dxa"/>
            <w:tcBorders>
              <w:top w:val="nil"/>
              <w:left w:val="nil"/>
              <w:bottom w:val="nil"/>
              <w:right w:val="nil"/>
            </w:tcBorders>
            <w:shd w:val="clear" w:color="FFFFFF" w:fill="FFFFFF"/>
            <w:noWrap/>
            <w:vAlign w:val="bottom"/>
            <w:hideMark/>
          </w:tcPr>
          <w:p w14:paraId="3CC64C7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Short-term leases</w:t>
            </w:r>
          </w:p>
        </w:tc>
        <w:tc>
          <w:tcPr>
            <w:tcW w:w="1258" w:type="dxa"/>
            <w:tcBorders>
              <w:top w:val="nil"/>
              <w:left w:val="nil"/>
              <w:bottom w:val="nil"/>
              <w:right w:val="nil"/>
            </w:tcBorders>
            <w:shd w:val="clear" w:color="FFFFFF" w:fill="FFFFFF"/>
            <w:noWrap/>
            <w:vAlign w:val="bottom"/>
            <w:hideMark/>
          </w:tcPr>
          <w:p w14:paraId="1E702F5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2,016</w:t>
            </w:r>
          </w:p>
        </w:tc>
        <w:tc>
          <w:tcPr>
            <w:tcW w:w="236" w:type="dxa"/>
            <w:tcBorders>
              <w:top w:val="nil"/>
              <w:left w:val="nil"/>
              <w:bottom w:val="nil"/>
              <w:right w:val="nil"/>
            </w:tcBorders>
            <w:shd w:val="clear" w:color="FFFFFF" w:fill="FFFFFF"/>
            <w:noWrap/>
            <w:vAlign w:val="bottom"/>
            <w:hideMark/>
          </w:tcPr>
          <w:p w14:paraId="50D5331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1E14BC7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1,670</w:t>
            </w:r>
          </w:p>
        </w:tc>
      </w:tr>
      <w:tr w:rsidR="00F2518A" w:rsidRPr="007C747A" w14:paraId="6301E96B" w14:textId="77777777">
        <w:trPr>
          <w:trHeight w:val="250"/>
        </w:trPr>
        <w:tc>
          <w:tcPr>
            <w:tcW w:w="6400" w:type="dxa"/>
            <w:tcBorders>
              <w:top w:val="nil"/>
              <w:left w:val="nil"/>
              <w:bottom w:val="nil"/>
              <w:right w:val="nil"/>
            </w:tcBorders>
            <w:shd w:val="clear" w:color="FFFFFF" w:fill="FFFFFF"/>
            <w:vAlign w:val="bottom"/>
            <w:hideMark/>
          </w:tcPr>
          <w:p w14:paraId="2EFE8FDE"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Workers compensation expenses</w:t>
            </w:r>
          </w:p>
        </w:tc>
        <w:tc>
          <w:tcPr>
            <w:tcW w:w="1258" w:type="dxa"/>
            <w:tcBorders>
              <w:top w:val="nil"/>
              <w:left w:val="nil"/>
              <w:bottom w:val="nil"/>
              <w:right w:val="nil"/>
            </w:tcBorders>
            <w:shd w:val="clear" w:color="FFFFFF" w:fill="FFFFFF"/>
            <w:noWrap/>
            <w:vAlign w:val="bottom"/>
            <w:hideMark/>
          </w:tcPr>
          <w:p w14:paraId="76E1F94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7,888</w:t>
            </w:r>
          </w:p>
        </w:tc>
        <w:tc>
          <w:tcPr>
            <w:tcW w:w="236" w:type="dxa"/>
            <w:tcBorders>
              <w:top w:val="nil"/>
              <w:left w:val="nil"/>
              <w:bottom w:val="nil"/>
              <w:right w:val="nil"/>
            </w:tcBorders>
            <w:shd w:val="clear" w:color="FFFFFF" w:fill="FFFFFF"/>
            <w:noWrap/>
            <w:vAlign w:val="bottom"/>
            <w:hideMark/>
          </w:tcPr>
          <w:p w14:paraId="562543D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6EA8F66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3,839</w:t>
            </w:r>
          </w:p>
        </w:tc>
      </w:tr>
      <w:tr w:rsidR="00F2518A" w:rsidRPr="007C747A" w14:paraId="738EBA3B" w14:textId="77777777">
        <w:trPr>
          <w:trHeight w:val="250"/>
        </w:trPr>
        <w:tc>
          <w:tcPr>
            <w:tcW w:w="6400" w:type="dxa"/>
            <w:tcBorders>
              <w:top w:val="nil"/>
              <w:left w:val="nil"/>
              <w:bottom w:val="nil"/>
              <w:right w:val="nil"/>
            </w:tcBorders>
            <w:shd w:val="clear" w:color="FFFFFF" w:fill="FFFFFF"/>
            <w:vAlign w:val="bottom"/>
            <w:hideMark/>
          </w:tcPr>
          <w:p w14:paraId="5B648E9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other suppliers</w:t>
            </w:r>
          </w:p>
        </w:tc>
        <w:tc>
          <w:tcPr>
            <w:tcW w:w="1258" w:type="dxa"/>
            <w:tcBorders>
              <w:top w:val="single" w:sz="4" w:space="0" w:color="auto"/>
              <w:left w:val="nil"/>
              <w:bottom w:val="single" w:sz="4" w:space="0" w:color="auto"/>
              <w:right w:val="nil"/>
            </w:tcBorders>
            <w:shd w:val="clear" w:color="FFFFFF" w:fill="FFFFFF"/>
            <w:noWrap/>
            <w:vAlign w:val="bottom"/>
            <w:hideMark/>
          </w:tcPr>
          <w:p w14:paraId="3BBF96E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9,904</w:t>
            </w:r>
          </w:p>
        </w:tc>
        <w:tc>
          <w:tcPr>
            <w:tcW w:w="236" w:type="dxa"/>
            <w:tcBorders>
              <w:top w:val="nil"/>
              <w:left w:val="nil"/>
              <w:bottom w:val="nil"/>
              <w:right w:val="nil"/>
            </w:tcBorders>
            <w:shd w:val="clear" w:color="FFFFFF" w:fill="FFFFFF"/>
            <w:noWrap/>
            <w:vAlign w:val="bottom"/>
            <w:hideMark/>
          </w:tcPr>
          <w:p w14:paraId="400C86B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single" w:sz="4" w:space="0" w:color="auto"/>
              <w:left w:val="nil"/>
              <w:bottom w:val="single" w:sz="4" w:space="0" w:color="auto"/>
              <w:right w:val="nil"/>
            </w:tcBorders>
            <w:shd w:val="clear" w:color="FFFFFF" w:fill="FFFFFF"/>
            <w:noWrap/>
            <w:vAlign w:val="bottom"/>
            <w:hideMark/>
          </w:tcPr>
          <w:p w14:paraId="3B98E4C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5,509</w:t>
            </w:r>
          </w:p>
        </w:tc>
      </w:tr>
      <w:tr w:rsidR="00F2518A" w:rsidRPr="007C747A" w14:paraId="0BB0C4B1" w14:textId="77777777">
        <w:trPr>
          <w:trHeight w:val="250"/>
        </w:trPr>
        <w:tc>
          <w:tcPr>
            <w:tcW w:w="6400" w:type="dxa"/>
            <w:tcBorders>
              <w:top w:val="nil"/>
              <w:left w:val="nil"/>
              <w:bottom w:val="nil"/>
              <w:right w:val="nil"/>
            </w:tcBorders>
            <w:shd w:val="clear" w:color="FFFFFF" w:fill="FFFFFF"/>
            <w:vAlign w:val="bottom"/>
            <w:hideMark/>
          </w:tcPr>
          <w:p w14:paraId="458B4BE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suppliers</w:t>
            </w:r>
          </w:p>
        </w:tc>
        <w:tc>
          <w:tcPr>
            <w:tcW w:w="1258" w:type="dxa"/>
            <w:tcBorders>
              <w:top w:val="nil"/>
              <w:left w:val="nil"/>
              <w:bottom w:val="single" w:sz="4" w:space="0" w:color="auto"/>
              <w:right w:val="nil"/>
            </w:tcBorders>
            <w:shd w:val="clear" w:color="FFFFFF" w:fill="FFFFFF"/>
            <w:noWrap/>
            <w:vAlign w:val="bottom"/>
            <w:hideMark/>
          </w:tcPr>
          <w:p w14:paraId="0BEB376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604,046</w:t>
            </w:r>
          </w:p>
        </w:tc>
        <w:tc>
          <w:tcPr>
            <w:tcW w:w="236" w:type="dxa"/>
            <w:tcBorders>
              <w:top w:val="nil"/>
              <w:left w:val="nil"/>
              <w:bottom w:val="nil"/>
              <w:right w:val="nil"/>
            </w:tcBorders>
            <w:shd w:val="clear" w:color="FFFFFF" w:fill="FFFFFF"/>
            <w:noWrap/>
            <w:vAlign w:val="bottom"/>
            <w:hideMark/>
          </w:tcPr>
          <w:p w14:paraId="59B85E0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single" w:sz="4" w:space="0" w:color="auto"/>
              <w:right w:val="nil"/>
            </w:tcBorders>
            <w:shd w:val="clear" w:color="FFFFFF" w:fill="FFFFFF"/>
            <w:noWrap/>
            <w:vAlign w:val="bottom"/>
            <w:hideMark/>
          </w:tcPr>
          <w:p w14:paraId="10FB171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480,327</w:t>
            </w:r>
          </w:p>
        </w:tc>
      </w:tr>
    </w:tbl>
    <w:p w14:paraId="177661CA" w14:textId="77777777" w:rsidR="00F2518A" w:rsidRPr="007C747A" w:rsidRDefault="00F2518A" w:rsidP="00F2518A">
      <w:pPr>
        <w:spacing w:after="0" w:line="240" w:lineRule="auto"/>
        <w:ind w:right="607"/>
        <w:rPr>
          <w:rFonts w:eastAsia="Times New Roman" w:cs="Arial"/>
          <w:bCs/>
          <w:sz w:val="18"/>
          <w:szCs w:val="18"/>
          <w:lang w:val="en-AU" w:eastAsia="en-US"/>
        </w:rPr>
      </w:pPr>
    </w:p>
    <w:p w14:paraId="339251A8" w14:textId="77777777" w:rsidR="00F2518A" w:rsidRPr="007C747A" w:rsidRDefault="00F2518A" w:rsidP="00F2518A">
      <w:pPr>
        <w:spacing w:after="0" w:line="240" w:lineRule="auto"/>
        <w:ind w:right="607"/>
        <w:rPr>
          <w:rFonts w:eastAsia="Times New Roman" w:cs="Arial"/>
          <w:bCs/>
          <w:sz w:val="18"/>
          <w:szCs w:val="18"/>
          <w:lang w:val="en-AU" w:eastAsia="en-US"/>
        </w:rPr>
      </w:pPr>
      <w:r w:rsidRPr="007C747A">
        <w:rPr>
          <w:rFonts w:eastAsia="Times New Roman" w:cs="Arial"/>
          <w:bCs/>
          <w:sz w:val="18"/>
          <w:szCs w:val="18"/>
          <w:lang w:val="en-AU" w:eastAsia="en-US"/>
        </w:rPr>
        <w:t>The above lease disclosures should be read in conjunction with the accompanying notes 1.1D, 1.2B, 2.2A &amp; 2.5.</w:t>
      </w:r>
    </w:p>
    <w:p w14:paraId="0F537A9E" w14:textId="77777777" w:rsidR="00F2518A" w:rsidRPr="007C747A" w:rsidRDefault="00F2518A" w:rsidP="00F2518A">
      <w:pPr>
        <w:spacing w:after="0" w:line="240" w:lineRule="auto"/>
        <w:ind w:right="607"/>
        <w:rPr>
          <w:rFonts w:eastAsia="Times New Roman"/>
          <w:bCs/>
          <w:color w:val="FF0000"/>
          <w:sz w:val="20"/>
          <w:szCs w:val="20"/>
          <w:lang w:val="en-AU" w:eastAsia="en-US"/>
        </w:rPr>
      </w:pPr>
    </w:p>
    <w:p w14:paraId="1093B80C" w14:textId="77777777" w:rsidR="00F2518A" w:rsidRPr="007C747A" w:rsidRDefault="00F2518A" w:rsidP="00F2518A">
      <w:pPr>
        <w:spacing w:after="0" w:line="260" w:lineRule="atLeast"/>
        <w:rPr>
          <w:rFonts w:eastAsia="Times New Roman" w:cs="Arial"/>
          <w:sz w:val="14"/>
          <w:szCs w:val="14"/>
          <w:lang w:val="en-AU" w:eastAsia="en-US"/>
        </w:rPr>
      </w:pPr>
      <w:r w:rsidRPr="007C747A">
        <w:rPr>
          <w:rFonts w:eastAsia="Times New Roman" w:cs="Arial"/>
          <w:sz w:val="16"/>
          <w:szCs w:val="16"/>
          <w:vertAlign w:val="superscript"/>
          <w:lang w:val="en-AU" w:eastAsia="en-US"/>
        </w:rPr>
        <w:t xml:space="preserve">1 </w:t>
      </w:r>
      <w:r w:rsidRPr="007C747A">
        <w:rPr>
          <w:rFonts w:eastAsia="Times New Roman" w:cs="Arial"/>
          <w:sz w:val="14"/>
          <w:szCs w:val="14"/>
          <w:lang w:val="en-AU" w:eastAsia="en-US"/>
        </w:rPr>
        <w:t xml:space="preserve">Balance includes contractor and consultant related expenses. </w:t>
      </w:r>
    </w:p>
    <w:p w14:paraId="0E086420" w14:textId="77777777" w:rsidR="00F2518A" w:rsidRPr="007C747A" w:rsidRDefault="00F2518A" w:rsidP="00F2518A">
      <w:pPr>
        <w:spacing w:after="0" w:line="260" w:lineRule="atLeast"/>
        <w:rPr>
          <w:rFonts w:eastAsia="Times New Roman" w:cs="Arial"/>
          <w:sz w:val="14"/>
          <w:szCs w:val="16"/>
          <w:lang w:val="en-AU" w:eastAsia="en-US"/>
        </w:rPr>
      </w:pPr>
      <w:r w:rsidRPr="007C747A">
        <w:rPr>
          <w:rFonts w:eastAsia="Times New Roman" w:cs="Arial"/>
          <w:sz w:val="16"/>
          <w:szCs w:val="18"/>
          <w:vertAlign w:val="superscript"/>
          <w:lang w:val="en-AU" w:eastAsia="en-US"/>
        </w:rPr>
        <w:t>2</w:t>
      </w:r>
      <w:r w:rsidRPr="007C747A">
        <w:rPr>
          <w:rFonts w:eastAsia="Times New Roman" w:cs="Arial"/>
          <w:sz w:val="16"/>
          <w:szCs w:val="18"/>
          <w:lang w:val="en-AU" w:eastAsia="en-US"/>
        </w:rPr>
        <w:t xml:space="preserve"> </w:t>
      </w:r>
      <w:r w:rsidRPr="007C747A">
        <w:rPr>
          <w:rFonts w:eastAsia="Times New Roman" w:cs="Arial"/>
          <w:sz w:val="14"/>
          <w:szCs w:val="16"/>
          <w:lang w:val="en-AU" w:eastAsia="en-US"/>
        </w:rPr>
        <w:t xml:space="preserve">During </w:t>
      </w:r>
      <w:r w:rsidRPr="007C747A">
        <w:rPr>
          <w:rFonts w:eastAsia="Times New Roman" w:cs="Arial"/>
          <w:sz w:val="14"/>
          <w:szCs w:val="16"/>
          <w:lang w:val="en-AU" w:eastAsia="en-US"/>
        </w:rPr>
        <w:fldChar w:fldCharType="begin"/>
      </w:r>
      <w:r w:rsidRPr="007C747A">
        <w:rPr>
          <w:rFonts w:eastAsia="Times New Roman" w:cs="Arial"/>
          <w:sz w:val="14"/>
          <w:szCs w:val="16"/>
          <w:lang w:val="en-AU" w:eastAsia="en-US"/>
        </w:rPr>
        <w:instrText xml:space="preserve"> DOCPROPERTY  prYear  \* MERGEFORMAT </w:instrText>
      </w:r>
      <w:r w:rsidRPr="007C747A">
        <w:rPr>
          <w:rFonts w:eastAsia="Times New Roman" w:cs="Arial"/>
          <w:sz w:val="14"/>
          <w:szCs w:val="16"/>
          <w:lang w:val="en-AU" w:eastAsia="en-US"/>
        </w:rPr>
        <w:fldChar w:fldCharType="separate"/>
      </w:r>
      <w:r w:rsidRPr="007C747A">
        <w:rPr>
          <w:rFonts w:eastAsia="Times New Roman" w:cs="Arial"/>
          <w:sz w:val="14"/>
          <w:szCs w:val="16"/>
          <w:lang w:val="en-AU" w:eastAsia="en-US"/>
        </w:rPr>
        <w:t>2022</w:t>
      </w:r>
      <w:r w:rsidRPr="007C747A">
        <w:rPr>
          <w:rFonts w:eastAsia="Times New Roman" w:cs="Arial"/>
          <w:sz w:val="14"/>
          <w:szCs w:val="16"/>
          <w:lang w:val="en-AU" w:eastAsia="en-US"/>
        </w:rPr>
        <w:fldChar w:fldCharType="end"/>
      </w:r>
      <w:r w:rsidRPr="007C747A">
        <w:rPr>
          <w:rFonts w:eastAsia="Times New Roman" w:cs="Arial"/>
          <w:sz w:val="14"/>
          <w:szCs w:val="16"/>
          <w:lang w:val="en-AU" w:eastAsia="en-US"/>
        </w:rPr>
        <w:t>-23 the Agency had a Memorandum of Understanding in place that covered the provision of various administrative and operational support services provided by Services Australia.</w:t>
      </w:r>
    </w:p>
    <w:p w14:paraId="72F5E934" w14:textId="77777777" w:rsidR="00F2518A" w:rsidRPr="007C747A" w:rsidRDefault="00F2518A" w:rsidP="00F2518A">
      <w:pPr>
        <w:spacing w:after="0" w:line="260" w:lineRule="atLeast"/>
        <w:rPr>
          <w:rFonts w:eastAsia="Times New Roman" w:cs="Arial"/>
          <w:sz w:val="14"/>
          <w:szCs w:val="16"/>
          <w:lang w:val="en-AU" w:eastAsia="en-US"/>
        </w:rPr>
      </w:pPr>
    </w:p>
    <w:p w14:paraId="5F0057F7" w14:textId="77777777" w:rsidR="00F2518A" w:rsidRPr="007C747A" w:rsidRDefault="00F2518A" w:rsidP="00F2518A">
      <w:pPr>
        <w:spacing w:after="0" w:line="260" w:lineRule="atLeast"/>
        <w:rPr>
          <w:rFonts w:eastAsia="Times New Roman" w:cs="Arial"/>
          <w:sz w:val="14"/>
          <w:szCs w:val="16"/>
          <w:lang w:val="en-AU" w:eastAsia="en-US"/>
        </w:rPr>
      </w:pPr>
    </w:p>
    <w:p w14:paraId="109988ED" w14:textId="77777777" w:rsidR="001C5664" w:rsidRPr="007C747A" w:rsidRDefault="001C5664" w:rsidP="00F2518A">
      <w:pPr>
        <w:spacing w:after="0" w:line="260" w:lineRule="atLeast"/>
        <w:rPr>
          <w:rFonts w:eastAsia="Times New Roman" w:cs="Arial"/>
          <w:sz w:val="14"/>
          <w:szCs w:val="16"/>
          <w:lang w:val="en-AU" w:eastAsia="en-US"/>
        </w:rPr>
      </w:pPr>
    </w:p>
    <w:p w14:paraId="58C6E5AD"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61660AB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u w:val="single"/>
          <w:lang w:val="en-AU" w:eastAsia="en-US"/>
        </w:rPr>
      </w:pPr>
      <w:r w:rsidRPr="007C747A">
        <w:rPr>
          <w:rFonts w:eastAsia="Times New Roman" w:cs="Arial"/>
          <w:bCs/>
          <w:sz w:val="18"/>
          <w:szCs w:val="18"/>
          <w:u w:val="single"/>
          <w:lang w:val="en-AU" w:eastAsia="en-US"/>
        </w:rPr>
        <w:t>Short-term leases and leases of low-value assets</w:t>
      </w:r>
    </w:p>
    <w:p w14:paraId="22B60BC3"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trike/>
          <w:color w:val="FF0000"/>
          <w:sz w:val="10"/>
          <w:szCs w:val="18"/>
          <w:lang w:val="en-AU" w:eastAsia="en-US"/>
        </w:rPr>
      </w:pPr>
      <w:r w:rsidRPr="007C747A">
        <w:rPr>
          <w:rFonts w:eastAsia="Times New Roman" w:cs="Arial"/>
          <w:bCs/>
          <w:sz w:val="18"/>
          <w:szCs w:val="18"/>
          <w:lang w:val="en-AU" w:eastAsia="en-US"/>
        </w:rPr>
        <w:t xml:space="preserve">The Agency has elected not to recognise right-of-use assets and lease liabilities for short-term leases of assets that have a lease term of 12 months or less and leases of low-value assets (less than $10,000 per asset). The Agency recognises the lease payments associated with these leases as an expense on a straight-line basis over the lease term. </w:t>
      </w:r>
    </w:p>
    <w:p w14:paraId="3CEE064A" w14:textId="77777777" w:rsidR="00F2518A" w:rsidRPr="007C747A" w:rsidRDefault="00F2518A" w:rsidP="00F2518A">
      <w:pPr>
        <w:spacing w:after="0" w:line="260" w:lineRule="atLeast"/>
        <w:rPr>
          <w:rFonts w:eastAsia="Times New Roman" w:cs="Arial"/>
          <w:sz w:val="14"/>
          <w:szCs w:val="14"/>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6FE6BC23" w14:textId="77777777">
        <w:trPr>
          <w:trHeight w:val="260"/>
        </w:trPr>
        <w:tc>
          <w:tcPr>
            <w:tcW w:w="6357" w:type="dxa"/>
            <w:tcBorders>
              <w:top w:val="nil"/>
              <w:left w:val="nil"/>
              <w:bottom w:val="nil"/>
              <w:right w:val="nil"/>
            </w:tcBorders>
            <w:shd w:val="clear" w:color="FFFFFF" w:fill="FFFFFF"/>
            <w:noWrap/>
            <w:vAlign w:val="bottom"/>
            <w:hideMark/>
          </w:tcPr>
          <w:p w14:paraId="50840AC2"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1.1C: Grants</w:t>
            </w:r>
          </w:p>
        </w:tc>
        <w:tc>
          <w:tcPr>
            <w:tcW w:w="1251" w:type="dxa"/>
            <w:tcBorders>
              <w:top w:val="nil"/>
              <w:left w:val="nil"/>
              <w:bottom w:val="nil"/>
              <w:right w:val="nil"/>
            </w:tcBorders>
            <w:shd w:val="clear" w:color="FFFFFF" w:fill="FFFFFF"/>
            <w:noWrap/>
            <w:vAlign w:val="bottom"/>
            <w:hideMark/>
          </w:tcPr>
          <w:p w14:paraId="749DA65D" w14:textId="231B4060" w:rsidR="00F2518A" w:rsidRPr="007C747A" w:rsidRDefault="00486335"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nil"/>
              <w:right w:val="nil"/>
            </w:tcBorders>
            <w:shd w:val="clear" w:color="FFFFFF" w:fill="FFFFFF"/>
            <w:noWrap/>
            <w:vAlign w:val="bottom"/>
            <w:hideMark/>
          </w:tcPr>
          <w:p w14:paraId="5F04419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4154DE73" w14:textId="0F438638" w:rsidR="00F2518A" w:rsidRPr="007C747A" w:rsidRDefault="00486335"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r>
      <w:tr w:rsidR="00F2518A" w:rsidRPr="007C747A" w14:paraId="0CAE4B20" w14:textId="77777777">
        <w:trPr>
          <w:trHeight w:val="250"/>
        </w:trPr>
        <w:tc>
          <w:tcPr>
            <w:tcW w:w="6357" w:type="dxa"/>
            <w:tcBorders>
              <w:top w:val="nil"/>
              <w:left w:val="nil"/>
              <w:bottom w:val="nil"/>
              <w:right w:val="nil"/>
            </w:tcBorders>
            <w:shd w:val="clear" w:color="FFFFFF" w:fill="FFFFFF"/>
            <w:noWrap/>
            <w:vAlign w:val="bottom"/>
            <w:hideMark/>
          </w:tcPr>
          <w:p w14:paraId="01CC8D2B"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Private sector</w:t>
            </w:r>
          </w:p>
        </w:tc>
        <w:tc>
          <w:tcPr>
            <w:tcW w:w="1251" w:type="dxa"/>
            <w:tcBorders>
              <w:top w:val="nil"/>
              <w:left w:val="nil"/>
              <w:bottom w:val="nil"/>
              <w:right w:val="nil"/>
            </w:tcBorders>
            <w:shd w:val="clear" w:color="FFFFFF" w:fill="FFFFFF"/>
            <w:noWrap/>
            <w:vAlign w:val="bottom"/>
            <w:hideMark/>
          </w:tcPr>
          <w:p w14:paraId="1F50673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A9566F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09C712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D161424" w14:textId="77777777">
        <w:trPr>
          <w:trHeight w:val="268"/>
        </w:trPr>
        <w:tc>
          <w:tcPr>
            <w:tcW w:w="6357" w:type="dxa"/>
            <w:tcBorders>
              <w:top w:val="nil"/>
              <w:left w:val="nil"/>
              <w:bottom w:val="nil"/>
              <w:right w:val="nil"/>
            </w:tcBorders>
            <w:shd w:val="clear" w:color="FFFFFF" w:fill="FFFFFF"/>
            <w:noWrap/>
            <w:vAlign w:val="bottom"/>
            <w:hideMark/>
          </w:tcPr>
          <w:p w14:paraId="1584CF90" w14:textId="77777777" w:rsidR="00F2518A" w:rsidRPr="007C747A" w:rsidRDefault="00F2518A" w:rsidP="00F2518A">
            <w:pPr>
              <w:spacing w:after="0" w:line="260" w:lineRule="atLeast"/>
              <w:ind w:firstLineChars="200" w:firstLine="360"/>
              <w:rPr>
                <w:rFonts w:eastAsia="Times New Roman" w:cs="Arial"/>
                <w:sz w:val="18"/>
                <w:szCs w:val="18"/>
                <w:lang w:val="en-AU" w:eastAsia="en-US"/>
              </w:rPr>
            </w:pPr>
            <w:r w:rsidRPr="007C747A">
              <w:rPr>
                <w:rFonts w:eastAsia="Times New Roman" w:cs="Arial"/>
                <w:sz w:val="18"/>
                <w:szCs w:val="18"/>
                <w:lang w:val="en-AU" w:eastAsia="en-US"/>
              </w:rPr>
              <w:t>Not for profit organisations</w:t>
            </w:r>
          </w:p>
        </w:tc>
        <w:tc>
          <w:tcPr>
            <w:tcW w:w="1251" w:type="dxa"/>
            <w:tcBorders>
              <w:top w:val="nil"/>
              <w:left w:val="nil"/>
              <w:bottom w:val="nil"/>
              <w:right w:val="nil"/>
            </w:tcBorders>
            <w:shd w:val="clear" w:color="FFFFFF" w:fill="FFFFFF"/>
            <w:noWrap/>
            <w:vAlign w:val="bottom"/>
            <w:hideMark/>
          </w:tcPr>
          <w:p w14:paraId="231B8A7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347</w:t>
            </w:r>
          </w:p>
        </w:tc>
        <w:tc>
          <w:tcPr>
            <w:tcW w:w="236" w:type="dxa"/>
            <w:tcBorders>
              <w:top w:val="nil"/>
              <w:left w:val="nil"/>
              <w:bottom w:val="nil"/>
              <w:right w:val="nil"/>
            </w:tcBorders>
            <w:shd w:val="clear" w:color="FFFFFF" w:fill="FFFFFF"/>
            <w:noWrap/>
            <w:vAlign w:val="bottom"/>
            <w:hideMark/>
          </w:tcPr>
          <w:p w14:paraId="729C9DF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D64BF9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262</w:t>
            </w:r>
          </w:p>
        </w:tc>
      </w:tr>
      <w:tr w:rsidR="00F2518A" w:rsidRPr="007C747A" w14:paraId="3B67B7D6" w14:textId="77777777">
        <w:trPr>
          <w:trHeight w:val="250"/>
        </w:trPr>
        <w:tc>
          <w:tcPr>
            <w:tcW w:w="6357" w:type="dxa"/>
            <w:tcBorders>
              <w:top w:val="nil"/>
              <w:left w:val="nil"/>
              <w:bottom w:val="nil"/>
              <w:right w:val="nil"/>
            </w:tcBorders>
            <w:shd w:val="clear" w:color="FFFFFF" w:fill="FFFFFF"/>
            <w:vAlign w:val="bottom"/>
            <w:hideMark/>
          </w:tcPr>
          <w:p w14:paraId="730F634B"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grants</w:t>
            </w:r>
          </w:p>
        </w:tc>
        <w:tc>
          <w:tcPr>
            <w:tcW w:w="1251" w:type="dxa"/>
            <w:tcBorders>
              <w:top w:val="single" w:sz="4" w:space="0" w:color="auto"/>
              <w:left w:val="nil"/>
              <w:bottom w:val="single" w:sz="4" w:space="0" w:color="auto"/>
              <w:right w:val="nil"/>
            </w:tcBorders>
            <w:shd w:val="clear" w:color="FFFFFF" w:fill="FFFFFF"/>
            <w:noWrap/>
            <w:vAlign w:val="bottom"/>
            <w:hideMark/>
          </w:tcPr>
          <w:p w14:paraId="3061399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347</w:t>
            </w:r>
          </w:p>
        </w:tc>
        <w:tc>
          <w:tcPr>
            <w:tcW w:w="236" w:type="dxa"/>
            <w:tcBorders>
              <w:top w:val="nil"/>
              <w:left w:val="nil"/>
              <w:bottom w:val="nil"/>
              <w:right w:val="nil"/>
            </w:tcBorders>
            <w:shd w:val="clear" w:color="FFFFFF" w:fill="FFFFFF"/>
            <w:noWrap/>
            <w:vAlign w:val="bottom"/>
            <w:hideMark/>
          </w:tcPr>
          <w:p w14:paraId="1CEC488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FA72CA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262</w:t>
            </w:r>
          </w:p>
        </w:tc>
      </w:tr>
      <w:tr w:rsidR="00F2518A" w:rsidRPr="007C747A" w14:paraId="1972B8E0" w14:textId="77777777">
        <w:trPr>
          <w:trHeight w:val="250"/>
        </w:trPr>
        <w:tc>
          <w:tcPr>
            <w:tcW w:w="6357" w:type="dxa"/>
            <w:tcBorders>
              <w:top w:val="nil"/>
              <w:left w:val="nil"/>
              <w:bottom w:val="nil"/>
              <w:right w:val="nil"/>
            </w:tcBorders>
            <w:shd w:val="clear" w:color="FFFFFF" w:fill="FFFFFF"/>
            <w:vAlign w:val="bottom"/>
            <w:hideMark/>
          </w:tcPr>
          <w:p w14:paraId="1504720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51" w:type="dxa"/>
            <w:tcBorders>
              <w:top w:val="nil"/>
              <w:left w:val="nil"/>
              <w:bottom w:val="nil"/>
              <w:right w:val="nil"/>
            </w:tcBorders>
            <w:shd w:val="clear" w:color="FFFFFF" w:fill="FFFFFF"/>
            <w:noWrap/>
            <w:vAlign w:val="bottom"/>
            <w:hideMark/>
          </w:tcPr>
          <w:p w14:paraId="6698000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045622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0D2938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1B05E51" w14:textId="77777777">
        <w:trPr>
          <w:trHeight w:val="630"/>
        </w:trPr>
        <w:tc>
          <w:tcPr>
            <w:tcW w:w="9087" w:type="dxa"/>
            <w:gridSpan w:val="4"/>
            <w:tcBorders>
              <w:top w:val="nil"/>
              <w:left w:val="nil"/>
              <w:bottom w:val="nil"/>
              <w:right w:val="nil"/>
            </w:tcBorders>
            <w:shd w:val="clear" w:color="FFFFFF" w:fill="FFFFFF"/>
            <w:hideMark/>
          </w:tcPr>
          <w:p w14:paraId="612B358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xml:space="preserve">Grants relate to the Home and Living grants program designed to assist providers with establishment costs associated with Supported Independent Living demonstration projects. </w:t>
            </w:r>
          </w:p>
        </w:tc>
      </w:tr>
    </w:tbl>
    <w:p w14:paraId="761F3C10" w14:textId="77777777" w:rsidR="00F2518A" w:rsidRPr="007C747A" w:rsidRDefault="00F2518A" w:rsidP="00F2518A">
      <w:pPr>
        <w:spacing w:after="0" w:line="240" w:lineRule="auto"/>
        <w:rPr>
          <w:rFonts w:ascii="Times New Roman" w:eastAsia="Times New Roman" w:hAnsi="Times New Roman"/>
          <w:b/>
          <w:bCs/>
          <w:sz w:val="12"/>
          <w:szCs w:val="12"/>
          <w:lang w:val="en-AU" w:eastAsia="en-US"/>
        </w:rPr>
      </w:pPr>
    </w:p>
    <w:p w14:paraId="27502E92"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
          <w:sz w:val="18"/>
          <w:szCs w:val="18"/>
          <w:lang w:val="en-AU" w:eastAsia="en-US"/>
        </w:rPr>
      </w:pPr>
      <w:r w:rsidRPr="007C747A">
        <w:rPr>
          <w:rFonts w:eastAsia="Times New Roman" w:cs="Arial"/>
          <w:b/>
          <w:sz w:val="18"/>
          <w:szCs w:val="18"/>
          <w:lang w:val="en-AU" w:eastAsia="en-US"/>
        </w:rPr>
        <w:t>Accounting Policy</w:t>
      </w:r>
    </w:p>
    <w:p w14:paraId="4A175B26"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u w:val="single"/>
          <w:lang w:val="en-AU" w:eastAsia="en-US"/>
        </w:rPr>
      </w:pPr>
      <w:r w:rsidRPr="007C747A">
        <w:rPr>
          <w:rFonts w:eastAsia="Times New Roman" w:cs="Arial"/>
          <w:bCs/>
          <w:sz w:val="18"/>
          <w:szCs w:val="18"/>
          <w:u w:val="single"/>
          <w:lang w:val="en-AU" w:eastAsia="en-US"/>
        </w:rPr>
        <w:t>Grants</w:t>
      </w:r>
    </w:p>
    <w:p w14:paraId="7D109EE9"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Grant liabilities are recognised to the extent that (i) the services required to be performed by the grantee have been performed or (ii) the grant eligibility criteria have been satisfied, but payments due have not been made.</w:t>
      </w:r>
    </w:p>
    <w:p w14:paraId="01AD563F"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When the Agency enters into an agreement to make these grants and services, but services have not been performed or criteria satisfied, this is considered a commitment.</w:t>
      </w: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4EC838DB" w14:textId="77777777">
        <w:trPr>
          <w:trHeight w:val="210"/>
        </w:trPr>
        <w:tc>
          <w:tcPr>
            <w:tcW w:w="6357" w:type="dxa"/>
            <w:tcBorders>
              <w:top w:val="nil"/>
              <w:left w:val="nil"/>
              <w:bottom w:val="nil"/>
              <w:right w:val="nil"/>
            </w:tcBorders>
            <w:shd w:val="clear" w:color="FFFFFF" w:fill="FFFFFF"/>
            <w:noWrap/>
            <w:vAlign w:val="bottom"/>
            <w:hideMark/>
          </w:tcPr>
          <w:p w14:paraId="71D25D44"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04" w:name="Note_FCETABLE1" w:colFirst="0" w:colLast="0"/>
            <w:r w:rsidRPr="007C747A">
              <w:rPr>
                <w:rFonts w:eastAsia="Times New Roman" w:cs="Arial"/>
                <w:b/>
                <w:bCs/>
                <w:sz w:val="18"/>
                <w:szCs w:val="18"/>
                <w:u w:val="single"/>
                <w:lang w:val="en-AU" w:eastAsia="en-US"/>
              </w:rPr>
              <w:t>Note 1.1D: Finance costs</w:t>
            </w:r>
          </w:p>
        </w:tc>
        <w:tc>
          <w:tcPr>
            <w:tcW w:w="1251" w:type="dxa"/>
            <w:tcBorders>
              <w:top w:val="nil"/>
              <w:left w:val="nil"/>
              <w:bottom w:val="nil"/>
              <w:right w:val="nil"/>
            </w:tcBorders>
            <w:shd w:val="clear" w:color="FFFFFF" w:fill="FFFFFF"/>
            <w:noWrap/>
            <w:vAlign w:val="bottom"/>
            <w:hideMark/>
          </w:tcPr>
          <w:p w14:paraId="2E50E44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051676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DF8D9C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204"/>
      <w:tr w:rsidR="00F2518A" w:rsidRPr="007C747A" w14:paraId="0CA5FB3A" w14:textId="77777777">
        <w:trPr>
          <w:trHeight w:val="250"/>
        </w:trPr>
        <w:tc>
          <w:tcPr>
            <w:tcW w:w="6357" w:type="dxa"/>
            <w:tcBorders>
              <w:top w:val="nil"/>
              <w:left w:val="nil"/>
              <w:bottom w:val="nil"/>
              <w:right w:val="nil"/>
            </w:tcBorders>
            <w:shd w:val="clear" w:color="FFFFFF" w:fill="FFFFFF"/>
            <w:vAlign w:val="bottom"/>
            <w:hideMark/>
          </w:tcPr>
          <w:p w14:paraId="723A09F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Interest on lease liabilities</w:t>
            </w:r>
          </w:p>
        </w:tc>
        <w:tc>
          <w:tcPr>
            <w:tcW w:w="1251" w:type="dxa"/>
            <w:tcBorders>
              <w:top w:val="nil"/>
              <w:left w:val="nil"/>
              <w:bottom w:val="nil"/>
              <w:right w:val="nil"/>
            </w:tcBorders>
            <w:shd w:val="clear" w:color="FFFFFF" w:fill="FFFFFF"/>
            <w:noWrap/>
            <w:vAlign w:val="bottom"/>
            <w:hideMark/>
          </w:tcPr>
          <w:p w14:paraId="379E265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1,555</w:t>
            </w:r>
          </w:p>
        </w:tc>
        <w:tc>
          <w:tcPr>
            <w:tcW w:w="236" w:type="dxa"/>
            <w:tcBorders>
              <w:top w:val="nil"/>
              <w:left w:val="nil"/>
              <w:bottom w:val="nil"/>
              <w:right w:val="nil"/>
            </w:tcBorders>
            <w:shd w:val="clear" w:color="FFFFFF" w:fill="FFFFFF"/>
            <w:noWrap/>
            <w:vAlign w:val="bottom"/>
            <w:hideMark/>
          </w:tcPr>
          <w:p w14:paraId="4931EC7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B4A4E2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1,256</w:t>
            </w:r>
          </w:p>
        </w:tc>
      </w:tr>
      <w:tr w:rsidR="00F2518A" w:rsidRPr="007C747A" w14:paraId="3806312A" w14:textId="77777777">
        <w:trPr>
          <w:trHeight w:val="250"/>
        </w:trPr>
        <w:tc>
          <w:tcPr>
            <w:tcW w:w="6357" w:type="dxa"/>
            <w:tcBorders>
              <w:top w:val="nil"/>
              <w:left w:val="nil"/>
              <w:bottom w:val="nil"/>
              <w:right w:val="nil"/>
            </w:tcBorders>
            <w:shd w:val="clear" w:color="FFFFFF" w:fill="FFFFFF"/>
            <w:vAlign w:val="bottom"/>
            <w:hideMark/>
          </w:tcPr>
          <w:p w14:paraId="56A3A29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Unwinding of discount and discount rate movement</w:t>
            </w:r>
          </w:p>
        </w:tc>
        <w:tc>
          <w:tcPr>
            <w:tcW w:w="1251" w:type="dxa"/>
            <w:tcBorders>
              <w:top w:val="nil"/>
              <w:left w:val="nil"/>
              <w:bottom w:val="nil"/>
              <w:right w:val="nil"/>
            </w:tcBorders>
            <w:shd w:val="clear" w:color="FFFFFF" w:fill="FFFFFF"/>
            <w:noWrap/>
            <w:vAlign w:val="bottom"/>
            <w:hideMark/>
          </w:tcPr>
          <w:p w14:paraId="5EA1F98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393</w:t>
            </w:r>
          </w:p>
        </w:tc>
        <w:tc>
          <w:tcPr>
            <w:tcW w:w="236" w:type="dxa"/>
            <w:tcBorders>
              <w:top w:val="nil"/>
              <w:left w:val="nil"/>
              <w:bottom w:val="nil"/>
              <w:right w:val="nil"/>
            </w:tcBorders>
            <w:shd w:val="clear" w:color="FFFFFF" w:fill="FFFFFF"/>
            <w:noWrap/>
            <w:vAlign w:val="bottom"/>
            <w:hideMark/>
          </w:tcPr>
          <w:p w14:paraId="06EEE5D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5F3761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(40)</w:t>
            </w:r>
          </w:p>
        </w:tc>
      </w:tr>
      <w:tr w:rsidR="00F2518A" w:rsidRPr="007C747A" w14:paraId="6F300B97" w14:textId="77777777">
        <w:trPr>
          <w:trHeight w:val="260"/>
        </w:trPr>
        <w:tc>
          <w:tcPr>
            <w:tcW w:w="6357" w:type="dxa"/>
            <w:tcBorders>
              <w:top w:val="nil"/>
              <w:left w:val="nil"/>
              <w:bottom w:val="nil"/>
              <w:right w:val="nil"/>
            </w:tcBorders>
            <w:shd w:val="clear" w:color="FFFFFF" w:fill="FFFFFF"/>
            <w:vAlign w:val="bottom"/>
            <w:hideMark/>
          </w:tcPr>
          <w:p w14:paraId="6098E5C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finance costs</w:t>
            </w:r>
          </w:p>
        </w:tc>
        <w:tc>
          <w:tcPr>
            <w:tcW w:w="1251" w:type="dxa"/>
            <w:tcBorders>
              <w:top w:val="single" w:sz="4" w:space="0" w:color="auto"/>
              <w:left w:val="nil"/>
              <w:bottom w:val="single" w:sz="4" w:space="0" w:color="auto"/>
              <w:right w:val="nil"/>
            </w:tcBorders>
            <w:shd w:val="clear" w:color="FFFFFF" w:fill="FFFFFF"/>
            <w:noWrap/>
            <w:vAlign w:val="bottom"/>
            <w:hideMark/>
          </w:tcPr>
          <w:p w14:paraId="64B50FF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1,948</w:t>
            </w:r>
          </w:p>
        </w:tc>
        <w:tc>
          <w:tcPr>
            <w:tcW w:w="236" w:type="dxa"/>
            <w:tcBorders>
              <w:top w:val="nil"/>
              <w:left w:val="nil"/>
              <w:bottom w:val="nil"/>
              <w:right w:val="nil"/>
            </w:tcBorders>
            <w:shd w:val="clear" w:color="FFFFFF" w:fill="FFFFFF"/>
            <w:noWrap/>
            <w:vAlign w:val="bottom"/>
            <w:hideMark/>
          </w:tcPr>
          <w:p w14:paraId="1132417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0051CD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1,216</w:t>
            </w:r>
          </w:p>
        </w:tc>
      </w:tr>
      <w:tr w:rsidR="00F2518A" w:rsidRPr="007C747A" w14:paraId="3928E382" w14:textId="77777777">
        <w:trPr>
          <w:trHeight w:val="585"/>
        </w:trPr>
        <w:tc>
          <w:tcPr>
            <w:tcW w:w="9087" w:type="dxa"/>
            <w:gridSpan w:val="4"/>
            <w:tcBorders>
              <w:top w:val="nil"/>
              <w:left w:val="nil"/>
              <w:bottom w:val="nil"/>
              <w:right w:val="nil"/>
            </w:tcBorders>
            <w:shd w:val="clear" w:color="FFFFFF" w:fill="FFFFFF"/>
            <w:vAlign w:val="center"/>
            <w:hideMark/>
          </w:tcPr>
          <w:p w14:paraId="2139957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The above lease disclosures should be read in conjunction with the accompanying notes 1.1B, 1.2B, 2.2A and 2.5.</w:t>
            </w:r>
          </w:p>
        </w:tc>
      </w:tr>
    </w:tbl>
    <w:p w14:paraId="70ACB8CE" w14:textId="77777777" w:rsidR="00F2518A" w:rsidRPr="007C747A" w:rsidRDefault="00F2518A" w:rsidP="00F2518A">
      <w:pPr>
        <w:spacing w:after="0" w:line="240" w:lineRule="auto"/>
        <w:rPr>
          <w:rFonts w:ascii="Times New Roman" w:eastAsia="Times New Roman" w:hAnsi="Times New Roman"/>
          <w:b/>
          <w:bCs/>
          <w:sz w:val="12"/>
          <w:szCs w:val="12"/>
          <w:lang w:val="en-AU" w:eastAsia="en-US"/>
        </w:rPr>
      </w:pPr>
    </w:p>
    <w:p w14:paraId="2D3ABB16"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4128056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Cs/>
          <w:sz w:val="18"/>
          <w:szCs w:val="18"/>
          <w:lang w:val="en-AU" w:eastAsia="en-US"/>
        </w:rPr>
        <w:t>All borrowing costs are expensed as incurred</w:t>
      </w:r>
      <w:r w:rsidRPr="007C747A">
        <w:rPr>
          <w:rFonts w:eastAsia="Times New Roman" w:cs="Arial"/>
          <w:b/>
          <w:bCs/>
          <w:sz w:val="18"/>
          <w:szCs w:val="18"/>
          <w:lang w:val="en-AU" w:eastAsia="en-US"/>
        </w:rPr>
        <w:t xml:space="preserve">. </w:t>
      </w:r>
    </w:p>
    <w:tbl>
      <w:tblPr>
        <w:tblW w:w="9087" w:type="dxa"/>
        <w:tblLayout w:type="fixed"/>
        <w:tblLook w:val="04A0" w:firstRow="1" w:lastRow="0" w:firstColumn="1" w:lastColumn="0" w:noHBand="0" w:noVBand="1"/>
      </w:tblPr>
      <w:tblGrid>
        <w:gridCol w:w="6400"/>
        <w:gridCol w:w="1258"/>
        <w:gridCol w:w="236"/>
        <w:gridCol w:w="1193"/>
      </w:tblGrid>
      <w:tr w:rsidR="00F2518A" w:rsidRPr="007C747A" w14:paraId="1A3FD38C" w14:textId="77777777">
        <w:trPr>
          <w:trHeight w:val="250"/>
        </w:trPr>
        <w:tc>
          <w:tcPr>
            <w:tcW w:w="6400" w:type="dxa"/>
            <w:tcBorders>
              <w:top w:val="nil"/>
              <w:left w:val="nil"/>
              <w:bottom w:val="nil"/>
              <w:right w:val="nil"/>
            </w:tcBorders>
            <w:shd w:val="clear" w:color="FFFFFF" w:fill="FFFFFF"/>
            <w:noWrap/>
            <w:vAlign w:val="bottom"/>
            <w:hideMark/>
          </w:tcPr>
          <w:p w14:paraId="3763DBB1"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05" w:name="Note_ILATABLE1" w:colFirst="0" w:colLast="0"/>
            <w:r w:rsidRPr="007C747A">
              <w:rPr>
                <w:rFonts w:eastAsia="Times New Roman" w:cs="Arial"/>
                <w:b/>
                <w:bCs/>
                <w:sz w:val="18"/>
                <w:szCs w:val="18"/>
                <w:u w:val="single"/>
                <w:lang w:val="en-AU" w:eastAsia="en-US"/>
              </w:rPr>
              <w:t>Note 1.1E: Impairment loss on financial instruments</w:t>
            </w:r>
          </w:p>
        </w:tc>
        <w:tc>
          <w:tcPr>
            <w:tcW w:w="1258" w:type="dxa"/>
            <w:tcBorders>
              <w:top w:val="nil"/>
              <w:left w:val="nil"/>
              <w:bottom w:val="nil"/>
              <w:right w:val="nil"/>
            </w:tcBorders>
            <w:shd w:val="clear" w:color="FFFFFF" w:fill="FFFFFF"/>
            <w:vAlign w:val="bottom"/>
            <w:hideMark/>
          </w:tcPr>
          <w:p w14:paraId="0CEFF3A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C6281F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vAlign w:val="bottom"/>
            <w:hideMark/>
          </w:tcPr>
          <w:p w14:paraId="1A21B59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bookmarkEnd w:id="205"/>
      <w:tr w:rsidR="00F2518A" w:rsidRPr="007C747A" w14:paraId="0066A8D8" w14:textId="77777777">
        <w:trPr>
          <w:trHeight w:val="250"/>
        </w:trPr>
        <w:tc>
          <w:tcPr>
            <w:tcW w:w="6400" w:type="dxa"/>
            <w:tcBorders>
              <w:top w:val="nil"/>
              <w:left w:val="nil"/>
              <w:bottom w:val="nil"/>
              <w:right w:val="nil"/>
            </w:tcBorders>
            <w:shd w:val="clear" w:color="FFFFFF" w:fill="FFFFFF"/>
            <w:vAlign w:val="bottom"/>
            <w:hideMark/>
          </w:tcPr>
          <w:p w14:paraId="1DA3611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Impairment of financial instruments</w:t>
            </w:r>
          </w:p>
        </w:tc>
        <w:tc>
          <w:tcPr>
            <w:tcW w:w="1258" w:type="dxa"/>
            <w:tcBorders>
              <w:top w:val="nil"/>
              <w:left w:val="nil"/>
              <w:bottom w:val="nil"/>
              <w:right w:val="nil"/>
            </w:tcBorders>
            <w:shd w:val="clear" w:color="FFFFFF" w:fill="FFFFFF"/>
            <w:noWrap/>
            <w:vAlign w:val="bottom"/>
            <w:hideMark/>
          </w:tcPr>
          <w:p w14:paraId="1FD0E19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2B6BFC3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68B8461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135</w:t>
            </w:r>
          </w:p>
        </w:tc>
      </w:tr>
      <w:tr w:rsidR="00F2518A" w:rsidRPr="007C747A" w14:paraId="2557E151" w14:textId="77777777">
        <w:trPr>
          <w:trHeight w:val="250"/>
        </w:trPr>
        <w:tc>
          <w:tcPr>
            <w:tcW w:w="6400" w:type="dxa"/>
            <w:tcBorders>
              <w:top w:val="nil"/>
              <w:left w:val="nil"/>
              <w:bottom w:val="nil"/>
              <w:right w:val="nil"/>
            </w:tcBorders>
            <w:shd w:val="clear" w:color="FFFFFF" w:fill="FFFFFF"/>
            <w:vAlign w:val="bottom"/>
            <w:hideMark/>
          </w:tcPr>
          <w:p w14:paraId="7D6825EE"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impairment loss on financial instruments</w:t>
            </w:r>
          </w:p>
        </w:tc>
        <w:tc>
          <w:tcPr>
            <w:tcW w:w="1258" w:type="dxa"/>
            <w:tcBorders>
              <w:top w:val="single" w:sz="4" w:space="0" w:color="auto"/>
              <w:left w:val="nil"/>
              <w:bottom w:val="single" w:sz="4" w:space="0" w:color="auto"/>
              <w:right w:val="nil"/>
            </w:tcBorders>
            <w:shd w:val="clear" w:color="FFFFFF" w:fill="FFFFFF"/>
            <w:noWrap/>
            <w:vAlign w:val="bottom"/>
            <w:hideMark/>
          </w:tcPr>
          <w:p w14:paraId="1F8415E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2948D2C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single" w:sz="4" w:space="0" w:color="auto"/>
              <w:left w:val="nil"/>
              <w:bottom w:val="single" w:sz="4" w:space="0" w:color="auto"/>
              <w:right w:val="nil"/>
            </w:tcBorders>
            <w:shd w:val="clear" w:color="FFFFFF" w:fill="FFFFFF"/>
            <w:noWrap/>
            <w:vAlign w:val="bottom"/>
            <w:hideMark/>
          </w:tcPr>
          <w:p w14:paraId="69CAD4F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135</w:t>
            </w:r>
          </w:p>
        </w:tc>
      </w:tr>
    </w:tbl>
    <w:p w14:paraId="376BAA02"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tbl>
      <w:tblPr>
        <w:tblW w:w="9087" w:type="dxa"/>
        <w:tblLayout w:type="fixed"/>
        <w:tblLook w:val="04A0" w:firstRow="1" w:lastRow="0" w:firstColumn="1" w:lastColumn="0" w:noHBand="0" w:noVBand="1"/>
      </w:tblPr>
      <w:tblGrid>
        <w:gridCol w:w="6362"/>
        <w:gridCol w:w="1252"/>
        <w:gridCol w:w="236"/>
        <w:gridCol w:w="1237"/>
      </w:tblGrid>
      <w:tr w:rsidR="00F2518A" w:rsidRPr="007C747A" w14:paraId="486A9F69" w14:textId="77777777">
        <w:trPr>
          <w:trHeight w:val="260"/>
        </w:trPr>
        <w:tc>
          <w:tcPr>
            <w:tcW w:w="6400" w:type="dxa"/>
            <w:tcBorders>
              <w:top w:val="nil"/>
              <w:left w:val="nil"/>
              <w:bottom w:val="nil"/>
              <w:right w:val="nil"/>
            </w:tcBorders>
            <w:shd w:val="clear" w:color="FFFFFF" w:fill="FFFFFF"/>
            <w:noWrap/>
            <w:vAlign w:val="bottom"/>
            <w:hideMark/>
          </w:tcPr>
          <w:p w14:paraId="3865D071"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06" w:name="Note_WDATABLE1" w:colFirst="0" w:colLast="0"/>
            <w:r w:rsidRPr="007C747A">
              <w:rPr>
                <w:rFonts w:eastAsia="Times New Roman" w:cs="Arial"/>
                <w:b/>
                <w:bCs/>
                <w:sz w:val="18"/>
                <w:szCs w:val="18"/>
                <w:u w:val="single"/>
                <w:lang w:val="en-AU" w:eastAsia="en-US"/>
              </w:rPr>
              <w:t>Note 1.1F: Write-down and impairment of other assets</w:t>
            </w:r>
          </w:p>
        </w:tc>
        <w:tc>
          <w:tcPr>
            <w:tcW w:w="1258" w:type="dxa"/>
            <w:tcBorders>
              <w:top w:val="nil"/>
              <w:left w:val="nil"/>
              <w:bottom w:val="nil"/>
              <w:right w:val="nil"/>
            </w:tcBorders>
            <w:shd w:val="clear" w:color="FFFFFF" w:fill="FFFFFF"/>
            <w:noWrap/>
            <w:vAlign w:val="bottom"/>
            <w:hideMark/>
          </w:tcPr>
          <w:p w14:paraId="34FA3DF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F2902E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63622D2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bookmarkEnd w:id="206"/>
      <w:tr w:rsidR="00F2518A" w:rsidRPr="007C747A" w14:paraId="64475035" w14:textId="77777777">
        <w:trPr>
          <w:trHeight w:val="250"/>
        </w:trPr>
        <w:tc>
          <w:tcPr>
            <w:tcW w:w="6400" w:type="dxa"/>
            <w:tcBorders>
              <w:top w:val="nil"/>
              <w:left w:val="nil"/>
              <w:bottom w:val="nil"/>
              <w:right w:val="nil"/>
            </w:tcBorders>
            <w:shd w:val="clear" w:color="FFFFFF" w:fill="FFFFFF"/>
            <w:noWrap/>
            <w:vAlign w:val="bottom"/>
            <w:hideMark/>
          </w:tcPr>
          <w:p w14:paraId="3D72571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Buildings, plant and equipment</w:t>
            </w:r>
          </w:p>
        </w:tc>
        <w:tc>
          <w:tcPr>
            <w:tcW w:w="1258" w:type="dxa"/>
            <w:tcBorders>
              <w:top w:val="nil"/>
              <w:left w:val="nil"/>
              <w:bottom w:val="nil"/>
              <w:right w:val="nil"/>
            </w:tcBorders>
            <w:shd w:val="clear" w:color="FFFFFF" w:fill="FFFFFF"/>
            <w:noWrap/>
            <w:vAlign w:val="bottom"/>
            <w:hideMark/>
          </w:tcPr>
          <w:p w14:paraId="6684B07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3,653</w:t>
            </w:r>
          </w:p>
        </w:tc>
        <w:tc>
          <w:tcPr>
            <w:tcW w:w="236" w:type="dxa"/>
            <w:tcBorders>
              <w:top w:val="nil"/>
              <w:left w:val="nil"/>
              <w:bottom w:val="nil"/>
              <w:right w:val="nil"/>
            </w:tcBorders>
            <w:shd w:val="clear" w:color="FFFFFF" w:fill="FFFFFF"/>
            <w:noWrap/>
            <w:vAlign w:val="bottom"/>
            <w:hideMark/>
          </w:tcPr>
          <w:p w14:paraId="0B721F7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342E037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F2518A" w:rsidRPr="007C747A" w14:paraId="3F266FD6" w14:textId="77777777">
        <w:trPr>
          <w:trHeight w:val="250"/>
        </w:trPr>
        <w:tc>
          <w:tcPr>
            <w:tcW w:w="6400" w:type="dxa"/>
            <w:tcBorders>
              <w:top w:val="nil"/>
              <w:left w:val="nil"/>
              <w:bottom w:val="nil"/>
              <w:right w:val="nil"/>
            </w:tcBorders>
            <w:shd w:val="clear" w:color="FFFFFF" w:fill="FFFFFF"/>
            <w:noWrap/>
            <w:vAlign w:val="bottom"/>
            <w:hideMark/>
          </w:tcPr>
          <w:p w14:paraId="1EDCDDA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Participant and provider receivables</w:t>
            </w:r>
          </w:p>
        </w:tc>
        <w:tc>
          <w:tcPr>
            <w:tcW w:w="1258" w:type="dxa"/>
            <w:tcBorders>
              <w:top w:val="nil"/>
              <w:left w:val="nil"/>
              <w:bottom w:val="nil"/>
              <w:right w:val="nil"/>
            </w:tcBorders>
            <w:shd w:val="clear" w:color="FFFFFF" w:fill="FFFFFF"/>
            <w:noWrap/>
            <w:vAlign w:val="bottom"/>
            <w:hideMark/>
          </w:tcPr>
          <w:p w14:paraId="1A2FB4F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3,173</w:t>
            </w:r>
          </w:p>
        </w:tc>
        <w:tc>
          <w:tcPr>
            <w:tcW w:w="236" w:type="dxa"/>
            <w:tcBorders>
              <w:top w:val="nil"/>
              <w:left w:val="nil"/>
              <w:bottom w:val="nil"/>
              <w:right w:val="nil"/>
            </w:tcBorders>
            <w:shd w:val="clear" w:color="FFFFFF" w:fill="FFFFFF"/>
            <w:noWrap/>
            <w:vAlign w:val="bottom"/>
            <w:hideMark/>
          </w:tcPr>
          <w:p w14:paraId="333F5B0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2092E9F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3,936</w:t>
            </w:r>
          </w:p>
        </w:tc>
      </w:tr>
      <w:tr w:rsidR="00F2518A" w:rsidRPr="007C747A" w14:paraId="394A774D" w14:textId="77777777">
        <w:trPr>
          <w:trHeight w:val="250"/>
        </w:trPr>
        <w:tc>
          <w:tcPr>
            <w:tcW w:w="6400" w:type="dxa"/>
            <w:tcBorders>
              <w:top w:val="nil"/>
              <w:left w:val="nil"/>
              <w:bottom w:val="nil"/>
              <w:right w:val="nil"/>
            </w:tcBorders>
            <w:shd w:val="clear" w:color="FFFFFF" w:fill="FFFFFF"/>
            <w:noWrap/>
            <w:vAlign w:val="bottom"/>
            <w:hideMark/>
          </w:tcPr>
          <w:p w14:paraId="409D4D0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Other receivables</w:t>
            </w:r>
          </w:p>
        </w:tc>
        <w:tc>
          <w:tcPr>
            <w:tcW w:w="1258" w:type="dxa"/>
            <w:tcBorders>
              <w:top w:val="nil"/>
              <w:left w:val="nil"/>
              <w:bottom w:val="nil"/>
              <w:right w:val="nil"/>
            </w:tcBorders>
            <w:shd w:val="clear" w:color="FFFFFF" w:fill="FFFFFF"/>
            <w:noWrap/>
            <w:vAlign w:val="bottom"/>
            <w:hideMark/>
          </w:tcPr>
          <w:p w14:paraId="6DA172D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2,468</w:t>
            </w:r>
          </w:p>
        </w:tc>
        <w:tc>
          <w:tcPr>
            <w:tcW w:w="236" w:type="dxa"/>
            <w:tcBorders>
              <w:top w:val="nil"/>
              <w:left w:val="nil"/>
              <w:bottom w:val="nil"/>
              <w:right w:val="nil"/>
            </w:tcBorders>
            <w:shd w:val="clear" w:color="FFFFFF" w:fill="FFFFFF"/>
            <w:noWrap/>
            <w:vAlign w:val="bottom"/>
            <w:hideMark/>
          </w:tcPr>
          <w:p w14:paraId="65BF85C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nil"/>
              <w:left w:val="nil"/>
              <w:bottom w:val="nil"/>
              <w:right w:val="nil"/>
            </w:tcBorders>
            <w:shd w:val="clear" w:color="FFFFFF" w:fill="FFFFFF"/>
            <w:noWrap/>
            <w:vAlign w:val="bottom"/>
            <w:hideMark/>
          </w:tcPr>
          <w:p w14:paraId="7F7B53C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w:t>
            </w:r>
          </w:p>
        </w:tc>
      </w:tr>
      <w:tr w:rsidR="00F2518A" w:rsidRPr="007C747A" w14:paraId="4DE28603" w14:textId="77777777">
        <w:trPr>
          <w:trHeight w:val="250"/>
        </w:trPr>
        <w:tc>
          <w:tcPr>
            <w:tcW w:w="6400" w:type="dxa"/>
            <w:tcBorders>
              <w:top w:val="nil"/>
              <w:left w:val="nil"/>
              <w:bottom w:val="nil"/>
              <w:right w:val="nil"/>
            </w:tcBorders>
            <w:shd w:val="clear" w:color="FFFFFF" w:fill="FFFFFF"/>
            <w:vAlign w:val="bottom"/>
            <w:hideMark/>
          </w:tcPr>
          <w:p w14:paraId="78CF95D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write-down and impairment of other assets</w:t>
            </w:r>
          </w:p>
        </w:tc>
        <w:tc>
          <w:tcPr>
            <w:tcW w:w="1258" w:type="dxa"/>
            <w:tcBorders>
              <w:top w:val="single" w:sz="4" w:space="0" w:color="auto"/>
              <w:left w:val="nil"/>
              <w:bottom w:val="single" w:sz="4" w:space="0" w:color="auto"/>
              <w:right w:val="nil"/>
            </w:tcBorders>
            <w:shd w:val="clear" w:color="FFFFFF" w:fill="FFFFFF"/>
            <w:noWrap/>
            <w:vAlign w:val="bottom"/>
            <w:hideMark/>
          </w:tcPr>
          <w:p w14:paraId="4EB372C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9,294</w:t>
            </w:r>
          </w:p>
        </w:tc>
        <w:tc>
          <w:tcPr>
            <w:tcW w:w="236" w:type="dxa"/>
            <w:tcBorders>
              <w:top w:val="nil"/>
              <w:left w:val="nil"/>
              <w:bottom w:val="nil"/>
              <w:right w:val="nil"/>
            </w:tcBorders>
            <w:shd w:val="clear" w:color="FFFFFF" w:fill="FFFFFF"/>
            <w:noWrap/>
            <w:vAlign w:val="bottom"/>
            <w:hideMark/>
          </w:tcPr>
          <w:p w14:paraId="55462B7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3" w:type="dxa"/>
            <w:tcBorders>
              <w:top w:val="single" w:sz="4" w:space="0" w:color="auto"/>
              <w:left w:val="nil"/>
              <w:bottom w:val="single" w:sz="4" w:space="0" w:color="auto"/>
              <w:right w:val="nil"/>
            </w:tcBorders>
            <w:shd w:val="clear" w:color="FFFFFF" w:fill="FFFFFF"/>
            <w:noWrap/>
            <w:vAlign w:val="bottom"/>
            <w:hideMark/>
          </w:tcPr>
          <w:p w14:paraId="7FFDFD1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3,942</w:t>
            </w:r>
          </w:p>
        </w:tc>
      </w:tr>
      <w:tr w:rsidR="00F2518A" w:rsidRPr="007C747A" w14:paraId="121933EB" w14:textId="77777777">
        <w:trPr>
          <w:trHeight w:val="253"/>
        </w:trPr>
        <w:tc>
          <w:tcPr>
            <w:tcW w:w="6357" w:type="dxa"/>
            <w:tcBorders>
              <w:top w:val="nil"/>
              <w:left w:val="nil"/>
              <w:bottom w:val="nil"/>
              <w:right w:val="nil"/>
            </w:tcBorders>
            <w:shd w:val="clear" w:color="FFFFFF" w:fill="FFFFFF"/>
            <w:noWrap/>
            <w:vAlign w:val="bottom"/>
            <w:hideMark/>
          </w:tcPr>
          <w:p w14:paraId="46BD06A2"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07" w:name="Note_SCCTABLE1" w:colFirst="0" w:colLast="0"/>
            <w:r w:rsidRPr="007C747A">
              <w:rPr>
                <w:rFonts w:eastAsia="Times New Roman" w:cs="Arial"/>
                <w:b/>
                <w:bCs/>
                <w:sz w:val="18"/>
                <w:szCs w:val="18"/>
                <w:u w:val="single"/>
                <w:lang w:val="en-AU" w:eastAsia="en-US"/>
              </w:rPr>
              <w:t>Note 1.1G: Community partnership costs</w:t>
            </w:r>
          </w:p>
        </w:tc>
        <w:tc>
          <w:tcPr>
            <w:tcW w:w="1251" w:type="dxa"/>
            <w:tcBorders>
              <w:top w:val="nil"/>
              <w:left w:val="nil"/>
              <w:bottom w:val="nil"/>
              <w:right w:val="nil"/>
            </w:tcBorders>
            <w:shd w:val="clear" w:color="FFFFFF" w:fill="FFFFFF"/>
            <w:noWrap/>
            <w:vAlign w:val="bottom"/>
            <w:hideMark/>
          </w:tcPr>
          <w:p w14:paraId="5CB4456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AD73E0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E72B86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207"/>
      <w:tr w:rsidR="00F2518A" w:rsidRPr="007C747A" w14:paraId="37EEFE76" w14:textId="77777777">
        <w:trPr>
          <w:trHeight w:val="253"/>
        </w:trPr>
        <w:tc>
          <w:tcPr>
            <w:tcW w:w="6357" w:type="dxa"/>
            <w:tcBorders>
              <w:top w:val="nil"/>
              <w:left w:val="nil"/>
              <w:bottom w:val="nil"/>
              <w:right w:val="nil"/>
            </w:tcBorders>
            <w:shd w:val="clear" w:color="FFFFFF" w:fill="FFFFFF"/>
            <w:vAlign w:val="bottom"/>
            <w:hideMark/>
          </w:tcPr>
          <w:p w14:paraId="6BE9727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Early Childhood costs</w:t>
            </w:r>
          </w:p>
        </w:tc>
        <w:tc>
          <w:tcPr>
            <w:tcW w:w="1251" w:type="dxa"/>
            <w:tcBorders>
              <w:top w:val="nil"/>
              <w:left w:val="nil"/>
              <w:bottom w:val="nil"/>
              <w:right w:val="nil"/>
            </w:tcBorders>
            <w:shd w:val="clear" w:color="FFFFFF" w:fill="FFFFFF"/>
            <w:noWrap/>
            <w:vAlign w:val="bottom"/>
            <w:hideMark/>
          </w:tcPr>
          <w:p w14:paraId="75D8627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197,762</w:t>
            </w:r>
          </w:p>
        </w:tc>
        <w:tc>
          <w:tcPr>
            <w:tcW w:w="236" w:type="dxa"/>
            <w:tcBorders>
              <w:top w:val="nil"/>
              <w:left w:val="nil"/>
              <w:bottom w:val="nil"/>
              <w:right w:val="nil"/>
            </w:tcBorders>
            <w:shd w:val="clear" w:color="FFFFFF" w:fill="FFFFFF"/>
            <w:noWrap/>
            <w:vAlign w:val="bottom"/>
            <w:hideMark/>
          </w:tcPr>
          <w:p w14:paraId="0946748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EF13E4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184,582</w:t>
            </w:r>
          </w:p>
        </w:tc>
      </w:tr>
      <w:tr w:rsidR="00F2518A" w:rsidRPr="007C747A" w14:paraId="501AF02D" w14:textId="77777777">
        <w:trPr>
          <w:trHeight w:val="253"/>
        </w:trPr>
        <w:tc>
          <w:tcPr>
            <w:tcW w:w="6357" w:type="dxa"/>
            <w:tcBorders>
              <w:top w:val="nil"/>
              <w:left w:val="nil"/>
              <w:bottom w:val="nil"/>
              <w:right w:val="nil"/>
            </w:tcBorders>
            <w:shd w:val="clear" w:color="FFFFFF" w:fill="FFFFFF"/>
            <w:vAlign w:val="bottom"/>
            <w:hideMark/>
          </w:tcPr>
          <w:p w14:paraId="66A4D89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Exceptionally Complex Support Needs costs</w:t>
            </w:r>
          </w:p>
        </w:tc>
        <w:tc>
          <w:tcPr>
            <w:tcW w:w="1251" w:type="dxa"/>
            <w:tcBorders>
              <w:top w:val="nil"/>
              <w:left w:val="nil"/>
              <w:bottom w:val="nil"/>
              <w:right w:val="nil"/>
            </w:tcBorders>
            <w:shd w:val="clear" w:color="FFFFFF" w:fill="FFFFFF"/>
            <w:noWrap/>
            <w:vAlign w:val="bottom"/>
            <w:hideMark/>
          </w:tcPr>
          <w:p w14:paraId="5D16365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57</w:t>
            </w:r>
          </w:p>
        </w:tc>
        <w:tc>
          <w:tcPr>
            <w:tcW w:w="236" w:type="dxa"/>
            <w:tcBorders>
              <w:top w:val="nil"/>
              <w:left w:val="nil"/>
              <w:bottom w:val="nil"/>
              <w:right w:val="nil"/>
            </w:tcBorders>
            <w:shd w:val="clear" w:color="FFFFFF" w:fill="FFFFFF"/>
            <w:noWrap/>
            <w:vAlign w:val="bottom"/>
            <w:hideMark/>
          </w:tcPr>
          <w:p w14:paraId="3830138E"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276B07E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1,861</w:t>
            </w:r>
          </w:p>
        </w:tc>
      </w:tr>
      <w:tr w:rsidR="00F2518A" w:rsidRPr="007C747A" w14:paraId="5B2F29CF" w14:textId="77777777">
        <w:trPr>
          <w:trHeight w:val="253"/>
        </w:trPr>
        <w:tc>
          <w:tcPr>
            <w:tcW w:w="6357" w:type="dxa"/>
            <w:tcBorders>
              <w:top w:val="nil"/>
              <w:left w:val="nil"/>
              <w:bottom w:val="nil"/>
              <w:right w:val="nil"/>
            </w:tcBorders>
            <w:shd w:val="clear" w:color="FFFFFF" w:fill="FFFFFF"/>
            <w:vAlign w:val="bottom"/>
            <w:hideMark/>
          </w:tcPr>
          <w:p w14:paraId="347CBE3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Local Area Coordination costs</w:t>
            </w:r>
          </w:p>
        </w:tc>
        <w:tc>
          <w:tcPr>
            <w:tcW w:w="1251" w:type="dxa"/>
            <w:tcBorders>
              <w:top w:val="nil"/>
              <w:left w:val="nil"/>
              <w:bottom w:val="nil"/>
              <w:right w:val="nil"/>
            </w:tcBorders>
            <w:shd w:val="clear" w:color="FFFFFF" w:fill="FFFFFF"/>
            <w:noWrap/>
            <w:vAlign w:val="bottom"/>
            <w:hideMark/>
          </w:tcPr>
          <w:p w14:paraId="309A5C5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406,527</w:t>
            </w:r>
          </w:p>
        </w:tc>
        <w:tc>
          <w:tcPr>
            <w:tcW w:w="236" w:type="dxa"/>
            <w:tcBorders>
              <w:top w:val="nil"/>
              <w:left w:val="nil"/>
              <w:bottom w:val="nil"/>
              <w:right w:val="nil"/>
            </w:tcBorders>
            <w:shd w:val="clear" w:color="FFFFFF" w:fill="FFFFFF"/>
            <w:noWrap/>
            <w:vAlign w:val="bottom"/>
            <w:hideMark/>
          </w:tcPr>
          <w:p w14:paraId="2CD4271B"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1ECF99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373,688</w:t>
            </w:r>
          </w:p>
        </w:tc>
      </w:tr>
      <w:tr w:rsidR="00F2518A" w:rsidRPr="007C747A" w14:paraId="32CA38D5" w14:textId="77777777">
        <w:trPr>
          <w:trHeight w:val="253"/>
        </w:trPr>
        <w:tc>
          <w:tcPr>
            <w:tcW w:w="6357" w:type="dxa"/>
            <w:tcBorders>
              <w:top w:val="nil"/>
              <w:left w:val="nil"/>
              <w:bottom w:val="nil"/>
              <w:right w:val="nil"/>
            </w:tcBorders>
            <w:shd w:val="clear" w:color="FFFFFF" w:fill="FFFFFF"/>
            <w:vAlign w:val="bottom"/>
            <w:hideMark/>
          </w:tcPr>
          <w:p w14:paraId="3B63C6E3"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Community partnership costs</w:t>
            </w:r>
          </w:p>
        </w:tc>
        <w:tc>
          <w:tcPr>
            <w:tcW w:w="1251" w:type="dxa"/>
            <w:tcBorders>
              <w:top w:val="single" w:sz="4" w:space="0" w:color="auto"/>
              <w:left w:val="nil"/>
              <w:bottom w:val="single" w:sz="4" w:space="0" w:color="auto"/>
              <w:right w:val="nil"/>
            </w:tcBorders>
            <w:shd w:val="clear" w:color="FFFFFF" w:fill="FFFFFF"/>
            <w:noWrap/>
            <w:vAlign w:val="bottom"/>
            <w:hideMark/>
          </w:tcPr>
          <w:p w14:paraId="7DD1C06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604,346</w:t>
            </w:r>
          </w:p>
        </w:tc>
        <w:tc>
          <w:tcPr>
            <w:tcW w:w="236" w:type="dxa"/>
            <w:tcBorders>
              <w:top w:val="nil"/>
              <w:left w:val="nil"/>
              <w:bottom w:val="nil"/>
              <w:right w:val="nil"/>
            </w:tcBorders>
            <w:shd w:val="clear" w:color="FFFFFF" w:fill="FFFFFF"/>
            <w:noWrap/>
            <w:vAlign w:val="bottom"/>
            <w:hideMark/>
          </w:tcPr>
          <w:p w14:paraId="72CE929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79D9C79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560,131</w:t>
            </w:r>
          </w:p>
        </w:tc>
      </w:tr>
    </w:tbl>
    <w:p w14:paraId="12F3028C" w14:textId="77777777" w:rsidR="00F2518A" w:rsidRPr="007C747A" w:rsidRDefault="00F2518A" w:rsidP="00F2518A">
      <w:pPr>
        <w:spacing w:after="120" w:line="120" w:lineRule="atLeast"/>
        <w:rPr>
          <w:rFonts w:eastAsia="Times New Roman" w:cs="Arial"/>
          <w:b/>
          <w:bCs/>
          <w:sz w:val="18"/>
          <w:szCs w:val="18"/>
          <w:lang w:val="en-AU" w:eastAsia="en-US"/>
        </w:rPr>
      </w:pPr>
    </w:p>
    <w:p w14:paraId="424B07BA" w14:textId="77777777" w:rsidR="006B79CC" w:rsidRPr="007C747A" w:rsidRDefault="006B79CC" w:rsidP="00F2518A">
      <w:pPr>
        <w:spacing w:after="120" w:line="120" w:lineRule="atLeast"/>
        <w:rPr>
          <w:rFonts w:eastAsia="Times New Roman" w:cs="Arial"/>
          <w:b/>
          <w:bCs/>
          <w:sz w:val="18"/>
          <w:szCs w:val="18"/>
          <w:lang w:val="en-AU" w:eastAsia="en-US"/>
        </w:rPr>
      </w:pPr>
    </w:p>
    <w:p w14:paraId="42C90582"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Early Childhood Costs</w:t>
      </w:r>
    </w:p>
    <w:p w14:paraId="34E5320E" w14:textId="77777777" w:rsidR="00F2518A" w:rsidRPr="007C747A" w:rsidRDefault="00F2518A" w:rsidP="00F2518A">
      <w:pP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This reflects the costs incurred by the Agency of engaging early childhood partners to provide supports to children younger than 7 who have a disability or significantly impaired development. </w:t>
      </w:r>
    </w:p>
    <w:p w14:paraId="57BE1728"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sz w:val="18"/>
          <w:szCs w:val="18"/>
          <w:lang w:val="en-AU" w:eastAsia="en-US"/>
        </w:rPr>
        <w:t>Exceptionally Complex Support Needs costs</w:t>
      </w:r>
      <w:r w:rsidRPr="007C747A">
        <w:rPr>
          <w:rFonts w:eastAsia="Times New Roman" w:cs="Arial"/>
          <w:b/>
          <w:bCs/>
          <w:sz w:val="18"/>
          <w:szCs w:val="18"/>
          <w:lang w:val="en-AU" w:eastAsia="en-US"/>
        </w:rPr>
        <w:t xml:space="preserve"> </w:t>
      </w:r>
    </w:p>
    <w:p w14:paraId="328B2BBB" w14:textId="77777777" w:rsidR="00F2518A" w:rsidRPr="007C747A" w:rsidRDefault="00F2518A" w:rsidP="00F2518A">
      <w:pP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Exceptionally Complex Support Needs (ECSN) program was a 2 year program that delivered sector capability and development workshops, and a crisis referral service that ceased in 2022. The Agency, together with states and territories, continues to monitor the service system and discuss any areas of continuing need, the range of options available to address issues, and whether responses should be Agency, state/territory, or sector-led. The Agency has continued the crisis component for NDIS participants aged 18 and over who present to key emergency services because of a breakdown of their disability supports and this is reported outside of the ECSN program.</w:t>
      </w:r>
    </w:p>
    <w:p w14:paraId="20196261" w14:textId="77777777" w:rsidR="00F2518A" w:rsidRPr="007C747A" w:rsidRDefault="00F2518A" w:rsidP="00F2518A">
      <w:pP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Local Area Coordination Costs </w:t>
      </w:r>
    </w:p>
    <w:p w14:paraId="08DFD49F" w14:textId="77777777" w:rsidR="00F2518A" w:rsidRPr="007C747A" w:rsidRDefault="00F2518A" w:rsidP="00F2518A">
      <w:pP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This reflects the costs incurred in funding local area coordination services. </w:t>
      </w:r>
    </w:p>
    <w:p w14:paraId="0DEC7FC7" w14:textId="77777777" w:rsidR="00F2518A" w:rsidRPr="007C747A" w:rsidRDefault="00F2518A" w:rsidP="00F2518A">
      <w:pPr>
        <w:spacing w:after="0" w:line="240" w:lineRule="auto"/>
        <w:rPr>
          <w:rFonts w:eastAsia="Times New Roman" w:cs="Arial"/>
          <w:bCs/>
          <w:sz w:val="18"/>
          <w:szCs w:val="18"/>
          <w:lang w:val="en-AU" w:eastAsia="en-US"/>
        </w:rPr>
      </w:pPr>
      <w:r w:rsidRPr="007C747A">
        <w:rPr>
          <w:rFonts w:eastAsia="Times New Roman" w:cs="Arial"/>
          <w:bCs/>
          <w:sz w:val="18"/>
          <w:szCs w:val="18"/>
          <w:lang w:val="en-AU" w:eastAsia="en-US"/>
        </w:rPr>
        <w:t>Local Area Coordinators deliver of the following services:</w:t>
      </w:r>
    </w:p>
    <w:p w14:paraId="44EEA89E" w14:textId="77777777" w:rsidR="00F2518A" w:rsidRPr="007C747A" w:rsidRDefault="00F2518A" w:rsidP="001E2D18">
      <w:pPr>
        <w:numPr>
          <w:ilvl w:val="0"/>
          <w:numId w:val="39"/>
        </w:numPr>
        <w:spacing w:after="0" w:line="240" w:lineRule="auto"/>
        <w:rPr>
          <w:rFonts w:eastAsia="Times New Roman" w:cs="Arial"/>
          <w:bCs/>
          <w:sz w:val="18"/>
          <w:szCs w:val="18"/>
          <w:lang w:val="en-AU" w:eastAsia="en-US"/>
        </w:rPr>
      </w:pPr>
      <w:r w:rsidRPr="007C747A">
        <w:rPr>
          <w:rFonts w:eastAsia="Times New Roman" w:cs="Arial"/>
          <w:bCs/>
          <w:sz w:val="18"/>
          <w:szCs w:val="18"/>
          <w:lang w:val="en-AU" w:eastAsia="en-US"/>
        </w:rPr>
        <w:t>provision of support and community awareness to prospective participants and local communities to engage with the Scheme;</w:t>
      </w:r>
    </w:p>
    <w:p w14:paraId="12C79F80" w14:textId="77777777" w:rsidR="00F2518A" w:rsidRPr="007C747A" w:rsidRDefault="00F2518A" w:rsidP="001E2D18">
      <w:pPr>
        <w:numPr>
          <w:ilvl w:val="0"/>
          <w:numId w:val="39"/>
        </w:numPr>
        <w:spacing w:after="0" w:line="240" w:lineRule="auto"/>
        <w:rPr>
          <w:rFonts w:eastAsia="Times New Roman" w:cs="Arial"/>
          <w:bCs/>
          <w:sz w:val="18"/>
          <w:szCs w:val="18"/>
          <w:lang w:val="en-AU" w:eastAsia="en-US"/>
        </w:rPr>
      </w:pPr>
      <w:r w:rsidRPr="007C747A">
        <w:rPr>
          <w:rFonts w:eastAsia="Times New Roman" w:cs="Arial"/>
          <w:bCs/>
          <w:sz w:val="18"/>
          <w:szCs w:val="18"/>
          <w:lang w:val="en-AU" w:eastAsia="en-US"/>
        </w:rPr>
        <w:t>support Scheme participants with the implementation of their plans; and</w:t>
      </w:r>
    </w:p>
    <w:p w14:paraId="0F3EACC6" w14:textId="77777777" w:rsidR="00F2518A" w:rsidRPr="007C747A" w:rsidRDefault="00F2518A" w:rsidP="001E2D18">
      <w:pPr>
        <w:numPr>
          <w:ilvl w:val="0"/>
          <w:numId w:val="39"/>
        </w:numPr>
        <w:spacing w:after="0" w:line="240" w:lineRule="auto"/>
        <w:rPr>
          <w:rFonts w:eastAsia="Times New Roman" w:cs="Arial"/>
          <w:bCs/>
          <w:sz w:val="18"/>
          <w:szCs w:val="18"/>
          <w:lang w:val="en-AU" w:eastAsia="en-US"/>
        </w:rPr>
      </w:pPr>
      <w:r w:rsidRPr="007C747A">
        <w:rPr>
          <w:rFonts w:eastAsia="Times New Roman" w:cs="Arial"/>
          <w:bCs/>
          <w:sz w:val="18"/>
          <w:szCs w:val="18"/>
          <w:lang w:val="en-AU" w:eastAsia="en-US"/>
        </w:rPr>
        <w:t>support Scheme participants with full scheme planning and plan reviews.</w:t>
      </w:r>
    </w:p>
    <w:p w14:paraId="7276CF0A"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p w14:paraId="52F1ABCB"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1C5859A6"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costs associated with community partnerships are recognised in accordance with contractual arrangements.</w:t>
      </w: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6F141A8A" w14:textId="77777777">
        <w:trPr>
          <w:trHeight w:val="253"/>
        </w:trPr>
        <w:tc>
          <w:tcPr>
            <w:tcW w:w="6357" w:type="dxa"/>
            <w:tcBorders>
              <w:top w:val="nil"/>
              <w:left w:val="nil"/>
              <w:bottom w:val="nil"/>
              <w:right w:val="nil"/>
            </w:tcBorders>
            <w:shd w:val="clear" w:color="FFFFFF" w:fill="FFFFFF"/>
            <w:noWrap/>
            <w:vAlign w:val="bottom"/>
            <w:hideMark/>
          </w:tcPr>
          <w:p w14:paraId="36D403A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noWrap/>
            <w:vAlign w:val="bottom"/>
            <w:hideMark/>
          </w:tcPr>
          <w:p w14:paraId="7E9D656C" w14:textId="72B466C5" w:rsidR="00F2518A" w:rsidRPr="007C747A" w:rsidRDefault="00486335"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nil"/>
              <w:right w:val="nil"/>
            </w:tcBorders>
            <w:shd w:val="clear" w:color="FFFFFF" w:fill="FFFFFF"/>
            <w:noWrap/>
            <w:vAlign w:val="bottom"/>
            <w:hideMark/>
          </w:tcPr>
          <w:p w14:paraId="7748EA2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434CA99F" w14:textId="66CE2CAA" w:rsidR="00F2518A" w:rsidRPr="007C747A" w:rsidRDefault="00486335"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r>
      <w:tr w:rsidR="00F2518A" w:rsidRPr="007C747A" w14:paraId="17E4638D" w14:textId="77777777">
        <w:trPr>
          <w:trHeight w:val="260"/>
        </w:trPr>
        <w:tc>
          <w:tcPr>
            <w:tcW w:w="6357" w:type="dxa"/>
            <w:tcBorders>
              <w:top w:val="nil"/>
              <w:left w:val="nil"/>
              <w:bottom w:val="nil"/>
              <w:right w:val="nil"/>
            </w:tcBorders>
            <w:shd w:val="clear" w:color="FFFFFF" w:fill="FFFFFF"/>
            <w:noWrap/>
            <w:vAlign w:val="bottom"/>
            <w:hideMark/>
          </w:tcPr>
          <w:p w14:paraId="714B21E8"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1.1H: Participant plan expenses</w:t>
            </w:r>
          </w:p>
        </w:tc>
        <w:tc>
          <w:tcPr>
            <w:tcW w:w="1251" w:type="dxa"/>
            <w:tcBorders>
              <w:top w:val="nil"/>
              <w:left w:val="nil"/>
              <w:bottom w:val="nil"/>
              <w:right w:val="nil"/>
            </w:tcBorders>
            <w:shd w:val="clear" w:color="FFFFFF" w:fill="FFFFFF"/>
            <w:noWrap/>
            <w:vAlign w:val="bottom"/>
            <w:hideMark/>
          </w:tcPr>
          <w:p w14:paraId="6A60B23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AA11E2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20F816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149A194" w14:textId="77777777">
        <w:trPr>
          <w:trHeight w:val="253"/>
        </w:trPr>
        <w:tc>
          <w:tcPr>
            <w:tcW w:w="6357" w:type="dxa"/>
            <w:tcBorders>
              <w:top w:val="nil"/>
              <w:left w:val="nil"/>
              <w:bottom w:val="nil"/>
              <w:right w:val="nil"/>
            </w:tcBorders>
            <w:shd w:val="clear" w:color="FFFFFF" w:fill="FFFFFF"/>
            <w:vAlign w:val="bottom"/>
            <w:hideMark/>
          </w:tcPr>
          <w:p w14:paraId="2FCBD9D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Claims received from participants and providers</w:t>
            </w:r>
          </w:p>
        </w:tc>
        <w:tc>
          <w:tcPr>
            <w:tcW w:w="1251" w:type="dxa"/>
            <w:tcBorders>
              <w:top w:val="nil"/>
              <w:left w:val="nil"/>
              <w:bottom w:val="nil"/>
              <w:right w:val="nil"/>
            </w:tcBorders>
            <w:shd w:val="clear" w:color="FFFFFF" w:fill="FFFFFF"/>
            <w:noWrap/>
            <w:vAlign w:val="bottom"/>
            <w:hideMark/>
          </w:tcPr>
          <w:p w14:paraId="3A71AB4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34,133,839</w:t>
            </w:r>
          </w:p>
        </w:tc>
        <w:tc>
          <w:tcPr>
            <w:tcW w:w="236" w:type="dxa"/>
            <w:tcBorders>
              <w:top w:val="nil"/>
              <w:left w:val="nil"/>
              <w:bottom w:val="nil"/>
              <w:right w:val="nil"/>
            </w:tcBorders>
            <w:shd w:val="clear" w:color="FFFFFF" w:fill="FFFFFF"/>
            <w:noWrap/>
            <w:vAlign w:val="bottom"/>
            <w:hideMark/>
          </w:tcPr>
          <w:p w14:paraId="35C3D0C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42C446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27,230,122</w:t>
            </w:r>
          </w:p>
        </w:tc>
      </w:tr>
      <w:tr w:rsidR="00F2518A" w:rsidRPr="007C747A" w14:paraId="60CA08EE" w14:textId="77777777">
        <w:trPr>
          <w:trHeight w:val="253"/>
        </w:trPr>
        <w:tc>
          <w:tcPr>
            <w:tcW w:w="6357" w:type="dxa"/>
            <w:tcBorders>
              <w:top w:val="nil"/>
              <w:left w:val="nil"/>
              <w:bottom w:val="nil"/>
              <w:right w:val="nil"/>
            </w:tcBorders>
            <w:shd w:val="clear" w:color="FFFFFF" w:fill="FFFFFF"/>
            <w:vAlign w:val="bottom"/>
            <w:hideMark/>
          </w:tcPr>
          <w:p w14:paraId="20C8630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Cost of services received in-kind</w:t>
            </w:r>
          </w:p>
        </w:tc>
        <w:tc>
          <w:tcPr>
            <w:tcW w:w="1251" w:type="dxa"/>
            <w:tcBorders>
              <w:top w:val="nil"/>
              <w:left w:val="nil"/>
              <w:bottom w:val="nil"/>
              <w:right w:val="nil"/>
            </w:tcBorders>
            <w:shd w:val="clear" w:color="FFFFFF" w:fill="FFFFFF"/>
            <w:noWrap/>
            <w:vAlign w:val="bottom"/>
            <w:hideMark/>
          </w:tcPr>
          <w:p w14:paraId="428C39E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1,088,142</w:t>
            </w:r>
          </w:p>
        </w:tc>
        <w:tc>
          <w:tcPr>
            <w:tcW w:w="236" w:type="dxa"/>
            <w:tcBorders>
              <w:top w:val="nil"/>
              <w:left w:val="nil"/>
              <w:bottom w:val="nil"/>
              <w:right w:val="nil"/>
            </w:tcBorders>
            <w:shd w:val="clear" w:color="FFFFFF" w:fill="FFFFFF"/>
            <w:noWrap/>
            <w:vAlign w:val="bottom"/>
            <w:hideMark/>
          </w:tcPr>
          <w:p w14:paraId="1896CA8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BE58FC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1,013,000</w:t>
            </w:r>
          </w:p>
        </w:tc>
      </w:tr>
      <w:tr w:rsidR="00F2518A" w:rsidRPr="007C747A" w14:paraId="2EA71EBF" w14:textId="77777777">
        <w:trPr>
          <w:trHeight w:val="253"/>
        </w:trPr>
        <w:tc>
          <w:tcPr>
            <w:tcW w:w="6357" w:type="dxa"/>
            <w:tcBorders>
              <w:top w:val="nil"/>
              <w:left w:val="nil"/>
              <w:bottom w:val="nil"/>
              <w:right w:val="nil"/>
            </w:tcBorders>
            <w:shd w:val="clear" w:color="FFFFFF" w:fill="FFFFFF"/>
            <w:vAlign w:val="bottom"/>
            <w:hideMark/>
          </w:tcPr>
          <w:p w14:paraId="41C5767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xml:space="preserve">Other changes to participant plan provisions </w:t>
            </w:r>
          </w:p>
        </w:tc>
        <w:tc>
          <w:tcPr>
            <w:tcW w:w="1251" w:type="dxa"/>
            <w:tcBorders>
              <w:top w:val="nil"/>
              <w:left w:val="nil"/>
              <w:bottom w:val="nil"/>
              <w:right w:val="nil"/>
            </w:tcBorders>
            <w:shd w:val="clear" w:color="FFFFFF" w:fill="FFFFFF"/>
            <w:noWrap/>
            <w:vAlign w:val="bottom"/>
            <w:hideMark/>
          </w:tcPr>
          <w:p w14:paraId="4F5F860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(28,554)</w:t>
            </w:r>
          </w:p>
        </w:tc>
        <w:tc>
          <w:tcPr>
            <w:tcW w:w="236" w:type="dxa"/>
            <w:tcBorders>
              <w:top w:val="nil"/>
              <w:left w:val="nil"/>
              <w:bottom w:val="nil"/>
              <w:right w:val="nil"/>
            </w:tcBorders>
            <w:shd w:val="clear" w:color="FFFFFF" w:fill="FFFFFF"/>
            <w:noWrap/>
            <w:vAlign w:val="bottom"/>
            <w:hideMark/>
          </w:tcPr>
          <w:p w14:paraId="1EA6AF7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BA61CA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388,022</w:t>
            </w:r>
          </w:p>
        </w:tc>
      </w:tr>
      <w:tr w:rsidR="00F2518A" w:rsidRPr="007C747A" w14:paraId="1D467D61" w14:textId="77777777">
        <w:trPr>
          <w:trHeight w:val="253"/>
        </w:trPr>
        <w:tc>
          <w:tcPr>
            <w:tcW w:w="6357" w:type="dxa"/>
            <w:tcBorders>
              <w:top w:val="nil"/>
              <w:left w:val="nil"/>
              <w:bottom w:val="nil"/>
              <w:right w:val="nil"/>
            </w:tcBorders>
            <w:shd w:val="clear" w:color="FFFFFF" w:fill="FFFFFF"/>
            <w:vAlign w:val="bottom"/>
            <w:hideMark/>
          </w:tcPr>
          <w:p w14:paraId="5C534FA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participant plan expenses</w:t>
            </w:r>
          </w:p>
        </w:tc>
        <w:tc>
          <w:tcPr>
            <w:tcW w:w="1251" w:type="dxa"/>
            <w:tcBorders>
              <w:top w:val="single" w:sz="4" w:space="0" w:color="auto"/>
              <w:left w:val="nil"/>
              <w:bottom w:val="single" w:sz="4" w:space="0" w:color="auto"/>
              <w:right w:val="nil"/>
            </w:tcBorders>
            <w:shd w:val="clear" w:color="FFFFFF" w:fill="FFFFFF"/>
            <w:noWrap/>
            <w:vAlign w:val="bottom"/>
            <w:hideMark/>
          </w:tcPr>
          <w:p w14:paraId="032320A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35,193,427</w:t>
            </w:r>
          </w:p>
        </w:tc>
        <w:tc>
          <w:tcPr>
            <w:tcW w:w="236" w:type="dxa"/>
            <w:tcBorders>
              <w:top w:val="nil"/>
              <w:left w:val="nil"/>
              <w:bottom w:val="nil"/>
              <w:right w:val="nil"/>
            </w:tcBorders>
            <w:shd w:val="clear" w:color="FFFFFF" w:fill="FFFFFF"/>
            <w:noWrap/>
            <w:vAlign w:val="bottom"/>
            <w:hideMark/>
          </w:tcPr>
          <w:p w14:paraId="75A81A2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D003D8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28,631,144</w:t>
            </w:r>
          </w:p>
        </w:tc>
      </w:tr>
    </w:tbl>
    <w:p w14:paraId="3444B154" w14:textId="77777777" w:rsidR="00F2518A" w:rsidRPr="007C747A" w:rsidRDefault="00F2518A" w:rsidP="00F2518A">
      <w:pPr>
        <w:spacing w:after="0" w:line="240" w:lineRule="auto"/>
        <w:rPr>
          <w:rFonts w:ascii="Times New Roman" w:eastAsia="Times New Roman" w:hAnsi="Times New Roman"/>
          <w:sz w:val="22"/>
          <w:szCs w:val="20"/>
          <w:lang w:val="en-AU" w:eastAsia="en-US"/>
        </w:rPr>
      </w:pPr>
      <w:bookmarkStart w:id="208" w:name="OLE_LINK13"/>
      <w:bookmarkStart w:id="209" w:name="OLE_LINK12"/>
    </w:p>
    <w:p w14:paraId="4A53BB1B" w14:textId="77777777" w:rsidR="00F2518A" w:rsidRPr="007C747A" w:rsidRDefault="00F2518A" w:rsidP="00F2518A">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093DE19D" w14:textId="77777777" w:rsidR="00F2518A" w:rsidRPr="007C747A" w:rsidRDefault="00F2518A" w:rsidP="00F2518A">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costs associated with participant plan expenses are recognised as and when the Agency receives claims from participants and providers. Accounting policies for expenses resulting from adjustment to the participant plan provision are contained in Section 2.6 – Provisions.</w:t>
      </w:r>
    </w:p>
    <w:p w14:paraId="2604FF9B" w14:textId="77777777" w:rsidR="00F2518A" w:rsidRPr="007C747A" w:rsidRDefault="00F2518A" w:rsidP="00F2518A">
      <w:pPr>
        <w:spacing w:after="120" w:line="120" w:lineRule="atLeast"/>
        <w:rPr>
          <w:rFonts w:eastAsia="Times New Roman" w:cs="Arial"/>
          <w:b/>
          <w:bCs/>
          <w:sz w:val="18"/>
          <w:szCs w:val="18"/>
          <w:lang w:val="en-AU" w:eastAsia="en-US"/>
        </w:rPr>
      </w:pPr>
      <w:bookmarkStart w:id="210" w:name="_Hlk111208298"/>
      <w:r w:rsidRPr="007C747A">
        <w:rPr>
          <w:rFonts w:eastAsia="Times New Roman" w:cs="Arial"/>
          <w:b/>
          <w:bCs/>
          <w:sz w:val="18"/>
          <w:szCs w:val="18"/>
          <w:lang w:val="en-AU" w:eastAsia="en-US"/>
        </w:rPr>
        <w:t>Participant plan expenses</w:t>
      </w:r>
    </w:p>
    <w:p w14:paraId="28CEA04C"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The Agency makes payments to registered providers and participants with self-managed plans for supports delivered in line with a participant’s approved plan. Registered providers and self-managing participants are able to access NDIS portals to submit payment claims for delivered supports.  Self-lodgement of claims from providers and participants can lead to payments that are inconsistent with Agency guidance, even where no deliberate fraud is intended by the claimant. To mitigate this risk and to assess the potential financial impact, the Agency maintains an assurance testing program, with regular reviews completed throughout the year.  </w:t>
      </w:r>
    </w:p>
    <w:p w14:paraId="19E845EC"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 </w:t>
      </w:r>
    </w:p>
    <w:p w14:paraId="7ECF3F0E"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Errors identified in the review process can be either critical (having a potential negative financial impact) or non-critical (having no or a potentially positive financial impact). All critical errors are subject to further validation, with recovery action, where required and considered to be economical, undertaken in accordance with the Agency’s Debt Management Procedures. The outcomes of this testing are extrapolated to indicate an annualised potential financial impact. </w:t>
      </w:r>
    </w:p>
    <w:p w14:paraId="6FB2F17F" w14:textId="77777777" w:rsidR="00F2518A" w:rsidRPr="007C747A" w:rsidRDefault="00F2518A" w:rsidP="00F2518A">
      <w:pPr>
        <w:spacing w:after="0" w:line="260" w:lineRule="atLeast"/>
        <w:rPr>
          <w:rFonts w:eastAsia="Times New Roman" w:cs="Arial"/>
          <w:bCs/>
          <w:sz w:val="18"/>
          <w:szCs w:val="18"/>
          <w:lang w:val="en-AU" w:eastAsia="en-US"/>
        </w:rPr>
      </w:pPr>
    </w:p>
    <w:p w14:paraId="3EE78741"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For </w:t>
      </w:r>
      <w:r w:rsidRPr="007C747A">
        <w:rPr>
          <w:rFonts w:eastAsia="Times New Roman" w:cs="Arial"/>
          <w:bCs/>
          <w:sz w:val="18"/>
          <w:szCs w:val="18"/>
          <w:lang w:val="en-AU" w:eastAsia="en-US"/>
        </w:rPr>
        <w:fldChar w:fldCharType="begin"/>
      </w:r>
      <w:r w:rsidRPr="007C747A">
        <w:rPr>
          <w:rFonts w:eastAsia="Times New Roman" w:cs="Arial"/>
          <w:bCs/>
          <w:sz w:val="18"/>
          <w:szCs w:val="18"/>
          <w:lang w:val="en-AU" w:eastAsia="en-US"/>
        </w:rPr>
        <w:instrText xml:space="preserve"> DOCPROPERTY  prYear  \* MERGEFORMAT </w:instrText>
      </w:r>
      <w:r w:rsidRPr="007C747A">
        <w:rPr>
          <w:rFonts w:eastAsia="Times New Roman" w:cs="Arial"/>
          <w:bCs/>
          <w:sz w:val="18"/>
          <w:szCs w:val="18"/>
          <w:lang w:val="en-AU" w:eastAsia="en-US"/>
        </w:rPr>
        <w:fldChar w:fldCharType="separate"/>
      </w:r>
      <w:r w:rsidRPr="007C747A">
        <w:rPr>
          <w:rFonts w:eastAsia="Times New Roman" w:cs="Arial"/>
          <w:bCs/>
          <w:sz w:val="18"/>
          <w:szCs w:val="18"/>
          <w:lang w:val="en-AU" w:eastAsia="en-US"/>
        </w:rPr>
        <w:t>2022</w:t>
      </w:r>
      <w:r w:rsidRPr="007C747A">
        <w:rPr>
          <w:rFonts w:eastAsia="Times New Roman" w:cs="Arial"/>
          <w:bCs/>
          <w:sz w:val="18"/>
          <w:szCs w:val="18"/>
          <w:lang w:val="en-AU" w:eastAsia="en-US"/>
        </w:rPr>
        <w:fldChar w:fldCharType="end"/>
      </w:r>
      <w:r w:rsidRPr="007C747A">
        <w:rPr>
          <w:rFonts w:eastAsia="Times New Roman" w:cs="Arial"/>
          <w:bCs/>
          <w:sz w:val="18"/>
          <w:szCs w:val="18"/>
          <w:lang w:val="en-AU" w:eastAsia="en-US"/>
        </w:rPr>
        <w:t xml:space="preserve">–23, the estimated potential financial impact of the provider error rates was assessed as being $1,174.3m (4.0% of total provider payments) compared to $606.1m (2.6% of total provider payments) in 2021-22. </w:t>
      </w:r>
    </w:p>
    <w:p w14:paraId="533C94AA"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The estimated potential financial impact of the participant self-managed plan error rates was assessed as being $228.2m (5.4% of total self-managed participant payments) compared to $244.9m (7.0% of total self-managed participant payments) in 2021-22.  </w:t>
      </w:r>
    </w:p>
    <w:p w14:paraId="5620259B"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For provider payments, the primary factor driving the increase in estimated error value is the increase in the number of errors found together with the proportional increase in the average error value over the sample group applied against the total value of payments made by the Agency in 2022-23.</w:t>
      </w:r>
    </w:p>
    <w:p w14:paraId="2A4FA212" w14:textId="77777777" w:rsidR="00F2518A" w:rsidRPr="007C747A" w:rsidRDefault="00F2518A" w:rsidP="00F2518A">
      <w:pPr>
        <w:spacing w:after="0" w:line="260" w:lineRule="atLeast"/>
        <w:rPr>
          <w:rFonts w:eastAsia="Times New Roman" w:cs="Arial"/>
          <w:bCs/>
          <w:sz w:val="18"/>
          <w:szCs w:val="18"/>
          <w:lang w:val="en-AU" w:eastAsia="en-US"/>
        </w:rPr>
      </w:pPr>
    </w:p>
    <w:p w14:paraId="4C09628E" w14:textId="77777777" w:rsidR="00F2518A" w:rsidRPr="007C747A" w:rsidRDefault="00F2518A" w:rsidP="00F2518A">
      <w:pPr>
        <w:spacing w:after="0" w:line="260" w:lineRule="atLeast"/>
        <w:rPr>
          <w:rFonts w:eastAsia="Times New Roman" w:cs="Arial"/>
          <w:bCs/>
          <w:sz w:val="18"/>
          <w:szCs w:val="18"/>
          <w:lang w:val="en-AU" w:eastAsia="en-US"/>
        </w:rPr>
      </w:pPr>
      <w:r w:rsidRPr="007C747A">
        <w:rPr>
          <w:rFonts w:eastAsia="Times New Roman" w:cs="Arial"/>
          <w:bCs/>
          <w:sz w:val="18"/>
          <w:szCs w:val="18"/>
          <w:lang w:val="en-AU" w:eastAsia="en-US"/>
        </w:rPr>
        <w:t>For self-managed payments, the decrease in the estimated error value is driven by a significant drop in the number of errors found.  This decrease in error rate has offset any increase in the estimated error value arising from the growth of self-managed payments in 2022-23.</w:t>
      </w:r>
    </w:p>
    <w:p w14:paraId="1F16CF82" w14:textId="77777777" w:rsidR="00F2518A" w:rsidRPr="007C747A" w:rsidRDefault="00F2518A" w:rsidP="00F2518A">
      <w:pPr>
        <w:spacing w:after="0" w:line="260" w:lineRule="atLeast"/>
        <w:rPr>
          <w:rFonts w:eastAsia="Times New Roman" w:cs="Arial"/>
          <w:bCs/>
          <w:sz w:val="18"/>
          <w:szCs w:val="18"/>
          <w:highlight w:val="yellow"/>
          <w:lang w:val="en-AU" w:eastAsia="en-US"/>
        </w:rPr>
      </w:pPr>
    </w:p>
    <w:p w14:paraId="4923739C" w14:textId="77777777" w:rsidR="00F2518A" w:rsidRPr="007C747A" w:rsidRDefault="00F2518A" w:rsidP="007E4E69">
      <w:pPr>
        <w:pStyle w:val="SubHeading"/>
        <w:numPr>
          <w:ilvl w:val="0"/>
          <w:numId w:val="47"/>
        </w:numPr>
        <w:ind w:left="357" w:hanging="357"/>
        <w:outlineLvl w:val="3"/>
      </w:pPr>
      <w:bookmarkStart w:id="211" w:name="_Toc443469524"/>
      <w:bookmarkStart w:id="212" w:name="_Toc444065773"/>
      <w:bookmarkStart w:id="213" w:name="_Toc444077334"/>
      <w:bookmarkStart w:id="214" w:name="_Toc447030537"/>
      <w:bookmarkStart w:id="215" w:name="_Toc447030689"/>
      <w:bookmarkStart w:id="216" w:name="_Toc447030782"/>
      <w:bookmarkStart w:id="217" w:name="_Toc65742845"/>
      <w:bookmarkStart w:id="218" w:name="_Toc145583272"/>
      <w:bookmarkStart w:id="219" w:name="_Toc145949752"/>
      <w:bookmarkStart w:id="220" w:name="_Toc146191215"/>
      <w:bookmarkStart w:id="221" w:name="_Toc146195315"/>
      <w:bookmarkStart w:id="222" w:name="_Toc146200284"/>
      <w:bookmarkStart w:id="223" w:name="_Toc146203439"/>
      <w:bookmarkStart w:id="224" w:name="_Toc146538796"/>
      <w:bookmarkStart w:id="225" w:name="_Toc146545533"/>
      <w:bookmarkStart w:id="226" w:name="_Toc147769231"/>
      <w:bookmarkStart w:id="227" w:name="_Toc147834878"/>
      <w:bookmarkStart w:id="228" w:name="_Toc147992019"/>
      <w:bookmarkStart w:id="229" w:name="_Toc148020780"/>
      <w:bookmarkStart w:id="230" w:name="_Toc148108399"/>
      <w:bookmarkEnd w:id="208"/>
      <w:bookmarkEnd w:id="209"/>
      <w:bookmarkEnd w:id="210"/>
      <w:r w:rsidRPr="007C747A">
        <w:t>Own-Source Revenue and Gains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70170927" w14:textId="77777777" w:rsidR="00F2518A" w:rsidRPr="007C747A" w:rsidRDefault="00F2518A" w:rsidP="00F2518A">
      <w:pPr>
        <w:spacing w:after="0" w:line="260" w:lineRule="atLeast"/>
        <w:rPr>
          <w:rFonts w:ascii="Times New Roman" w:eastAsia="Times New Roman" w:hAnsi="Times New Roman"/>
          <w:sz w:val="22"/>
          <w:szCs w:val="20"/>
          <w:lang w:val="en-AU" w:eastAsia="en-US"/>
        </w:rPr>
      </w:pPr>
    </w:p>
    <w:tbl>
      <w:tblPr>
        <w:tblW w:w="9102" w:type="dxa"/>
        <w:tblLayout w:type="fixed"/>
        <w:tblLook w:val="04A0" w:firstRow="1" w:lastRow="0" w:firstColumn="1" w:lastColumn="0" w:noHBand="0" w:noVBand="1"/>
      </w:tblPr>
      <w:tblGrid>
        <w:gridCol w:w="6409"/>
        <w:gridCol w:w="1260"/>
        <w:gridCol w:w="239"/>
        <w:gridCol w:w="1194"/>
      </w:tblGrid>
      <w:tr w:rsidR="00F2518A" w:rsidRPr="007C747A" w14:paraId="2A92F77B" w14:textId="77777777" w:rsidTr="00486335">
        <w:trPr>
          <w:trHeight w:val="281"/>
        </w:trPr>
        <w:tc>
          <w:tcPr>
            <w:tcW w:w="6409" w:type="dxa"/>
            <w:tcBorders>
              <w:top w:val="nil"/>
              <w:left w:val="nil"/>
              <w:bottom w:val="nil"/>
              <w:right w:val="nil"/>
            </w:tcBorders>
            <w:shd w:val="clear" w:color="FFFFFF" w:fill="FFFFFF"/>
            <w:hideMark/>
          </w:tcPr>
          <w:p w14:paraId="3EC70312" w14:textId="77777777" w:rsidR="00F2518A" w:rsidRPr="007C747A" w:rsidRDefault="00F2518A" w:rsidP="00486335">
            <w:pPr>
              <w:spacing w:after="0" w:line="260" w:lineRule="atLeast"/>
              <w:rPr>
                <w:rFonts w:eastAsia="Times New Roman" w:cs="Arial"/>
                <w:b/>
                <w:bCs/>
                <w:sz w:val="18"/>
                <w:szCs w:val="18"/>
                <w:lang w:val="en-AU" w:eastAsia="en-US"/>
              </w:rPr>
            </w:pPr>
            <w:bookmarkStart w:id="231" w:name="Note_GASTABLE1" w:colFirst="0" w:colLast="0"/>
            <w:r w:rsidRPr="007C747A">
              <w:rPr>
                <w:rFonts w:eastAsia="Times New Roman" w:cs="Arial"/>
                <w:b/>
                <w:bCs/>
                <w:sz w:val="18"/>
                <w:szCs w:val="18"/>
                <w:lang w:val="en-AU" w:eastAsia="en-US"/>
              </w:rPr>
              <w:t>OWN SOURCE REVENUE</w:t>
            </w:r>
          </w:p>
        </w:tc>
        <w:tc>
          <w:tcPr>
            <w:tcW w:w="1260" w:type="dxa"/>
            <w:tcBorders>
              <w:top w:val="nil"/>
              <w:left w:val="nil"/>
              <w:bottom w:val="nil"/>
              <w:right w:val="nil"/>
            </w:tcBorders>
            <w:shd w:val="clear" w:color="FFFFFF" w:fill="FFFFFF"/>
            <w:noWrap/>
            <w:vAlign w:val="bottom"/>
            <w:hideMark/>
          </w:tcPr>
          <w:p w14:paraId="73CDA493" w14:textId="08B32D52"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00486335" w:rsidRPr="007C747A">
              <w:rPr>
                <w:rFonts w:eastAsia="Times New Roman" w:cs="Arial"/>
                <w:b/>
                <w:bCs/>
                <w:sz w:val="18"/>
                <w:szCs w:val="18"/>
                <w:lang w:val="en-AU" w:eastAsia="en-US"/>
              </w:rPr>
              <w:br/>
              <w:t>$'000</w:t>
            </w:r>
          </w:p>
        </w:tc>
        <w:tc>
          <w:tcPr>
            <w:tcW w:w="239" w:type="dxa"/>
            <w:tcBorders>
              <w:top w:val="nil"/>
              <w:left w:val="nil"/>
              <w:bottom w:val="nil"/>
              <w:right w:val="nil"/>
            </w:tcBorders>
            <w:shd w:val="clear" w:color="FFFFFF" w:fill="FFFFFF"/>
            <w:noWrap/>
            <w:vAlign w:val="bottom"/>
            <w:hideMark/>
          </w:tcPr>
          <w:p w14:paraId="332F8FD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4" w:type="dxa"/>
            <w:tcBorders>
              <w:top w:val="nil"/>
              <w:left w:val="nil"/>
              <w:bottom w:val="nil"/>
              <w:right w:val="nil"/>
            </w:tcBorders>
            <w:shd w:val="clear" w:color="FFFFFF" w:fill="FFFFFF"/>
            <w:noWrap/>
            <w:vAlign w:val="bottom"/>
            <w:hideMark/>
          </w:tcPr>
          <w:p w14:paraId="42AE0F6F" w14:textId="2BF78CDB"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00486335" w:rsidRPr="007C747A">
              <w:rPr>
                <w:rFonts w:eastAsia="Times New Roman" w:cs="Arial"/>
                <w:sz w:val="18"/>
                <w:szCs w:val="18"/>
                <w:lang w:val="en-AU" w:eastAsia="en-US"/>
              </w:rPr>
              <w:br/>
              <w:t>$'000</w:t>
            </w:r>
          </w:p>
        </w:tc>
      </w:tr>
      <w:bookmarkEnd w:id="231"/>
      <w:tr w:rsidR="00F2518A" w:rsidRPr="007C747A" w14:paraId="62EC5E8F" w14:textId="77777777">
        <w:trPr>
          <w:trHeight w:val="292"/>
        </w:trPr>
        <w:tc>
          <w:tcPr>
            <w:tcW w:w="6409" w:type="dxa"/>
            <w:tcBorders>
              <w:top w:val="nil"/>
              <w:left w:val="nil"/>
              <w:bottom w:val="nil"/>
              <w:right w:val="nil"/>
            </w:tcBorders>
            <w:shd w:val="clear" w:color="FFFFFF" w:fill="FFFFFF"/>
            <w:noWrap/>
            <w:vAlign w:val="bottom"/>
            <w:hideMark/>
          </w:tcPr>
          <w:p w14:paraId="4D55943C"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1.2A: Rendering of services</w:t>
            </w:r>
          </w:p>
        </w:tc>
        <w:tc>
          <w:tcPr>
            <w:tcW w:w="1260" w:type="dxa"/>
            <w:tcBorders>
              <w:top w:val="nil"/>
              <w:left w:val="nil"/>
              <w:bottom w:val="nil"/>
              <w:right w:val="nil"/>
            </w:tcBorders>
            <w:shd w:val="clear" w:color="FFFFFF" w:fill="FFFFFF"/>
            <w:noWrap/>
            <w:vAlign w:val="bottom"/>
            <w:hideMark/>
          </w:tcPr>
          <w:p w14:paraId="6724901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9" w:type="dxa"/>
            <w:tcBorders>
              <w:top w:val="nil"/>
              <w:left w:val="nil"/>
              <w:bottom w:val="nil"/>
              <w:right w:val="nil"/>
            </w:tcBorders>
            <w:shd w:val="clear" w:color="FFFFFF" w:fill="FFFFFF"/>
            <w:noWrap/>
            <w:vAlign w:val="bottom"/>
            <w:hideMark/>
          </w:tcPr>
          <w:p w14:paraId="00B8E1C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4" w:type="dxa"/>
            <w:tcBorders>
              <w:top w:val="nil"/>
              <w:left w:val="nil"/>
              <w:bottom w:val="nil"/>
              <w:right w:val="nil"/>
            </w:tcBorders>
            <w:shd w:val="clear" w:color="FFFFFF" w:fill="FFFFFF"/>
            <w:noWrap/>
            <w:vAlign w:val="bottom"/>
            <w:hideMark/>
          </w:tcPr>
          <w:p w14:paraId="4FBB63B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64BA887" w14:textId="77777777">
        <w:trPr>
          <w:trHeight w:val="292"/>
        </w:trPr>
        <w:tc>
          <w:tcPr>
            <w:tcW w:w="6409" w:type="dxa"/>
            <w:tcBorders>
              <w:top w:val="nil"/>
              <w:left w:val="nil"/>
              <w:bottom w:val="nil"/>
              <w:right w:val="nil"/>
            </w:tcBorders>
            <w:shd w:val="clear" w:color="FFFFFF" w:fill="FFFFFF"/>
            <w:noWrap/>
            <w:vAlign w:val="bottom"/>
            <w:hideMark/>
          </w:tcPr>
          <w:p w14:paraId="20F4706A" w14:textId="77777777" w:rsidR="00F2518A" w:rsidRPr="007C747A" w:rsidRDefault="00F2518A" w:rsidP="00F2518A">
            <w:pPr>
              <w:spacing w:after="0" w:line="260" w:lineRule="atLeast"/>
              <w:ind w:firstLineChars="100" w:firstLine="181"/>
              <w:rPr>
                <w:rFonts w:eastAsia="Times New Roman" w:cs="Arial"/>
                <w:b/>
                <w:bCs/>
                <w:sz w:val="18"/>
                <w:szCs w:val="18"/>
                <w:lang w:val="en-AU" w:eastAsia="en-US"/>
              </w:rPr>
            </w:pPr>
            <w:r w:rsidRPr="007C747A">
              <w:rPr>
                <w:rFonts w:eastAsia="Times New Roman" w:cs="Arial"/>
                <w:b/>
                <w:bCs/>
                <w:sz w:val="18"/>
                <w:szCs w:val="18"/>
                <w:lang w:val="en-AU" w:eastAsia="en-US"/>
              </w:rPr>
              <w:t xml:space="preserve">Rendering of services in connection with: </w:t>
            </w:r>
          </w:p>
        </w:tc>
        <w:tc>
          <w:tcPr>
            <w:tcW w:w="1260" w:type="dxa"/>
            <w:tcBorders>
              <w:top w:val="nil"/>
              <w:left w:val="nil"/>
              <w:bottom w:val="nil"/>
              <w:right w:val="nil"/>
            </w:tcBorders>
            <w:shd w:val="clear" w:color="FFFFFF" w:fill="FFFFFF"/>
            <w:noWrap/>
            <w:vAlign w:val="bottom"/>
            <w:hideMark/>
          </w:tcPr>
          <w:p w14:paraId="5C894B8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9" w:type="dxa"/>
            <w:tcBorders>
              <w:top w:val="nil"/>
              <w:left w:val="nil"/>
              <w:bottom w:val="nil"/>
              <w:right w:val="nil"/>
            </w:tcBorders>
            <w:shd w:val="clear" w:color="FFFFFF" w:fill="FFFFFF"/>
            <w:noWrap/>
            <w:vAlign w:val="bottom"/>
            <w:hideMark/>
          </w:tcPr>
          <w:p w14:paraId="1A235C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4" w:type="dxa"/>
            <w:tcBorders>
              <w:top w:val="nil"/>
              <w:left w:val="nil"/>
              <w:bottom w:val="nil"/>
              <w:right w:val="nil"/>
            </w:tcBorders>
            <w:shd w:val="clear" w:color="FFFFFF" w:fill="FFFFFF"/>
            <w:noWrap/>
            <w:vAlign w:val="bottom"/>
            <w:hideMark/>
          </w:tcPr>
          <w:p w14:paraId="59A627A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6E2D519" w14:textId="77777777">
        <w:trPr>
          <w:trHeight w:val="281"/>
        </w:trPr>
        <w:tc>
          <w:tcPr>
            <w:tcW w:w="6409" w:type="dxa"/>
            <w:tcBorders>
              <w:top w:val="nil"/>
              <w:left w:val="nil"/>
              <w:bottom w:val="nil"/>
              <w:right w:val="nil"/>
            </w:tcBorders>
            <w:shd w:val="clear" w:color="FFFFFF" w:fill="FFFFFF"/>
            <w:vAlign w:val="bottom"/>
            <w:hideMark/>
          </w:tcPr>
          <w:p w14:paraId="2F8D16BD" w14:textId="2CE68787" w:rsidR="00F2518A" w:rsidRPr="007C747A" w:rsidRDefault="00F2518A" w:rsidP="00F2518A">
            <w:pPr>
              <w:spacing w:after="0" w:line="260" w:lineRule="atLeast"/>
              <w:ind w:firstLineChars="178" w:firstLine="320"/>
              <w:rPr>
                <w:rFonts w:eastAsia="Times New Roman" w:cs="Arial"/>
                <w:sz w:val="18"/>
                <w:szCs w:val="18"/>
                <w:lang w:val="en-AU" w:eastAsia="en-US"/>
              </w:rPr>
            </w:pPr>
            <w:r w:rsidRPr="007C747A">
              <w:rPr>
                <w:rFonts w:eastAsia="Times New Roman" w:cs="Arial"/>
                <w:sz w:val="18"/>
                <w:szCs w:val="18"/>
                <w:lang w:val="en-AU" w:eastAsia="en-US"/>
              </w:rPr>
              <w:t>Related parties</w:t>
            </w:r>
            <w:r w:rsidR="005907F9" w:rsidRPr="007C747A">
              <w:rPr>
                <w:rFonts w:eastAsia="Times New Roman" w:cs="Arial"/>
                <w:sz w:val="18"/>
                <w:szCs w:val="18"/>
                <w:lang w:val="en-AU" w:eastAsia="en-US"/>
              </w:rPr>
              <w:t xml:space="preserve"> – </w:t>
            </w:r>
            <w:r w:rsidRPr="007C747A">
              <w:rPr>
                <w:rFonts w:eastAsia="Times New Roman" w:cs="Arial"/>
                <w:sz w:val="18"/>
                <w:szCs w:val="18"/>
                <w:lang w:val="en-AU" w:eastAsia="en-US"/>
              </w:rPr>
              <w:t>contributions from Department of Social Services (DSS)</w:t>
            </w:r>
          </w:p>
        </w:tc>
        <w:tc>
          <w:tcPr>
            <w:tcW w:w="1260" w:type="dxa"/>
            <w:tcBorders>
              <w:top w:val="nil"/>
              <w:left w:val="nil"/>
              <w:bottom w:val="nil"/>
              <w:right w:val="nil"/>
            </w:tcBorders>
            <w:shd w:val="clear" w:color="FFFFFF" w:fill="FFFFFF"/>
            <w:noWrap/>
            <w:vAlign w:val="bottom"/>
            <w:hideMark/>
          </w:tcPr>
          <w:p w14:paraId="52AE266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23,635,070</w:t>
            </w:r>
          </w:p>
        </w:tc>
        <w:tc>
          <w:tcPr>
            <w:tcW w:w="239" w:type="dxa"/>
            <w:tcBorders>
              <w:top w:val="nil"/>
              <w:left w:val="nil"/>
              <w:bottom w:val="nil"/>
              <w:right w:val="nil"/>
            </w:tcBorders>
            <w:shd w:val="clear" w:color="FFFFFF" w:fill="FFFFFF"/>
            <w:noWrap/>
            <w:vAlign w:val="bottom"/>
            <w:hideMark/>
          </w:tcPr>
          <w:p w14:paraId="7E03294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4" w:type="dxa"/>
            <w:tcBorders>
              <w:top w:val="nil"/>
              <w:left w:val="nil"/>
              <w:bottom w:val="nil"/>
              <w:right w:val="nil"/>
            </w:tcBorders>
            <w:shd w:val="clear" w:color="FFFFFF" w:fill="FFFFFF"/>
            <w:noWrap/>
            <w:vAlign w:val="bottom"/>
            <w:hideMark/>
          </w:tcPr>
          <w:p w14:paraId="5A53AB6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18,173,039</w:t>
            </w:r>
          </w:p>
        </w:tc>
      </w:tr>
      <w:tr w:rsidR="00F2518A" w:rsidRPr="007C747A" w14:paraId="7CC6B178" w14:textId="77777777">
        <w:trPr>
          <w:trHeight w:val="281"/>
        </w:trPr>
        <w:tc>
          <w:tcPr>
            <w:tcW w:w="6409" w:type="dxa"/>
            <w:tcBorders>
              <w:top w:val="nil"/>
              <w:left w:val="nil"/>
              <w:bottom w:val="nil"/>
              <w:right w:val="nil"/>
            </w:tcBorders>
            <w:shd w:val="clear" w:color="FFFFFF" w:fill="FFFFFF"/>
            <w:vAlign w:val="bottom"/>
            <w:hideMark/>
          </w:tcPr>
          <w:p w14:paraId="5715FBA5" w14:textId="22EA10D3" w:rsidR="00F2518A" w:rsidRPr="007C747A" w:rsidRDefault="00F2518A" w:rsidP="00F2518A">
            <w:pPr>
              <w:spacing w:after="0" w:line="260" w:lineRule="atLeast"/>
              <w:ind w:firstLineChars="178" w:firstLine="320"/>
              <w:rPr>
                <w:rFonts w:eastAsia="Times New Roman" w:cs="Arial"/>
                <w:sz w:val="18"/>
                <w:szCs w:val="18"/>
                <w:lang w:val="en-AU" w:eastAsia="en-US"/>
              </w:rPr>
            </w:pPr>
            <w:r w:rsidRPr="007C747A">
              <w:rPr>
                <w:rFonts w:eastAsia="Times New Roman" w:cs="Arial"/>
                <w:sz w:val="18"/>
                <w:szCs w:val="18"/>
                <w:lang w:val="en-AU" w:eastAsia="en-US"/>
              </w:rPr>
              <w:t>External parties</w:t>
            </w:r>
            <w:r w:rsidR="005907F9" w:rsidRPr="007C747A">
              <w:rPr>
                <w:rFonts w:eastAsia="Times New Roman" w:cs="Arial"/>
                <w:sz w:val="18"/>
                <w:szCs w:val="18"/>
                <w:lang w:val="en-AU" w:eastAsia="en-US"/>
              </w:rPr>
              <w:t xml:space="preserve"> – </w:t>
            </w:r>
            <w:r w:rsidRPr="007C747A">
              <w:rPr>
                <w:rFonts w:eastAsia="Times New Roman" w:cs="Arial"/>
                <w:sz w:val="18"/>
                <w:szCs w:val="18"/>
                <w:lang w:val="en-AU" w:eastAsia="en-US"/>
              </w:rPr>
              <w:t>contributions from state and territory governments</w:t>
            </w:r>
          </w:p>
        </w:tc>
        <w:tc>
          <w:tcPr>
            <w:tcW w:w="1260" w:type="dxa"/>
            <w:tcBorders>
              <w:top w:val="nil"/>
              <w:left w:val="nil"/>
              <w:bottom w:val="nil"/>
              <w:right w:val="nil"/>
            </w:tcBorders>
            <w:shd w:val="clear" w:color="FFFFFF" w:fill="FFFFFF"/>
            <w:noWrap/>
            <w:vAlign w:val="bottom"/>
            <w:hideMark/>
          </w:tcPr>
          <w:p w14:paraId="0163C17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10,476,771</w:t>
            </w:r>
          </w:p>
        </w:tc>
        <w:tc>
          <w:tcPr>
            <w:tcW w:w="239" w:type="dxa"/>
            <w:tcBorders>
              <w:top w:val="nil"/>
              <w:left w:val="nil"/>
              <w:bottom w:val="nil"/>
              <w:right w:val="nil"/>
            </w:tcBorders>
            <w:shd w:val="clear" w:color="FFFFFF" w:fill="FFFFFF"/>
            <w:noWrap/>
            <w:vAlign w:val="bottom"/>
            <w:hideMark/>
          </w:tcPr>
          <w:p w14:paraId="6B0086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4" w:type="dxa"/>
            <w:tcBorders>
              <w:top w:val="nil"/>
              <w:left w:val="nil"/>
              <w:bottom w:val="nil"/>
              <w:right w:val="nil"/>
            </w:tcBorders>
            <w:shd w:val="clear" w:color="FFFFFF" w:fill="FFFFFF"/>
            <w:noWrap/>
            <w:vAlign w:val="bottom"/>
            <w:hideMark/>
          </w:tcPr>
          <w:p w14:paraId="0E3AB1E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10,006,846</w:t>
            </w:r>
          </w:p>
        </w:tc>
      </w:tr>
      <w:tr w:rsidR="00F2518A" w:rsidRPr="007C747A" w14:paraId="7751C83B" w14:textId="77777777">
        <w:trPr>
          <w:trHeight w:val="281"/>
        </w:trPr>
        <w:tc>
          <w:tcPr>
            <w:tcW w:w="6409" w:type="dxa"/>
            <w:tcBorders>
              <w:top w:val="nil"/>
              <w:left w:val="nil"/>
              <w:bottom w:val="nil"/>
              <w:right w:val="nil"/>
            </w:tcBorders>
            <w:shd w:val="clear" w:color="FFFFFF" w:fill="FFFFFF"/>
            <w:vAlign w:val="bottom"/>
            <w:hideMark/>
          </w:tcPr>
          <w:p w14:paraId="6D93334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revenue from rendering of services</w:t>
            </w:r>
          </w:p>
        </w:tc>
        <w:tc>
          <w:tcPr>
            <w:tcW w:w="1260" w:type="dxa"/>
            <w:tcBorders>
              <w:top w:val="single" w:sz="4" w:space="0" w:color="auto"/>
              <w:left w:val="nil"/>
              <w:bottom w:val="single" w:sz="4" w:space="0" w:color="auto"/>
              <w:right w:val="nil"/>
            </w:tcBorders>
            <w:shd w:val="clear" w:color="FFFFFF" w:fill="FFFFFF"/>
            <w:noWrap/>
            <w:vAlign w:val="bottom"/>
            <w:hideMark/>
          </w:tcPr>
          <w:p w14:paraId="432390E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34,111,841</w:t>
            </w:r>
          </w:p>
        </w:tc>
        <w:tc>
          <w:tcPr>
            <w:tcW w:w="239" w:type="dxa"/>
            <w:tcBorders>
              <w:top w:val="nil"/>
              <w:left w:val="nil"/>
              <w:bottom w:val="nil"/>
              <w:right w:val="nil"/>
            </w:tcBorders>
            <w:shd w:val="clear" w:color="FFFFFF" w:fill="FFFFFF"/>
            <w:noWrap/>
            <w:vAlign w:val="bottom"/>
            <w:hideMark/>
          </w:tcPr>
          <w:p w14:paraId="467A9A8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94" w:type="dxa"/>
            <w:tcBorders>
              <w:top w:val="single" w:sz="4" w:space="0" w:color="auto"/>
              <w:left w:val="nil"/>
              <w:bottom w:val="single" w:sz="4" w:space="0" w:color="auto"/>
              <w:right w:val="nil"/>
            </w:tcBorders>
            <w:shd w:val="clear" w:color="FFFFFF" w:fill="FFFFFF"/>
            <w:noWrap/>
            <w:vAlign w:val="bottom"/>
            <w:hideMark/>
          </w:tcPr>
          <w:p w14:paraId="6885FD4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28,179,885</w:t>
            </w:r>
          </w:p>
        </w:tc>
      </w:tr>
    </w:tbl>
    <w:p w14:paraId="177B77EC" w14:textId="77777777" w:rsidR="00F2518A" w:rsidRPr="007C747A" w:rsidRDefault="00F2518A" w:rsidP="00F2518A">
      <w:pPr>
        <w:spacing w:after="0" w:line="240" w:lineRule="auto"/>
        <w:rPr>
          <w:rFonts w:ascii="Times New Roman" w:eastAsia="Times New Roman" w:hAnsi="Times New Roman"/>
          <w:sz w:val="4"/>
          <w:szCs w:val="4"/>
          <w:lang w:val="en-AU" w:eastAsia="en-US"/>
        </w:rPr>
      </w:pPr>
    </w:p>
    <w:p w14:paraId="76B44F34" w14:textId="77777777" w:rsidR="00F2518A" w:rsidRPr="007C747A" w:rsidRDefault="00F2518A" w:rsidP="00F2518A">
      <w:pPr>
        <w:spacing w:after="0" w:line="240" w:lineRule="auto"/>
        <w:rPr>
          <w:rFonts w:ascii="Times New Roman" w:eastAsia="Times New Roman" w:hAnsi="Times New Roman"/>
          <w:sz w:val="4"/>
          <w:szCs w:val="4"/>
          <w:lang w:val="en-AU" w:eastAsia="en-US"/>
        </w:rPr>
      </w:pPr>
    </w:p>
    <w:p w14:paraId="7E4F801D" w14:textId="77777777" w:rsidR="00F2518A" w:rsidRPr="007C747A" w:rsidRDefault="00F2518A" w:rsidP="00F2518A">
      <w:pPr>
        <w:spacing w:after="0" w:line="240" w:lineRule="auto"/>
        <w:rPr>
          <w:rFonts w:ascii="Times New Roman" w:eastAsia="Times New Roman" w:hAnsi="Times New Roman"/>
          <w:sz w:val="4"/>
          <w:szCs w:val="4"/>
          <w:lang w:val="en-AU" w:eastAsia="en-US"/>
        </w:rPr>
      </w:pPr>
    </w:p>
    <w:p w14:paraId="4AF2CD0C" w14:textId="77777777" w:rsidR="00F2518A" w:rsidRPr="007C747A" w:rsidRDefault="00F2518A" w:rsidP="00F2518A">
      <w:pPr>
        <w:spacing w:after="0" w:line="240" w:lineRule="auto"/>
        <w:rPr>
          <w:rFonts w:ascii="Times New Roman" w:eastAsia="Times New Roman" w:hAnsi="Times New Roman"/>
          <w:sz w:val="4"/>
          <w:szCs w:val="4"/>
          <w:lang w:val="en-AU" w:eastAsia="en-US"/>
        </w:rPr>
      </w:pPr>
    </w:p>
    <w:p w14:paraId="5FB13095" w14:textId="77777777" w:rsidR="00F2518A" w:rsidRPr="007C747A" w:rsidRDefault="00F2518A" w:rsidP="00F2518A">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bookmarkStart w:id="232" w:name="_Hlk109999023"/>
      <w:r w:rsidRPr="007C747A">
        <w:rPr>
          <w:rFonts w:eastAsia="Times New Roman" w:cs="Arial"/>
          <w:b/>
          <w:bCs/>
          <w:sz w:val="18"/>
          <w:szCs w:val="18"/>
          <w:lang w:val="en-AU" w:eastAsia="en-US"/>
        </w:rPr>
        <w:t>Accounting Policy</w:t>
      </w:r>
    </w:p>
    <w:bookmarkEnd w:id="232"/>
    <w:p w14:paraId="2BA19B32" w14:textId="77777777" w:rsidR="00F2518A" w:rsidRPr="007C747A" w:rsidRDefault="00F2518A" w:rsidP="00F2518A">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Cs/>
          <w:sz w:val="18"/>
          <w:szCs w:val="18"/>
          <w:highlight w:val="yellow"/>
          <w:lang w:val="en-AU" w:eastAsia="en-US"/>
        </w:rPr>
      </w:pPr>
      <w:r w:rsidRPr="007C747A">
        <w:rPr>
          <w:rFonts w:eastAsia="Times New Roman" w:cs="Arial"/>
          <w:bCs/>
          <w:sz w:val="18"/>
          <w:szCs w:val="18"/>
          <w:lang w:val="en-AU" w:eastAsia="en-US"/>
        </w:rPr>
        <w:t>Payments to the Agency from the Commonwealth, state and territory governments are recognised as revenue when they become payable to the Agency under the relevant signed agreement. These include payments outlined in the bilateral agreements for the funding of the Scheme. Payments received in advance and any outstanding offsets to be deducted from future period receipts are treated as unearned revenue (refer note 2.4).</w:t>
      </w:r>
    </w:p>
    <w:p w14:paraId="71CBA98C" w14:textId="77777777" w:rsidR="00F2518A" w:rsidRPr="007C747A" w:rsidRDefault="00F2518A" w:rsidP="00F2518A">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Cs/>
          <w:sz w:val="18"/>
          <w:szCs w:val="18"/>
          <w:highlight w:val="yellow"/>
          <w:lang w:val="en-AU" w:eastAsia="en-US"/>
        </w:rPr>
      </w:pPr>
      <w:r w:rsidRPr="007C747A">
        <w:rPr>
          <w:rFonts w:eastAsia="Times New Roman" w:cs="Arial"/>
          <w:bCs/>
          <w:sz w:val="18"/>
          <w:szCs w:val="18"/>
          <w:lang w:val="en-AU" w:eastAsia="en-US"/>
        </w:rPr>
        <w:t>The transaction price for the Scheme contributions is the total amount payable by the jurisdictions to fund the Scheme under their bilateral agreements. The bilateral agreements have annual performance obligations.</w:t>
      </w:r>
      <w:r w:rsidRPr="007C747A">
        <w:rPr>
          <w:rFonts w:eastAsia="Times New Roman" w:cs="Arial"/>
          <w:bCs/>
          <w:sz w:val="18"/>
          <w:szCs w:val="18"/>
          <w:lang w:val="en-AU" w:eastAsia="en-US"/>
        </w:rPr>
        <w:tab/>
        <w:t xml:space="preserve"> </w:t>
      </w: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26CD2FC0" w14:textId="77777777">
        <w:trPr>
          <w:trHeight w:val="260"/>
        </w:trPr>
        <w:tc>
          <w:tcPr>
            <w:tcW w:w="6357" w:type="dxa"/>
            <w:tcBorders>
              <w:top w:val="nil"/>
              <w:left w:val="nil"/>
              <w:bottom w:val="nil"/>
              <w:right w:val="nil"/>
            </w:tcBorders>
            <w:shd w:val="clear" w:color="FFFFFF" w:fill="FFFFFF"/>
            <w:noWrap/>
            <w:vAlign w:val="bottom"/>
            <w:hideMark/>
          </w:tcPr>
          <w:p w14:paraId="2D345EA4"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33" w:name="Note_RRVTABLE1" w:colFirst="0" w:colLast="0"/>
            <w:r w:rsidRPr="007C747A">
              <w:rPr>
                <w:rFonts w:eastAsia="Times New Roman" w:cs="Arial"/>
                <w:b/>
                <w:bCs/>
                <w:sz w:val="18"/>
                <w:szCs w:val="18"/>
                <w:u w:val="single"/>
                <w:lang w:val="en-AU" w:eastAsia="en-US"/>
              </w:rPr>
              <w:t>Note 1.2B: Rental Income</w:t>
            </w:r>
          </w:p>
        </w:tc>
        <w:tc>
          <w:tcPr>
            <w:tcW w:w="1251" w:type="dxa"/>
            <w:tcBorders>
              <w:top w:val="nil"/>
              <w:left w:val="nil"/>
              <w:bottom w:val="nil"/>
              <w:right w:val="nil"/>
            </w:tcBorders>
            <w:shd w:val="clear" w:color="FFFFFF" w:fill="FFFFFF"/>
            <w:vAlign w:val="bottom"/>
            <w:hideMark/>
          </w:tcPr>
          <w:p w14:paraId="4D1F79F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B95ED8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vAlign w:val="bottom"/>
            <w:hideMark/>
          </w:tcPr>
          <w:p w14:paraId="51C5A80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bookmarkEnd w:id="233"/>
      <w:tr w:rsidR="00F2518A" w:rsidRPr="007C747A" w14:paraId="6D1A8F74" w14:textId="77777777">
        <w:trPr>
          <w:trHeight w:val="260"/>
        </w:trPr>
        <w:tc>
          <w:tcPr>
            <w:tcW w:w="6357" w:type="dxa"/>
            <w:tcBorders>
              <w:top w:val="nil"/>
              <w:left w:val="nil"/>
              <w:bottom w:val="nil"/>
              <w:right w:val="nil"/>
            </w:tcBorders>
            <w:shd w:val="clear" w:color="FFFFFF" w:fill="FFFFFF"/>
            <w:vAlign w:val="bottom"/>
            <w:hideMark/>
          </w:tcPr>
          <w:p w14:paraId="28ADAC9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Operating lease:</w:t>
            </w:r>
          </w:p>
        </w:tc>
        <w:tc>
          <w:tcPr>
            <w:tcW w:w="1251" w:type="dxa"/>
            <w:tcBorders>
              <w:top w:val="nil"/>
              <w:left w:val="nil"/>
              <w:bottom w:val="nil"/>
              <w:right w:val="nil"/>
            </w:tcBorders>
            <w:shd w:val="clear" w:color="FFFFFF" w:fill="FFFFFF"/>
            <w:noWrap/>
            <w:vAlign w:val="bottom"/>
            <w:hideMark/>
          </w:tcPr>
          <w:p w14:paraId="29C326E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EB7292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3B3A05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3BA3AA85" w14:textId="77777777">
        <w:trPr>
          <w:trHeight w:val="250"/>
        </w:trPr>
        <w:tc>
          <w:tcPr>
            <w:tcW w:w="6357" w:type="dxa"/>
            <w:tcBorders>
              <w:top w:val="nil"/>
              <w:left w:val="nil"/>
              <w:bottom w:val="nil"/>
              <w:right w:val="nil"/>
            </w:tcBorders>
            <w:shd w:val="clear" w:color="FFFFFF" w:fill="FFFFFF"/>
            <w:vAlign w:val="bottom"/>
            <w:hideMark/>
          </w:tcPr>
          <w:p w14:paraId="2EFE464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Subleasing right-of-use assets</w:t>
            </w:r>
          </w:p>
        </w:tc>
        <w:tc>
          <w:tcPr>
            <w:tcW w:w="1251" w:type="dxa"/>
            <w:tcBorders>
              <w:top w:val="nil"/>
              <w:left w:val="nil"/>
              <w:bottom w:val="nil"/>
              <w:right w:val="nil"/>
            </w:tcBorders>
            <w:shd w:val="clear" w:color="FFFFFF" w:fill="FFFFFF"/>
            <w:noWrap/>
            <w:vAlign w:val="bottom"/>
            <w:hideMark/>
          </w:tcPr>
          <w:p w14:paraId="6BDB1CC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704</w:t>
            </w:r>
          </w:p>
        </w:tc>
        <w:tc>
          <w:tcPr>
            <w:tcW w:w="236" w:type="dxa"/>
            <w:tcBorders>
              <w:top w:val="nil"/>
              <w:left w:val="nil"/>
              <w:bottom w:val="nil"/>
              <w:right w:val="nil"/>
            </w:tcBorders>
            <w:shd w:val="clear" w:color="FFFFFF" w:fill="FFFFFF"/>
            <w:noWrap/>
            <w:vAlign w:val="bottom"/>
            <w:hideMark/>
          </w:tcPr>
          <w:p w14:paraId="4FEC22A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0FB817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592</w:t>
            </w:r>
          </w:p>
        </w:tc>
      </w:tr>
      <w:tr w:rsidR="00F2518A" w:rsidRPr="007C747A" w14:paraId="671200FD" w14:textId="77777777">
        <w:trPr>
          <w:trHeight w:val="260"/>
        </w:trPr>
        <w:tc>
          <w:tcPr>
            <w:tcW w:w="6357" w:type="dxa"/>
            <w:tcBorders>
              <w:top w:val="nil"/>
              <w:left w:val="nil"/>
              <w:bottom w:val="nil"/>
              <w:right w:val="nil"/>
            </w:tcBorders>
            <w:shd w:val="clear" w:color="FFFFFF" w:fill="FFFFFF"/>
            <w:vAlign w:val="bottom"/>
            <w:hideMark/>
          </w:tcPr>
          <w:p w14:paraId="10D191CD"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rental income</w:t>
            </w:r>
          </w:p>
        </w:tc>
        <w:tc>
          <w:tcPr>
            <w:tcW w:w="1251" w:type="dxa"/>
            <w:tcBorders>
              <w:top w:val="single" w:sz="4" w:space="0" w:color="auto"/>
              <w:left w:val="nil"/>
              <w:bottom w:val="single" w:sz="4" w:space="0" w:color="auto"/>
              <w:right w:val="nil"/>
            </w:tcBorders>
            <w:shd w:val="clear" w:color="FFFFFF" w:fill="FFFFFF"/>
            <w:noWrap/>
            <w:vAlign w:val="bottom"/>
            <w:hideMark/>
          </w:tcPr>
          <w:p w14:paraId="52D3250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704</w:t>
            </w:r>
          </w:p>
        </w:tc>
        <w:tc>
          <w:tcPr>
            <w:tcW w:w="236" w:type="dxa"/>
            <w:tcBorders>
              <w:top w:val="nil"/>
              <w:left w:val="nil"/>
              <w:bottom w:val="nil"/>
              <w:right w:val="nil"/>
            </w:tcBorders>
            <w:shd w:val="clear" w:color="FFFFFF" w:fill="FFFFFF"/>
            <w:noWrap/>
            <w:vAlign w:val="bottom"/>
            <w:hideMark/>
          </w:tcPr>
          <w:p w14:paraId="093FBF2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6D94231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592</w:t>
            </w:r>
          </w:p>
        </w:tc>
      </w:tr>
    </w:tbl>
    <w:p w14:paraId="38BCE492" w14:textId="77777777" w:rsidR="00F2518A" w:rsidRPr="007C747A" w:rsidRDefault="00F2518A" w:rsidP="00F2518A">
      <w:pPr>
        <w:spacing w:after="0" w:line="240" w:lineRule="auto"/>
        <w:rPr>
          <w:rFonts w:eastAsia="Times New Roman" w:cs="Arial"/>
          <w:sz w:val="6"/>
          <w:szCs w:val="6"/>
          <w:vertAlign w:val="superscript"/>
          <w:lang w:val="en-AU" w:eastAsia="en-US"/>
        </w:rPr>
      </w:pPr>
    </w:p>
    <w:p w14:paraId="419975C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b/>
          <w:bCs/>
          <w:sz w:val="18"/>
          <w:szCs w:val="18"/>
          <w:lang w:val="en-AU" w:eastAsia="en-US"/>
        </w:rPr>
        <w:t>Operating Leases</w:t>
      </w:r>
    </w:p>
    <w:p w14:paraId="37482ABC" w14:textId="77777777" w:rsidR="00F2518A" w:rsidRPr="007C747A" w:rsidRDefault="00F2518A" w:rsidP="00F2518A">
      <w:pPr>
        <w:spacing w:after="0" w:line="240" w:lineRule="auto"/>
        <w:rPr>
          <w:rFonts w:eastAsia="Times New Roman" w:cs="Arial"/>
          <w:sz w:val="6"/>
          <w:szCs w:val="6"/>
          <w:vertAlign w:val="superscript"/>
          <w:lang w:val="en-AU" w:eastAsia="en-US"/>
        </w:rPr>
      </w:pPr>
      <w:r w:rsidRPr="007C747A">
        <w:rPr>
          <w:rFonts w:eastAsia="Times New Roman" w:cs="Arial"/>
          <w:sz w:val="18"/>
          <w:szCs w:val="18"/>
          <w:lang w:val="en-AU" w:eastAsia="en-US"/>
        </w:rPr>
        <w:t>Through a cooperative Social Services portfolio arrangement, the NDIA entered into agreements with DSS and the National Indigenous Australians Agency to occupy some of the NDIA’s properties. The NDIA retains the rights and risks in underlying assets associated with these leases. There are established risk management processes and a governance structure for escalation of issues. As the sublet arrangements are Commonwealth entity to Commonwealth entity, the risk was deemed to be low and could be facilitated through the existing relationship with these entities.</w:t>
      </w:r>
    </w:p>
    <w:p w14:paraId="669C4729" w14:textId="77777777" w:rsidR="00F2518A" w:rsidRPr="007C747A" w:rsidRDefault="00F2518A" w:rsidP="00F2518A">
      <w:pPr>
        <w:spacing w:after="0" w:line="240" w:lineRule="auto"/>
        <w:rPr>
          <w:rFonts w:eastAsia="Times New Roman" w:cs="Arial"/>
          <w:sz w:val="6"/>
          <w:szCs w:val="6"/>
          <w:vertAlign w:val="superscript"/>
          <w:lang w:val="en-AU" w:eastAsia="en-US"/>
        </w:rPr>
      </w:pPr>
    </w:p>
    <w:p w14:paraId="1462DA12" w14:textId="77777777" w:rsidR="00F2518A" w:rsidRPr="007C747A" w:rsidRDefault="00F2518A" w:rsidP="00F2518A">
      <w:pPr>
        <w:spacing w:after="0" w:line="240" w:lineRule="auto"/>
        <w:rPr>
          <w:rFonts w:eastAsia="Times New Roman" w:cs="Arial"/>
          <w:sz w:val="6"/>
          <w:szCs w:val="6"/>
          <w:vertAlign w:val="superscript"/>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49D3C1A8" w14:textId="77777777">
        <w:trPr>
          <w:trHeight w:val="250"/>
        </w:trPr>
        <w:tc>
          <w:tcPr>
            <w:tcW w:w="6357" w:type="dxa"/>
            <w:tcBorders>
              <w:top w:val="nil"/>
              <w:left w:val="nil"/>
              <w:bottom w:val="nil"/>
              <w:right w:val="nil"/>
            </w:tcBorders>
            <w:shd w:val="clear" w:color="FFFFFF" w:fill="FFFFFF"/>
            <w:vAlign w:val="bottom"/>
            <w:hideMark/>
          </w:tcPr>
          <w:p w14:paraId="2F54A6C7" w14:textId="77777777" w:rsidR="00F2518A" w:rsidRPr="007C747A" w:rsidRDefault="00F2518A" w:rsidP="00F2518A">
            <w:pPr>
              <w:spacing w:after="0" w:line="260" w:lineRule="atLeast"/>
              <w:rPr>
                <w:rFonts w:eastAsia="Times New Roman" w:cs="Arial"/>
                <w:b/>
                <w:bCs/>
                <w:sz w:val="18"/>
                <w:szCs w:val="18"/>
                <w:lang w:val="en-AU" w:eastAsia="en-US"/>
              </w:rPr>
            </w:pPr>
            <w:bookmarkStart w:id="234" w:name="Note_RRVTABLE2" w:colFirst="0" w:colLast="0"/>
            <w:r w:rsidRPr="007C747A">
              <w:rPr>
                <w:rFonts w:eastAsia="Times New Roman" w:cs="Arial"/>
                <w:b/>
                <w:bCs/>
                <w:sz w:val="18"/>
                <w:szCs w:val="18"/>
                <w:lang w:val="en-AU" w:eastAsia="en-US"/>
              </w:rPr>
              <w:t>Maturity analysis of operating lease receivables</w:t>
            </w:r>
          </w:p>
        </w:tc>
        <w:tc>
          <w:tcPr>
            <w:tcW w:w="1251" w:type="dxa"/>
            <w:tcBorders>
              <w:top w:val="nil"/>
              <w:left w:val="nil"/>
              <w:bottom w:val="nil"/>
              <w:right w:val="nil"/>
            </w:tcBorders>
            <w:shd w:val="clear" w:color="FFFFFF" w:fill="FFFFFF"/>
            <w:noWrap/>
            <w:vAlign w:val="bottom"/>
            <w:hideMark/>
          </w:tcPr>
          <w:p w14:paraId="5D8EE9A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EA6587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E9D0B9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234"/>
      <w:tr w:rsidR="00F2518A" w:rsidRPr="007C747A" w14:paraId="0BFF484A" w14:textId="77777777">
        <w:trPr>
          <w:trHeight w:val="250"/>
        </w:trPr>
        <w:tc>
          <w:tcPr>
            <w:tcW w:w="6357" w:type="dxa"/>
            <w:tcBorders>
              <w:top w:val="nil"/>
              <w:left w:val="nil"/>
              <w:bottom w:val="nil"/>
              <w:right w:val="nil"/>
            </w:tcBorders>
            <w:shd w:val="clear" w:color="FFFFFF" w:fill="FFFFFF"/>
            <w:vAlign w:val="bottom"/>
            <w:hideMark/>
          </w:tcPr>
          <w:p w14:paraId="5BB91D4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Within one year</w:t>
            </w:r>
          </w:p>
        </w:tc>
        <w:tc>
          <w:tcPr>
            <w:tcW w:w="1251" w:type="dxa"/>
            <w:tcBorders>
              <w:top w:val="nil"/>
              <w:left w:val="nil"/>
              <w:bottom w:val="nil"/>
              <w:right w:val="nil"/>
            </w:tcBorders>
            <w:shd w:val="clear" w:color="FFFFFF" w:fill="FFFFFF"/>
            <w:noWrap/>
            <w:vAlign w:val="bottom"/>
            <w:hideMark/>
          </w:tcPr>
          <w:p w14:paraId="67A4FF1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558</w:t>
            </w:r>
          </w:p>
        </w:tc>
        <w:tc>
          <w:tcPr>
            <w:tcW w:w="236" w:type="dxa"/>
            <w:tcBorders>
              <w:top w:val="nil"/>
              <w:left w:val="nil"/>
              <w:bottom w:val="nil"/>
              <w:right w:val="nil"/>
            </w:tcBorders>
            <w:shd w:val="clear" w:color="FFFFFF" w:fill="FFFFFF"/>
            <w:noWrap/>
            <w:vAlign w:val="bottom"/>
            <w:hideMark/>
          </w:tcPr>
          <w:p w14:paraId="3FD9F396"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nil"/>
              <w:left w:val="nil"/>
              <w:bottom w:val="nil"/>
              <w:right w:val="nil"/>
            </w:tcBorders>
            <w:shd w:val="clear" w:color="FFFFFF" w:fill="FFFFFF"/>
            <w:noWrap/>
            <w:vAlign w:val="bottom"/>
            <w:hideMark/>
          </w:tcPr>
          <w:p w14:paraId="2762951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639</w:t>
            </w:r>
          </w:p>
        </w:tc>
      </w:tr>
      <w:tr w:rsidR="00F2518A" w:rsidRPr="007C747A" w14:paraId="2A17F6BA" w14:textId="77777777">
        <w:trPr>
          <w:trHeight w:val="250"/>
        </w:trPr>
        <w:tc>
          <w:tcPr>
            <w:tcW w:w="6357" w:type="dxa"/>
            <w:tcBorders>
              <w:top w:val="nil"/>
              <w:left w:val="nil"/>
              <w:bottom w:val="nil"/>
              <w:right w:val="nil"/>
            </w:tcBorders>
            <w:shd w:val="clear" w:color="FFFFFF" w:fill="FFFFFF"/>
            <w:vAlign w:val="bottom"/>
            <w:hideMark/>
          </w:tcPr>
          <w:p w14:paraId="5B84EEB0"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One to two years</w:t>
            </w:r>
          </w:p>
        </w:tc>
        <w:tc>
          <w:tcPr>
            <w:tcW w:w="1251" w:type="dxa"/>
            <w:tcBorders>
              <w:top w:val="nil"/>
              <w:left w:val="nil"/>
              <w:bottom w:val="nil"/>
              <w:right w:val="nil"/>
            </w:tcBorders>
            <w:shd w:val="clear" w:color="FFFFFF" w:fill="FFFFFF"/>
            <w:noWrap/>
            <w:vAlign w:val="bottom"/>
            <w:hideMark/>
          </w:tcPr>
          <w:p w14:paraId="15C5AB6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235</w:t>
            </w:r>
          </w:p>
        </w:tc>
        <w:tc>
          <w:tcPr>
            <w:tcW w:w="236" w:type="dxa"/>
            <w:tcBorders>
              <w:top w:val="nil"/>
              <w:left w:val="nil"/>
              <w:bottom w:val="nil"/>
              <w:right w:val="nil"/>
            </w:tcBorders>
            <w:shd w:val="clear" w:color="FFFFFF" w:fill="FFFFFF"/>
            <w:noWrap/>
            <w:vAlign w:val="bottom"/>
            <w:hideMark/>
          </w:tcPr>
          <w:p w14:paraId="5B4E7E77"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nil"/>
              <w:left w:val="nil"/>
              <w:bottom w:val="nil"/>
              <w:right w:val="nil"/>
            </w:tcBorders>
            <w:shd w:val="clear" w:color="FFFFFF" w:fill="FFFFFF"/>
            <w:noWrap/>
            <w:vAlign w:val="bottom"/>
            <w:hideMark/>
          </w:tcPr>
          <w:p w14:paraId="6D567D7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469</w:t>
            </w:r>
          </w:p>
        </w:tc>
      </w:tr>
      <w:tr w:rsidR="00F2518A" w:rsidRPr="007C747A" w14:paraId="059FAAD3" w14:textId="77777777">
        <w:trPr>
          <w:trHeight w:val="250"/>
        </w:trPr>
        <w:tc>
          <w:tcPr>
            <w:tcW w:w="6357" w:type="dxa"/>
            <w:tcBorders>
              <w:top w:val="nil"/>
              <w:left w:val="nil"/>
              <w:bottom w:val="nil"/>
              <w:right w:val="nil"/>
            </w:tcBorders>
            <w:shd w:val="clear" w:color="FFFFFF" w:fill="FFFFFF"/>
            <w:vAlign w:val="bottom"/>
            <w:hideMark/>
          </w:tcPr>
          <w:p w14:paraId="746115E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Two to three years</w:t>
            </w:r>
          </w:p>
        </w:tc>
        <w:tc>
          <w:tcPr>
            <w:tcW w:w="1251" w:type="dxa"/>
            <w:tcBorders>
              <w:top w:val="nil"/>
              <w:left w:val="nil"/>
              <w:bottom w:val="nil"/>
              <w:right w:val="nil"/>
            </w:tcBorders>
            <w:shd w:val="clear" w:color="FFFFFF" w:fill="FFFFFF"/>
            <w:noWrap/>
            <w:vAlign w:val="bottom"/>
            <w:hideMark/>
          </w:tcPr>
          <w:p w14:paraId="4B926B6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167</w:t>
            </w:r>
          </w:p>
        </w:tc>
        <w:tc>
          <w:tcPr>
            <w:tcW w:w="236" w:type="dxa"/>
            <w:tcBorders>
              <w:top w:val="nil"/>
              <w:left w:val="nil"/>
              <w:bottom w:val="nil"/>
              <w:right w:val="nil"/>
            </w:tcBorders>
            <w:shd w:val="clear" w:color="FFFFFF" w:fill="FFFFFF"/>
            <w:noWrap/>
            <w:vAlign w:val="bottom"/>
            <w:hideMark/>
          </w:tcPr>
          <w:p w14:paraId="4B2F2DA7"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nil"/>
              <w:left w:val="nil"/>
              <w:bottom w:val="nil"/>
              <w:right w:val="nil"/>
            </w:tcBorders>
            <w:shd w:val="clear" w:color="FFFFFF" w:fill="FFFFFF"/>
            <w:noWrap/>
            <w:vAlign w:val="bottom"/>
            <w:hideMark/>
          </w:tcPr>
          <w:p w14:paraId="6BF7345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205</w:t>
            </w:r>
          </w:p>
        </w:tc>
      </w:tr>
      <w:tr w:rsidR="00F2518A" w:rsidRPr="007C747A" w14:paraId="684452A6" w14:textId="77777777">
        <w:trPr>
          <w:trHeight w:val="250"/>
        </w:trPr>
        <w:tc>
          <w:tcPr>
            <w:tcW w:w="6357" w:type="dxa"/>
            <w:tcBorders>
              <w:top w:val="nil"/>
              <w:left w:val="nil"/>
              <w:bottom w:val="nil"/>
              <w:right w:val="nil"/>
            </w:tcBorders>
            <w:shd w:val="clear" w:color="FFFFFF" w:fill="FFFFFF"/>
            <w:vAlign w:val="bottom"/>
            <w:hideMark/>
          </w:tcPr>
          <w:p w14:paraId="59692390"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Three to four years</w:t>
            </w:r>
          </w:p>
        </w:tc>
        <w:tc>
          <w:tcPr>
            <w:tcW w:w="1251" w:type="dxa"/>
            <w:tcBorders>
              <w:top w:val="nil"/>
              <w:left w:val="nil"/>
              <w:bottom w:val="nil"/>
              <w:right w:val="nil"/>
            </w:tcBorders>
            <w:shd w:val="clear" w:color="FFFFFF" w:fill="FFFFFF"/>
            <w:noWrap/>
            <w:vAlign w:val="bottom"/>
            <w:hideMark/>
          </w:tcPr>
          <w:p w14:paraId="31862D0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70</w:t>
            </w:r>
          </w:p>
        </w:tc>
        <w:tc>
          <w:tcPr>
            <w:tcW w:w="236" w:type="dxa"/>
            <w:tcBorders>
              <w:top w:val="nil"/>
              <w:left w:val="nil"/>
              <w:bottom w:val="nil"/>
              <w:right w:val="nil"/>
            </w:tcBorders>
            <w:shd w:val="clear" w:color="FFFFFF" w:fill="FFFFFF"/>
            <w:noWrap/>
            <w:vAlign w:val="bottom"/>
            <w:hideMark/>
          </w:tcPr>
          <w:p w14:paraId="0379ED44"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nil"/>
              <w:left w:val="nil"/>
              <w:bottom w:val="nil"/>
              <w:right w:val="nil"/>
            </w:tcBorders>
            <w:shd w:val="clear" w:color="FFFFFF" w:fill="FFFFFF"/>
            <w:noWrap/>
            <w:vAlign w:val="bottom"/>
            <w:hideMark/>
          </w:tcPr>
          <w:p w14:paraId="778FF20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167</w:t>
            </w:r>
          </w:p>
        </w:tc>
      </w:tr>
      <w:tr w:rsidR="00F2518A" w:rsidRPr="007C747A" w14:paraId="6B0B2217" w14:textId="77777777">
        <w:trPr>
          <w:trHeight w:val="250"/>
        </w:trPr>
        <w:tc>
          <w:tcPr>
            <w:tcW w:w="6357" w:type="dxa"/>
            <w:tcBorders>
              <w:top w:val="nil"/>
              <w:left w:val="nil"/>
              <w:bottom w:val="nil"/>
              <w:right w:val="nil"/>
            </w:tcBorders>
            <w:shd w:val="clear" w:color="FFFFFF" w:fill="FFFFFF"/>
            <w:vAlign w:val="bottom"/>
            <w:hideMark/>
          </w:tcPr>
          <w:p w14:paraId="2023AA5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Four to five years</w:t>
            </w:r>
          </w:p>
        </w:tc>
        <w:tc>
          <w:tcPr>
            <w:tcW w:w="1251" w:type="dxa"/>
            <w:tcBorders>
              <w:top w:val="nil"/>
              <w:left w:val="nil"/>
              <w:bottom w:val="nil"/>
              <w:right w:val="nil"/>
            </w:tcBorders>
            <w:shd w:val="clear" w:color="FFFFFF" w:fill="FFFFFF"/>
            <w:noWrap/>
            <w:vAlign w:val="bottom"/>
            <w:hideMark/>
          </w:tcPr>
          <w:p w14:paraId="134B4F2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4B28932A"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nil"/>
              <w:left w:val="nil"/>
              <w:bottom w:val="nil"/>
              <w:right w:val="nil"/>
            </w:tcBorders>
            <w:shd w:val="clear" w:color="FFFFFF" w:fill="FFFFFF"/>
            <w:noWrap/>
            <w:vAlign w:val="bottom"/>
            <w:hideMark/>
          </w:tcPr>
          <w:p w14:paraId="6EA27FB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70</w:t>
            </w:r>
          </w:p>
        </w:tc>
      </w:tr>
      <w:tr w:rsidR="00F2518A" w:rsidRPr="007C747A" w14:paraId="7611603C" w14:textId="77777777">
        <w:trPr>
          <w:trHeight w:val="268"/>
        </w:trPr>
        <w:tc>
          <w:tcPr>
            <w:tcW w:w="6357" w:type="dxa"/>
            <w:tcBorders>
              <w:top w:val="nil"/>
              <w:left w:val="nil"/>
              <w:bottom w:val="nil"/>
              <w:right w:val="nil"/>
            </w:tcBorders>
            <w:shd w:val="clear" w:color="FFFFFF" w:fill="FFFFFF"/>
            <w:vAlign w:val="bottom"/>
            <w:hideMark/>
          </w:tcPr>
          <w:p w14:paraId="2527C19F"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More than 5 years</w:t>
            </w:r>
          </w:p>
        </w:tc>
        <w:tc>
          <w:tcPr>
            <w:tcW w:w="1251" w:type="dxa"/>
            <w:tcBorders>
              <w:top w:val="nil"/>
              <w:left w:val="nil"/>
              <w:bottom w:val="nil"/>
              <w:right w:val="nil"/>
            </w:tcBorders>
            <w:shd w:val="clear" w:color="FFFFFF" w:fill="FFFFFF"/>
            <w:noWrap/>
            <w:vAlign w:val="bottom"/>
            <w:hideMark/>
          </w:tcPr>
          <w:p w14:paraId="013BAE9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xml:space="preserve"> -</w:t>
            </w:r>
          </w:p>
        </w:tc>
        <w:tc>
          <w:tcPr>
            <w:tcW w:w="236" w:type="dxa"/>
            <w:tcBorders>
              <w:top w:val="nil"/>
              <w:left w:val="nil"/>
              <w:bottom w:val="nil"/>
              <w:right w:val="nil"/>
            </w:tcBorders>
            <w:shd w:val="clear" w:color="FFFFFF" w:fill="FFFFFF"/>
            <w:noWrap/>
            <w:vAlign w:val="bottom"/>
            <w:hideMark/>
          </w:tcPr>
          <w:p w14:paraId="69A537FC"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nil"/>
              <w:left w:val="nil"/>
              <w:bottom w:val="nil"/>
              <w:right w:val="nil"/>
            </w:tcBorders>
            <w:shd w:val="clear" w:color="FFFFFF" w:fill="FFFFFF"/>
            <w:noWrap/>
            <w:vAlign w:val="bottom"/>
            <w:hideMark/>
          </w:tcPr>
          <w:p w14:paraId="02619EA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xml:space="preserve"> -</w:t>
            </w:r>
          </w:p>
        </w:tc>
      </w:tr>
      <w:tr w:rsidR="00F2518A" w:rsidRPr="007C747A" w14:paraId="6257E206" w14:textId="77777777">
        <w:trPr>
          <w:trHeight w:val="250"/>
        </w:trPr>
        <w:tc>
          <w:tcPr>
            <w:tcW w:w="6357" w:type="dxa"/>
            <w:tcBorders>
              <w:top w:val="nil"/>
              <w:left w:val="nil"/>
              <w:bottom w:val="nil"/>
              <w:right w:val="nil"/>
            </w:tcBorders>
            <w:shd w:val="clear" w:color="FFFFFF" w:fill="FFFFFF"/>
            <w:vAlign w:val="bottom"/>
            <w:hideMark/>
          </w:tcPr>
          <w:p w14:paraId="13A5D4A3"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undiscounted lease payments receivable</w:t>
            </w:r>
          </w:p>
        </w:tc>
        <w:tc>
          <w:tcPr>
            <w:tcW w:w="1251" w:type="dxa"/>
            <w:tcBorders>
              <w:top w:val="single" w:sz="4" w:space="0" w:color="auto"/>
              <w:left w:val="nil"/>
              <w:bottom w:val="single" w:sz="4" w:space="0" w:color="auto"/>
              <w:right w:val="nil"/>
            </w:tcBorders>
            <w:shd w:val="clear" w:color="FFFFFF" w:fill="FFFFFF"/>
            <w:noWrap/>
            <w:vAlign w:val="bottom"/>
            <w:hideMark/>
          </w:tcPr>
          <w:p w14:paraId="5BDB3EE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1,030</w:t>
            </w:r>
          </w:p>
        </w:tc>
        <w:tc>
          <w:tcPr>
            <w:tcW w:w="236" w:type="dxa"/>
            <w:tcBorders>
              <w:top w:val="nil"/>
              <w:left w:val="nil"/>
              <w:bottom w:val="nil"/>
              <w:right w:val="nil"/>
            </w:tcBorders>
            <w:shd w:val="clear" w:color="FFFFFF" w:fill="FFFFFF"/>
            <w:noWrap/>
            <w:vAlign w:val="bottom"/>
            <w:hideMark/>
          </w:tcPr>
          <w:p w14:paraId="05097EB6" w14:textId="77777777" w:rsidR="00F2518A" w:rsidRPr="007C747A" w:rsidRDefault="00F2518A" w:rsidP="00F2518A">
            <w:pPr>
              <w:spacing w:after="0" w:line="260" w:lineRule="atLeast"/>
              <w:rPr>
                <w:rFonts w:eastAsia="Times New Roman" w:cs="Arial"/>
                <w:sz w:val="20"/>
                <w:szCs w:val="20"/>
                <w:lang w:val="en-AU" w:eastAsia="en-US"/>
              </w:rPr>
            </w:pPr>
            <w:r w:rsidRPr="007C747A">
              <w:rPr>
                <w:rFonts w:eastAsia="Times New Roman" w:cs="Arial"/>
                <w:sz w:val="20"/>
                <w:szCs w:val="20"/>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84ECE9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1,550</w:t>
            </w:r>
          </w:p>
        </w:tc>
      </w:tr>
    </w:tbl>
    <w:p w14:paraId="6086ED59" w14:textId="77777777" w:rsidR="00F2518A" w:rsidRPr="007C747A" w:rsidRDefault="00F2518A" w:rsidP="00F2518A">
      <w:pPr>
        <w:spacing w:before="60" w:after="0" w:line="260" w:lineRule="atLeast"/>
        <w:rPr>
          <w:rFonts w:eastAsia="Times New Roman" w:cs="Arial"/>
          <w:sz w:val="18"/>
          <w:szCs w:val="18"/>
          <w:lang w:val="en-AU" w:eastAsia="en-US"/>
        </w:rPr>
      </w:pPr>
      <w:r w:rsidRPr="007C747A">
        <w:rPr>
          <w:rFonts w:eastAsia="Times New Roman" w:cs="Arial"/>
          <w:sz w:val="18"/>
          <w:szCs w:val="18"/>
          <w:lang w:val="en-AU" w:eastAsia="en-US"/>
        </w:rPr>
        <w:t>The above lease disclosures should be read in conjunction with the accompanying notes 1.1B, 1.1D, 2.2A &amp; 2.5.</w:t>
      </w:r>
    </w:p>
    <w:p w14:paraId="334C6220"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br w:type="page"/>
      </w: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75A50A95" w14:textId="77777777">
        <w:trPr>
          <w:trHeight w:val="260"/>
        </w:trPr>
        <w:tc>
          <w:tcPr>
            <w:tcW w:w="6357" w:type="dxa"/>
            <w:tcBorders>
              <w:top w:val="nil"/>
              <w:left w:val="nil"/>
              <w:bottom w:val="nil"/>
              <w:right w:val="nil"/>
            </w:tcBorders>
            <w:shd w:val="clear" w:color="FFFFFF" w:fill="FFFFFF"/>
            <w:noWrap/>
            <w:vAlign w:val="bottom"/>
            <w:hideMark/>
          </w:tcPr>
          <w:p w14:paraId="145D2398" w14:textId="77777777" w:rsidR="00F2518A" w:rsidRPr="007C747A" w:rsidRDefault="00F2518A" w:rsidP="00F2518A">
            <w:pPr>
              <w:spacing w:after="0" w:line="260" w:lineRule="atLeast"/>
              <w:rPr>
                <w:rFonts w:eastAsia="Times New Roman" w:cs="Arial"/>
                <w:sz w:val="16"/>
                <w:szCs w:val="16"/>
                <w:lang w:val="en-AU" w:eastAsia="en-US"/>
              </w:rPr>
            </w:pPr>
            <w:bookmarkStart w:id="235" w:name="Note_ORVTABLE1" w:colFirst="0" w:colLast="0"/>
            <w:r w:rsidRPr="007C747A">
              <w:rPr>
                <w:rFonts w:eastAsia="Times New Roman" w:cs="Arial"/>
                <w:sz w:val="16"/>
                <w:szCs w:val="16"/>
                <w:lang w:val="en-AU" w:eastAsia="en-US"/>
              </w:rPr>
              <w:t> </w:t>
            </w:r>
          </w:p>
        </w:tc>
        <w:tc>
          <w:tcPr>
            <w:tcW w:w="1251" w:type="dxa"/>
            <w:tcBorders>
              <w:top w:val="nil"/>
              <w:left w:val="nil"/>
              <w:bottom w:val="nil"/>
              <w:right w:val="nil"/>
            </w:tcBorders>
            <w:shd w:val="clear" w:color="FFFFFF" w:fill="FFFFFF"/>
            <w:vAlign w:val="bottom"/>
            <w:hideMark/>
          </w:tcPr>
          <w:p w14:paraId="542B3A03" w14:textId="01879F72"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00486335" w:rsidRPr="007C747A">
              <w:rPr>
                <w:rFonts w:eastAsia="Times New Roman" w:cs="Arial"/>
                <w:b/>
                <w:bCs/>
                <w:sz w:val="18"/>
                <w:szCs w:val="18"/>
                <w:lang w:val="en-AU" w:eastAsia="en-US"/>
              </w:rPr>
              <w:br/>
              <w:t>$'000</w:t>
            </w:r>
          </w:p>
        </w:tc>
        <w:tc>
          <w:tcPr>
            <w:tcW w:w="236" w:type="dxa"/>
            <w:tcBorders>
              <w:top w:val="nil"/>
              <w:left w:val="nil"/>
              <w:bottom w:val="nil"/>
              <w:right w:val="nil"/>
            </w:tcBorders>
            <w:shd w:val="clear" w:color="FFFFFF" w:fill="FFFFFF"/>
            <w:noWrap/>
            <w:vAlign w:val="bottom"/>
            <w:hideMark/>
          </w:tcPr>
          <w:p w14:paraId="195D5CF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vAlign w:val="bottom"/>
            <w:hideMark/>
          </w:tcPr>
          <w:p w14:paraId="2DC4E57F" w14:textId="52002F62"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00486335" w:rsidRPr="007C747A">
              <w:rPr>
                <w:rFonts w:eastAsia="Times New Roman" w:cs="Arial"/>
                <w:sz w:val="18"/>
                <w:szCs w:val="18"/>
                <w:lang w:val="en-AU" w:eastAsia="en-US"/>
              </w:rPr>
              <w:br/>
              <w:t>$'000</w:t>
            </w:r>
          </w:p>
        </w:tc>
      </w:tr>
      <w:bookmarkEnd w:id="235"/>
      <w:tr w:rsidR="00F2518A" w:rsidRPr="007C747A" w14:paraId="530E3C48" w14:textId="77777777">
        <w:trPr>
          <w:trHeight w:val="250"/>
        </w:trPr>
        <w:tc>
          <w:tcPr>
            <w:tcW w:w="6357" w:type="dxa"/>
            <w:tcBorders>
              <w:top w:val="nil"/>
              <w:left w:val="nil"/>
              <w:bottom w:val="nil"/>
              <w:right w:val="nil"/>
            </w:tcBorders>
            <w:shd w:val="clear" w:color="FFFFFF" w:fill="FFFFFF"/>
            <w:noWrap/>
            <w:vAlign w:val="bottom"/>
            <w:hideMark/>
          </w:tcPr>
          <w:p w14:paraId="106CA01A"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1.2C: Other revenue</w:t>
            </w:r>
          </w:p>
        </w:tc>
        <w:tc>
          <w:tcPr>
            <w:tcW w:w="1251" w:type="dxa"/>
            <w:tcBorders>
              <w:top w:val="nil"/>
              <w:left w:val="nil"/>
              <w:bottom w:val="nil"/>
              <w:right w:val="nil"/>
            </w:tcBorders>
            <w:shd w:val="clear" w:color="FFFFFF" w:fill="FFFFFF"/>
            <w:noWrap/>
            <w:vAlign w:val="bottom"/>
            <w:hideMark/>
          </w:tcPr>
          <w:p w14:paraId="3246C05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F4D9A9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F30ED5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2850ED6" w14:textId="77777777">
        <w:trPr>
          <w:trHeight w:val="250"/>
        </w:trPr>
        <w:tc>
          <w:tcPr>
            <w:tcW w:w="6357" w:type="dxa"/>
            <w:tcBorders>
              <w:top w:val="nil"/>
              <w:left w:val="nil"/>
              <w:bottom w:val="nil"/>
              <w:right w:val="nil"/>
            </w:tcBorders>
            <w:shd w:val="clear" w:color="FFFFFF" w:fill="FFFFFF"/>
            <w:vAlign w:val="bottom"/>
            <w:hideMark/>
          </w:tcPr>
          <w:p w14:paraId="642B84E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Compensation receipts</w:t>
            </w:r>
          </w:p>
        </w:tc>
        <w:tc>
          <w:tcPr>
            <w:tcW w:w="1251" w:type="dxa"/>
            <w:tcBorders>
              <w:top w:val="nil"/>
              <w:left w:val="nil"/>
              <w:bottom w:val="nil"/>
              <w:right w:val="nil"/>
            </w:tcBorders>
            <w:shd w:val="clear" w:color="FFFFFF" w:fill="FFFFFF"/>
            <w:noWrap/>
            <w:vAlign w:val="bottom"/>
            <w:hideMark/>
          </w:tcPr>
          <w:p w14:paraId="7496573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29,132</w:t>
            </w:r>
          </w:p>
        </w:tc>
        <w:tc>
          <w:tcPr>
            <w:tcW w:w="236" w:type="dxa"/>
            <w:tcBorders>
              <w:top w:val="nil"/>
              <w:left w:val="nil"/>
              <w:bottom w:val="nil"/>
              <w:right w:val="nil"/>
            </w:tcBorders>
            <w:shd w:val="clear" w:color="FFFFFF" w:fill="FFFFFF"/>
            <w:noWrap/>
            <w:vAlign w:val="bottom"/>
            <w:hideMark/>
          </w:tcPr>
          <w:p w14:paraId="469D269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5DE0C2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23,165</w:t>
            </w:r>
          </w:p>
        </w:tc>
      </w:tr>
      <w:tr w:rsidR="00F2518A" w:rsidRPr="007C747A" w14:paraId="4B054143" w14:textId="77777777">
        <w:trPr>
          <w:trHeight w:val="250"/>
        </w:trPr>
        <w:tc>
          <w:tcPr>
            <w:tcW w:w="6357" w:type="dxa"/>
            <w:tcBorders>
              <w:top w:val="nil"/>
              <w:left w:val="nil"/>
              <w:bottom w:val="nil"/>
              <w:right w:val="nil"/>
            </w:tcBorders>
            <w:shd w:val="clear" w:color="FFFFFF" w:fill="FFFFFF"/>
            <w:vAlign w:val="bottom"/>
            <w:hideMark/>
          </w:tcPr>
          <w:p w14:paraId="4596D2F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Cost recoveries</w:t>
            </w:r>
          </w:p>
        </w:tc>
        <w:tc>
          <w:tcPr>
            <w:tcW w:w="1251" w:type="dxa"/>
            <w:tcBorders>
              <w:top w:val="nil"/>
              <w:left w:val="nil"/>
              <w:bottom w:val="nil"/>
              <w:right w:val="nil"/>
            </w:tcBorders>
            <w:shd w:val="clear" w:color="FFFFFF" w:fill="FFFFFF"/>
            <w:noWrap/>
            <w:vAlign w:val="bottom"/>
            <w:hideMark/>
          </w:tcPr>
          <w:p w14:paraId="4628933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13</w:t>
            </w:r>
          </w:p>
        </w:tc>
        <w:tc>
          <w:tcPr>
            <w:tcW w:w="236" w:type="dxa"/>
            <w:tcBorders>
              <w:top w:val="nil"/>
              <w:left w:val="nil"/>
              <w:bottom w:val="nil"/>
              <w:right w:val="nil"/>
            </w:tcBorders>
            <w:shd w:val="clear" w:color="FFFFFF" w:fill="FFFFFF"/>
            <w:noWrap/>
            <w:vAlign w:val="bottom"/>
            <w:hideMark/>
          </w:tcPr>
          <w:p w14:paraId="1DA59AE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53345A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w:t>
            </w:r>
          </w:p>
        </w:tc>
      </w:tr>
      <w:tr w:rsidR="00F2518A" w:rsidRPr="007C747A" w14:paraId="23B3221F" w14:textId="77777777">
        <w:trPr>
          <w:trHeight w:val="250"/>
        </w:trPr>
        <w:tc>
          <w:tcPr>
            <w:tcW w:w="6357" w:type="dxa"/>
            <w:tcBorders>
              <w:top w:val="nil"/>
              <w:left w:val="nil"/>
              <w:bottom w:val="nil"/>
              <w:right w:val="nil"/>
            </w:tcBorders>
            <w:shd w:val="clear" w:color="FFFFFF" w:fill="FFFFFF"/>
            <w:vAlign w:val="bottom"/>
            <w:hideMark/>
          </w:tcPr>
          <w:p w14:paraId="23A5766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xml:space="preserve">Other miscellaneous revenue </w:t>
            </w:r>
          </w:p>
        </w:tc>
        <w:tc>
          <w:tcPr>
            <w:tcW w:w="1251" w:type="dxa"/>
            <w:tcBorders>
              <w:top w:val="nil"/>
              <w:left w:val="nil"/>
              <w:bottom w:val="nil"/>
              <w:right w:val="nil"/>
            </w:tcBorders>
            <w:shd w:val="clear" w:color="FFFFFF" w:fill="FFFFFF"/>
            <w:noWrap/>
            <w:vAlign w:val="bottom"/>
            <w:hideMark/>
          </w:tcPr>
          <w:p w14:paraId="1DBBA60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275</w:t>
            </w:r>
          </w:p>
        </w:tc>
        <w:tc>
          <w:tcPr>
            <w:tcW w:w="236" w:type="dxa"/>
            <w:tcBorders>
              <w:top w:val="nil"/>
              <w:left w:val="nil"/>
              <w:bottom w:val="nil"/>
              <w:right w:val="nil"/>
            </w:tcBorders>
            <w:shd w:val="clear" w:color="FFFFFF" w:fill="FFFFFF"/>
            <w:noWrap/>
            <w:vAlign w:val="bottom"/>
            <w:hideMark/>
          </w:tcPr>
          <w:p w14:paraId="42DC5FB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B51944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149</w:t>
            </w:r>
          </w:p>
        </w:tc>
      </w:tr>
      <w:tr w:rsidR="00F2518A" w:rsidRPr="007C747A" w14:paraId="5C78B3AD" w14:textId="77777777">
        <w:trPr>
          <w:trHeight w:val="250"/>
        </w:trPr>
        <w:tc>
          <w:tcPr>
            <w:tcW w:w="6357" w:type="dxa"/>
            <w:tcBorders>
              <w:top w:val="nil"/>
              <w:left w:val="nil"/>
              <w:bottom w:val="nil"/>
              <w:right w:val="nil"/>
            </w:tcBorders>
            <w:shd w:val="clear" w:color="FFFFFF" w:fill="FFFFFF"/>
            <w:vAlign w:val="bottom"/>
            <w:hideMark/>
          </w:tcPr>
          <w:p w14:paraId="2A30B21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other revenue</w:t>
            </w:r>
          </w:p>
        </w:tc>
        <w:tc>
          <w:tcPr>
            <w:tcW w:w="1251" w:type="dxa"/>
            <w:tcBorders>
              <w:top w:val="single" w:sz="4" w:space="0" w:color="auto"/>
              <w:left w:val="nil"/>
              <w:bottom w:val="single" w:sz="4" w:space="0" w:color="auto"/>
              <w:right w:val="nil"/>
            </w:tcBorders>
            <w:shd w:val="clear" w:color="FFFFFF" w:fill="FFFFFF"/>
            <w:noWrap/>
            <w:vAlign w:val="bottom"/>
            <w:hideMark/>
          </w:tcPr>
          <w:p w14:paraId="292BEF7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29,420</w:t>
            </w:r>
          </w:p>
        </w:tc>
        <w:tc>
          <w:tcPr>
            <w:tcW w:w="236" w:type="dxa"/>
            <w:tcBorders>
              <w:top w:val="nil"/>
              <w:left w:val="nil"/>
              <w:bottom w:val="nil"/>
              <w:right w:val="nil"/>
            </w:tcBorders>
            <w:shd w:val="clear" w:color="FFFFFF" w:fill="FFFFFF"/>
            <w:noWrap/>
            <w:vAlign w:val="bottom"/>
            <w:hideMark/>
          </w:tcPr>
          <w:p w14:paraId="158FB34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4DC8F7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23,324</w:t>
            </w:r>
          </w:p>
        </w:tc>
      </w:tr>
    </w:tbl>
    <w:p w14:paraId="1D91DFD2" w14:textId="77777777" w:rsidR="00F2518A" w:rsidRPr="007C747A" w:rsidRDefault="00F2518A" w:rsidP="00F2518A">
      <w:pPr>
        <w:spacing w:after="0" w:line="240" w:lineRule="auto"/>
        <w:ind w:right="607"/>
        <w:rPr>
          <w:rFonts w:eastAsia="Times New Roman"/>
          <w:b/>
          <w:sz w:val="20"/>
          <w:szCs w:val="20"/>
          <w:lang w:val="en-AU" w:eastAsia="en-US"/>
        </w:rPr>
      </w:pPr>
    </w:p>
    <w:p w14:paraId="00444B51"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iCs/>
          <w:sz w:val="18"/>
          <w:szCs w:val="18"/>
          <w:lang w:val="en-AU" w:eastAsia="en-US"/>
        </w:rPr>
      </w:pPr>
      <w:r w:rsidRPr="007C747A">
        <w:rPr>
          <w:rFonts w:eastAsia="Times New Roman" w:cs="Arial"/>
          <w:b/>
          <w:iCs/>
          <w:sz w:val="18"/>
          <w:szCs w:val="18"/>
          <w:lang w:val="en-AU" w:eastAsia="en-US"/>
        </w:rPr>
        <w:t>Accounting Policy</w:t>
      </w:r>
    </w:p>
    <w:p w14:paraId="570A159A"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Compensation</w:t>
      </w:r>
    </w:p>
    <w:p w14:paraId="38EB911C"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The Agency has powers set out in the NDIS Act and the NDIS Compensation Rules to recover compensation settlements that have been made to participants in certain circumstances. This legislation and its interaction with general compensation law is highly complex. As a result, the Agency’s entitlement to, and the value of, compensation revenue cannot be reliably determined until the circumstances of each case are fully analysed. The legislation also provides the Agency with the option to apply a compensation reduction amount (CRA) to participant plans in lieu of recovering the compensation in a lump sum. Where the Agency elects to apply a CRA to a participant’s plan, a lower level of supports will be provided to the participant in future periods, resulting in a reduction in future participant plan expenses, rather than the recognition of compensation revenue. </w:t>
      </w:r>
    </w:p>
    <w:p w14:paraId="402AB112"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Compensation revenue is therefore recognised when the delegate determines that a specified debt recovery amount is appropriate. </w:t>
      </w:r>
    </w:p>
    <w:p w14:paraId="40D7C778"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From time to time, some compensation debt recovery amounts are subject to the reviewable decisions under section 100 of the NDIS Act and which result in partial or full refunds of the compensation receipts. If a refund is related to compensation receipts initially raised in a previous financial year, the amount is reported in Note 1.1F: Write-down and impairment of other assets, instead of a reversal of compensation receipts in Note 1.2C: Other Revenue.</w:t>
      </w:r>
    </w:p>
    <w:p w14:paraId="310C2ED2"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Further discussion on the recognition and valuation of compensation recoveries is included in Section 4 Managing Uncertainties.</w:t>
      </w:r>
    </w:p>
    <w:p w14:paraId="3B6CFB2B"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color w:val="FF0000"/>
          <w:sz w:val="18"/>
          <w:szCs w:val="18"/>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6D9780BD" w14:textId="77777777">
        <w:trPr>
          <w:trHeight w:val="253"/>
        </w:trPr>
        <w:tc>
          <w:tcPr>
            <w:tcW w:w="6357" w:type="dxa"/>
            <w:tcBorders>
              <w:top w:val="nil"/>
              <w:left w:val="nil"/>
              <w:bottom w:val="nil"/>
              <w:right w:val="nil"/>
            </w:tcBorders>
            <w:shd w:val="clear" w:color="FFFFFF" w:fill="FFFFFF"/>
            <w:noWrap/>
            <w:vAlign w:val="bottom"/>
            <w:hideMark/>
          </w:tcPr>
          <w:p w14:paraId="5EEC6208"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36" w:name="Note_RFCTABLE1" w:colFirst="0" w:colLast="0"/>
            <w:r w:rsidRPr="007C747A">
              <w:rPr>
                <w:rFonts w:eastAsia="Times New Roman" w:cs="Arial"/>
                <w:b/>
                <w:bCs/>
                <w:sz w:val="18"/>
                <w:szCs w:val="18"/>
                <w:u w:val="single"/>
                <w:lang w:val="en-AU" w:eastAsia="en-US"/>
              </w:rPr>
              <w:t>Note 1.2D: Other gains</w:t>
            </w:r>
          </w:p>
        </w:tc>
        <w:tc>
          <w:tcPr>
            <w:tcW w:w="1251" w:type="dxa"/>
            <w:tcBorders>
              <w:top w:val="nil"/>
              <w:left w:val="nil"/>
              <w:bottom w:val="nil"/>
              <w:right w:val="nil"/>
            </w:tcBorders>
            <w:shd w:val="clear" w:color="FFFFFF" w:fill="FFFFFF"/>
            <w:noWrap/>
            <w:vAlign w:val="bottom"/>
            <w:hideMark/>
          </w:tcPr>
          <w:p w14:paraId="2D79BCB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248F92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48BADC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236"/>
      <w:tr w:rsidR="00F2518A" w:rsidRPr="007C747A" w14:paraId="27FD8D0D" w14:textId="77777777">
        <w:trPr>
          <w:trHeight w:val="255"/>
        </w:trPr>
        <w:tc>
          <w:tcPr>
            <w:tcW w:w="6357" w:type="dxa"/>
            <w:tcBorders>
              <w:top w:val="nil"/>
              <w:left w:val="nil"/>
              <w:bottom w:val="nil"/>
              <w:right w:val="nil"/>
            </w:tcBorders>
            <w:shd w:val="clear" w:color="FFFFFF" w:fill="FFFFFF"/>
            <w:hideMark/>
          </w:tcPr>
          <w:p w14:paraId="6832C8B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Reversal/write back of provisions</w:t>
            </w:r>
          </w:p>
        </w:tc>
        <w:tc>
          <w:tcPr>
            <w:tcW w:w="1251" w:type="dxa"/>
            <w:tcBorders>
              <w:top w:val="nil"/>
              <w:left w:val="nil"/>
              <w:bottom w:val="nil"/>
              <w:right w:val="nil"/>
            </w:tcBorders>
            <w:shd w:val="clear" w:color="FFFFFF" w:fill="FFFFFF"/>
            <w:noWrap/>
            <w:vAlign w:val="bottom"/>
            <w:hideMark/>
          </w:tcPr>
          <w:p w14:paraId="7F4C2B6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1,001</w:t>
            </w:r>
          </w:p>
        </w:tc>
        <w:tc>
          <w:tcPr>
            <w:tcW w:w="236" w:type="dxa"/>
            <w:tcBorders>
              <w:top w:val="nil"/>
              <w:left w:val="nil"/>
              <w:bottom w:val="nil"/>
              <w:right w:val="nil"/>
            </w:tcBorders>
            <w:shd w:val="clear" w:color="FFFFFF" w:fill="FFFFFF"/>
            <w:noWrap/>
            <w:vAlign w:val="bottom"/>
            <w:hideMark/>
          </w:tcPr>
          <w:p w14:paraId="282A6E2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ED0B6B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775</w:t>
            </w:r>
          </w:p>
        </w:tc>
      </w:tr>
      <w:tr w:rsidR="00F2518A" w:rsidRPr="007C747A" w14:paraId="40E6BD53" w14:textId="77777777">
        <w:trPr>
          <w:trHeight w:val="253"/>
        </w:trPr>
        <w:tc>
          <w:tcPr>
            <w:tcW w:w="6357" w:type="dxa"/>
            <w:tcBorders>
              <w:top w:val="nil"/>
              <w:left w:val="nil"/>
              <w:bottom w:val="nil"/>
              <w:right w:val="nil"/>
            </w:tcBorders>
            <w:shd w:val="clear" w:color="FFFFFF" w:fill="FFFFFF"/>
            <w:hideMark/>
          </w:tcPr>
          <w:p w14:paraId="4519032A" w14:textId="08942CC6"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External parties</w:t>
            </w:r>
            <w:r w:rsidR="005907F9" w:rsidRPr="007C747A">
              <w:rPr>
                <w:rFonts w:eastAsia="Times New Roman" w:cs="Arial"/>
                <w:sz w:val="18"/>
                <w:szCs w:val="18"/>
                <w:lang w:val="en-AU" w:eastAsia="en-US"/>
              </w:rPr>
              <w:t xml:space="preserve"> – </w:t>
            </w:r>
            <w:r w:rsidRPr="007C747A">
              <w:rPr>
                <w:rFonts w:eastAsia="Times New Roman" w:cs="Arial"/>
                <w:sz w:val="18"/>
                <w:szCs w:val="18"/>
                <w:lang w:val="en-AU" w:eastAsia="en-US"/>
              </w:rPr>
              <w:t>Contributions in-kind from state and territory governments</w:t>
            </w:r>
          </w:p>
        </w:tc>
        <w:tc>
          <w:tcPr>
            <w:tcW w:w="1251" w:type="dxa"/>
            <w:tcBorders>
              <w:top w:val="nil"/>
              <w:left w:val="nil"/>
              <w:bottom w:val="nil"/>
              <w:right w:val="nil"/>
            </w:tcBorders>
            <w:shd w:val="clear" w:color="FFFFFF" w:fill="FFFFFF"/>
            <w:noWrap/>
            <w:vAlign w:val="bottom"/>
            <w:hideMark/>
          </w:tcPr>
          <w:p w14:paraId="6B9B3B1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1,088,187</w:t>
            </w:r>
          </w:p>
        </w:tc>
        <w:tc>
          <w:tcPr>
            <w:tcW w:w="236" w:type="dxa"/>
            <w:tcBorders>
              <w:top w:val="nil"/>
              <w:left w:val="nil"/>
              <w:bottom w:val="nil"/>
              <w:right w:val="nil"/>
            </w:tcBorders>
            <w:shd w:val="clear" w:color="FFFFFF" w:fill="FFFFFF"/>
            <w:noWrap/>
            <w:vAlign w:val="bottom"/>
            <w:hideMark/>
          </w:tcPr>
          <w:p w14:paraId="3D37FE7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2828D10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1,013,000</w:t>
            </w:r>
          </w:p>
        </w:tc>
      </w:tr>
      <w:tr w:rsidR="00F2518A" w:rsidRPr="007C747A" w14:paraId="1BFB90B7" w14:textId="77777777">
        <w:trPr>
          <w:trHeight w:val="253"/>
        </w:trPr>
        <w:tc>
          <w:tcPr>
            <w:tcW w:w="6357" w:type="dxa"/>
            <w:tcBorders>
              <w:top w:val="nil"/>
              <w:left w:val="nil"/>
              <w:bottom w:val="nil"/>
              <w:right w:val="nil"/>
            </w:tcBorders>
            <w:shd w:val="clear" w:color="FFFFFF" w:fill="FFFFFF"/>
            <w:hideMark/>
          </w:tcPr>
          <w:p w14:paraId="6EF9E83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Reversal of impairment losses</w:t>
            </w:r>
          </w:p>
        </w:tc>
        <w:tc>
          <w:tcPr>
            <w:tcW w:w="1251" w:type="dxa"/>
            <w:tcBorders>
              <w:top w:val="nil"/>
              <w:left w:val="nil"/>
              <w:bottom w:val="nil"/>
              <w:right w:val="nil"/>
            </w:tcBorders>
            <w:shd w:val="clear" w:color="FFFFFF" w:fill="FFFFFF"/>
            <w:noWrap/>
            <w:vAlign w:val="bottom"/>
            <w:hideMark/>
          </w:tcPr>
          <w:p w14:paraId="044DDE9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793</w:t>
            </w:r>
          </w:p>
        </w:tc>
        <w:tc>
          <w:tcPr>
            <w:tcW w:w="236" w:type="dxa"/>
            <w:tcBorders>
              <w:top w:val="nil"/>
              <w:left w:val="nil"/>
              <w:bottom w:val="nil"/>
              <w:right w:val="nil"/>
            </w:tcBorders>
            <w:shd w:val="clear" w:color="FFFFFF" w:fill="FFFFFF"/>
            <w:noWrap/>
            <w:vAlign w:val="bottom"/>
            <w:hideMark/>
          </w:tcPr>
          <w:p w14:paraId="3A604C3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B580D1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716</w:t>
            </w:r>
          </w:p>
        </w:tc>
      </w:tr>
      <w:tr w:rsidR="00F2518A" w:rsidRPr="007C747A" w14:paraId="6E572015" w14:textId="77777777">
        <w:trPr>
          <w:trHeight w:val="253"/>
        </w:trPr>
        <w:tc>
          <w:tcPr>
            <w:tcW w:w="6357" w:type="dxa"/>
            <w:tcBorders>
              <w:top w:val="nil"/>
              <w:left w:val="nil"/>
              <w:bottom w:val="nil"/>
              <w:right w:val="nil"/>
            </w:tcBorders>
            <w:shd w:val="clear" w:color="FFFFFF" w:fill="FFFFFF"/>
          </w:tcPr>
          <w:p w14:paraId="1CEB700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Scheme payment cancellations</w:t>
            </w:r>
          </w:p>
        </w:tc>
        <w:tc>
          <w:tcPr>
            <w:tcW w:w="1251" w:type="dxa"/>
            <w:tcBorders>
              <w:top w:val="nil"/>
              <w:left w:val="nil"/>
              <w:bottom w:val="nil"/>
              <w:right w:val="nil"/>
            </w:tcBorders>
            <w:shd w:val="clear" w:color="FFFFFF" w:fill="FFFFFF"/>
            <w:noWrap/>
            <w:vAlign w:val="bottom"/>
          </w:tcPr>
          <w:p w14:paraId="0F35BB8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108,135</w:t>
            </w:r>
          </w:p>
        </w:tc>
        <w:tc>
          <w:tcPr>
            <w:tcW w:w="236" w:type="dxa"/>
            <w:tcBorders>
              <w:top w:val="nil"/>
              <w:left w:val="nil"/>
              <w:bottom w:val="nil"/>
              <w:right w:val="nil"/>
            </w:tcBorders>
            <w:shd w:val="clear" w:color="FFFFFF" w:fill="FFFFFF"/>
            <w:noWrap/>
            <w:vAlign w:val="bottom"/>
          </w:tcPr>
          <w:p w14:paraId="1B68BF21" w14:textId="77777777" w:rsidR="00F2518A" w:rsidRPr="007C747A" w:rsidRDefault="00F2518A" w:rsidP="00F2518A">
            <w:pPr>
              <w:spacing w:after="0" w:line="260" w:lineRule="atLeast"/>
              <w:rPr>
                <w:rFonts w:eastAsia="Times New Roman" w:cs="Arial"/>
                <w:sz w:val="18"/>
                <w:szCs w:val="18"/>
                <w:lang w:val="en-AU" w:eastAsia="en-US"/>
              </w:rPr>
            </w:pPr>
          </w:p>
        </w:tc>
        <w:tc>
          <w:tcPr>
            <w:tcW w:w="1243" w:type="dxa"/>
            <w:tcBorders>
              <w:top w:val="nil"/>
              <w:left w:val="nil"/>
              <w:bottom w:val="nil"/>
              <w:right w:val="nil"/>
            </w:tcBorders>
            <w:shd w:val="clear" w:color="FFFFFF" w:fill="FFFFFF"/>
            <w:noWrap/>
            <w:vAlign w:val="bottom"/>
          </w:tcPr>
          <w:p w14:paraId="1C79239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F2518A" w:rsidRPr="007C747A" w14:paraId="12FC93FC" w14:textId="77777777">
        <w:trPr>
          <w:trHeight w:val="255"/>
        </w:trPr>
        <w:tc>
          <w:tcPr>
            <w:tcW w:w="6357" w:type="dxa"/>
            <w:tcBorders>
              <w:top w:val="nil"/>
              <w:left w:val="nil"/>
              <w:bottom w:val="nil"/>
              <w:right w:val="nil"/>
            </w:tcBorders>
            <w:shd w:val="clear" w:color="FFFFFF" w:fill="FFFFFF"/>
            <w:hideMark/>
          </w:tcPr>
          <w:p w14:paraId="1F76C9B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Other</w:t>
            </w:r>
          </w:p>
        </w:tc>
        <w:tc>
          <w:tcPr>
            <w:tcW w:w="1251" w:type="dxa"/>
            <w:tcBorders>
              <w:top w:val="nil"/>
              <w:left w:val="nil"/>
              <w:bottom w:val="nil"/>
              <w:right w:val="nil"/>
            </w:tcBorders>
            <w:shd w:val="clear" w:color="FFFFFF" w:fill="FFFFFF"/>
            <w:noWrap/>
            <w:vAlign w:val="bottom"/>
            <w:hideMark/>
          </w:tcPr>
          <w:p w14:paraId="2B25C76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201</w:t>
            </w:r>
          </w:p>
        </w:tc>
        <w:tc>
          <w:tcPr>
            <w:tcW w:w="236" w:type="dxa"/>
            <w:tcBorders>
              <w:top w:val="nil"/>
              <w:left w:val="nil"/>
              <w:bottom w:val="nil"/>
              <w:right w:val="nil"/>
            </w:tcBorders>
            <w:shd w:val="clear" w:color="FFFFFF" w:fill="FFFFFF"/>
            <w:noWrap/>
            <w:vAlign w:val="bottom"/>
            <w:hideMark/>
          </w:tcPr>
          <w:p w14:paraId="635F844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263353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511</w:t>
            </w:r>
          </w:p>
        </w:tc>
      </w:tr>
      <w:tr w:rsidR="00F2518A" w:rsidRPr="007C747A" w14:paraId="1B09A7FC" w14:textId="77777777">
        <w:trPr>
          <w:trHeight w:val="253"/>
        </w:trPr>
        <w:tc>
          <w:tcPr>
            <w:tcW w:w="6357" w:type="dxa"/>
            <w:tcBorders>
              <w:top w:val="nil"/>
              <w:left w:val="nil"/>
              <w:bottom w:val="nil"/>
              <w:right w:val="nil"/>
            </w:tcBorders>
            <w:shd w:val="clear" w:color="FFFFFF" w:fill="FFFFFF"/>
            <w:vAlign w:val="bottom"/>
            <w:hideMark/>
          </w:tcPr>
          <w:p w14:paraId="7EC5F5B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gains</w:t>
            </w:r>
          </w:p>
        </w:tc>
        <w:tc>
          <w:tcPr>
            <w:tcW w:w="1251" w:type="dxa"/>
            <w:tcBorders>
              <w:top w:val="single" w:sz="4" w:space="0" w:color="auto"/>
              <w:left w:val="nil"/>
              <w:bottom w:val="single" w:sz="4" w:space="0" w:color="auto"/>
              <w:right w:val="nil"/>
            </w:tcBorders>
            <w:shd w:val="clear" w:color="FFFFFF" w:fill="FFFFFF"/>
            <w:noWrap/>
            <w:vAlign w:val="bottom"/>
            <w:hideMark/>
          </w:tcPr>
          <w:p w14:paraId="0B6FB4F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1,198,317</w:t>
            </w:r>
          </w:p>
        </w:tc>
        <w:tc>
          <w:tcPr>
            <w:tcW w:w="236" w:type="dxa"/>
            <w:tcBorders>
              <w:top w:val="nil"/>
              <w:left w:val="nil"/>
              <w:bottom w:val="nil"/>
              <w:right w:val="nil"/>
            </w:tcBorders>
            <w:shd w:val="clear" w:color="FFFFFF" w:fill="FFFFFF"/>
            <w:noWrap/>
            <w:vAlign w:val="bottom"/>
            <w:hideMark/>
          </w:tcPr>
          <w:p w14:paraId="577F032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3EAA018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1,015,002</w:t>
            </w:r>
          </w:p>
        </w:tc>
      </w:tr>
    </w:tbl>
    <w:p w14:paraId="5C7E1F66" w14:textId="77777777" w:rsidR="00F2518A" w:rsidRPr="007C747A" w:rsidRDefault="00F2518A" w:rsidP="00F2518A">
      <w:pPr>
        <w:spacing w:after="0" w:line="260" w:lineRule="atLeast"/>
        <w:ind w:firstLine="426"/>
        <w:rPr>
          <w:rFonts w:eastAsia="Times New Roman" w:cs="Arial"/>
          <w:sz w:val="18"/>
          <w:szCs w:val="18"/>
          <w:vertAlign w:val="superscript"/>
          <w:lang w:val="en-AU" w:eastAsia="en-US"/>
        </w:rPr>
      </w:pPr>
    </w:p>
    <w:p w14:paraId="6D877660" w14:textId="77777777" w:rsidR="00F2518A" w:rsidRPr="007C747A" w:rsidRDefault="00F2518A" w:rsidP="00F2518A">
      <w:pPr>
        <w:spacing w:after="0" w:line="260" w:lineRule="atLeast"/>
        <w:ind w:firstLine="426"/>
        <w:rPr>
          <w:rFonts w:eastAsia="Times New Roman" w:cs="Arial"/>
          <w:sz w:val="18"/>
          <w:szCs w:val="18"/>
          <w:vertAlign w:val="superscript"/>
          <w:lang w:val="en-AU" w:eastAsia="en-US"/>
        </w:rPr>
      </w:pPr>
    </w:p>
    <w:p w14:paraId="00D5376A" w14:textId="77777777"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0EBB9EC6" w14:textId="77777777"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 xml:space="preserve">Contributions in-kind from state and territory governments </w:t>
      </w:r>
    </w:p>
    <w:p w14:paraId="4EC6CD6C" w14:textId="77777777"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Contributions in-kind from state and territory governments are termed volunteer services under Australian Accounting Standards as they are received free of charge. Volunteer services are recognised as own-source income when, and only when, a fair value can be reliably determined, and the services would have been purchased if they had not been contributed. Use of these services is recognised as an expense. Volunteer services are recorded as either revenue or gains depending on their nature.</w:t>
      </w:r>
    </w:p>
    <w:p w14:paraId="3BC3961E" w14:textId="77777777"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Prior to the commencement of the Scheme, each state and territory government had committed to provide (directly or by engaging service providers) agreed items such as disability services, health services, family support, education, employment, transport and/or housing to people with a disability. The on-going provision of these agreed services on behalf of the Agency is regarded as an in-kind contribution under Australian Accounting Standards and is accounted for as income from the contribution of services at the date when the services are provided. The fair value of these contributions is the unit cost provided by the jurisdiction which is based on the value the jurisdiction has paid under its funding arrangements with the provider.</w:t>
      </w:r>
    </w:p>
    <w:p w14:paraId="2C730231" w14:textId="77777777" w:rsidR="001C5664" w:rsidRPr="007C747A" w:rsidRDefault="001C5664"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
          <w:bCs/>
          <w:sz w:val="18"/>
          <w:szCs w:val="18"/>
          <w:lang w:val="en-AU" w:eastAsia="en-US"/>
        </w:rPr>
      </w:pPr>
    </w:p>
    <w:p w14:paraId="70A35540" w14:textId="77777777" w:rsidR="00664A5D" w:rsidRPr="007C747A" w:rsidRDefault="00664A5D"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
          <w:bCs/>
          <w:sz w:val="18"/>
          <w:szCs w:val="18"/>
          <w:lang w:val="en-AU" w:eastAsia="en-US"/>
        </w:rPr>
      </w:pPr>
    </w:p>
    <w:p w14:paraId="2AF6A9C1" w14:textId="1F508FA4"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Key judgements and estimates</w:t>
      </w:r>
    </w:p>
    <w:p w14:paraId="53DB16DF" w14:textId="77777777"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Contributions in-kind from state and territory governments</w:t>
      </w:r>
    </w:p>
    <w:p w14:paraId="170946FA" w14:textId="77777777" w:rsidR="00F2518A" w:rsidRPr="007C747A" w:rsidRDefault="00F2518A" w:rsidP="00F2518A">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Agency records income in relation to non-cash or in-kind contributions from state and territory governments at the time when the services are provided to participants. In some cases, the Agency may not have been formally notified that the state or territory government has provided or funded a contribution to a participant. In this circumstance, the Agency makes an estimate of the amount of in-kind contributions provided to participants during the period but not yet notified to the Agency. These estimates are based on the latest available evidence of in-kind supports provided to participants by the state and territory governments.</w:t>
      </w:r>
    </w:p>
    <w:p w14:paraId="59F48FC1"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163BBC0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iCs/>
          <w:sz w:val="18"/>
          <w:szCs w:val="18"/>
          <w:u w:val="single"/>
          <w:lang w:val="en-AU" w:eastAsia="en-US"/>
        </w:rPr>
      </w:pPr>
      <w:r w:rsidRPr="007C747A">
        <w:rPr>
          <w:rFonts w:eastAsia="Times New Roman" w:cs="Arial"/>
          <w:bCs/>
          <w:i/>
          <w:iCs/>
          <w:sz w:val="18"/>
          <w:szCs w:val="18"/>
          <w:u w:val="single"/>
          <w:lang w:val="en-AU" w:eastAsia="en-US"/>
        </w:rPr>
        <w:t xml:space="preserve">Revenue from Government </w:t>
      </w:r>
    </w:p>
    <w:p w14:paraId="0CA91503"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val="en-AU" w:eastAsia="en-US"/>
        </w:rPr>
      </w:pPr>
      <w:r w:rsidRPr="007C747A">
        <w:rPr>
          <w:rFonts w:eastAsia="Times New Roman" w:cs="Arial"/>
          <w:bCs/>
          <w:iCs/>
          <w:sz w:val="18"/>
          <w:szCs w:val="18"/>
          <w:lang w:val="en-AU" w:eastAsia="en-US"/>
        </w:rPr>
        <w:t xml:space="preserve">Funding received from DSS (received by the Agency as a corporate Commonwealth entity payment item) is recognised as Revenue from Government unless the funding is in the nature of an equity injection or a loan. </w:t>
      </w:r>
    </w:p>
    <w:p w14:paraId="4D97DDF8"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val="en-AU" w:eastAsia="en-US"/>
        </w:rPr>
      </w:pPr>
      <w:r w:rsidRPr="007C747A">
        <w:rPr>
          <w:rFonts w:eastAsia="Times New Roman" w:cs="Arial"/>
          <w:bCs/>
          <w:iCs/>
          <w:sz w:val="18"/>
          <w:szCs w:val="18"/>
          <w:lang w:val="en-AU" w:eastAsia="en-US"/>
        </w:rPr>
        <w:t>Revenue from Government should be read in conjunction with the Statement of Comprehensive Income Budget Variances Commentary.</w:t>
      </w:r>
    </w:p>
    <w:p w14:paraId="562B50AE" w14:textId="77777777" w:rsidR="00F2518A" w:rsidRPr="007C747A" w:rsidRDefault="00F2518A" w:rsidP="00F2518A">
      <w:pPr>
        <w:spacing w:after="0" w:line="240" w:lineRule="auto"/>
        <w:rPr>
          <w:rFonts w:ascii="Times New Roman" w:eastAsia="Times New Roman" w:hAnsi="Times New Roman"/>
          <w:sz w:val="22"/>
          <w:szCs w:val="20"/>
          <w:lang w:val="en-AU" w:eastAsia="en-US"/>
        </w:rPr>
      </w:pPr>
      <w:r w:rsidRPr="007C747A">
        <w:rPr>
          <w:rFonts w:ascii="Times New Roman" w:eastAsia="Times New Roman" w:hAnsi="Times New Roman"/>
          <w:sz w:val="22"/>
          <w:szCs w:val="20"/>
          <w:lang w:val="en-AU" w:eastAsia="en-US"/>
        </w:rPr>
        <w:br w:type="page"/>
      </w:r>
    </w:p>
    <w:p w14:paraId="56C2F807" w14:textId="77777777" w:rsidR="00F2518A" w:rsidRPr="007C747A" w:rsidRDefault="00F2518A" w:rsidP="007E4E69">
      <w:pPr>
        <w:pStyle w:val="SectionHeading"/>
        <w:outlineLvl w:val="2"/>
      </w:pPr>
      <w:bookmarkStart w:id="237" w:name="_Toc65742846"/>
      <w:bookmarkStart w:id="238" w:name="_Toc145583273"/>
      <w:bookmarkStart w:id="239" w:name="_Toc145949753"/>
      <w:bookmarkStart w:id="240" w:name="_Toc146022835"/>
      <w:bookmarkStart w:id="241" w:name="_Toc146191216"/>
      <w:bookmarkStart w:id="242" w:name="_Toc146195316"/>
      <w:bookmarkStart w:id="243" w:name="_Toc146200285"/>
      <w:bookmarkStart w:id="244" w:name="_Toc146203440"/>
      <w:bookmarkStart w:id="245" w:name="_Toc146289446"/>
      <w:bookmarkStart w:id="246" w:name="_Toc146538797"/>
      <w:bookmarkStart w:id="247" w:name="_Toc146545534"/>
      <w:bookmarkStart w:id="248" w:name="_Toc147769232"/>
      <w:bookmarkStart w:id="249" w:name="_Toc147834879"/>
      <w:bookmarkStart w:id="250" w:name="_Toc147992020"/>
      <w:bookmarkStart w:id="251" w:name="_Toc148020781"/>
      <w:bookmarkStart w:id="252" w:name="_Toc148108400"/>
      <w:r w:rsidRPr="007C747A">
        <w:t>Financial Position</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14:paraId="10B21610" w14:textId="77777777" w:rsidR="00F2518A" w:rsidRPr="007C747A" w:rsidRDefault="00F2518A" w:rsidP="00F2518A">
      <w:pPr>
        <w:shd w:val="clear" w:color="00CC99" w:fill="800080"/>
        <w:spacing w:after="0" w:line="260" w:lineRule="atLeast"/>
        <w:rPr>
          <w:rFonts w:eastAsia="Times New Roman"/>
          <w:color w:val="FFFFFF"/>
          <w:sz w:val="18"/>
          <w:szCs w:val="18"/>
          <w:lang w:val="en-AU" w:eastAsia="en-US"/>
        </w:rPr>
      </w:pPr>
      <w:r w:rsidRPr="007C747A">
        <w:rPr>
          <w:rFonts w:eastAsia="Times New Roman"/>
          <w:color w:val="FFFFFF"/>
          <w:sz w:val="18"/>
          <w:szCs w:val="18"/>
          <w:lang w:val="en-AU" w:eastAsia="en-US"/>
        </w:rPr>
        <w:t>This section analyses the Agency’s assets used to conduct its operations and the operating liabilities incurred as a result.</w:t>
      </w:r>
    </w:p>
    <w:p w14:paraId="1B051E69" w14:textId="77777777" w:rsidR="00F2518A" w:rsidRPr="007C747A" w:rsidRDefault="00F2518A" w:rsidP="00F2518A">
      <w:pPr>
        <w:shd w:val="clear" w:color="00CC99" w:fill="800080"/>
        <w:spacing w:after="0" w:line="260" w:lineRule="atLeast"/>
        <w:rPr>
          <w:rFonts w:eastAsia="Times New Roman"/>
          <w:color w:val="FFFFFF"/>
          <w:sz w:val="18"/>
          <w:szCs w:val="18"/>
          <w:lang w:val="en-AU" w:eastAsia="en-US"/>
        </w:rPr>
      </w:pPr>
      <w:r w:rsidRPr="007C747A">
        <w:rPr>
          <w:rFonts w:eastAsia="Times New Roman"/>
          <w:color w:val="FFFFFF"/>
          <w:sz w:val="18"/>
          <w:szCs w:val="18"/>
          <w:lang w:val="en-AU" w:eastAsia="en-US"/>
        </w:rPr>
        <w:t xml:space="preserve">Buildings and plant and equipment, other than right-of-use buildings and vehicles, are carried at fair value in accordance with AASB 13 </w:t>
      </w:r>
      <w:r w:rsidRPr="007C747A">
        <w:rPr>
          <w:rFonts w:eastAsia="Times New Roman"/>
          <w:i/>
          <w:color w:val="FFFFFF"/>
          <w:sz w:val="18"/>
          <w:szCs w:val="18"/>
          <w:lang w:val="en-AU" w:eastAsia="en-US"/>
        </w:rPr>
        <w:t>Fair Value Measurement.</w:t>
      </w:r>
      <w:r w:rsidRPr="007C747A">
        <w:rPr>
          <w:rFonts w:eastAsia="Times New Roman"/>
          <w:color w:val="FFFFFF"/>
          <w:sz w:val="18"/>
          <w:szCs w:val="18"/>
          <w:lang w:val="en-AU" w:eastAsia="en-US"/>
        </w:rPr>
        <w:t xml:space="preserve"> The remaining assets and liabilities disclosed in the statement of financial position do not apply the fair value hierarchy.</w:t>
      </w:r>
    </w:p>
    <w:p w14:paraId="2E6C5745" w14:textId="77777777" w:rsidR="00F2518A" w:rsidRPr="007C747A" w:rsidRDefault="00F2518A" w:rsidP="00F2518A">
      <w:pPr>
        <w:shd w:val="clear" w:color="00CC99" w:fill="800080"/>
        <w:spacing w:after="0" w:line="260" w:lineRule="atLeast"/>
        <w:rPr>
          <w:rFonts w:eastAsia="Times New Roman"/>
          <w:color w:val="FFFFFF"/>
          <w:sz w:val="18"/>
          <w:szCs w:val="18"/>
          <w:lang w:val="en-AU" w:eastAsia="en-US"/>
        </w:rPr>
      </w:pPr>
    </w:p>
    <w:p w14:paraId="0D5CC398" w14:textId="77777777" w:rsidR="00F2518A" w:rsidRPr="007C747A" w:rsidRDefault="00F2518A" w:rsidP="00F2518A">
      <w:pPr>
        <w:shd w:val="clear" w:color="00CC99" w:fill="800080"/>
        <w:spacing w:after="0" w:line="260" w:lineRule="atLeast"/>
        <w:rPr>
          <w:rFonts w:eastAsia="Times New Roman"/>
          <w:color w:val="FFFFFF"/>
          <w:sz w:val="18"/>
          <w:szCs w:val="18"/>
          <w:lang w:val="en-AU" w:eastAsia="en-US"/>
        </w:rPr>
      </w:pPr>
      <w:r w:rsidRPr="007C747A">
        <w:rPr>
          <w:rFonts w:eastAsia="Times New Roman"/>
          <w:color w:val="FFFFFF"/>
          <w:sz w:val="18"/>
          <w:szCs w:val="18"/>
          <w:lang w:val="en-AU" w:eastAsia="en-US"/>
        </w:rPr>
        <w:t>Employee related information is disclosed in Section 3. People and Relationships.</w:t>
      </w:r>
    </w:p>
    <w:p w14:paraId="3AC8434F" w14:textId="280633DA" w:rsidR="00F2518A" w:rsidRPr="007C747A" w:rsidRDefault="003412DE" w:rsidP="007E4E69">
      <w:pPr>
        <w:pStyle w:val="SubHeading"/>
        <w:numPr>
          <w:ilvl w:val="0"/>
          <w:numId w:val="0"/>
        </w:numPr>
        <w:outlineLvl w:val="3"/>
      </w:pPr>
      <w:bookmarkStart w:id="253" w:name="_Toc65742847"/>
      <w:bookmarkStart w:id="254" w:name="_Toc145583274"/>
      <w:bookmarkStart w:id="255" w:name="_Toc145949754"/>
      <w:bookmarkStart w:id="256" w:name="_Toc146022836"/>
      <w:bookmarkStart w:id="257" w:name="_Toc146191217"/>
      <w:bookmarkStart w:id="258" w:name="_Toc146195317"/>
      <w:bookmarkStart w:id="259" w:name="_Toc146200286"/>
      <w:bookmarkStart w:id="260" w:name="_Toc146203441"/>
      <w:bookmarkStart w:id="261" w:name="_Toc146538798"/>
      <w:bookmarkStart w:id="262" w:name="_Toc146545535"/>
      <w:bookmarkStart w:id="263" w:name="_Toc147769233"/>
      <w:bookmarkStart w:id="264" w:name="_Toc147834880"/>
      <w:bookmarkStart w:id="265" w:name="_Toc147992021"/>
      <w:bookmarkStart w:id="266" w:name="_Toc148020782"/>
      <w:bookmarkStart w:id="267" w:name="_Toc148108401"/>
      <w:r w:rsidRPr="007C747A">
        <w:t>2.1</w:t>
      </w:r>
      <w:r w:rsidR="00CF10B7" w:rsidRPr="007C747A">
        <w:tab/>
      </w:r>
      <w:r w:rsidR="00F2518A" w:rsidRPr="007C747A">
        <w:t>Financial Assets</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tbl>
      <w:tblPr>
        <w:tblW w:w="9087" w:type="dxa"/>
        <w:tblLayout w:type="fixed"/>
        <w:tblLook w:val="04A0" w:firstRow="1" w:lastRow="0" w:firstColumn="1" w:lastColumn="0" w:noHBand="0" w:noVBand="1"/>
      </w:tblPr>
      <w:tblGrid>
        <w:gridCol w:w="6357"/>
        <w:gridCol w:w="1251"/>
        <w:gridCol w:w="236"/>
        <w:gridCol w:w="1243"/>
      </w:tblGrid>
      <w:tr w:rsidR="00F2518A" w:rsidRPr="007C747A" w14:paraId="511820C2" w14:textId="77777777">
        <w:trPr>
          <w:trHeight w:val="250"/>
        </w:trPr>
        <w:tc>
          <w:tcPr>
            <w:tcW w:w="6357" w:type="dxa"/>
            <w:tcBorders>
              <w:top w:val="nil"/>
              <w:left w:val="nil"/>
              <w:bottom w:val="nil"/>
              <w:right w:val="nil"/>
            </w:tcBorders>
            <w:shd w:val="clear" w:color="FFFFFF" w:fill="FFFFFF"/>
            <w:noWrap/>
            <w:vAlign w:val="bottom"/>
            <w:hideMark/>
          </w:tcPr>
          <w:p w14:paraId="2FCB042B" w14:textId="77777777" w:rsidR="00F2518A" w:rsidRPr="007C747A" w:rsidRDefault="00F2518A" w:rsidP="00F2518A">
            <w:pPr>
              <w:spacing w:after="0" w:line="260" w:lineRule="atLeast"/>
              <w:rPr>
                <w:rFonts w:eastAsia="Times New Roman" w:cs="Arial"/>
                <w:sz w:val="18"/>
                <w:szCs w:val="18"/>
                <w:lang w:val="en-AU" w:eastAsia="en-US"/>
              </w:rPr>
            </w:pPr>
            <w:bookmarkStart w:id="268" w:name="Note_CSHTABLE1" w:colFirst="0" w:colLast="0"/>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noWrap/>
            <w:vAlign w:val="bottom"/>
            <w:hideMark/>
          </w:tcPr>
          <w:p w14:paraId="1A6BB0A0" w14:textId="001CC548"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00486335" w:rsidRPr="007C747A">
              <w:rPr>
                <w:rFonts w:eastAsia="Times New Roman" w:cs="Arial"/>
                <w:b/>
                <w:bCs/>
                <w:sz w:val="18"/>
                <w:szCs w:val="18"/>
                <w:lang w:val="en-AU" w:eastAsia="en-US"/>
              </w:rPr>
              <w:br/>
              <w:t>$'000</w:t>
            </w:r>
          </w:p>
        </w:tc>
        <w:tc>
          <w:tcPr>
            <w:tcW w:w="236" w:type="dxa"/>
            <w:tcBorders>
              <w:top w:val="nil"/>
              <w:left w:val="nil"/>
              <w:bottom w:val="nil"/>
              <w:right w:val="nil"/>
            </w:tcBorders>
            <w:shd w:val="clear" w:color="FFFFFF" w:fill="FFFFFF"/>
            <w:noWrap/>
            <w:vAlign w:val="bottom"/>
            <w:hideMark/>
          </w:tcPr>
          <w:p w14:paraId="3063BD2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D5C182B" w14:textId="41DAC9D2"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00486335" w:rsidRPr="007C747A">
              <w:rPr>
                <w:rFonts w:eastAsia="Times New Roman" w:cs="Arial"/>
                <w:sz w:val="18"/>
                <w:szCs w:val="18"/>
                <w:lang w:val="en-AU" w:eastAsia="en-US"/>
              </w:rPr>
              <w:br/>
              <w:t>$'000</w:t>
            </w:r>
          </w:p>
        </w:tc>
      </w:tr>
      <w:bookmarkEnd w:id="268"/>
      <w:tr w:rsidR="00F2518A" w:rsidRPr="007C747A" w14:paraId="6840AC7A" w14:textId="77777777">
        <w:trPr>
          <w:trHeight w:val="260"/>
        </w:trPr>
        <w:tc>
          <w:tcPr>
            <w:tcW w:w="6357" w:type="dxa"/>
            <w:tcBorders>
              <w:top w:val="nil"/>
              <w:left w:val="nil"/>
              <w:bottom w:val="nil"/>
              <w:right w:val="nil"/>
            </w:tcBorders>
            <w:shd w:val="clear" w:color="FFFFFF" w:fill="FFFFFF"/>
            <w:noWrap/>
            <w:vAlign w:val="bottom"/>
            <w:hideMark/>
          </w:tcPr>
          <w:p w14:paraId="7BC740F9"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2.1A: Cash and cash equivalents</w:t>
            </w:r>
          </w:p>
        </w:tc>
        <w:tc>
          <w:tcPr>
            <w:tcW w:w="1251" w:type="dxa"/>
            <w:tcBorders>
              <w:top w:val="nil"/>
              <w:left w:val="nil"/>
              <w:bottom w:val="nil"/>
              <w:right w:val="nil"/>
            </w:tcBorders>
            <w:shd w:val="clear" w:color="FFFFFF" w:fill="FFFFFF"/>
            <w:noWrap/>
            <w:vAlign w:val="bottom"/>
            <w:hideMark/>
          </w:tcPr>
          <w:p w14:paraId="26147D5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B18D68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2EA0EA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EBD9A0B" w14:textId="77777777">
        <w:trPr>
          <w:trHeight w:val="250"/>
        </w:trPr>
        <w:tc>
          <w:tcPr>
            <w:tcW w:w="6357" w:type="dxa"/>
            <w:tcBorders>
              <w:top w:val="nil"/>
              <w:left w:val="nil"/>
              <w:bottom w:val="nil"/>
              <w:right w:val="nil"/>
            </w:tcBorders>
            <w:shd w:val="clear" w:color="FFFFFF" w:fill="FFFFFF"/>
            <w:vAlign w:val="bottom"/>
            <w:hideMark/>
          </w:tcPr>
          <w:p w14:paraId="1425AAA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Cash on hand</w:t>
            </w:r>
          </w:p>
        </w:tc>
        <w:tc>
          <w:tcPr>
            <w:tcW w:w="1251" w:type="dxa"/>
            <w:tcBorders>
              <w:top w:val="nil"/>
              <w:left w:val="nil"/>
              <w:bottom w:val="nil"/>
              <w:right w:val="nil"/>
            </w:tcBorders>
            <w:shd w:val="clear" w:color="FFFFFF" w:fill="FFFFFF"/>
            <w:noWrap/>
            <w:vAlign w:val="bottom"/>
            <w:hideMark/>
          </w:tcPr>
          <w:p w14:paraId="04117DF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2,729,779</w:t>
            </w:r>
          </w:p>
        </w:tc>
        <w:tc>
          <w:tcPr>
            <w:tcW w:w="236" w:type="dxa"/>
            <w:tcBorders>
              <w:top w:val="nil"/>
              <w:left w:val="nil"/>
              <w:bottom w:val="nil"/>
              <w:right w:val="nil"/>
            </w:tcBorders>
            <w:shd w:val="clear" w:color="FFFFFF" w:fill="FFFFFF"/>
            <w:noWrap/>
            <w:vAlign w:val="bottom"/>
            <w:hideMark/>
          </w:tcPr>
          <w:p w14:paraId="2E1A8C1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4B7DA8B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1,868,956</w:t>
            </w:r>
          </w:p>
        </w:tc>
      </w:tr>
      <w:tr w:rsidR="00F2518A" w:rsidRPr="007C747A" w14:paraId="01B1DE07" w14:textId="77777777">
        <w:trPr>
          <w:trHeight w:val="250"/>
        </w:trPr>
        <w:tc>
          <w:tcPr>
            <w:tcW w:w="6357" w:type="dxa"/>
            <w:tcBorders>
              <w:top w:val="nil"/>
              <w:left w:val="nil"/>
              <w:bottom w:val="nil"/>
              <w:right w:val="nil"/>
            </w:tcBorders>
            <w:shd w:val="clear" w:color="FFFFFF" w:fill="FFFFFF"/>
            <w:vAlign w:val="bottom"/>
            <w:hideMark/>
          </w:tcPr>
          <w:p w14:paraId="3ACB689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Term deposits</w:t>
            </w:r>
          </w:p>
        </w:tc>
        <w:tc>
          <w:tcPr>
            <w:tcW w:w="1251" w:type="dxa"/>
            <w:tcBorders>
              <w:top w:val="nil"/>
              <w:left w:val="nil"/>
              <w:bottom w:val="nil"/>
              <w:right w:val="nil"/>
            </w:tcBorders>
            <w:shd w:val="clear" w:color="FFFFFF" w:fill="FFFFFF"/>
            <w:noWrap/>
            <w:vAlign w:val="bottom"/>
            <w:hideMark/>
          </w:tcPr>
          <w:p w14:paraId="2879605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53710B5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2CD1BD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50,000</w:t>
            </w:r>
          </w:p>
        </w:tc>
      </w:tr>
      <w:tr w:rsidR="00F2518A" w:rsidRPr="007C747A" w14:paraId="1D93B821" w14:textId="77777777">
        <w:trPr>
          <w:trHeight w:val="250"/>
        </w:trPr>
        <w:tc>
          <w:tcPr>
            <w:tcW w:w="6357" w:type="dxa"/>
            <w:tcBorders>
              <w:top w:val="nil"/>
              <w:left w:val="nil"/>
              <w:bottom w:val="nil"/>
              <w:right w:val="nil"/>
            </w:tcBorders>
            <w:shd w:val="clear" w:color="FFFFFF" w:fill="FFFFFF"/>
            <w:vAlign w:val="bottom"/>
            <w:hideMark/>
          </w:tcPr>
          <w:p w14:paraId="1F9F5AA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cash and cash equivalents</w:t>
            </w:r>
          </w:p>
        </w:tc>
        <w:tc>
          <w:tcPr>
            <w:tcW w:w="1251" w:type="dxa"/>
            <w:tcBorders>
              <w:top w:val="single" w:sz="4" w:space="0" w:color="auto"/>
              <w:left w:val="nil"/>
              <w:bottom w:val="single" w:sz="4" w:space="0" w:color="auto"/>
              <w:right w:val="nil"/>
            </w:tcBorders>
            <w:shd w:val="clear" w:color="FFFFFF" w:fill="FFFFFF"/>
            <w:noWrap/>
            <w:vAlign w:val="bottom"/>
            <w:hideMark/>
          </w:tcPr>
          <w:p w14:paraId="3F64B32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2,729,779</w:t>
            </w:r>
          </w:p>
        </w:tc>
        <w:tc>
          <w:tcPr>
            <w:tcW w:w="236" w:type="dxa"/>
            <w:tcBorders>
              <w:top w:val="nil"/>
              <w:left w:val="nil"/>
              <w:bottom w:val="nil"/>
              <w:right w:val="nil"/>
            </w:tcBorders>
            <w:shd w:val="clear" w:color="FFFFFF" w:fill="FFFFFF"/>
            <w:noWrap/>
            <w:vAlign w:val="bottom"/>
            <w:hideMark/>
          </w:tcPr>
          <w:p w14:paraId="15398F6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C3FFB2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1,918,956</w:t>
            </w:r>
          </w:p>
        </w:tc>
      </w:tr>
    </w:tbl>
    <w:p w14:paraId="470B881B" w14:textId="77777777" w:rsidR="00F2518A" w:rsidRPr="007C747A" w:rsidRDefault="00F2518A" w:rsidP="00F2518A">
      <w:pPr>
        <w:spacing w:after="0" w:line="260" w:lineRule="atLeast"/>
        <w:rPr>
          <w:rFonts w:ascii="Times New Roman" w:eastAsia="Times New Roman" w:hAnsi="Times New Roman"/>
          <w:sz w:val="22"/>
          <w:szCs w:val="20"/>
          <w:lang w:val="en-AU" w:eastAsia="en-US"/>
        </w:rPr>
      </w:pPr>
    </w:p>
    <w:p w14:paraId="20713D8A"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lang w:val="en-AU" w:eastAsia="en-US"/>
        </w:rPr>
      </w:pPr>
      <w:r w:rsidRPr="007C747A">
        <w:rPr>
          <w:rFonts w:eastAsia="Times New Roman" w:cs="Arial"/>
          <w:b/>
          <w:bCs/>
          <w:sz w:val="18"/>
          <w:szCs w:val="18"/>
          <w:lang w:val="en-AU" w:eastAsia="en-US"/>
        </w:rPr>
        <w:t>Accounting Policy</w:t>
      </w:r>
    </w:p>
    <w:p w14:paraId="3352A6C8"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Cash is recognised at its nominal amount. This includes cash on hand and term deposits in bank accounts with an original maturity of three months or less that are readily convertible to cash and subject to insignificant risk of changes in value. Term deposits with an original maturity greater than three months are included in Note 2.1C.</w:t>
      </w: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26CB1C40" w14:textId="77777777">
        <w:trPr>
          <w:trHeight w:val="260"/>
        </w:trPr>
        <w:tc>
          <w:tcPr>
            <w:tcW w:w="6357" w:type="dxa"/>
            <w:tcBorders>
              <w:top w:val="nil"/>
              <w:left w:val="nil"/>
              <w:bottom w:val="nil"/>
              <w:right w:val="nil"/>
            </w:tcBorders>
            <w:shd w:val="clear" w:color="FFFFFF" w:fill="FFFFFF"/>
            <w:noWrap/>
            <w:vAlign w:val="bottom"/>
            <w:hideMark/>
          </w:tcPr>
          <w:p w14:paraId="04D523B9"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69" w:name="Note_RECTABLE1" w:colFirst="0" w:colLast="0"/>
            <w:r w:rsidRPr="007C747A">
              <w:rPr>
                <w:rFonts w:eastAsia="Times New Roman" w:cs="Arial"/>
                <w:b/>
                <w:bCs/>
                <w:sz w:val="18"/>
                <w:szCs w:val="18"/>
                <w:u w:val="single"/>
                <w:lang w:val="en-AU" w:eastAsia="en-US"/>
              </w:rPr>
              <w:t>Note 2.1B: Trade and other receivables</w:t>
            </w:r>
          </w:p>
        </w:tc>
        <w:tc>
          <w:tcPr>
            <w:tcW w:w="1251" w:type="dxa"/>
            <w:tcBorders>
              <w:top w:val="nil"/>
              <w:left w:val="nil"/>
              <w:bottom w:val="nil"/>
              <w:right w:val="nil"/>
            </w:tcBorders>
            <w:shd w:val="clear" w:color="FFFFFF" w:fill="FFFFFF"/>
            <w:noWrap/>
            <w:vAlign w:val="bottom"/>
            <w:hideMark/>
          </w:tcPr>
          <w:p w14:paraId="7FC8143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9BD9CE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A388EC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269"/>
      <w:tr w:rsidR="00F2518A" w:rsidRPr="007C747A" w14:paraId="271AF322" w14:textId="77777777">
        <w:trPr>
          <w:trHeight w:val="260"/>
        </w:trPr>
        <w:tc>
          <w:tcPr>
            <w:tcW w:w="6357" w:type="dxa"/>
            <w:tcBorders>
              <w:top w:val="nil"/>
              <w:left w:val="nil"/>
              <w:bottom w:val="nil"/>
              <w:right w:val="nil"/>
            </w:tcBorders>
            <w:shd w:val="clear" w:color="FFFFFF" w:fill="FFFFFF"/>
            <w:vAlign w:val="bottom"/>
            <w:hideMark/>
          </w:tcPr>
          <w:p w14:paraId="59078B8E"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Goods and services receivables</w:t>
            </w:r>
          </w:p>
        </w:tc>
        <w:tc>
          <w:tcPr>
            <w:tcW w:w="1251" w:type="dxa"/>
            <w:tcBorders>
              <w:top w:val="nil"/>
              <w:left w:val="nil"/>
              <w:bottom w:val="nil"/>
              <w:right w:val="nil"/>
            </w:tcBorders>
            <w:shd w:val="clear" w:color="FFFFFF" w:fill="FFFFFF"/>
            <w:noWrap/>
            <w:vAlign w:val="bottom"/>
            <w:hideMark/>
          </w:tcPr>
          <w:p w14:paraId="1181AB4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3695148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040F59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5758968" w14:textId="77777777">
        <w:trPr>
          <w:trHeight w:val="268"/>
        </w:trPr>
        <w:tc>
          <w:tcPr>
            <w:tcW w:w="6357" w:type="dxa"/>
            <w:tcBorders>
              <w:top w:val="nil"/>
              <w:left w:val="nil"/>
              <w:bottom w:val="nil"/>
              <w:right w:val="nil"/>
            </w:tcBorders>
            <w:shd w:val="clear" w:color="FFFFFF" w:fill="FFFFFF"/>
            <w:noWrap/>
            <w:vAlign w:val="bottom"/>
            <w:hideMark/>
          </w:tcPr>
          <w:p w14:paraId="4FEE1F31"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Goods and services receivables</w:t>
            </w:r>
          </w:p>
        </w:tc>
        <w:tc>
          <w:tcPr>
            <w:tcW w:w="1251" w:type="dxa"/>
            <w:tcBorders>
              <w:top w:val="nil"/>
              <w:left w:val="nil"/>
              <w:bottom w:val="single" w:sz="4" w:space="0" w:color="auto"/>
              <w:right w:val="nil"/>
            </w:tcBorders>
            <w:shd w:val="clear" w:color="FFFFFF" w:fill="FFFFFF"/>
            <w:noWrap/>
            <w:vAlign w:val="bottom"/>
            <w:hideMark/>
          </w:tcPr>
          <w:p w14:paraId="7D2F6B5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76,734</w:t>
            </w:r>
          </w:p>
        </w:tc>
        <w:tc>
          <w:tcPr>
            <w:tcW w:w="236" w:type="dxa"/>
            <w:tcBorders>
              <w:top w:val="nil"/>
              <w:left w:val="nil"/>
              <w:bottom w:val="nil"/>
              <w:right w:val="nil"/>
            </w:tcBorders>
            <w:shd w:val="clear" w:color="FFFFFF" w:fill="FFFFFF"/>
            <w:noWrap/>
            <w:vAlign w:val="bottom"/>
            <w:hideMark/>
          </w:tcPr>
          <w:p w14:paraId="1F36194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single" w:sz="4" w:space="0" w:color="auto"/>
              <w:right w:val="nil"/>
            </w:tcBorders>
            <w:shd w:val="clear" w:color="FFFFFF" w:fill="FFFFFF"/>
            <w:noWrap/>
            <w:vAlign w:val="bottom"/>
            <w:hideMark/>
          </w:tcPr>
          <w:p w14:paraId="7974EB5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70,088</w:t>
            </w:r>
          </w:p>
        </w:tc>
      </w:tr>
      <w:tr w:rsidR="00F2518A" w:rsidRPr="007C747A" w14:paraId="52C03F8D" w14:textId="77777777">
        <w:trPr>
          <w:trHeight w:val="268"/>
        </w:trPr>
        <w:tc>
          <w:tcPr>
            <w:tcW w:w="6357" w:type="dxa"/>
            <w:tcBorders>
              <w:top w:val="nil"/>
              <w:left w:val="nil"/>
              <w:bottom w:val="nil"/>
              <w:right w:val="nil"/>
            </w:tcBorders>
            <w:shd w:val="clear" w:color="FFFFFF" w:fill="FFFFFF"/>
            <w:vAlign w:val="bottom"/>
            <w:hideMark/>
          </w:tcPr>
          <w:p w14:paraId="592506C3"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goods and services receivables</w:t>
            </w:r>
          </w:p>
        </w:tc>
        <w:tc>
          <w:tcPr>
            <w:tcW w:w="1251" w:type="dxa"/>
            <w:tcBorders>
              <w:top w:val="single" w:sz="4" w:space="0" w:color="auto"/>
              <w:left w:val="nil"/>
              <w:bottom w:val="single" w:sz="4" w:space="0" w:color="auto"/>
              <w:right w:val="nil"/>
            </w:tcBorders>
            <w:shd w:val="clear" w:color="FFFFFF" w:fill="FFFFFF"/>
            <w:noWrap/>
            <w:vAlign w:val="bottom"/>
            <w:hideMark/>
          </w:tcPr>
          <w:p w14:paraId="7C81589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76,734</w:t>
            </w:r>
          </w:p>
        </w:tc>
        <w:tc>
          <w:tcPr>
            <w:tcW w:w="236" w:type="dxa"/>
            <w:tcBorders>
              <w:top w:val="nil"/>
              <w:left w:val="nil"/>
              <w:bottom w:val="nil"/>
              <w:right w:val="nil"/>
            </w:tcBorders>
            <w:shd w:val="clear" w:color="FFFFFF" w:fill="FFFFFF"/>
            <w:noWrap/>
            <w:vAlign w:val="bottom"/>
            <w:hideMark/>
          </w:tcPr>
          <w:p w14:paraId="09301BA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15A0BEB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70,088</w:t>
            </w:r>
          </w:p>
        </w:tc>
      </w:tr>
      <w:tr w:rsidR="00F2518A" w:rsidRPr="007C747A" w14:paraId="2F3F3B64" w14:textId="77777777">
        <w:trPr>
          <w:trHeight w:val="250"/>
        </w:trPr>
        <w:tc>
          <w:tcPr>
            <w:tcW w:w="6357" w:type="dxa"/>
            <w:tcBorders>
              <w:top w:val="nil"/>
              <w:left w:val="nil"/>
              <w:bottom w:val="nil"/>
              <w:right w:val="nil"/>
            </w:tcBorders>
            <w:shd w:val="clear" w:color="FFFFFF" w:fill="FFFFFF"/>
            <w:vAlign w:val="bottom"/>
            <w:hideMark/>
          </w:tcPr>
          <w:p w14:paraId="3452E75B"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Other receivables</w:t>
            </w:r>
          </w:p>
        </w:tc>
        <w:tc>
          <w:tcPr>
            <w:tcW w:w="1251" w:type="dxa"/>
            <w:tcBorders>
              <w:top w:val="nil"/>
              <w:left w:val="nil"/>
              <w:bottom w:val="nil"/>
              <w:right w:val="nil"/>
            </w:tcBorders>
            <w:shd w:val="clear" w:color="FFFFFF" w:fill="FFFFFF"/>
            <w:noWrap/>
            <w:vAlign w:val="bottom"/>
            <w:hideMark/>
          </w:tcPr>
          <w:p w14:paraId="6B824D7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0E201E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96EEB2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B6B9C6B" w14:textId="77777777">
        <w:trPr>
          <w:trHeight w:val="253"/>
        </w:trPr>
        <w:tc>
          <w:tcPr>
            <w:tcW w:w="6357" w:type="dxa"/>
            <w:tcBorders>
              <w:top w:val="nil"/>
              <w:left w:val="nil"/>
              <w:bottom w:val="nil"/>
              <w:right w:val="nil"/>
            </w:tcBorders>
            <w:shd w:val="clear" w:color="FFFFFF" w:fill="FFFFFF"/>
            <w:noWrap/>
            <w:vAlign w:val="bottom"/>
            <w:hideMark/>
          </w:tcPr>
          <w:p w14:paraId="27D627A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GST receivable from the Australian Taxation Office</w:t>
            </w:r>
          </w:p>
        </w:tc>
        <w:tc>
          <w:tcPr>
            <w:tcW w:w="1251" w:type="dxa"/>
            <w:tcBorders>
              <w:top w:val="nil"/>
              <w:left w:val="nil"/>
              <w:bottom w:val="nil"/>
              <w:right w:val="nil"/>
            </w:tcBorders>
            <w:shd w:val="clear" w:color="FFFFFF" w:fill="FFFFFF"/>
            <w:noWrap/>
            <w:vAlign w:val="bottom"/>
            <w:hideMark/>
          </w:tcPr>
          <w:p w14:paraId="5DBBC73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12,659</w:t>
            </w:r>
          </w:p>
        </w:tc>
        <w:tc>
          <w:tcPr>
            <w:tcW w:w="236" w:type="dxa"/>
            <w:tcBorders>
              <w:top w:val="nil"/>
              <w:left w:val="nil"/>
              <w:bottom w:val="nil"/>
              <w:right w:val="nil"/>
            </w:tcBorders>
            <w:shd w:val="clear" w:color="FFFFFF" w:fill="FFFFFF"/>
            <w:noWrap/>
            <w:vAlign w:val="bottom"/>
            <w:hideMark/>
          </w:tcPr>
          <w:p w14:paraId="07D7A1B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663BD8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12,951</w:t>
            </w:r>
          </w:p>
        </w:tc>
      </w:tr>
      <w:tr w:rsidR="00F2518A" w:rsidRPr="007C747A" w14:paraId="208D16EF" w14:textId="77777777">
        <w:trPr>
          <w:trHeight w:val="270"/>
        </w:trPr>
        <w:tc>
          <w:tcPr>
            <w:tcW w:w="6357" w:type="dxa"/>
            <w:tcBorders>
              <w:top w:val="nil"/>
              <w:left w:val="nil"/>
              <w:bottom w:val="nil"/>
              <w:right w:val="nil"/>
            </w:tcBorders>
            <w:shd w:val="clear" w:color="FFFFFF" w:fill="FFFFFF"/>
            <w:noWrap/>
            <w:vAlign w:val="bottom"/>
            <w:hideMark/>
          </w:tcPr>
          <w:p w14:paraId="1A5C98C1"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Pandemic plan provider receivables</w:t>
            </w:r>
            <w:r w:rsidRPr="007C747A">
              <w:rPr>
                <w:rFonts w:eastAsia="Times New Roman" w:cs="Arial"/>
                <w:sz w:val="18"/>
                <w:szCs w:val="18"/>
                <w:vertAlign w:val="superscript"/>
                <w:lang w:val="en-AU" w:eastAsia="en-US"/>
              </w:rPr>
              <w:t>1</w:t>
            </w:r>
          </w:p>
        </w:tc>
        <w:tc>
          <w:tcPr>
            <w:tcW w:w="1251" w:type="dxa"/>
            <w:tcBorders>
              <w:top w:val="nil"/>
              <w:left w:val="nil"/>
              <w:bottom w:val="nil"/>
              <w:right w:val="nil"/>
            </w:tcBorders>
            <w:shd w:val="clear" w:color="FFFFFF" w:fill="FFFFFF"/>
            <w:noWrap/>
            <w:vAlign w:val="bottom"/>
            <w:hideMark/>
          </w:tcPr>
          <w:p w14:paraId="6D5CDC8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489</w:t>
            </w:r>
          </w:p>
        </w:tc>
        <w:tc>
          <w:tcPr>
            <w:tcW w:w="236" w:type="dxa"/>
            <w:tcBorders>
              <w:top w:val="nil"/>
              <w:left w:val="nil"/>
              <w:bottom w:val="nil"/>
              <w:right w:val="nil"/>
            </w:tcBorders>
            <w:shd w:val="clear" w:color="FFFFFF" w:fill="FFFFFF"/>
            <w:noWrap/>
            <w:vAlign w:val="bottom"/>
            <w:hideMark/>
          </w:tcPr>
          <w:p w14:paraId="1E8544F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9B49A3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792</w:t>
            </w:r>
          </w:p>
        </w:tc>
      </w:tr>
      <w:tr w:rsidR="00F2518A" w:rsidRPr="007C747A" w14:paraId="1D09AFC9" w14:textId="77777777">
        <w:trPr>
          <w:trHeight w:val="268"/>
        </w:trPr>
        <w:tc>
          <w:tcPr>
            <w:tcW w:w="6357" w:type="dxa"/>
            <w:tcBorders>
              <w:top w:val="nil"/>
              <w:left w:val="nil"/>
              <w:bottom w:val="nil"/>
              <w:right w:val="nil"/>
            </w:tcBorders>
            <w:shd w:val="clear" w:color="FFFFFF" w:fill="FFFFFF"/>
            <w:noWrap/>
            <w:vAlign w:val="bottom"/>
            <w:hideMark/>
          </w:tcPr>
          <w:p w14:paraId="5FB5987A"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Participant and other provider receivables</w:t>
            </w:r>
          </w:p>
        </w:tc>
        <w:tc>
          <w:tcPr>
            <w:tcW w:w="1251" w:type="dxa"/>
            <w:tcBorders>
              <w:top w:val="nil"/>
              <w:left w:val="nil"/>
              <w:bottom w:val="nil"/>
              <w:right w:val="nil"/>
            </w:tcBorders>
            <w:shd w:val="clear" w:color="FFFFFF" w:fill="FFFFFF"/>
            <w:noWrap/>
            <w:vAlign w:val="bottom"/>
            <w:hideMark/>
          </w:tcPr>
          <w:p w14:paraId="54A76F5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59,573</w:t>
            </w:r>
          </w:p>
        </w:tc>
        <w:tc>
          <w:tcPr>
            <w:tcW w:w="236" w:type="dxa"/>
            <w:tcBorders>
              <w:top w:val="nil"/>
              <w:left w:val="nil"/>
              <w:bottom w:val="nil"/>
              <w:right w:val="nil"/>
            </w:tcBorders>
            <w:shd w:val="clear" w:color="FFFFFF" w:fill="FFFFFF"/>
            <w:noWrap/>
            <w:vAlign w:val="bottom"/>
            <w:hideMark/>
          </w:tcPr>
          <w:p w14:paraId="366823F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438AB1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36,031</w:t>
            </w:r>
          </w:p>
        </w:tc>
      </w:tr>
      <w:tr w:rsidR="00F2518A" w:rsidRPr="007C747A" w14:paraId="1D501913" w14:textId="77777777">
        <w:trPr>
          <w:trHeight w:val="250"/>
        </w:trPr>
        <w:tc>
          <w:tcPr>
            <w:tcW w:w="6357" w:type="dxa"/>
            <w:tcBorders>
              <w:top w:val="nil"/>
              <w:left w:val="nil"/>
              <w:bottom w:val="nil"/>
              <w:right w:val="nil"/>
            </w:tcBorders>
            <w:shd w:val="clear" w:color="FFFFFF" w:fill="FFFFFF"/>
            <w:noWrap/>
            <w:vAlign w:val="bottom"/>
            <w:hideMark/>
          </w:tcPr>
          <w:p w14:paraId="17A97E9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w:t>
            </w:r>
          </w:p>
        </w:tc>
        <w:tc>
          <w:tcPr>
            <w:tcW w:w="1251" w:type="dxa"/>
            <w:tcBorders>
              <w:top w:val="nil"/>
              <w:left w:val="nil"/>
              <w:bottom w:val="nil"/>
              <w:right w:val="nil"/>
            </w:tcBorders>
            <w:shd w:val="clear" w:color="FFFFFF" w:fill="FFFFFF"/>
            <w:noWrap/>
            <w:vAlign w:val="bottom"/>
            <w:hideMark/>
          </w:tcPr>
          <w:p w14:paraId="5C6A7F7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41,012</w:t>
            </w:r>
          </w:p>
        </w:tc>
        <w:tc>
          <w:tcPr>
            <w:tcW w:w="236" w:type="dxa"/>
            <w:tcBorders>
              <w:top w:val="nil"/>
              <w:left w:val="nil"/>
              <w:bottom w:val="nil"/>
              <w:right w:val="nil"/>
            </w:tcBorders>
            <w:shd w:val="clear" w:color="FFFFFF" w:fill="FFFFFF"/>
            <w:noWrap/>
            <w:vAlign w:val="bottom"/>
            <w:hideMark/>
          </w:tcPr>
          <w:p w14:paraId="7CA991F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051630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6,494</w:t>
            </w:r>
          </w:p>
        </w:tc>
      </w:tr>
      <w:tr w:rsidR="00F2518A" w:rsidRPr="007C747A" w14:paraId="47D421DB" w14:textId="77777777">
        <w:trPr>
          <w:trHeight w:val="250"/>
        </w:trPr>
        <w:tc>
          <w:tcPr>
            <w:tcW w:w="6357" w:type="dxa"/>
            <w:tcBorders>
              <w:top w:val="nil"/>
              <w:left w:val="nil"/>
              <w:bottom w:val="nil"/>
              <w:right w:val="nil"/>
            </w:tcBorders>
            <w:shd w:val="clear" w:color="FFFFFF" w:fill="FFFFFF"/>
            <w:vAlign w:val="bottom"/>
            <w:hideMark/>
          </w:tcPr>
          <w:p w14:paraId="24DE9D1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other receivables</w:t>
            </w:r>
          </w:p>
        </w:tc>
        <w:tc>
          <w:tcPr>
            <w:tcW w:w="1251" w:type="dxa"/>
            <w:tcBorders>
              <w:top w:val="single" w:sz="4" w:space="0" w:color="auto"/>
              <w:left w:val="nil"/>
              <w:bottom w:val="single" w:sz="4" w:space="0" w:color="auto"/>
              <w:right w:val="nil"/>
            </w:tcBorders>
            <w:shd w:val="clear" w:color="FFFFFF" w:fill="FFFFFF"/>
            <w:noWrap/>
            <w:vAlign w:val="bottom"/>
            <w:hideMark/>
          </w:tcPr>
          <w:p w14:paraId="0B3DFF4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113,733</w:t>
            </w:r>
          </w:p>
        </w:tc>
        <w:tc>
          <w:tcPr>
            <w:tcW w:w="236" w:type="dxa"/>
            <w:tcBorders>
              <w:top w:val="nil"/>
              <w:left w:val="nil"/>
              <w:bottom w:val="nil"/>
              <w:right w:val="nil"/>
            </w:tcBorders>
            <w:shd w:val="clear" w:color="FFFFFF" w:fill="FFFFFF"/>
            <w:noWrap/>
            <w:vAlign w:val="bottom"/>
            <w:hideMark/>
          </w:tcPr>
          <w:p w14:paraId="64774B4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F8F4EF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56,268</w:t>
            </w:r>
          </w:p>
        </w:tc>
      </w:tr>
      <w:tr w:rsidR="00F2518A" w:rsidRPr="007C747A" w14:paraId="739F31F0" w14:textId="77777777">
        <w:trPr>
          <w:trHeight w:val="250"/>
        </w:trPr>
        <w:tc>
          <w:tcPr>
            <w:tcW w:w="6357" w:type="dxa"/>
            <w:tcBorders>
              <w:top w:val="nil"/>
              <w:left w:val="nil"/>
              <w:bottom w:val="nil"/>
              <w:right w:val="nil"/>
            </w:tcBorders>
            <w:shd w:val="clear" w:color="FFFFFF" w:fill="FFFFFF"/>
            <w:vAlign w:val="bottom"/>
            <w:hideMark/>
          </w:tcPr>
          <w:p w14:paraId="3023B22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trade and other receivables (gross)</w:t>
            </w:r>
          </w:p>
        </w:tc>
        <w:tc>
          <w:tcPr>
            <w:tcW w:w="1251" w:type="dxa"/>
            <w:tcBorders>
              <w:top w:val="nil"/>
              <w:left w:val="nil"/>
              <w:bottom w:val="single" w:sz="4" w:space="0" w:color="auto"/>
              <w:right w:val="nil"/>
            </w:tcBorders>
            <w:shd w:val="clear" w:color="FFFFFF" w:fill="FFFFFF"/>
            <w:noWrap/>
            <w:vAlign w:val="bottom"/>
            <w:hideMark/>
          </w:tcPr>
          <w:p w14:paraId="6475D1E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190,467</w:t>
            </w:r>
          </w:p>
        </w:tc>
        <w:tc>
          <w:tcPr>
            <w:tcW w:w="236" w:type="dxa"/>
            <w:tcBorders>
              <w:top w:val="nil"/>
              <w:left w:val="nil"/>
              <w:bottom w:val="nil"/>
              <w:right w:val="nil"/>
            </w:tcBorders>
            <w:shd w:val="clear" w:color="FFFFFF" w:fill="FFFFFF"/>
            <w:noWrap/>
            <w:vAlign w:val="bottom"/>
            <w:hideMark/>
          </w:tcPr>
          <w:p w14:paraId="1702D8C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single" w:sz="4" w:space="0" w:color="auto"/>
              <w:right w:val="nil"/>
            </w:tcBorders>
            <w:shd w:val="clear" w:color="FFFFFF" w:fill="FFFFFF"/>
            <w:noWrap/>
            <w:vAlign w:val="bottom"/>
            <w:hideMark/>
          </w:tcPr>
          <w:p w14:paraId="6341EFF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126,356</w:t>
            </w:r>
          </w:p>
        </w:tc>
      </w:tr>
      <w:tr w:rsidR="00F2518A" w:rsidRPr="007C747A" w14:paraId="5003F45C" w14:textId="77777777">
        <w:trPr>
          <w:trHeight w:val="250"/>
        </w:trPr>
        <w:tc>
          <w:tcPr>
            <w:tcW w:w="6357" w:type="dxa"/>
            <w:tcBorders>
              <w:top w:val="nil"/>
              <w:left w:val="nil"/>
              <w:bottom w:val="nil"/>
              <w:right w:val="nil"/>
            </w:tcBorders>
            <w:shd w:val="clear" w:color="FFFFFF" w:fill="FFFFFF"/>
            <w:noWrap/>
            <w:vAlign w:val="bottom"/>
            <w:hideMark/>
          </w:tcPr>
          <w:p w14:paraId="3D4BBD4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noWrap/>
            <w:vAlign w:val="bottom"/>
            <w:hideMark/>
          </w:tcPr>
          <w:p w14:paraId="1DA8EE4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4CA47C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F306E4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11D9FB40" w14:textId="77777777">
        <w:trPr>
          <w:trHeight w:val="270"/>
        </w:trPr>
        <w:tc>
          <w:tcPr>
            <w:tcW w:w="6357" w:type="dxa"/>
            <w:tcBorders>
              <w:top w:val="nil"/>
              <w:left w:val="nil"/>
              <w:bottom w:val="nil"/>
              <w:right w:val="nil"/>
            </w:tcBorders>
            <w:shd w:val="clear" w:color="FFFFFF" w:fill="FFFFFF"/>
            <w:vAlign w:val="bottom"/>
            <w:hideMark/>
          </w:tcPr>
          <w:p w14:paraId="42C2415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Less </w:t>
            </w:r>
            <w:bookmarkStart w:id="270" w:name="_Hlk141709390"/>
            <w:r w:rsidRPr="007C747A">
              <w:rPr>
                <w:rFonts w:eastAsia="Times New Roman" w:cs="Arial"/>
                <w:b/>
                <w:bCs/>
                <w:sz w:val="18"/>
                <w:szCs w:val="18"/>
                <w:lang w:val="en-AU" w:eastAsia="en-US"/>
              </w:rPr>
              <w:t xml:space="preserve">expected credit loss </w:t>
            </w:r>
            <w:bookmarkEnd w:id="270"/>
            <w:r w:rsidRPr="007C747A">
              <w:rPr>
                <w:rFonts w:eastAsia="Times New Roman" w:cs="Arial"/>
                <w:b/>
                <w:bCs/>
                <w:sz w:val="18"/>
                <w:szCs w:val="18"/>
                <w:lang w:val="en-AU" w:eastAsia="en-US"/>
              </w:rPr>
              <w:t>allowance</w:t>
            </w:r>
            <w:r w:rsidRPr="007C747A">
              <w:rPr>
                <w:rFonts w:eastAsia="Times New Roman" w:cs="Arial"/>
                <w:b/>
                <w:bCs/>
                <w:sz w:val="18"/>
                <w:szCs w:val="18"/>
                <w:vertAlign w:val="superscript"/>
                <w:lang w:val="en-AU" w:eastAsia="en-US"/>
              </w:rPr>
              <w:t>2</w:t>
            </w:r>
          </w:p>
        </w:tc>
        <w:tc>
          <w:tcPr>
            <w:tcW w:w="1251" w:type="dxa"/>
            <w:tcBorders>
              <w:top w:val="nil"/>
              <w:left w:val="nil"/>
              <w:bottom w:val="nil"/>
              <w:right w:val="nil"/>
            </w:tcBorders>
            <w:shd w:val="clear" w:color="FFFFFF" w:fill="FFFFFF"/>
            <w:noWrap/>
            <w:vAlign w:val="bottom"/>
            <w:hideMark/>
          </w:tcPr>
          <w:p w14:paraId="3151913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13D4A1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475137E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A27828F" w14:textId="77777777">
        <w:trPr>
          <w:trHeight w:val="250"/>
        </w:trPr>
        <w:tc>
          <w:tcPr>
            <w:tcW w:w="6357" w:type="dxa"/>
            <w:tcBorders>
              <w:top w:val="nil"/>
              <w:left w:val="nil"/>
              <w:bottom w:val="nil"/>
              <w:right w:val="nil"/>
            </w:tcBorders>
            <w:shd w:val="clear" w:color="FFFFFF" w:fill="FFFFFF"/>
            <w:noWrap/>
            <w:vAlign w:val="bottom"/>
            <w:hideMark/>
          </w:tcPr>
          <w:p w14:paraId="72887C6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Goods and services receivables</w:t>
            </w:r>
          </w:p>
        </w:tc>
        <w:tc>
          <w:tcPr>
            <w:tcW w:w="1251" w:type="dxa"/>
            <w:tcBorders>
              <w:top w:val="nil"/>
              <w:left w:val="nil"/>
              <w:bottom w:val="nil"/>
              <w:right w:val="nil"/>
            </w:tcBorders>
            <w:shd w:val="clear" w:color="FFFFFF" w:fill="FFFFFF"/>
            <w:noWrap/>
            <w:vAlign w:val="bottom"/>
            <w:hideMark/>
          </w:tcPr>
          <w:p w14:paraId="791A219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62,818</w:t>
            </w:r>
          </w:p>
        </w:tc>
        <w:tc>
          <w:tcPr>
            <w:tcW w:w="236" w:type="dxa"/>
            <w:tcBorders>
              <w:top w:val="nil"/>
              <w:left w:val="nil"/>
              <w:bottom w:val="nil"/>
              <w:right w:val="nil"/>
            </w:tcBorders>
            <w:shd w:val="clear" w:color="FFFFFF" w:fill="FFFFFF"/>
            <w:noWrap/>
            <w:vAlign w:val="bottom"/>
            <w:hideMark/>
          </w:tcPr>
          <w:p w14:paraId="7A87562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4FFF35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62,817</w:t>
            </w:r>
          </w:p>
        </w:tc>
      </w:tr>
      <w:tr w:rsidR="00F2518A" w:rsidRPr="007C747A" w14:paraId="78095E04" w14:textId="77777777">
        <w:trPr>
          <w:trHeight w:val="250"/>
        </w:trPr>
        <w:tc>
          <w:tcPr>
            <w:tcW w:w="6357" w:type="dxa"/>
            <w:tcBorders>
              <w:top w:val="nil"/>
              <w:left w:val="nil"/>
              <w:bottom w:val="nil"/>
              <w:right w:val="nil"/>
            </w:tcBorders>
            <w:shd w:val="clear" w:color="FFFFFF" w:fill="FFFFFF"/>
            <w:noWrap/>
            <w:vAlign w:val="bottom"/>
            <w:hideMark/>
          </w:tcPr>
          <w:p w14:paraId="38C89100"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Participant and other provider receivables</w:t>
            </w:r>
          </w:p>
        </w:tc>
        <w:tc>
          <w:tcPr>
            <w:tcW w:w="1251" w:type="dxa"/>
            <w:tcBorders>
              <w:top w:val="nil"/>
              <w:left w:val="nil"/>
              <w:bottom w:val="nil"/>
              <w:right w:val="nil"/>
            </w:tcBorders>
            <w:shd w:val="clear" w:color="FFFFFF" w:fill="FFFFFF"/>
            <w:noWrap/>
            <w:vAlign w:val="bottom"/>
            <w:hideMark/>
          </w:tcPr>
          <w:p w14:paraId="016F79C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13,312</w:t>
            </w:r>
          </w:p>
        </w:tc>
        <w:tc>
          <w:tcPr>
            <w:tcW w:w="236" w:type="dxa"/>
            <w:tcBorders>
              <w:top w:val="nil"/>
              <w:left w:val="nil"/>
              <w:bottom w:val="nil"/>
              <w:right w:val="nil"/>
            </w:tcBorders>
            <w:shd w:val="clear" w:color="FFFFFF" w:fill="FFFFFF"/>
            <w:noWrap/>
            <w:vAlign w:val="bottom"/>
            <w:hideMark/>
          </w:tcPr>
          <w:p w14:paraId="2CA08E4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267F2DB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13,801</w:t>
            </w:r>
          </w:p>
        </w:tc>
      </w:tr>
      <w:tr w:rsidR="00F2518A" w:rsidRPr="007C747A" w14:paraId="77D25F42" w14:textId="77777777">
        <w:trPr>
          <w:trHeight w:val="268"/>
        </w:trPr>
        <w:tc>
          <w:tcPr>
            <w:tcW w:w="6357" w:type="dxa"/>
            <w:tcBorders>
              <w:top w:val="nil"/>
              <w:left w:val="nil"/>
              <w:bottom w:val="nil"/>
              <w:right w:val="nil"/>
            </w:tcBorders>
            <w:shd w:val="clear" w:color="FFFFFF" w:fill="FFFFFF"/>
            <w:noWrap/>
            <w:vAlign w:val="bottom"/>
            <w:hideMark/>
          </w:tcPr>
          <w:p w14:paraId="1A68BF2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receivables</w:t>
            </w:r>
          </w:p>
        </w:tc>
        <w:tc>
          <w:tcPr>
            <w:tcW w:w="1251" w:type="dxa"/>
            <w:tcBorders>
              <w:top w:val="nil"/>
              <w:left w:val="nil"/>
              <w:bottom w:val="nil"/>
              <w:right w:val="nil"/>
            </w:tcBorders>
            <w:shd w:val="clear" w:color="FFFFFF" w:fill="FFFFFF"/>
            <w:noWrap/>
            <w:vAlign w:val="bottom"/>
            <w:hideMark/>
          </w:tcPr>
          <w:p w14:paraId="3F7AB2A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189</w:t>
            </w:r>
          </w:p>
        </w:tc>
        <w:tc>
          <w:tcPr>
            <w:tcW w:w="236" w:type="dxa"/>
            <w:tcBorders>
              <w:top w:val="nil"/>
              <w:left w:val="nil"/>
              <w:bottom w:val="nil"/>
              <w:right w:val="nil"/>
            </w:tcBorders>
            <w:shd w:val="clear" w:color="FFFFFF" w:fill="FFFFFF"/>
            <w:noWrap/>
            <w:vAlign w:val="bottom"/>
            <w:hideMark/>
          </w:tcPr>
          <w:p w14:paraId="6124AF4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765CF6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w:t>
            </w:r>
          </w:p>
        </w:tc>
      </w:tr>
      <w:tr w:rsidR="00F2518A" w:rsidRPr="007C747A" w14:paraId="260AA185" w14:textId="77777777">
        <w:trPr>
          <w:trHeight w:val="270"/>
        </w:trPr>
        <w:tc>
          <w:tcPr>
            <w:tcW w:w="6357" w:type="dxa"/>
            <w:tcBorders>
              <w:top w:val="nil"/>
              <w:left w:val="nil"/>
              <w:bottom w:val="nil"/>
              <w:right w:val="nil"/>
            </w:tcBorders>
            <w:shd w:val="clear" w:color="FFFFFF" w:fill="FFFFFF"/>
            <w:noWrap/>
            <w:vAlign w:val="bottom"/>
            <w:hideMark/>
          </w:tcPr>
          <w:p w14:paraId="5C9D53B2"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Pandemic plan provider receivables</w:t>
            </w:r>
            <w:r w:rsidRPr="007C747A">
              <w:rPr>
                <w:rFonts w:eastAsia="Times New Roman" w:cs="Arial"/>
                <w:sz w:val="18"/>
                <w:szCs w:val="18"/>
                <w:vertAlign w:val="superscript"/>
                <w:lang w:val="en-AU" w:eastAsia="en-US"/>
              </w:rPr>
              <w:t>1</w:t>
            </w:r>
          </w:p>
        </w:tc>
        <w:tc>
          <w:tcPr>
            <w:tcW w:w="1251" w:type="dxa"/>
            <w:tcBorders>
              <w:top w:val="nil"/>
              <w:left w:val="nil"/>
              <w:bottom w:val="nil"/>
              <w:right w:val="nil"/>
            </w:tcBorders>
            <w:shd w:val="clear" w:color="FFFFFF" w:fill="FFFFFF"/>
            <w:noWrap/>
            <w:vAlign w:val="bottom"/>
            <w:hideMark/>
          </w:tcPr>
          <w:p w14:paraId="1AA0C31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489</w:t>
            </w:r>
          </w:p>
        </w:tc>
        <w:tc>
          <w:tcPr>
            <w:tcW w:w="236" w:type="dxa"/>
            <w:tcBorders>
              <w:top w:val="nil"/>
              <w:left w:val="nil"/>
              <w:bottom w:val="nil"/>
              <w:right w:val="nil"/>
            </w:tcBorders>
            <w:shd w:val="clear" w:color="FFFFFF" w:fill="FFFFFF"/>
            <w:noWrap/>
            <w:vAlign w:val="bottom"/>
            <w:hideMark/>
          </w:tcPr>
          <w:p w14:paraId="2468DA4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58B24A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792</w:t>
            </w:r>
          </w:p>
        </w:tc>
      </w:tr>
      <w:tr w:rsidR="00F2518A" w:rsidRPr="007C747A" w14:paraId="1A917C71" w14:textId="77777777">
        <w:trPr>
          <w:trHeight w:val="250"/>
        </w:trPr>
        <w:tc>
          <w:tcPr>
            <w:tcW w:w="6357" w:type="dxa"/>
            <w:tcBorders>
              <w:top w:val="nil"/>
              <w:left w:val="nil"/>
              <w:bottom w:val="nil"/>
              <w:right w:val="nil"/>
            </w:tcBorders>
            <w:shd w:val="clear" w:color="FFFFFF" w:fill="FFFFFF"/>
            <w:vAlign w:val="bottom"/>
            <w:hideMark/>
          </w:tcPr>
          <w:p w14:paraId="00E3264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expected credit loss allowance</w:t>
            </w:r>
          </w:p>
        </w:tc>
        <w:tc>
          <w:tcPr>
            <w:tcW w:w="1251" w:type="dxa"/>
            <w:tcBorders>
              <w:top w:val="single" w:sz="4" w:space="0" w:color="auto"/>
              <w:left w:val="nil"/>
              <w:bottom w:val="single" w:sz="4" w:space="0" w:color="auto"/>
              <w:right w:val="nil"/>
            </w:tcBorders>
            <w:shd w:val="clear" w:color="FFFFFF" w:fill="FFFFFF"/>
            <w:noWrap/>
            <w:vAlign w:val="bottom"/>
            <w:hideMark/>
          </w:tcPr>
          <w:p w14:paraId="2540967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76,808</w:t>
            </w:r>
          </w:p>
        </w:tc>
        <w:tc>
          <w:tcPr>
            <w:tcW w:w="236" w:type="dxa"/>
            <w:tcBorders>
              <w:top w:val="nil"/>
              <w:left w:val="nil"/>
              <w:bottom w:val="nil"/>
              <w:right w:val="nil"/>
            </w:tcBorders>
            <w:shd w:val="clear" w:color="FFFFFF" w:fill="FFFFFF"/>
            <w:noWrap/>
            <w:vAlign w:val="bottom"/>
            <w:hideMark/>
          </w:tcPr>
          <w:p w14:paraId="39D9F65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79CBCD5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77,436</w:t>
            </w:r>
          </w:p>
        </w:tc>
      </w:tr>
      <w:tr w:rsidR="00F2518A" w:rsidRPr="007C747A" w14:paraId="4D218A55" w14:textId="77777777">
        <w:trPr>
          <w:trHeight w:val="260"/>
        </w:trPr>
        <w:tc>
          <w:tcPr>
            <w:tcW w:w="6357" w:type="dxa"/>
            <w:tcBorders>
              <w:top w:val="nil"/>
              <w:left w:val="nil"/>
              <w:bottom w:val="nil"/>
              <w:right w:val="nil"/>
            </w:tcBorders>
            <w:shd w:val="clear" w:color="FFFFFF" w:fill="FFFFFF"/>
            <w:vAlign w:val="bottom"/>
            <w:hideMark/>
          </w:tcPr>
          <w:p w14:paraId="5A5FBC03"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trade and other receivables (net)</w:t>
            </w:r>
          </w:p>
        </w:tc>
        <w:tc>
          <w:tcPr>
            <w:tcW w:w="1251" w:type="dxa"/>
            <w:tcBorders>
              <w:top w:val="nil"/>
              <w:left w:val="nil"/>
              <w:bottom w:val="single" w:sz="4" w:space="0" w:color="auto"/>
              <w:right w:val="nil"/>
            </w:tcBorders>
            <w:shd w:val="clear" w:color="FFFFFF" w:fill="FFFFFF"/>
            <w:noWrap/>
            <w:vAlign w:val="bottom"/>
            <w:hideMark/>
          </w:tcPr>
          <w:p w14:paraId="25BCAB7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113,659</w:t>
            </w:r>
          </w:p>
        </w:tc>
        <w:tc>
          <w:tcPr>
            <w:tcW w:w="236" w:type="dxa"/>
            <w:tcBorders>
              <w:top w:val="nil"/>
              <w:left w:val="nil"/>
              <w:bottom w:val="nil"/>
              <w:right w:val="nil"/>
            </w:tcBorders>
            <w:shd w:val="clear" w:color="FFFFFF" w:fill="FFFFFF"/>
            <w:noWrap/>
            <w:vAlign w:val="bottom"/>
            <w:hideMark/>
          </w:tcPr>
          <w:p w14:paraId="5209B43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single" w:sz="4" w:space="0" w:color="auto"/>
              <w:right w:val="nil"/>
            </w:tcBorders>
            <w:shd w:val="clear" w:color="FFFFFF" w:fill="FFFFFF"/>
            <w:noWrap/>
            <w:vAlign w:val="bottom"/>
            <w:hideMark/>
          </w:tcPr>
          <w:p w14:paraId="595280B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48,920</w:t>
            </w:r>
          </w:p>
        </w:tc>
      </w:tr>
    </w:tbl>
    <w:p w14:paraId="1AC4B726" w14:textId="77777777" w:rsidR="00F2518A" w:rsidRPr="007C747A" w:rsidRDefault="00F2518A" w:rsidP="00F2518A">
      <w:pPr>
        <w:spacing w:before="60" w:after="0" w:line="240" w:lineRule="auto"/>
        <w:rPr>
          <w:rFonts w:eastAsia="Times New Roman" w:cs="Arial"/>
          <w:sz w:val="18"/>
          <w:szCs w:val="18"/>
          <w:lang w:val="en-AU" w:eastAsia="en-US"/>
        </w:rPr>
      </w:pPr>
      <w:bookmarkStart w:id="271" w:name="OLE_LINK2"/>
    </w:p>
    <w:p w14:paraId="07B2DF3C" w14:textId="77777777" w:rsidR="00F2518A" w:rsidRPr="007C747A" w:rsidRDefault="00F2518A" w:rsidP="00F2518A">
      <w:pPr>
        <w:spacing w:before="60" w:after="0" w:line="240" w:lineRule="auto"/>
        <w:rPr>
          <w:rFonts w:eastAsia="Times New Roman" w:cs="Arial"/>
          <w:sz w:val="18"/>
          <w:szCs w:val="18"/>
          <w:lang w:val="en-AU" w:eastAsia="en-US"/>
        </w:rPr>
      </w:pPr>
      <w:r w:rsidRPr="007C747A">
        <w:rPr>
          <w:rFonts w:eastAsia="Times New Roman" w:cs="Arial"/>
          <w:sz w:val="18"/>
          <w:szCs w:val="18"/>
          <w:lang w:val="en-AU" w:eastAsia="en-US"/>
        </w:rPr>
        <w:t xml:space="preserve">During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crYear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23</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credit terms for goods and services were within 30 days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30 days).</w:t>
      </w:r>
    </w:p>
    <w:p w14:paraId="742ABDA3" w14:textId="77777777" w:rsidR="00F2518A" w:rsidRPr="007C747A" w:rsidRDefault="00F2518A" w:rsidP="00F2518A">
      <w:pPr>
        <w:spacing w:before="60" w:after="0" w:line="240" w:lineRule="auto"/>
        <w:ind w:left="142" w:hanging="142"/>
        <w:rPr>
          <w:rFonts w:eastAsia="Times New Roman" w:cs="Arial"/>
          <w:sz w:val="16"/>
          <w:szCs w:val="18"/>
          <w:vertAlign w:val="superscript"/>
          <w:lang w:val="en-AU" w:eastAsia="en-US"/>
        </w:rPr>
      </w:pPr>
    </w:p>
    <w:p w14:paraId="26BA02F0" w14:textId="77777777" w:rsidR="00F2518A" w:rsidRPr="007C747A" w:rsidRDefault="00F2518A" w:rsidP="00F2518A">
      <w:pPr>
        <w:spacing w:before="60" w:after="0" w:line="240" w:lineRule="auto"/>
        <w:ind w:left="142" w:hanging="142"/>
        <w:rPr>
          <w:rFonts w:eastAsia="Times New Roman" w:cs="Arial"/>
          <w:sz w:val="14"/>
          <w:szCs w:val="16"/>
          <w:lang w:val="en-AU" w:eastAsia="en-US"/>
        </w:rPr>
      </w:pPr>
      <w:r w:rsidRPr="007C747A">
        <w:rPr>
          <w:rFonts w:eastAsia="Times New Roman" w:cs="Arial"/>
          <w:sz w:val="16"/>
          <w:szCs w:val="18"/>
          <w:vertAlign w:val="superscript"/>
          <w:lang w:val="en-AU" w:eastAsia="en-US"/>
        </w:rPr>
        <w:t>1</w:t>
      </w:r>
      <w:r w:rsidRPr="007C747A">
        <w:rPr>
          <w:rFonts w:eastAsia="Times New Roman" w:cs="Arial"/>
          <w:sz w:val="16"/>
          <w:szCs w:val="18"/>
          <w:lang w:val="en-AU" w:eastAsia="en-US"/>
        </w:rPr>
        <w:t xml:space="preserve"> </w:t>
      </w:r>
      <w:r w:rsidRPr="007C747A">
        <w:rPr>
          <w:rFonts w:eastAsia="Times New Roman" w:cs="Arial"/>
          <w:sz w:val="14"/>
          <w:szCs w:val="16"/>
          <w:lang w:val="en-AU" w:eastAsia="en-US"/>
        </w:rPr>
        <w:t>Pandemic plan provider receivables represent optional advances made by the Agency to eligible registered providers to assist with cash flow and continuity of supports during the COVID-19 pandemic. Refer also to the Accounting Policy below.</w:t>
      </w:r>
    </w:p>
    <w:p w14:paraId="490F7A3E" w14:textId="77777777" w:rsidR="00F2518A" w:rsidRPr="007C747A" w:rsidRDefault="00F2518A" w:rsidP="00F2518A">
      <w:pPr>
        <w:spacing w:before="60" w:after="0" w:line="240" w:lineRule="auto"/>
        <w:ind w:left="142" w:hanging="142"/>
        <w:rPr>
          <w:rFonts w:eastAsia="Times New Roman" w:cs="Arial"/>
          <w:sz w:val="16"/>
          <w:szCs w:val="18"/>
          <w:lang w:val="en-AU" w:eastAsia="en-US"/>
        </w:rPr>
      </w:pPr>
      <w:r w:rsidRPr="007C747A">
        <w:rPr>
          <w:rFonts w:eastAsia="Times New Roman" w:cs="Arial"/>
          <w:sz w:val="16"/>
          <w:szCs w:val="18"/>
          <w:vertAlign w:val="superscript"/>
          <w:lang w:val="en-AU" w:eastAsia="en-US"/>
        </w:rPr>
        <w:t>2</w:t>
      </w:r>
      <w:r w:rsidRPr="007C747A">
        <w:rPr>
          <w:rFonts w:eastAsia="Times New Roman" w:cs="Arial"/>
          <w:sz w:val="16"/>
          <w:szCs w:val="18"/>
          <w:lang w:val="en-AU" w:eastAsia="en-US"/>
        </w:rPr>
        <w:t xml:space="preserve"> </w:t>
      </w:r>
      <w:r w:rsidRPr="007C747A">
        <w:rPr>
          <w:rFonts w:eastAsia="Times New Roman" w:cs="Arial"/>
          <w:sz w:val="14"/>
          <w:szCs w:val="16"/>
          <w:lang w:val="en-AU" w:eastAsia="en-US"/>
        </w:rPr>
        <w:t xml:space="preserve">Refer to the Impairment of financial assets section as part of the Accounting Policy Note 4.2. </w:t>
      </w:r>
    </w:p>
    <w:p w14:paraId="71D17A2E"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br w:type="page"/>
      </w:r>
    </w:p>
    <w:p w14:paraId="0C4938DD"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Accounting Policy </w:t>
      </w:r>
    </w:p>
    <w:p w14:paraId="70173D6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val="en-AU" w:eastAsia="en-AU"/>
        </w:rPr>
      </w:pPr>
      <w:r w:rsidRPr="007C747A">
        <w:rPr>
          <w:rFonts w:eastAsia="Times New Roman" w:cs="Arial"/>
          <w:bCs/>
          <w:iCs/>
          <w:sz w:val="18"/>
          <w:szCs w:val="18"/>
          <w:lang w:val="en-AU" w:eastAsia="en-AU"/>
        </w:rPr>
        <w:t>Receivables for goods and services, which have 30-day terms, are recognised at the nominal amounts due less any expected credit loss allowance account. Collectability of debts is reviewed at end of the reporting period. Allowances are made when collectability of the debt is no longer probable.</w:t>
      </w: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23AB4C06" w14:textId="77777777">
        <w:trPr>
          <w:trHeight w:val="250"/>
        </w:trPr>
        <w:tc>
          <w:tcPr>
            <w:tcW w:w="6357" w:type="dxa"/>
            <w:tcBorders>
              <w:top w:val="nil"/>
              <w:left w:val="nil"/>
              <w:bottom w:val="nil"/>
              <w:right w:val="nil"/>
            </w:tcBorders>
            <w:shd w:val="clear" w:color="FFFFFF" w:fill="FFFFFF"/>
            <w:noWrap/>
            <w:vAlign w:val="bottom"/>
            <w:hideMark/>
          </w:tcPr>
          <w:p w14:paraId="469B0DA1"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72" w:name="Note_OFATABLE1" w:colFirst="0" w:colLast="0"/>
            <w:r w:rsidRPr="007C747A">
              <w:rPr>
                <w:rFonts w:eastAsia="Times New Roman" w:cs="Arial"/>
                <w:b/>
                <w:bCs/>
                <w:sz w:val="18"/>
                <w:szCs w:val="18"/>
                <w:u w:val="single"/>
                <w:lang w:val="en-AU" w:eastAsia="en-US"/>
              </w:rPr>
              <w:t>Note 2.1C: Other financial assets</w:t>
            </w:r>
          </w:p>
        </w:tc>
        <w:tc>
          <w:tcPr>
            <w:tcW w:w="1251" w:type="dxa"/>
            <w:tcBorders>
              <w:top w:val="nil"/>
              <w:left w:val="nil"/>
              <w:bottom w:val="nil"/>
              <w:right w:val="nil"/>
            </w:tcBorders>
            <w:shd w:val="clear" w:color="FFFFFF" w:fill="FFFFFF"/>
            <w:noWrap/>
            <w:vAlign w:val="bottom"/>
            <w:hideMark/>
          </w:tcPr>
          <w:p w14:paraId="4566AD5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F14798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F87469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271"/>
      <w:bookmarkEnd w:id="272"/>
    </w:tbl>
    <w:p w14:paraId="7D9034C1" w14:textId="77777777" w:rsidR="00F2518A" w:rsidRPr="007C747A" w:rsidRDefault="00F2518A" w:rsidP="00F2518A">
      <w:pPr>
        <w:spacing w:after="0" w:line="240" w:lineRule="auto"/>
        <w:ind w:right="607"/>
        <w:rPr>
          <w:rFonts w:eastAsia="Times New Roman"/>
          <w:bCs/>
          <w:sz w:val="18"/>
          <w:szCs w:val="18"/>
          <w:lang w:val="en-AU" w:eastAsia="en-US"/>
        </w:rPr>
      </w:pPr>
    </w:p>
    <w:p w14:paraId="2044C142" w14:textId="77777777" w:rsidR="00F2518A" w:rsidRPr="007C747A" w:rsidRDefault="00F2518A" w:rsidP="00F2518A">
      <w:pPr>
        <w:spacing w:after="0" w:line="240" w:lineRule="auto"/>
        <w:ind w:right="607"/>
        <w:rPr>
          <w:rFonts w:eastAsia="Times New Roman"/>
          <w:bCs/>
          <w:sz w:val="18"/>
          <w:szCs w:val="18"/>
          <w:lang w:val="en-AU" w:eastAsia="en-US"/>
        </w:rPr>
      </w:pPr>
      <w:r w:rsidRPr="007C747A">
        <w:rPr>
          <w:rFonts w:eastAsia="Times New Roman"/>
          <w:bCs/>
          <w:sz w:val="18"/>
          <w:szCs w:val="18"/>
          <w:lang w:val="en-AU" w:eastAsia="en-US"/>
        </w:rPr>
        <w:t>Term deposits are expected to be recovered within 12 months.</w:t>
      </w:r>
    </w:p>
    <w:p w14:paraId="08B6BF3F" w14:textId="77777777" w:rsidR="00F2518A" w:rsidRPr="007C747A" w:rsidRDefault="00F2518A" w:rsidP="00F2518A">
      <w:pPr>
        <w:spacing w:after="0" w:line="240" w:lineRule="auto"/>
        <w:ind w:right="607"/>
        <w:rPr>
          <w:rFonts w:eastAsia="Times New Roman"/>
          <w:bCs/>
          <w:sz w:val="18"/>
          <w:szCs w:val="18"/>
          <w:lang w:val="en-AU" w:eastAsia="en-US"/>
        </w:rPr>
      </w:pPr>
    </w:p>
    <w:p w14:paraId="65D38530"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Accounting Policy </w:t>
      </w:r>
    </w:p>
    <w:p w14:paraId="7EA9703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val="en-AU" w:eastAsia="en-AU"/>
        </w:rPr>
      </w:pPr>
      <w:r w:rsidRPr="007C747A">
        <w:rPr>
          <w:rFonts w:eastAsia="Times New Roman" w:cs="Arial"/>
          <w:bCs/>
          <w:iCs/>
          <w:sz w:val="18"/>
          <w:szCs w:val="18"/>
          <w:lang w:val="en-AU" w:eastAsia="en-AU"/>
        </w:rPr>
        <w:t>Term deposits with an original maturity of three months or less are classified as cash and cash equivalents and are included in Note 2.1A.</w:t>
      </w:r>
    </w:p>
    <w:p w14:paraId="45427F10" w14:textId="77777777" w:rsidR="00F2518A" w:rsidRPr="007C747A" w:rsidRDefault="00F2518A" w:rsidP="00F2518A">
      <w:pPr>
        <w:spacing w:after="0" w:line="240" w:lineRule="auto"/>
        <w:rPr>
          <w:rFonts w:ascii="Times New Roman" w:eastAsia="Times New Roman" w:hAnsi="Times New Roman" w:cs="Arial"/>
          <w:sz w:val="18"/>
          <w:szCs w:val="18"/>
          <w:lang w:val="en-AU" w:eastAsia="en-US"/>
        </w:rPr>
      </w:pPr>
    </w:p>
    <w:p w14:paraId="2311728A"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sectPr w:rsidR="00F2518A" w:rsidRPr="007C747A">
          <w:footerReference w:type="default" r:id="rId42"/>
          <w:pgSz w:w="11906" w:h="16838" w:code="9"/>
          <w:pgMar w:top="1134" w:right="1701" w:bottom="1134" w:left="1134" w:header="958" w:footer="737" w:gutter="0"/>
          <w:cols w:space="708"/>
          <w:docGrid w:linePitch="360"/>
        </w:sectPr>
      </w:pPr>
    </w:p>
    <w:p w14:paraId="6F63D6EC" w14:textId="77777777" w:rsidR="00F2518A" w:rsidRPr="007C747A" w:rsidRDefault="00F2518A" w:rsidP="007E4E69">
      <w:pPr>
        <w:pStyle w:val="SubHeading"/>
        <w:ind w:left="357" w:hanging="357"/>
        <w:outlineLvl w:val="3"/>
      </w:pPr>
      <w:bookmarkStart w:id="273" w:name="_Toc443469530"/>
      <w:bookmarkStart w:id="274" w:name="_Toc443577404"/>
      <w:bookmarkStart w:id="275" w:name="_Toc445194082"/>
      <w:bookmarkStart w:id="276" w:name="_Toc447030540"/>
      <w:bookmarkStart w:id="277" w:name="_Toc447030692"/>
      <w:bookmarkStart w:id="278" w:name="_Toc447030785"/>
      <w:bookmarkStart w:id="279" w:name="_Toc65742848"/>
      <w:bookmarkStart w:id="280" w:name="_Toc145583275"/>
      <w:bookmarkStart w:id="281" w:name="_Toc145949755"/>
      <w:bookmarkStart w:id="282" w:name="_Toc146022837"/>
      <w:bookmarkStart w:id="283" w:name="_Toc146191218"/>
      <w:bookmarkStart w:id="284" w:name="_Toc146195318"/>
      <w:bookmarkStart w:id="285" w:name="_Toc146200287"/>
      <w:bookmarkStart w:id="286" w:name="_Toc146203442"/>
      <w:bookmarkStart w:id="287" w:name="_Toc146538799"/>
      <w:bookmarkStart w:id="288" w:name="_Toc146545536"/>
      <w:bookmarkStart w:id="289" w:name="_Toc147769234"/>
      <w:bookmarkStart w:id="290" w:name="_Toc147834881"/>
      <w:bookmarkStart w:id="291" w:name="_Toc147992022"/>
      <w:bookmarkStart w:id="292" w:name="_Toc148020783"/>
      <w:bookmarkStart w:id="293" w:name="_Toc148108402"/>
      <w:r w:rsidRPr="007C747A">
        <w:t>Non-Financial Assets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tbl>
      <w:tblPr>
        <w:tblW w:w="9637" w:type="dxa"/>
        <w:tblLayout w:type="fixed"/>
        <w:tblCellMar>
          <w:left w:w="57" w:type="dxa"/>
          <w:right w:w="57" w:type="dxa"/>
        </w:tblCellMar>
        <w:tblLook w:val="04A0" w:firstRow="1" w:lastRow="0" w:firstColumn="1" w:lastColumn="0" w:noHBand="0" w:noVBand="1"/>
      </w:tblPr>
      <w:tblGrid>
        <w:gridCol w:w="5306"/>
        <w:gridCol w:w="1602"/>
        <w:gridCol w:w="1384"/>
        <w:gridCol w:w="1345"/>
      </w:tblGrid>
      <w:tr w:rsidR="00F2518A" w:rsidRPr="007C747A" w14:paraId="796E0BEC" w14:textId="77777777">
        <w:trPr>
          <w:trHeight w:val="495"/>
        </w:trPr>
        <w:tc>
          <w:tcPr>
            <w:tcW w:w="9637" w:type="dxa"/>
            <w:gridSpan w:val="4"/>
            <w:tcBorders>
              <w:top w:val="nil"/>
              <w:left w:val="nil"/>
              <w:bottom w:val="nil"/>
              <w:right w:val="nil"/>
            </w:tcBorders>
            <w:shd w:val="clear" w:color="FFFFFF" w:fill="FFFFFF"/>
            <w:vAlign w:val="bottom"/>
            <w:hideMark/>
          </w:tcPr>
          <w:p w14:paraId="6438FDD0"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294" w:name="Note_MTATABLE1" w:colFirst="0" w:colLast="0"/>
            <w:r w:rsidRPr="007C747A">
              <w:rPr>
                <w:rFonts w:eastAsia="Times New Roman" w:cs="Arial"/>
                <w:b/>
                <w:bCs/>
                <w:sz w:val="18"/>
                <w:szCs w:val="18"/>
                <w:u w:val="single"/>
                <w:lang w:val="en-AU" w:eastAsia="en-US"/>
              </w:rPr>
              <w:t>Note 2.2A: Reconciliation of the opening and closing balances of Buildings and Plant and equipment 2023</w:t>
            </w:r>
          </w:p>
        </w:tc>
      </w:tr>
      <w:bookmarkEnd w:id="294"/>
      <w:tr w:rsidR="00F2518A" w:rsidRPr="007C747A" w14:paraId="21A00751" w14:textId="77777777" w:rsidTr="00486335">
        <w:trPr>
          <w:trHeight w:val="250"/>
        </w:trPr>
        <w:tc>
          <w:tcPr>
            <w:tcW w:w="5306" w:type="dxa"/>
            <w:tcBorders>
              <w:top w:val="nil"/>
              <w:left w:val="nil"/>
              <w:bottom w:val="single" w:sz="4" w:space="0" w:color="auto"/>
              <w:right w:val="nil"/>
            </w:tcBorders>
            <w:shd w:val="clear" w:color="FFFFFF" w:fill="FFFFFF"/>
            <w:noWrap/>
            <w:vAlign w:val="bottom"/>
            <w:hideMark/>
          </w:tcPr>
          <w:p w14:paraId="0DCC442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602" w:type="dxa"/>
            <w:tcBorders>
              <w:top w:val="nil"/>
              <w:left w:val="nil"/>
              <w:bottom w:val="single" w:sz="4" w:space="0" w:color="auto"/>
              <w:right w:val="nil"/>
            </w:tcBorders>
            <w:shd w:val="clear" w:color="FFFFFF" w:fill="FFFFFF"/>
            <w:noWrap/>
            <w:vAlign w:val="bottom"/>
            <w:hideMark/>
          </w:tcPr>
          <w:p w14:paraId="705EBFA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84" w:type="dxa"/>
            <w:tcBorders>
              <w:top w:val="nil"/>
              <w:left w:val="nil"/>
              <w:bottom w:val="single" w:sz="4" w:space="0" w:color="auto"/>
              <w:right w:val="nil"/>
            </w:tcBorders>
            <w:shd w:val="clear" w:color="FFFFFF" w:fill="FFFFFF"/>
            <w:noWrap/>
            <w:vAlign w:val="bottom"/>
            <w:hideMark/>
          </w:tcPr>
          <w:p w14:paraId="7DEBCB8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45" w:type="dxa"/>
            <w:tcBorders>
              <w:top w:val="nil"/>
              <w:left w:val="nil"/>
              <w:bottom w:val="single" w:sz="4" w:space="0" w:color="auto"/>
              <w:right w:val="nil"/>
            </w:tcBorders>
            <w:shd w:val="clear" w:color="FFFFFF" w:fill="FFFFFF"/>
            <w:noWrap/>
            <w:vAlign w:val="bottom"/>
            <w:hideMark/>
          </w:tcPr>
          <w:p w14:paraId="59EAD95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B2E4EDF" w14:textId="77777777" w:rsidTr="00486335">
        <w:trPr>
          <w:trHeight w:val="250"/>
        </w:trPr>
        <w:tc>
          <w:tcPr>
            <w:tcW w:w="5306" w:type="dxa"/>
            <w:tcBorders>
              <w:top w:val="single" w:sz="4" w:space="0" w:color="auto"/>
              <w:left w:val="nil"/>
              <w:bottom w:val="single" w:sz="4" w:space="0" w:color="auto"/>
              <w:right w:val="nil"/>
            </w:tcBorders>
            <w:shd w:val="clear" w:color="FFFFFF" w:fill="FFFFFF"/>
            <w:noWrap/>
            <w:vAlign w:val="bottom"/>
            <w:hideMark/>
          </w:tcPr>
          <w:p w14:paraId="22001E1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602" w:type="dxa"/>
            <w:tcBorders>
              <w:top w:val="single" w:sz="4" w:space="0" w:color="auto"/>
              <w:left w:val="nil"/>
              <w:bottom w:val="single" w:sz="4" w:space="0" w:color="auto"/>
              <w:right w:val="nil"/>
            </w:tcBorders>
            <w:shd w:val="clear" w:color="FFFFFF" w:fill="FFFFFF"/>
            <w:vAlign w:val="bottom"/>
            <w:hideMark/>
          </w:tcPr>
          <w:p w14:paraId="79901BE5" w14:textId="31B676AB" w:rsidR="00F2518A" w:rsidRPr="007C747A" w:rsidRDefault="00486335"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Buildings</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1384" w:type="dxa"/>
            <w:tcBorders>
              <w:top w:val="single" w:sz="4" w:space="0" w:color="auto"/>
              <w:left w:val="nil"/>
              <w:bottom w:val="single" w:sz="4" w:space="0" w:color="auto"/>
              <w:right w:val="nil"/>
            </w:tcBorders>
            <w:shd w:val="clear" w:color="FFFFFF" w:fill="FFFFFF"/>
            <w:vAlign w:val="bottom"/>
            <w:hideMark/>
          </w:tcPr>
          <w:p w14:paraId="288B0678" w14:textId="482C329F" w:rsidR="00F2518A" w:rsidRPr="007C747A" w:rsidRDefault="00486335"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Plant and equipment</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1345" w:type="dxa"/>
            <w:tcBorders>
              <w:top w:val="single" w:sz="4" w:space="0" w:color="auto"/>
              <w:left w:val="nil"/>
              <w:bottom w:val="single" w:sz="4" w:space="0" w:color="auto"/>
              <w:right w:val="nil"/>
            </w:tcBorders>
            <w:shd w:val="clear" w:color="FFFFFF" w:fill="FFFFFF"/>
            <w:vAlign w:val="bottom"/>
            <w:hideMark/>
          </w:tcPr>
          <w:p w14:paraId="7884012F" w14:textId="31F5CFC8" w:rsidR="00F2518A" w:rsidRPr="007C747A" w:rsidRDefault="00486335"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Total</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r>
      <w:tr w:rsidR="00F2518A" w:rsidRPr="007C747A" w14:paraId="07101966" w14:textId="77777777">
        <w:trPr>
          <w:trHeight w:val="250"/>
        </w:trPr>
        <w:tc>
          <w:tcPr>
            <w:tcW w:w="5306" w:type="dxa"/>
            <w:tcBorders>
              <w:top w:val="nil"/>
              <w:left w:val="nil"/>
              <w:bottom w:val="nil"/>
              <w:right w:val="nil"/>
            </w:tcBorders>
            <w:shd w:val="clear" w:color="FFFFFF" w:fill="FFFFFF"/>
            <w:vAlign w:val="bottom"/>
            <w:hideMark/>
          </w:tcPr>
          <w:p w14:paraId="3A94C94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As at 1 July 2022</w:t>
            </w:r>
          </w:p>
        </w:tc>
        <w:tc>
          <w:tcPr>
            <w:tcW w:w="1602" w:type="dxa"/>
            <w:tcBorders>
              <w:top w:val="nil"/>
              <w:left w:val="nil"/>
              <w:bottom w:val="nil"/>
              <w:right w:val="nil"/>
            </w:tcBorders>
            <w:shd w:val="clear" w:color="FFFFFF" w:fill="FFFFFF"/>
            <w:noWrap/>
            <w:vAlign w:val="bottom"/>
            <w:hideMark/>
          </w:tcPr>
          <w:p w14:paraId="78FB9EC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84" w:type="dxa"/>
            <w:tcBorders>
              <w:top w:val="nil"/>
              <w:left w:val="nil"/>
              <w:bottom w:val="nil"/>
              <w:right w:val="nil"/>
            </w:tcBorders>
            <w:shd w:val="clear" w:color="FFFFFF" w:fill="FFFFFF"/>
            <w:noWrap/>
            <w:vAlign w:val="bottom"/>
            <w:hideMark/>
          </w:tcPr>
          <w:p w14:paraId="6806681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45" w:type="dxa"/>
            <w:tcBorders>
              <w:top w:val="nil"/>
              <w:left w:val="nil"/>
              <w:bottom w:val="nil"/>
              <w:right w:val="nil"/>
            </w:tcBorders>
            <w:shd w:val="clear" w:color="FFFFFF" w:fill="FFFFFF"/>
            <w:noWrap/>
            <w:vAlign w:val="bottom"/>
            <w:hideMark/>
          </w:tcPr>
          <w:p w14:paraId="58D5399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056FDFC" w14:textId="77777777">
        <w:trPr>
          <w:trHeight w:val="250"/>
        </w:trPr>
        <w:tc>
          <w:tcPr>
            <w:tcW w:w="5306" w:type="dxa"/>
            <w:tcBorders>
              <w:top w:val="nil"/>
              <w:left w:val="nil"/>
              <w:bottom w:val="nil"/>
              <w:right w:val="nil"/>
            </w:tcBorders>
            <w:shd w:val="clear" w:color="FFFFFF" w:fill="FFFFFF"/>
            <w:vAlign w:val="bottom"/>
            <w:hideMark/>
          </w:tcPr>
          <w:p w14:paraId="0FAB1DF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Gross book value</w:t>
            </w:r>
          </w:p>
        </w:tc>
        <w:tc>
          <w:tcPr>
            <w:tcW w:w="1602" w:type="dxa"/>
            <w:tcBorders>
              <w:top w:val="nil"/>
              <w:left w:val="nil"/>
              <w:bottom w:val="nil"/>
              <w:right w:val="nil"/>
            </w:tcBorders>
            <w:shd w:val="clear" w:color="FFFFFF" w:fill="FFFFFF"/>
            <w:noWrap/>
            <w:vAlign w:val="bottom"/>
            <w:hideMark/>
          </w:tcPr>
          <w:p w14:paraId="32A98A9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406,949</w:t>
            </w:r>
          </w:p>
        </w:tc>
        <w:tc>
          <w:tcPr>
            <w:tcW w:w="1384" w:type="dxa"/>
            <w:tcBorders>
              <w:top w:val="nil"/>
              <w:left w:val="nil"/>
              <w:bottom w:val="nil"/>
              <w:right w:val="nil"/>
            </w:tcBorders>
            <w:shd w:val="clear" w:color="FFFFFF" w:fill="FFFFFF"/>
            <w:noWrap/>
            <w:vAlign w:val="bottom"/>
            <w:hideMark/>
          </w:tcPr>
          <w:p w14:paraId="2D37628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14,799</w:t>
            </w:r>
          </w:p>
        </w:tc>
        <w:tc>
          <w:tcPr>
            <w:tcW w:w="1345" w:type="dxa"/>
            <w:tcBorders>
              <w:top w:val="nil"/>
              <w:left w:val="nil"/>
              <w:bottom w:val="nil"/>
              <w:right w:val="nil"/>
            </w:tcBorders>
            <w:shd w:val="clear" w:color="FFFFFF" w:fill="FFFFFF"/>
            <w:noWrap/>
            <w:vAlign w:val="bottom"/>
            <w:hideMark/>
          </w:tcPr>
          <w:p w14:paraId="40CAD4E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421,748</w:t>
            </w:r>
          </w:p>
        </w:tc>
      </w:tr>
      <w:tr w:rsidR="00F2518A" w:rsidRPr="007C747A" w14:paraId="5672FABE" w14:textId="77777777">
        <w:trPr>
          <w:trHeight w:val="250"/>
        </w:trPr>
        <w:tc>
          <w:tcPr>
            <w:tcW w:w="5306" w:type="dxa"/>
            <w:tcBorders>
              <w:top w:val="nil"/>
              <w:left w:val="nil"/>
              <w:bottom w:val="nil"/>
              <w:right w:val="nil"/>
            </w:tcBorders>
            <w:shd w:val="clear" w:color="FFFFFF" w:fill="FFFFFF"/>
            <w:vAlign w:val="bottom"/>
            <w:hideMark/>
          </w:tcPr>
          <w:p w14:paraId="645A726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Accumulated depreciation and impairment</w:t>
            </w:r>
          </w:p>
        </w:tc>
        <w:tc>
          <w:tcPr>
            <w:tcW w:w="1602" w:type="dxa"/>
            <w:tcBorders>
              <w:top w:val="nil"/>
              <w:left w:val="nil"/>
              <w:bottom w:val="nil"/>
              <w:right w:val="nil"/>
            </w:tcBorders>
            <w:shd w:val="clear" w:color="FFFFFF" w:fill="FFFFFF"/>
            <w:noWrap/>
            <w:vAlign w:val="bottom"/>
            <w:hideMark/>
          </w:tcPr>
          <w:p w14:paraId="7CE2D82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(189,533)</w:t>
            </w:r>
          </w:p>
        </w:tc>
        <w:tc>
          <w:tcPr>
            <w:tcW w:w="1384" w:type="dxa"/>
            <w:tcBorders>
              <w:top w:val="nil"/>
              <w:left w:val="nil"/>
              <w:bottom w:val="nil"/>
              <w:right w:val="nil"/>
            </w:tcBorders>
            <w:shd w:val="clear" w:color="FFFFFF" w:fill="FFFFFF"/>
            <w:noWrap/>
            <w:vAlign w:val="bottom"/>
            <w:hideMark/>
          </w:tcPr>
          <w:p w14:paraId="258BB6C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(4,426)</w:t>
            </w:r>
          </w:p>
        </w:tc>
        <w:tc>
          <w:tcPr>
            <w:tcW w:w="1345" w:type="dxa"/>
            <w:tcBorders>
              <w:top w:val="nil"/>
              <w:left w:val="nil"/>
              <w:bottom w:val="nil"/>
              <w:right w:val="nil"/>
            </w:tcBorders>
            <w:shd w:val="clear" w:color="FFFFFF" w:fill="FFFFFF"/>
            <w:noWrap/>
            <w:vAlign w:val="bottom"/>
            <w:hideMark/>
          </w:tcPr>
          <w:p w14:paraId="7BF08D8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(193,959)</w:t>
            </w:r>
          </w:p>
        </w:tc>
      </w:tr>
      <w:tr w:rsidR="00F2518A" w:rsidRPr="007C747A" w14:paraId="26CAA721" w14:textId="77777777">
        <w:trPr>
          <w:trHeight w:val="250"/>
        </w:trPr>
        <w:tc>
          <w:tcPr>
            <w:tcW w:w="5306" w:type="dxa"/>
            <w:tcBorders>
              <w:top w:val="single" w:sz="4" w:space="0" w:color="auto"/>
              <w:left w:val="nil"/>
              <w:bottom w:val="single" w:sz="4" w:space="0" w:color="auto"/>
              <w:right w:val="nil"/>
            </w:tcBorders>
            <w:shd w:val="clear" w:color="FFFFFF" w:fill="FFFFFF"/>
            <w:vAlign w:val="bottom"/>
            <w:hideMark/>
          </w:tcPr>
          <w:p w14:paraId="140A1E9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book value as at 1 July 2022</w:t>
            </w:r>
          </w:p>
        </w:tc>
        <w:tc>
          <w:tcPr>
            <w:tcW w:w="1602" w:type="dxa"/>
            <w:tcBorders>
              <w:top w:val="single" w:sz="4" w:space="0" w:color="auto"/>
              <w:left w:val="nil"/>
              <w:bottom w:val="single" w:sz="4" w:space="0" w:color="auto"/>
              <w:right w:val="nil"/>
            </w:tcBorders>
            <w:shd w:val="clear" w:color="FFFFFF" w:fill="FFFFFF"/>
            <w:noWrap/>
            <w:vAlign w:val="bottom"/>
            <w:hideMark/>
          </w:tcPr>
          <w:p w14:paraId="63438ED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217,416</w:t>
            </w:r>
          </w:p>
        </w:tc>
        <w:tc>
          <w:tcPr>
            <w:tcW w:w="1384" w:type="dxa"/>
            <w:tcBorders>
              <w:top w:val="single" w:sz="4" w:space="0" w:color="auto"/>
              <w:left w:val="nil"/>
              <w:bottom w:val="single" w:sz="4" w:space="0" w:color="auto"/>
              <w:right w:val="nil"/>
            </w:tcBorders>
            <w:shd w:val="clear" w:color="FFFFFF" w:fill="FFFFFF"/>
            <w:noWrap/>
            <w:vAlign w:val="bottom"/>
            <w:hideMark/>
          </w:tcPr>
          <w:p w14:paraId="31CAE89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10,373</w:t>
            </w:r>
          </w:p>
        </w:tc>
        <w:tc>
          <w:tcPr>
            <w:tcW w:w="1345" w:type="dxa"/>
            <w:tcBorders>
              <w:top w:val="single" w:sz="4" w:space="0" w:color="auto"/>
              <w:left w:val="nil"/>
              <w:bottom w:val="single" w:sz="4" w:space="0" w:color="auto"/>
              <w:right w:val="nil"/>
            </w:tcBorders>
            <w:shd w:val="clear" w:color="FFFFFF" w:fill="FFFFFF"/>
            <w:noWrap/>
            <w:vAlign w:val="bottom"/>
            <w:hideMark/>
          </w:tcPr>
          <w:p w14:paraId="50494AE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227,789</w:t>
            </w:r>
          </w:p>
        </w:tc>
      </w:tr>
      <w:tr w:rsidR="00F2518A" w:rsidRPr="007C747A" w14:paraId="291574A7" w14:textId="77777777">
        <w:trPr>
          <w:trHeight w:val="250"/>
        </w:trPr>
        <w:tc>
          <w:tcPr>
            <w:tcW w:w="5306" w:type="dxa"/>
            <w:tcBorders>
              <w:top w:val="nil"/>
              <w:left w:val="nil"/>
              <w:bottom w:val="nil"/>
              <w:right w:val="nil"/>
            </w:tcBorders>
            <w:shd w:val="clear" w:color="FFFFFF" w:fill="FFFFFF"/>
            <w:noWrap/>
            <w:vAlign w:val="bottom"/>
            <w:hideMark/>
          </w:tcPr>
          <w:p w14:paraId="477A6D7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602" w:type="dxa"/>
            <w:tcBorders>
              <w:top w:val="nil"/>
              <w:left w:val="nil"/>
              <w:bottom w:val="nil"/>
              <w:right w:val="nil"/>
            </w:tcBorders>
            <w:shd w:val="clear" w:color="FFFFFF" w:fill="FFFFFF"/>
            <w:noWrap/>
            <w:vAlign w:val="bottom"/>
            <w:hideMark/>
          </w:tcPr>
          <w:p w14:paraId="3EC624D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84" w:type="dxa"/>
            <w:tcBorders>
              <w:top w:val="nil"/>
              <w:left w:val="nil"/>
              <w:bottom w:val="nil"/>
              <w:right w:val="nil"/>
            </w:tcBorders>
            <w:shd w:val="clear" w:color="FFFFFF" w:fill="FFFFFF"/>
            <w:noWrap/>
            <w:vAlign w:val="bottom"/>
            <w:hideMark/>
          </w:tcPr>
          <w:p w14:paraId="5280A8F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45" w:type="dxa"/>
            <w:tcBorders>
              <w:top w:val="nil"/>
              <w:left w:val="nil"/>
              <w:bottom w:val="nil"/>
              <w:right w:val="nil"/>
            </w:tcBorders>
            <w:shd w:val="clear" w:color="FFFFFF" w:fill="FFFFFF"/>
            <w:noWrap/>
            <w:vAlign w:val="bottom"/>
            <w:hideMark/>
          </w:tcPr>
          <w:p w14:paraId="2CE0046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374162C4" w14:textId="77777777">
        <w:trPr>
          <w:trHeight w:val="250"/>
        </w:trPr>
        <w:tc>
          <w:tcPr>
            <w:tcW w:w="5306" w:type="dxa"/>
            <w:tcBorders>
              <w:top w:val="nil"/>
              <w:left w:val="nil"/>
              <w:bottom w:val="nil"/>
              <w:right w:val="nil"/>
            </w:tcBorders>
            <w:shd w:val="clear" w:color="FFFFFF" w:fill="FFFFFF"/>
            <w:vAlign w:val="bottom"/>
            <w:hideMark/>
          </w:tcPr>
          <w:p w14:paraId="3728FBF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Additions</w:t>
            </w:r>
          </w:p>
        </w:tc>
        <w:tc>
          <w:tcPr>
            <w:tcW w:w="1602" w:type="dxa"/>
            <w:tcBorders>
              <w:top w:val="nil"/>
              <w:left w:val="nil"/>
              <w:bottom w:val="nil"/>
              <w:right w:val="nil"/>
            </w:tcBorders>
            <w:shd w:val="clear" w:color="FFFFFF" w:fill="FFFFFF"/>
            <w:noWrap/>
            <w:vAlign w:val="bottom"/>
            <w:hideMark/>
          </w:tcPr>
          <w:p w14:paraId="3A570FA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84" w:type="dxa"/>
            <w:tcBorders>
              <w:top w:val="nil"/>
              <w:left w:val="nil"/>
              <w:bottom w:val="nil"/>
              <w:right w:val="nil"/>
            </w:tcBorders>
            <w:shd w:val="clear" w:color="FFFFFF" w:fill="FFFFFF"/>
            <w:noWrap/>
            <w:vAlign w:val="bottom"/>
            <w:hideMark/>
          </w:tcPr>
          <w:p w14:paraId="38FFE96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45" w:type="dxa"/>
            <w:tcBorders>
              <w:top w:val="nil"/>
              <w:left w:val="nil"/>
              <w:bottom w:val="nil"/>
              <w:right w:val="nil"/>
            </w:tcBorders>
            <w:shd w:val="clear" w:color="FFFFFF" w:fill="FFFFFF"/>
            <w:noWrap/>
            <w:vAlign w:val="bottom"/>
            <w:hideMark/>
          </w:tcPr>
          <w:p w14:paraId="4CAA2B0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0507C0F6" w14:textId="77777777">
        <w:trPr>
          <w:trHeight w:val="250"/>
        </w:trPr>
        <w:tc>
          <w:tcPr>
            <w:tcW w:w="5306" w:type="dxa"/>
            <w:tcBorders>
              <w:top w:val="nil"/>
              <w:left w:val="nil"/>
              <w:bottom w:val="nil"/>
              <w:right w:val="nil"/>
            </w:tcBorders>
            <w:shd w:val="clear" w:color="FFFFFF" w:fill="FFFFFF"/>
            <w:noWrap/>
            <w:vAlign w:val="bottom"/>
            <w:hideMark/>
          </w:tcPr>
          <w:p w14:paraId="6276CE05" w14:textId="77777777" w:rsidR="00F2518A" w:rsidRPr="007C747A" w:rsidRDefault="00F2518A" w:rsidP="00F2518A">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Purchases</w:t>
            </w:r>
          </w:p>
        </w:tc>
        <w:tc>
          <w:tcPr>
            <w:tcW w:w="1602" w:type="dxa"/>
            <w:tcBorders>
              <w:top w:val="nil"/>
              <w:left w:val="nil"/>
              <w:bottom w:val="nil"/>
              <w:right w:val="nil"/>
            </w:tcBorders>
            <w:shd w:val="clear" w:color="FFFFFF" w:fill="FFFFFF"/>
            <w:noWrap/>
            <w:vAlign w:val="bottom"/>
            <w:hideMark/>
          </w:tcPr>
          <w:p w14:paraId="02CA875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27,764</w:t>
            </w:r>
          </w:p>
        </w:tc>
        <w:tc>
          <w:tcPr>
            <w:tcW w:w="1384" w:type="dxa"/>
            <w:tcBorders>
              <w:top w:val="nil"/>
              <w:left w:val="nil"/>
              <w:bottom w:val="nil"/>
              <w:right w:val="nil"/>
            </w:tcBorders>
            <w:shd w:val="clear" w:color="FFFFFF" w:fill="FFFFFF"/>
            <w:noWrap/>
            <w:vAlign w:val="bottom"/>
            <w:hideMark/>
          </w:tcPr>
          <w:p w14:paraId="2EB6A8D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3,541</w:t>
            </w:r>
          </w:p>
        </w:tc>
        <w:tc>
          <w:tcPr>
            <w:tcW w:w="1345" w:type="dxa"/>
            <w:tcBorders>
              <w:top w:val="nil"/>
              <w:left w:val="nil"/>
              <w:bottom w:val="nil"/>
              <w:right w:val="nil"/>
            </w:tcBorders>
            <w:shd w:val="clear" w:color="FFFFFF" w:fill="FFFFFF"/>
            <w:noWrap/>
            <w:vAlign w:val="bottom"/>
            <w:hideMark/>
          </w:tcPr>
          <w:p w14:paraId="3077F53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31,305</w:t>
            </w:r>
          </w:p>
        </w:tc>
      </w:tr>
      <w:tr w:rsidR="00F2518A" w:rsidRPr="007C747A" w14:paraId="0C46A17A" w14:textId="77777777">
        <w:trPr>
          <w:trHeight w:val="250"/>
        </w:trPr>
        <w:tc>
          <w:tcPr>
            <w:tcW w:w="5306" w:type="dxa"/>
            <w:tcBorders>
              <w:top w:val="nil"/>
              <w:left w:val="nil"/>
              <w:bottom w:val="nil"/>
              <w:right w:val="nil"/>
            </w:tcBorders>
            <w:shd w:val="clear" w:color="FFFFFF" w:fill="FFFFFF"/>
            <w:noWrap/>
            <w:vAlign w:val="bottom"/>
            <w:hideMark/>
          </w:tcPr>
          <w:p w14:paraId="15825FC2" w14:textId="77777777" w:rsidR="00F2518A" w:rsidRPr="007C747A" w:rsidRDefault="00F2518A" w:rsidP="00F2518A">
            <w:pPr>
              <w:spacing w:after="0" w:line="260" w:lineRule="atLeast"/>
              <w:ind w:leftChars="100" w:left="240"/>
              <w:rPr>
                <w:rFonts w:eastAsia="Times New Roman" w:cs="Arial"/>
                <w:sz w:val="18"/>
                <w:szCs w:val="18"/>
                <w:lang w:val="en-AU" w:eastAsia="en-US"/>
              </w:rPr>
            </w:pPr>
            <w:r w:rsidRPr="007C747A">
              <w:rPr>
                <w:rFonts w:eastAsia="Times New Roman" w:cs="Arial"/>
                <w:sz w:val="18"/>
                <w:szCs w:val="18"/>
                <w:lang w:val="en-AU" w:eastAsia="en-US"/>
              </w:rPr>
              <w:t>Right-of-use assets</w:t>
            </w:r>
          </w:p>
        </w:tc>
        <w:tc>
          <w:tcPr>
            <w:tcW w:w="1602" w:type="dxa"/>
            <w:tcBorders>
              <w:top w:val="nil"/>
              <w:left w:val="nil"/>
              <w:bottom w:val="nil"/>
              <w:right w:val="nil"/>
            </w:tcBorders>
            <w:shd w:val="clear" w:color="FFFFFF" w:fill="FFFFFF"/>
            <w:noWrap/>
            <w:vAlign w:val="bottom"/>
            <w:hideMark/>
          </w:tcPr>
          <w:p w14:paraId="45A0466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14,728</w:t>
            </w:r>
          </w:p>
        </w:tc>
        <w:tc>
          <w:tcPr>
            <w:tcW w:w="1384" w:type="dxa"/>
            <w:tcBorders>
              <w:top w:val="nil"/>
              <w:left w:val="nil"/>
              <w:bottom w:val="nil"/>
              <w:right w:val="nil"/>
            </w:tcBorders>
            <w:shd w:val="clear" w:color="FFFFFF" w:fill="FFFFFF"/>
            <w:noWrap/>
            <w:vAlign w:val="bottom"/>
            <w:hideMark/>
          </w:tcPr>
          <w:p w14:paraId="30B9CEB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345" w:type="dxa"/>
            <w:tcBorders>
              <w:top w:val="nil"/>
              <w:left w:val="nil"/>
              <w:bottom w:val="nil"/>
              <w:right w:val="nil"/>
            </w:tcBorders>
            <w:shd w:val="clear" w:color="FFFFFF" w:fill="FFFFFF"/>
            <w:noWrap/>
            <w:vAlign w:val="bottom"/>
            <w:hideMark/>
          </w:tcPr>
          <w:p w14:paraId="633BE82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14,728</w:t>
            </w:r>
          </w:p>
        </w:tc>
      </w:tr>
      <w:tr w:rsidR="00F2518A" w:rsidRPr="007C747A" w14:paraId="21E6E0A0" w14:textId="77777777">
        <w:trPr>
          <w:trHeight w:val="250"/>
        </w:trPr>
        <w:tc>
          <w:tcPr>
            <w:tcW w:w="5306" w:type="dxa"/>
            <w:tcBorders>
              <w:top w:val="nil"/>
              <w:left w:val="nil"/>
              <w:bottom w:val="nil"/>
              <w:right w:val="nil"/>
            </w:tcBorders>
            <w:shd w:val="clear" w:color="FFFFFF" w:fill="FFFFFF"/>
            <w:vAlign w:val="bottom"/>
            <w:hideMark/>
          </w:tcPr>
          <w:p w14:paraId="0CAD6F5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Depreciation expense</w:t>
            </w:r>
          </w:p>
        </w:tc>
        <w:tc>
          <w:tcPr>
            <w:tcW w:w="1602" w:type="dxa"/>
            <w:tcBorders>
              <w:top w:val="nil"/>
              <w:left w:val="nil"/>
              <w:bottom w:val="nil"/>
              <w:right w:val="nil"/>
            </w:tcBorders>
            <w:shd w:val="clear" w:color="FFFFFF" w:fill="FFFFFF"/>
            <w:noWrap/>
            <w:vAlign w:val="bottom"/>
            <w:hideMark/>
          </w:tcPr>
          <w:p w14:paraId="7495CC1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(23,678)</w:t>
            </w:r>
          </w:p>
        </w:tc>
        <w:tc>
          <w:tcPr>
            <w:tcW w:w="1384" w:type="dxa"/>
            <w:tcBorders>
              <w:top w:val="nil"/>
              <w:left w:val="nil"/>
              <w:bottom w:val="nil"/>
              <w:right w:val="nil"/>
            </w:tcBorders>
            <w:shd w:val="clear" w:color="FFFFFF" w:fill="FFFFFF"/>
            <w:noWrap/>
            <w:vAlign w:val="bottom"/>
            <w:hideMark/>
          </w:tcPr>
          <w:p w14:paraId="31C2E2D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(4,375)</w:t>
            </w:r>
          </w:p>
        </w:tc>
        <w:tc>
          <w:tcPr>
            <w:tcW w:w="1345" w:type="dxa"/>
            <w:tcBorders>
              <w:top w:val="nil"/>
              <w:left w:val="nil"/>
              <w:bottom w:val="nil"/>
              <w:right w:val="nil"/>
            </w:tcBorders>
            <w:shd w:val="clear" w:color="FFFFFF" w:fill="FFFFFF"/>
            <w:noWrap/>
            <w:vAlign w:val="bottom"/>
            <w:hideMark/>
          </w:tcPr>
          <w:p w14:paraId="1C847E1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(28,053)</w:t>
            </w:r>
          </w:p>
        </w:tc>
      </w:tr>
      <w:tr w:rsidR="00F2518A" w:rsidRPr="007C747A" w14:paraId="69358C89" w14:textId="77777777">
        <w:trPr>
          <w:trHeight w:val="250"/>
        </w:trPr>
        <w:tc>
          <w:tcPr>
            <w:tcW w:w="5306" w:type="dxa"/>
            <w:tcBorders>
              <w:top w:val="nil"/>
              <w:left w:val="nil"/>
              <w:bottom w:val="nil"/>
              <w:right w:val="nil"/>
            </w:tcBorders>
            <w:shd w:val="clear" w:color="FFFFFF" w:fill="FFFFFF"/>
            <w:vAlign w:val="bottom"/>
            <w:hideMark/>
          </w:tcPr>
          <w:p w14:paraId="3144158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Depreciation on right-of-use assets</w:t>
            </w:r>
          </w:p>
        </w:tc>
        <w:tc>
          <w:tcPr>
            <w:tcW w:w="1602" w:type="dxa"/>
            <w:tcBorders>
              <w:top w:val="nil"/>
              <w:left w:val="nil"/>
              <w:bottom w:val="nil"/>
              <w:right w:val="nil"/>
            </w:tcBorders>
            <w:shd w:val="clear" w:color="FFFFFF" w:fill="FFFFFF"/>
            <w:noWrap/>
            <w:vAlign w:val="bottom"/>
            <w:hideMark/>
          </w:tcPr>
          <w:p w14:paraId="1BFB50E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(36,979)</w:t>
            </w:r>
          </w:p>
        </w:tc>
        <w:tc>
          <w:tcPr>
            <w:tcW w:w="1384" w:type="dxa"/>
            <w:tcBorders>
              <w:top w:val="nil"/>
              <w:left w:val="nil"/>
              <w:bottom w:val="nil"/>
              <w:right w:val="nil"/>
            </w:tcBorders>
            <w:shd w:val="clear" w:color="FFFFFF" w:fill="FFFFFF"/>
            <w:noWrap/>
            <w:vAlign w:val="bottom"/>
            <w:hideMark/>
          </w:tcPr>
          <w:p w14:paraId="135BC53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(476)</w:t>
            </w:r>
          </w:p>
        </w:tc>
        <w:tc>
          <w:tcPr>
            <w:tcW w:w="1345" w:type="dxa"/>
            <w:tcBorders>
              <w:top w:val="nil"/>
              <w:left w:val="nil"/>
              <w:bottom w:val="nil"/>
              <w:right w:val="nil"/>
            </w:tcBorders>
            <w:shd w:val="clear" w:color="FFFFFF" w:fill="FFFFFF"/>
            <w:noWrap/>
            <w:vAlign w:val="bottom"/>
            <w:hideMark/>
          </w:tcPr>
          <w:p w14:paraId="42A9051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(37,455)</w:t>
            </w:r>
          </w:p>
        </w:tc>
      </w:tr>
      <w:tr w:rsidR="00F2518A" w:rsidRPr="007C747A" w14:paraId="108D1358" w14:textId="77777777">
        <w:trPr>
          <w:trHeight w:val="250"/>
        </w:trPr>
        <w:tc>
          <w:tcPr>
            <w:tcW w:w="5306" w:type="dxa"/>
            <w:tcBorders>
              <w:top w:val="nil"/>
              <w:left w:val="nil"/>
              <w:bottom w:val="nil"/>
              <w:right w:val="nil"/>
            </w:tcBorders>
            <w:shd w:val="clear" w:color="FFFFFF" w:fill="FFFFFF"/>
            <w:vAlign w:val="bottom"/>
            <w:hideMark/>
          </w:tcPr>
          <w:p w14:paraId="465D58A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Revaluations in other comprehensive income</w:t>
            </w:r>
          </w:p>
        </w:tc>
        <w:tc>
          <w:tcPr>
            <w:tcW w:w="1602" w:type="dxa"/>
            <w:tcBorders>
              <w:top w:val="nil"/>
              <w:left w:val="nil"/>
              <w:bottom w:val="nil"/>
              <w:right w:val="nil"/>
            </w:tcBorders>
            <w:shd w:val="clear" w:color="FFFFFF" w:fill="FFFFFF"/>
            <w:noWrap/>
            <w:vAlign w:val="bottom"/>
            <w:hideMark/>
          </w:tcPr>
          <w:p w14:paraId="061F0CA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c>
          <w:tcPr>
            <w:tcW w:w="1384" w:type="dxa"/>
            <w:tcBorders>
              <w:top w:val="nil"/>
              <w:left w:val="nil"/>
              <w:bottom w:val="nil"/>
              <w:right w:val="nil"/>
            </w:tcBorders>
            <w:shd w:val="clear" w:color="FFFFFF" w:fill="FFFFFF"/>
            <w:noWrap/>
            <w:vAlign w:val="bottom"/>
            <w:hideMark/>
          </w:tcPr>
          <w:p w14:paraId="70356AE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345" w:type="dxa"/>
            <w:tcBorders>
              <w:top w:val="nil"/>
              <w:left w:val="nil"/>
              <w:bottom w:val="nil"/>
              <w:right w:val="nil"/>
            </w:tcBorders>
            <w:shd w:val="clear" w:color="FFFFFF" w:fill="FFFFFF"/>
            <w:noWrap/>
            <w:vAlign w:val="bottom"/>
            <w:hideMark/>
          </w:tcPr>
          <w:p w14:paraId="4C5268D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17,285</w:t>
            </w:r>
          </w:p>
        </w:tc>
      </w:tr>
      <w:tr w:rsidR="00F2518A" w:rsidRPr="007C747A" w14:paraId="5647A460" w14:textId="77777777">
        <w:trPr>
          <w:trHeight w:val="250"/>
        </w:trPr>
        <w:tc>
          <w:tcPr>
            <w:tcW w:w="5306" w:type="dxa"/>
            <w:tcBorders>
              <w:top w:val="nil"/>
              <w:left w:val="nil"/>
              <w:bottom w:val="nil"/>
              <w:right w:val="nil"/>
            </w:tcBorders>
            <w:shd w:val="clear" w:color="FFFFFF" w:fill="FFFFFF"/>
            <w:vAlign w:val="bottom"/>
            <w:hideMark/>
          </w:tcPr>
          <w:p w14:paraId="0F2BC78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Impairment recognised in net cost of services</w:t>
            </w:r>
          </w:p>
        </w:tc>
        <w:tc>
          <w:tcPr>
            <w:tcW w:w="1602" w:type="dxa"/>
            <w:tcBorders>
              <w:top w:val="nil"/>
              <w:left w:val="nil"/>
              <w:bottom w:val="nil"/>
              <w:right w:val="nil"/>
            </w:tcBorders>
            <w:shd w:val="clear" w:color="FFFFFF" w:fill="FFFFFF"/>
            <w:noWrap/>
            <w:vAlign w:val="bottom"/>
            <w:hideMark/>
          </w:tcPr>
          <w:p w14:paraId="1D922E2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(1,609)</w:t>
            </w:r>
          </w:p>
        </w:tc>
        <w:tc>
          <w:tcPr>
            <w:tcW w:w="1384" w:type="dxa"/>
            <w:tcBorders>
              <w:top w:val="nil"/>
              <w:left w:val="nil"/>
              <w:bottom w:val="nil"/>
              <w:right w:val="nil"/>
            </w:tcBorders>
            <w:shd w:val="clear" w:color="FFFFFF" w:fill="FFFFFF"/>
            <w:noWrap/>
            <w:vAlign w:val="bottom"/>
            <w:hideMark/>
          </w:tcPr>
          <w:p w14:paraId="0C0088A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345" w:type="dxa"/>
            <w:tcBorders>
              <w:top w:val="nil"/>
              <w:left w:val="nil"/>
              <w:bottom w:val="nil"/>
              <w:right w:val="nil"/>
            </w:tcBorders>
            <w:shd w:val="clear" w:color="FFFFFF" w:fill="FFFFFF"/>
            <w:noWrap/>
            <w:vAlign w:val="bottom"/>
            <w:hideMark/>
          </w:tcPr>
          <w:p w14:paraId="0B8707E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(1,609)</w:t>
            </w:r>
          </w:p>
        </w:tc>
      </w:tr>
      <w:tr w:rsidR="00F2518A" w:rsidRPr="007C747A" w14:paraId="0A9DC34E" w14:textId="77777777">
        <w:trPr>
          <w:trHeight w:val="250"/>
        </w:trPr>
        <w:tc>
          <w:tcPr>
            <w:tcW w:w="5306" w:type="dxa"/>
            <w:tcBorders>
              <w:top w:val="nil"/>
              <w:left w:val="nil"/>
              <w:bottom w:val="nil"/>
              <w:right w:val="nil"/>
            </w:tcBorders>
            <w:shd w:val="clear" w:color="FFFFFF" w:fill="FFFFFF"/>
            <w:noWrap/>
            <w:vAlign w:val="bottom"/>
            <w:hideMark/>
          </w:tcPr>
          <w:p w14:paraId="1579E73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Other movements on right-of-use assets</w:t>
            </w:r>
          </w:p>
        </w:tc>
        <w:tc>
          <w:tcPr>
            <w:tcW w:w="1602" w:type="dxa"/>
            <w:tcBorders>
              <w:top w:val="nil"/>
              <w:left w:val="nil"/>
              <w:bottom w:val="nil"/>
              <w:right w:val="nil"/>
            </w:tcBorders>
            <w:shd w:val="clear" w:color="FFFFFF" w:fill="FFFFFF"/>
            <w:noWrap/>
            <w:vAlign w:val="bottom"/>
            <w:hideMark/>
          </w:tcPr>
          <w:p w14:paraId="00A7275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10,868</w:t>
            </w:r>
          </w:p>
        </w:tc>
        <w:tc>
          <w:tcPr>
            <w:tcW w:w="1384" w:type="dxa"/>
            <w:tcBorders>
              <w:top w:val="nil"/>
              <w:left w:val="nil"/>
              <w:bottom w:val="nil"/>
              <w:right w:val="nil"/>
            </w:tcBorders>
            <w:shd w:val="clear" w:color="FFFFFF" w:fill="FFFFFF"/>
            <w:noWrap/>
            <w:vAlign w:val="bottom"/>
            <w:hideMark/>
          </w:tcPr>
          <w:p w14:paraId="279D9EC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47</w:t>
            </w:r>
          </w:p>
        </w:tc>
        <w:tc>
          <w:tcPr>
            <w:tcW w:w="1345" w:type="dxa"/>
            <w:tcBorders>
              <w:top w:val="nil"/>
              <w:left w:val="nil"/>
              <w:bottom w:val="nil"/>
              <w:right w:val="nil"/>
            </w:tcBorders>
            <w:shd w:val="clear" w:color="FFFFFF" w:fill="FFFFFF"/>
            <w:noWrap/>
            <w:vAlign w:val="bottom"/>
            <w:hideMark/>
          </w:tcPr>
          <w:p w14:paraId="64E0440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10,915</w:t>
            </w:r>
          </w:p>
        </w:tc>
      </w:tr>
      <w:tr w:rsidR="00F2518A" w:rsidRPr="007C747A" w14:paraId="30D80E7B" w14:textId="77777777">
        <w:trPr>
          <w:trHeight w:val="250"/>
        </w:trPr>
        <w:tc>
          <w:tcPr>
            <w:tcW w:w="5306" w:type="dxa"/>
            <w:tcBorders>
              <w:top w:val="nil"/>
              <w:left w:val="nil"/>
              <w:bottom w:val="nil"/>
              <w:right w:val="nil"/>
            </w:tcBorders>
            <w:shd w:val="clear" w:color="FFFFFF" w:fill="FFFFFF"/>
            <w:vAlign w:val="bottom"/>
            <w:hideMark/>
          </w:tcPr>
          <w:p w14:paraId="615A368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Write offs</w:t>
            </w:r>
          </w:p>
        </w:tc>
        <w:tc>
          <w:tcPr>
            <w:tcW w:w="1602" w:type="dxa"/>
            <w:tcBorders>
              <w:top w:val="nil"/>
              <w:left w:val="nil"/>
              <w:bottom w:val="nil"/>
              <w:right w:val="nil"/>
            </w:tcBorders>
            <w:shd w:val="clear" w:color="FFFFFF" w:fill="FFFFFF"/>
            <w:noWrap/>
            <w:vAlign w:val="bottom"/>
            <w:hideMark/>
          </w:tcPr>
          <w:p w14:paraId="5CEB369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(1,982)</w:t>
            </w:r>
          </w:p>
        </w:tc>
        <w:tc>
          <w:tcPr>
            <w:tcW w:w="1384" w:type="dxa"/>
            <w:tcBorders>
              <w:top w:val="nil"/>
              <w:left w:val="nil"/>
              <w:bottom w:val="nil"/>
              <w:right w:val="nil"/>
            </w:tcBorders>
            <w:shd w:val="clear" w:color="FFFFFF" w:fill="FFFFFF"/>
            <w:noWrap/>
            <w:vAlign w:val="bottom"/>
            <w:hideMark/>
          </w:tcPr>
          <w:p w14:paraId="469AB66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(62)</w:t>
            </w:r>
          </w:p>
        </w:tc>
        <w:tc>
          <w:tcPr>
            <w:tcW w:w="1345" w:type="dxa"/>
            <w:tcBorders>
              <w:top w:val="nil"/>
              <w:left w:val="nil"/>
              <w:bottom w:val="nil"/>
              <w:right w:val="nil"/>
            </w:tcBorders>
            <w:shd w:val="clear" w:color="FFFFFF" w:fill="FFFFFF"/>
            <w:noWrap/>
            <w:vAlign w:val="bottom"/>
            <w:hideMark/>
          </w:tcPr>
          <w:p w14:paraId="3855061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(2,044)</w:t>
            </w:r>
          </w:p>
        </w:tc>
      </w:tr>
      <w:tr w:rsidR="00F2518A" w:rsidRPr="007C747A" w14:paraId="41180524" w14:textId="77777777">
        <w:trPr>
          <w:trHeight w:val="250"/>
        </w:trPr>
        <w:tc>
          <w:tcPr>
            <w:tcW w:w="5306" w:type="dxa"/>
            <w:tcBorders>
              <w:top w:val="single" w:sz="4" w:space="0" w:color="auto"/>
              <w:left w:val="nil"/>
              <w:bottom w:val="single" w:sz="4" w:space="0" w:color="auto"/>
              <w:right w:val="nil"/>
            </w:tcBorders>
            <w:shd w:val="clear" w:color="FFFFFF" w:fill="FFFFFF"/>
            <w:vAlign w:val="bottom"/>
            <w:hideMark/>
          </w:tcPr>
          <w:p w14:paraId="6BB041E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book value 30 June 2023</w:t>
            </w:r>
          </w:p>
        </w:tc>
        <w:tc>
          <w:tcPr>
            <w:tcW w:w="1602" w:type="dxa"/>
            <w:tcBorders>
              <w:top w:val="single" w:sz="4" w:space="0" w:color="auto"/>
              <w:left w:val="nil"/>
              <w:bottom w:val="single" w:sz="4" w:space="0" w:color="auto"/>
              <w:right w:val="nil"/>
            </w:tcBorders>
            <w:shd w:val="clear" w:color="FFFFFF" w:fill="FFFFFF"/>
            <w:noWrap/>
            <w:vAlign w:val="bottom"/>
            <w:hideMark/>
          </w:tcPr>
          <w:p w14:paraId="63DCFDC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223,813</w:t>
            </w:r>
          </w:p>
        </w:tc>
        <w:tc>
          <w:tcPr>
            <w:tcW w:w="1384" w:type="dxa"/>
            <w:tcBorders>
              <w:top w:val="single" w:sz="4" w:space="0" w:color="auto"/>
              <w:left w:val="nil"/>
              <w:bottom w:val="single" w:sz="4" w:space="0" w:color="auto"/>
              <w:right w:val="nil"/>
            </w:tcBorders>
            <w:shd w:val="clear" w:color="FFFFFF" w:fill="FFFFFF"/>
            <w:noWrap/>
            <w:vAlign w:val="bottom"/>
            <w:hideMark/>
          </w:tcPr>
          <w:p w14:paraId="2FFFAFD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9,048</w:t>
            </w:r>
          </w:p>
        </w:tc>
        <w:tc>
          <w:tcPr>
            <w:tcW w:w="1345" w:type="dxa"/>
            <w:tcBorders>
              <w:top w:val="single" w:sz="4" w:space="0" w:color="auto"/>
              <w:left w:val="nil"/>
              <w:bottom w:val="single" w:sz="4" w:space="0" w:color="auto"/>
              <w:right w:val="nil"/>
            </w:tcBorders>
            <w:shd w:val="clear" w:color="FFFFFF" w:fill="FFFFFF"/>
            <w:noWrap/>
            <w:vAlign w:val="bottom"/>
            <w:hideMark/>
          </w:tcPr>
          <w:p w14:paraId="7F0A16C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232,861</w:t>
            </w:r>
          </w:p>
        </w:tc>
      </w:tr>
      <w:tr w:rsidR="00F2518A" w:rsidRPr="007C747A" w14:paraId="4A43C5DE" w14:textId="77777777">
        <w:trPr>
          <w:trHeight w:val="250"/>
        </w:trPr>
        <w:tc>
          <w:tcPr>
            <w:tcW w:w="5306" w:type="dxa"/>
            <w:tcBorders>
              <w:top w:val="nil"/>
              <w:left w:val="nil"/>
              <w:bottom w:val="nil"/>
              <w:right w:val="nil"/>
            </w:tcBorders>
            <w:shd w:val="clear" w:color="FFFFFF" w:fill="FFFFFF"/>
            <w:noWrap/>
            <w:vAlign w:val="bottom"/>
            <w:hideMark/>
          </w:tcPr>
          <w:p w14:paraId="518A08E0"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602" w:type="dxa"/>
            <w:tcBorders>
              <w:top w:val="nil"/>
              <w:left w:val="nil"/>
              <w:bottom w:val="nil"/>
              <w:right w:val="nil"/>
            </w:tcBorders>
            <w:shd w:val="clear" w:color="FFFFFF" w:fill="FFFFFF"/>
            <w:noWrap/>
            <w:vAlign w:val="bottom"/>
            <w:hideMark/>
          </w:tcPr>
          <w:p w14:paraId="37834833"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84" w:type="dxa"/>
            <w:tcBorders>
              <w:top w:val="nil"/>
              <w:left w:val="nil"/>
              <w:bottom w:val="nil"/>
              <w:right w:val="nil"/>
            </w:tcBorders>
            <w:shd w:val="clear" w:color="FFFFFF" w:fill="FFFFFF"/>
            <w:noWrap/>
            <w:vAlign w:val="bottom"/>
            <w:hideMark/>
          </w:tcPr>
          <w:p w14:paraId="4275A9A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45" w:type="dxa"/>
            <w:tcBorders>
              <w:top w:val="nil"/>
              <w:left w:val="nil"/>
              <w:bottom w:val="nil"/>
              <w:right w:val="nil"/>
            </w:tcBorders>
            <w:shd w:val="clear" w:color="FFFFFF" w:fill="FFFFFF"/>
            <w:noWrap/>
            <w:vAlign w:val="bottom"/>
            <w:hideMark/>
          </w:tcPr>
          <w:p w14:paraId="36FAB02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3F9F8DBC" w14:textId="77777777">
        <w:trPr>
          <w:trHeight w:val="250"/>
        </w:trPr>
        <w:tc>
          <w:tcPr>
            <w:tcW w:w="5306" w:type="dxa"/>
            <w:tcBorders>
              <w:top w:val="nil"/>
              <w:left w:val="nil"/>
              <w:bottom w:val="nil"/>
              <w:right w:val="nil"/>
            </w:tcBorders>
            <w:shd w:val="clear" w:color="FFFFFF" w:fill="FFFFFF"/>
            <w:vAlign w:val="bottom"/>
            <w:hideMark/>
          </w:tcPr>
          <w:p w14:paraId="250AB45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book value as at 30 June 2023 represented by:</w:t>
            </w:r>
          </w:p>
        </w:tc>
        <w:tc>
          <w:tcPr>
            <w:tcW w:w="1602" w:type="dxa"/>
            <w:tcBorders>
              <w:top w:val="nil"/>
              <w:left w:val="nil"/>
              <w:bottom w:val="nil"/>
              <w:right w:val="nil"/>
            </w:tcBorders>
            <w:shd w:val="clear" w:color="FFFFFF" w:fill="FFFFFF"/>
            <w:noWrap/>
            <w:vAlign w:val="bottom"/>
            <w:hideMark/>
          </w:tcPr>
          <w:p w14:paraId="26B5F7AD"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84" w:type="dxa"/>
            <w:tcBorders>
              <w:top w:val="nil"/>
              <w:left w:val="nil"/>
              <w:bottom w:val="nil"/>
              <w:right w:val="nil"/>
            </w:tcBorders>
            <w:shd w:val="clear" w:color="FFFFFF" w:fill="FFFFFF"/>
            <w:noWrap/>
            <w:vAlign w:val="bottom"/>
            <w:hideMark/>
          </w:tcPr>
          <w:p w14:paraId="2DEB81E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45" w:type="dxa"/>
            <w:tcBorders>
              <w:top w:val="nil"/>
              <w:left w:val="nil"/>
              <w:bottom w:val="nil"/>
              <w:right w:val="nil"/>
            </w:tcBorders>
            <w:shd w:val="clear" w:color="FFFFFF" w:fill="FFFFFF"/>
            <w:noWrap/>
            <w:vAlign w:val="bottom"/>
            <w:hideMark/>
          </w:tcPr>
          <w:p w14:paraId="3EE3AE3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3476331D" w14:textId="77777777">
        <w:trPr>
          <w:trHeight w:val="250"/>
        </w:trPr>
        <w:tc>
          <w:tcPr>
            <w:tcW w:w="5306" w:type="dxa"/>
            <w:tcBorders>
              <w:top w:val="nil"/>
              <w:left w:val="nil"/>
              <w:bottom w:val="nil"/>
              <w:right w:val="nil"/>
            </w:tcBorders>
            <w:shd w:val="clear" w:color="FFFFFF" w:fill="FFFFFF"/>
            <w:vAlign w:val="bottom"/>
            <w:hideMark/>
          </w:tcPr>
          <w:p w14:paraId="670D34A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Gross book value</w:t>
            </w:r>
          </w:p>
        </w:tc>
        <w:tc>
          <w:tcPr>
            <w:tcW w:w="1602" w:type="dxa"/>
            <w:tcBorders>
              <w:top w:val="nil"/>
              <w:left w:val="nil"/>
              <w:bottom w:val="nil"/>
              <w:right w:val="nil"/>
            </w:tcBorders>
            <w:shd w:val="clear" w:color="FFFFFF" w:fill="FFFFFF"/>
            <w:noWrap/>
            <w:vAlign w:val="bottom"/>
            <w:hideMark/>
          </w:tcPr>
          <w:p w14:paraId="00A9857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373,620</w:t>
            </w:r>
          </w:p>
        </w:tc>
        <w:tc>
          <w:tcPr>
            <w:tcW w:w="1384" w:type="dxa"/>
            <w:tcBorders>
              <w:top w:val="nil"/>
              <w:left w:val="nil"/>
              <w:bottom w:val="nil"/>
              <w:right w:val="nil"/>
            </w:tcBorders>
            <w:shd w:val="clear" w:color="FFFFFF" w:fill="FFFFFF"/>
            <w:noWrap/>
            <w:vAlign w:val="bottom"/>
            <w:hideMark/>
          </w:tcPr>
          <w:p w14:paraId="02730DA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17,601</w:t>
            </w:r>
          </w:p>
        </w:tc>
        <w:tc>
          <w:tcPr>
            <w:tcW w:w="1345" w:type="dxa"/>
            <w:tcBorders>
              <w:top w:val="nil"/>
              <w:left w:val="nil"/>
              <w:bottom w:val="nil"/>
              <w:right w:val="nil"/>
            </w:tcBorders>
            <w:shd w:val="clear" w:color="FFFFFF" w:fill="FFFFFF"/>
            <w:noWrap/>
            <w:vAlign w:val="bottom"/>
            <w:hideMark/>
          </w:tcPr>
          <w:p w14:paraId="12DFF2E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391,221</w:t>
            </w:r>
          </w:p>
        </w:tc>
      </w:tr>
      <w:tr w:rsidR="00F2518A" w:rsidRPr="007C747A" w14:paraId="5BEBC11F" w14:textId="77777777">
        <w:trPr>
          <w:trHeight w:val="250"/>
        </w:trPr>
        <w:tc>
          <w:tcPr>
            <w:tcW w:w="5306" w:type="dxa"/>
            <w:tcBorders>
              <w:top w:val="nil"/>
              <w:left w:val="nil"/>
              <w:bottom w:val="nil"/>
              <w:right w:val="nil"/>
            </w:tcBorders>
            <w:shd w:val="clear" w:color="FFFFFF" w:fill="FFFFFF"/>
            <w:vAlign w:val="bottom"/>
            <w:hideMark/>
          </w:tcPr>
          <w:p w14:paraId="3593AA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Accumulated depreciation and impairment</w:t>
            </w:r>
          </w:p>
        </w:tc>
        <w:tc>
          <w:tcPr>
            <w:tcW w:w="1602" w:type="dxa"/>
            <w:tcBorders>
              <w:top w:val="nil"/>
              <w:left w:val="nil"/>
              <w:bottom w:val="nil"/>
              <w:right w:val="nil"/>
            </w:tcBorders>
            <w:shd w:val="clear" w:color="FFFFFF" w:fill="FFFFFF"/>
            <w:noWrap/>
            <w:vAlign w:val="bottom"/>
            <w:hideMark/>
          </w:tcPr>
          <w:p w14:paraId="7D0692F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(149,807)</w:t>
            </w:r>
          </w:p>
        </w:tc>
        <w:tc>
          <w:tcPr>
            <w:tcW w:w="1384" w:type="dxa"/>
            <w:tcBorders>
              <w:top w:val="nil"/>
              <w:left w:val="nil"/>
              <w:bottom w:val="nil"/>
              <w:right w:val="nil"/>
            </w:tcBorders>
            <w:shd w:val="clear" w:color="auto" w:fill="auto"/>
            <w:noWrap/>
            <w:vAlign w:val="bottom"/>
            <w:hideMark/>
          </w:tcPr>
          <w:p w14:paraId="0040B1B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(8,553)</w:t>
            </w:r>
          </w:p>
        </w:tc>
        <w:tc>
          <w:tcPr>
            <w:tcW w:w="1345" w:type="dxa"/>
            <w:tcBorders>
              <w:top w:val="nil"/>
              <w:left w:val="nil"/>
              <w:bottom w:val="nil"/>
              <w:right w:val="nil"/>
            </w:tcBorders>
            <w:shd w:val="clear" w:color="FFFFFF" w:fill="FFFFFF"/>
            <w:noWrap/>
            <w:vAlign w:val="bottom"/>
            <w:hideMark/>
          </w:tcPr>
          <w:p w14:paraId="4CEDDAB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(158,360)</w:t>
            </w:r>
          </w:p>
        </w:tc>
      </w:tr>
      <w:tr w:rsidR="00F2518A" w:rsidRPr="007C747A" w14:paraId="39541585" w14:textId="77777777">
        <w:trPr>
          <w:trHeight w:val="250"/>
        </w:trPr>
        <w:tc>
          <w:tcPr>
            <w:tcW w:w="5306" w:type="dxa"/>
            <w:tcBorders>
              <w:top w:val="single" w:sz="4" w:space="0" w:color="auto"/>
              <w:left w:val="nil"/>
              <w:bottom w:val="single" w:sz="4" w:space="0" w:color="auto"/>
              <w:right w:val="nil"/>
            </w:tcBorders>
            <w:shd w:val="clear" w:color="FFFFFF" w:fill="FFFFFF"/>
            <w:noWrap/>
            <w:vAlign w:val="bottom"/>
            <w:hideMark/>
          </w:tcPr>
          <w:p w14:paraId="7E5C9E0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Carrying amount as at 30 June 2023</w:t>
            </w:r>
          </w:p>
        </w:tc>
        <w:tc>
          <w:tcPr>
            <w:tcW w:w="1602" w:type="dxa"/>
            <w:tcBorders>
              <w:top w:val="single" w:sz="4" w:space="0" w:color="auto"/>
              <w:left w:val="nil"/>
              <w:bottom w:val="single" w:sz="4" w:space="0" w:color="auto"/>
              <w:right w:val="nil"/>
            </w:tcBorders>
            <w:shd w:val="clear" w:color="FFFFFF" w:fill="FFFFFF"/>
            <w:noWrap/>
            <w:vAlign w:val="bottom"/>
            <w:hideMark/>
          </w:tcPr>
          <w:p w14:paraId="42281FC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223,813</w:t>
            </w:r>
          </w:p>
        </w:tc>
        <w:tc>
          <w:tcPr>
            <w:tcW w:w="1384" w:type="dxa"/>
            <w:tcBorders>
              <w:top w:val="single" w:sz="4" w:space="0" w:color="auto"/>
              <w:left w:val="nil"/>
              <w:bottom w:val="single" w:sz="4" w:space="0" w:color="auto"/>
              <w:right w:val="nil"/>
            </w:tcBorders>
            <w:shd w:val="clear" w:color="FFFFFF" w:fill="FFFFFF"/>
            <w:noWrap/>
            <w:vAlign w:val="bottom"/>
            <w:hideMark/>
          </w:tcPr>
          <w:p w14:paraId="1857107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9,048</w:t>
            </w:r>
          </w:p>
        </w:tc>
        <w:tc>
          <w:tcPr>
            <w:tcW w:w="1345" w:type="dxa"/>
            <w:tcBorders>
              <w:top w:val="single" w:sz="4" w:space="0" w:color="auto"/>
              <w:left w:val="nil"/>
              <w:bottom w:val="single" w:sz="4" w:space="0" w:color="auto"/>
              <w:right w:val="nil"/>
            </w:tcBorders>
            <w:shd w:val="clear" w:color="FFFFFF" w:fill="FFFFFF"/>
            <w:noWrap/>
            <w:vAlign w:val="bottom"/>
            <w:hideMark/>
          </w:tcPr>
          <w:p w14:paraId="5F1EBD6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232,861</w:t>
            </w:r>
          </w:p>
        </w:tc>
      </w:tr>
      <w:tr w:rsidR="00F2518A" w:rsidRPr="007C747A" w14:paraId="14F6C1BC" w14:textId="77777777">
        <w:trPr>
          <w:trHeight w:val="250"/>
        </w:trPr>
        <w:tc>
          <w:tcPr>
            <w:tcW w:w="5306" w:type="dxa"/>
            <w:tcBorders>
              <w:top w:val="nil"/>
              <w:left w:val="nil"/>
              <w:bottom w:val="nil"/>
              <w:right w:val="nil"/>
            </w:tcBorders>
            <w:shd w:val="clear" w:color="FFFFFF" w:fill="FFFFFF"/>
            <w:noWrap/>
            <w:vAlign w:val="bottom"/>
            <w:hideMark/>
          </w:tcPr>
          <w:p w14:paraId="69CA5CA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602" w:type="dxa"/>
            <w:tcBorders>
              <w:top w:val="nil"/>
              <w:left w:val="nil"/>
              <w:bottom w:val="nil"/>
              <w:right w:val="nil"/>
            </w:tcBorders>
            <w:shd w:val="clear" w:color="FFFFFF" w:fill="FFFFFF"/>
            <w:noWrap/>
            <w:vAlign w:val="bottom"/>
            <w:hideMark/>
          </w:tcPr>
          <w:p w14:paraId="1350EAC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84" w:type="dxa"/>
            <w:tcBorders>
              <w:top w:val="nil"/>
              <w:left w:val="nil"/>
              <w:bottom w:val="nil"/>
              <w:right w:val="nil"/>
            </w:tcBorders>
            <w:shd w:val="clear" w:color="FFFFFF" w:fill="FFFFFF"/>
            <w:noWrap/>
            <w:vAlign w:val="bottom"/>
            <w:hideMark/>
          </w:tcPr>
          <w:p w14:paraId="224C918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45" w:type="dxa"/>
            <w:tcBorders>
              <w:top w:val="nil"/>
              <w:left w:val="nil"/>
              <w:bottom w:val="nil"/>
              <w:right w:val="nil"/>
            </w:tcBorders>
            <w:shd w:val="clear" w:color="FFFFFF" w:fill="FFFFFF"/>
            <w:noWrap/>
            <w:vAlign w:val="bottom"/>
            <w:hideMark/>
          </w:tcPr>
          <w:p w14:paraId="6E78378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AB909D0" w14:textId="77777777">
        <w:trPr>
          <w:trHeight w:val="270"/>
        </w:trPr>
        <w:tc>
          <w:tcPr>
            <w:tcW w:w="5306" w:type="dxa"/>
            <w:tcBorders>
              <w:top w:val="single" w:sz="4" w:space="0" w:color="auto"/>
              <w:left w:val="nil"/>
              <w:bottom w:val="single" w:sz="4" w:space="0" w:color="auto"/>
              <w:right w:val="nil"/>
            </w:tcBorders>
            <w:shd w:val="clear" w:color="FFFFFF" w:fill="FFFFFF"/>
            <w:hideMark/>
          </w:tcPr>
          <w:p w14:paraId="597309A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Carrying amount of right-of-use assets as at 30 June 2023</w:t>
            </w:r>
          </w:p>
        </w:tc>
        <w:tc>
          <w:tcPr>
            <w:tcW w:w="1602" w:type="dxa"/>
            <w:tcBorders>
              <w:top w:val="single" w:sz="4" w:space="0" w:color="auto"/>
              <w:left w:val="nil"/>
              <w:bottom w:val="single" w:sz="4" w:space="0" w:color="auto"/>
              <w:right w:val="nil"/>
            </w:tcBorders>
            <w:shd w:val="clear" w:color="FFFFFF" w:fill="FFFFFF"/>
            <w:noWrap/>
            <w:hideMark/>
          </w:tcPr>
          <w:p w14:paraId="2D46735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133,579</w:t>
            </w:r>
          </w:p>
        </w:tc>
        <w:tc>
          <w:tcPr>
            <w:tcW w:w="1384" w:type="dxa"/>
            <w:tcBorders>
              <w:top w:val="single" w:sz="4" w:space="0" w:color="auto"/>
              <w:left w:val="nil"/>
              <w:bottom w:val="single" w:sz="4" w:space="0" w:color="auto"/>
              <w:right w:val="nil"/>
            </w:tcBorders>
            <w:shd w:val="clear" w:color="FFFFFF" w:fill="FFFFFF"/>
            <w:noWrap/>
            <w:hideMark/>
          </w:tcPr>
          <w:p w14:paraId="02C4578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131</w:t>
            </w:r>
          </w:p>
        </w:tc>
        <w:tc>
          <w:tcPr>
            <w:tcW w:w="1345" w:type="dxa"/>
            <w:tcBorders>
              <w:top w:val="single" w:sz="4" w:space="0" w:color="auto"/>
              <w:left w:val="nil"/>
              <w:bottom w:val="single" w:sz="4" w:space="0" w:color="auto"/>
              <w:right w:val="nil"/>
            </w:tcBorders>
            <w:shd w:val="clear" w:color="FFFFFF" w:fill="FFFFFF"/>
            <w:noWrap/>
            <w:hideMark/>
          </w:tcPr>
          <w:p w14:paraId="415EBE5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133,710</w:t>
            </w:r>
          </w:p>
        </w:tc>
      </w:tr>
    </w:tbl>
    <w:p w14:paraId="57BA6B38" w14:textId="77777777" w:rsidR="00F2518A" w:rsidRPr="007C747A" w:rsidRDefault="00F2518A" w:rsidP="00F2518A">
      <w:pPr>
        <w:spacing w:after="0" w:line="240" w:lineRule="auto"/>
        <w:rPr>
          <w:rFonts w:eastAsia="Times New Roman" w:cs="Arial"/>
          <w:sz w:val="18"/>
          <w:szCs w:val="18"/>
          <w:lang w:val="en-AU" w:eastAsia="en-US"/>
        </w:rPr>
      </w:pPr>
    </w:p>
    <w:p w14:paraId="25B02A72" w14:textId="77777777" w:rsidR="00F2518A" w:rsidRPr="007C747A" w:rsidRDefault="00F2518A" w:rsidP="00F2518A">
      <w:pPr>
        <w:spacing w:after="0" w:line="240" w:lineRule="auto"/>
        <w:ind w:left="142"/>
        <w:rPr>
          <w:rFonts w:eastAsia="Times New Roman" w:cs="Arial"/>
          <w:sz w:val="18"/>
          <w:szCs w:val="18"/>
          <w:lang w:val="en-AU" w:eastAsia="en-US"/>
        </w:rPr>
      </w:pPr>
      <w:r w:rsidRPr="007C747A">
        <w:rPr>
          <w:rFonts w:eastAsia="Times New Roman" w:cs="Arial"/>
          <w:sz w:val="18"/>
          <w:szCs w:val="18"/>
          <w:lang w:val="en-AU" w:eastAsia="en-US"/>
        </w:rPr>
        <w:t xml:space="preserve">All items of buildings and plant and equipment were assessed for indications of impairment as at 30 June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crYear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2023</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and no indicators of impairment were found.</w:t>
      </w:r>
    </w:p>
    <w:p w14:paraId="72592EDA" w14:textId="77777777" w:rsidR="00F2518A" w:rsidRPr="007C747A" w:rsidRDefault="00F2518A" w:rsidP="00F2518A">
      <w:pPr>
        <w:spacing w:after="0" w:line="240" w:lineRule="auto"/>
        <w:ind w:left="142"/>
        <w:rPr>
          <w:rFonts w:eastAsia="Times New Roman" w:cs="Arial"/>
          <w:sz w:val="18"/>
          <w:szCs w:val="18"/>
          <w:lang w:val="en-AU" w:eastAsia="en-US"/>
        </w:rPr>
      </w:pPr>
    </w:p>
    <w:p w14:paraId="6267606C" w14:textId="77777777" w:rsidR="00F2518A" w:rsidRPr="007C747A" w:rsidRDefault="00F2518A" w:rsidP="00F2518A">
      <w:pPr>
        <w:spacing w:after="0" w:line="240" w:lineRule="auto"/>
        <w:ind w:left="142"/>
        <w:rPr>
          <w:rFonts w:eastAsia="Times New Roman" w:cs="Arial"/>
          <w:sz w:val="18"/>
          <w:szCs w:val="18"/>
          <w:lang w:val="en-AU" w:eastAsia="en-US"/>
        </w:rPr>
      </w:pPr>
      <w:r w:rsidRPr="007C747A">
        <w:rPr>
          <w:rFonts w:eastAsia="Times New Roman" w:cs="Arial"/>
          <w:sz w:val="18"/>
          <w:szCs w:val="18"/>
          <w:lang w:val="en-AU" w:eastAsia="en-US"/>
        </w:rPr>
        <w:t>No buildings or plant and equipment are expected to be sold or disposed of within the next 12 months.</w:t>
      </w:r>
    </w:p>
    <w:p w14:paraId="32EAF98F" w14:textId="77777777" w:rsidR="00F2518A" w:rsidRPr="007C747A" w:rsidRDefault="00F2518A" w:rsidP="00F2518A">
      <w:pPr>
        <w:spacing w:after="0" w:line="240" w:lineRule="auto"/>
        <w:ind w:left="142"/>
        <w:rPr>
          <w:rFonts w:eastAsia="Times New Roman" w:cs="Arial"/>
          <w:sz w:val="18"/>
          <w:szCs w:val="18"/>
          <w:lang w:val="en-AU" w:eastAsia="en-US"/>
        </w:rPr>
      </w:pPr>
    </w:p>
    <w:p w14:paraId="7B74B31F" w14:textId="77777777" w:rsidR="00F2518A" w:rsidRPr="007C747A" w:rsidRDefault="00F2518A" w:rsidP="00F2518A">
      <w:pPr>
        <w:spacing w:after="0" w:line="240" w:lineRule="auto"/>
        <w:ind w:left="142"/>
        <w:rPr>
          <w:rFonts w:eastAsia="Times New Roman" w:cs="Arial"/>
          <w:sz w:val="18"/>
          <w:szCs w:val="18"/>
          <w:lang w:val="en-AU" w:eastAsia="en-US"/>
        </w:rPr>
      </w:pPr>
      <w:r w:rsidRPr="007C747A">
        <w:rPr>
          <w:rFonts w:eastAsia="Times New Roman" w:cs="Arial"/>
          <w:sz w:val="18"/>
          <w:szCs w:val="18"/>
          <w:lang w:val="en-AU" w:eastAsia="en-US"/>
        </w:rPr>
        <w:t>Buildings and plant and equipment, other than right-of-use assets, are measured at their estimated fair value in the financial statements and are classified as level 3 assets.</w:t>
      </w:r>
    </w:p>
    <w:p w14:paraId="470893BD" w14:textId="77777777" w:rsidR="00F2518A" w:rsidRPr="007C747A" w:rsidRDefault="00F2518A" w:rsidP="00F2518A">
      <w:pPr>
        <w:spacing w:after="0" w:line="240" w:lineRule="auto"/>
        <w:ind w:left="142"/>
        <w:rPr>
          <w:rFonts w:eastAsia="Times New Roman" w:cs="Arial"/>
          <w:sz w:val="18"/>
          <w:szCs w:val="18"/>
          <w:lang w:val="en-AU" w:eastAsia="en-US"/>
        </w:rPr>
      </w:pPr>
    </w:p>
    <w:p w14:paraId="2F188DA8" w14:textId="77777777" w:rsidR="00F2518A" w:rsidRPr="007C747A" w:rsidRDefault="00F2518A" w:rsidP="00F2518A">
      <w:pPr>
        <w:spacing w:after="0" w:line="240" w:lineRule="auto"/>
        <w:ind w:left="142"/>
        <w:rPr>
          <w:rFonts w:eastAsia="Times New Roman" w:cs="Arial"/>
          <w:sz w:val="18"/>
          <w:szCs w:val="18"/>
          <w:lang w:val="en-AU" w:eastAsia="en-US"/>
        </w:rPr>
      </w:pPr>
      <w:r w:rsidRPr="007C747A">
        <w:rPr>
          <w:rFonts w:eastAsia="Times New Roman" w:cs="Arial"/>
          <w:sz w:val="18"/>
          <w:szCs w:val="18"/>
          <w:lang w:val="en-AU" w:eastAsia="en-US"/>
        </w:rPr>
        <w:t xml:space="preserve">The Agency had contractual commitment for the acquisition of property, plant, equipment and intangible assets as at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pEnd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30 June</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crYear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2023</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of $14.5m (2022: $8.1m). </w:t>
      </w:r>
    </w:p>
    <w:p w14:paraId="5BFF3142" w14:textId="77777777" w:rsidR="00F2518A" w:rsidRPr="007C747A" w:rsidRDefault="00F2518A" w:rsidP="00F2518A">
      <w:pPr>
        <w:spacing w:after="0" w:line="240" w:lineRule="auto"/>
        <w:ind w:left="142"/>
        <w:rPr>
          <w:rFonts w:eastAsia="Times New Roman" w:cs="Arial"/>
          <w:sz w:val="18"/>
          <w:szCs w:val="18"/>
          <w:lang w:val="en-AU" w:eastAsia="en-US"/>
        </w:rPr>
      </w:pPr>
    </w:p>
    <w:p w14:paraId="681198E6" w14:textId="77777777" w:rsidR="00F2518A" w:rsidRPr="007C747A" w:rsidRDefault="00F2518A" w:rsidP="00F2518A">
      <w:pPr>
        <w:spacing w:after="0" w:line="240" w:lineRule="auto"/>
        <w:ind w:left="142"/>
        <w:rPr>
          <w:rFonts w:eastAsia="Times New Roman" w:cs="Arial"/>
          <w:sz w:val="18"/>
          <w:szCs w:val="18"/>
          <w:lang w:val="en-AU" w:eastAsia="en-US"/>
        </w:rPr>
      </w:pPr>
      <w:r w:rsidRPr="007C747A">
        <w:rPr>
          <w:rFonts w:eastAsia="Times New Roman" w:cs="Arial"/>
          <w:sz w:val="18"/>
          <w:szCs w:val="18"/>
          <w:lang w:val="en-AU" w:eastAsia="en-US"/>
        </w:rPr>
        <w:t xml:space="preserve">All revaluations were conducted in accordance with the revaluation policy stated in the Accounting Policy section below. The fair value measurements of the Agency’s leasehold improvements as at 30 June 2023 were reassessed by Jones Lang LaSalle (JLL), independent valuers. JLL have appropriate qualifications and experience in the fair value measurement of similar assets in the Government sector. </w:t>
      </w:r>
      <w:r w:rsidRPr="007C747A">
        <w:rPr>
          <w:rFonts w:eastAsia="Times New Roman" w:cs="Arial"/>
          <w:sz w:val="18"/>
          <w:szCs w:val="18"/>
          <w:lang w:val="en-AU" w:eastAsia="en-US"/>
        </w:rPr>
        <w:br w:type="page"/>
      </w:r>
    </w:p>
    <w:p w14:paraId="0623AD4A" w14:textId="77777777" w:rsidR="00F2518A" w:rsidRPr="007C747A" w:rsidRDefault="00F2518A" w:rsidP="00F2518A">
      <w:pPr>
        <w:spacing w:after="0" w:line="240" w:lineRule="auto"/>
        <w:ind w:left="142"/>
        <w:rPr>
          <w:rFonts w:eastAsia="Times New Roman" w:cs="Arial"/>
          <w:sz w:val="18"/>
          <w:szCs w:val="18"/>
          <w:lang w:val="en-AU" w:eastAsia="en-US"/>
        </w:rPr>
        <w:sectPr w:rsidR="00F2518A" w:rsidRPr="007C747A">
          <w:pgSz w:w="11906" w:h="16838" w:code="9"/>
          <w:pgMar w:top="1673" w:right="1134" w:bottom="1134" w:left="1134" w:header="958" w:footer="737" w:gutter="0"/>
          <w:cols w:space="708"/>
          <w:docGrid w:linePitch="360"/>
        </w:sectPr>
      </w:pPr>
    </w:p>
    <w:p w14:paraId="589972FD" w14:textId="77777777" w:rsidR="002D2CCB" w:rsidRPr="007C747A" w:rsidRDefault="002D2CCB" w:rsidP="002D2CCB">
      <w:pPr>
        <w:autoSpaceDE w:val="0"/>
        <w:autoSpaceDN w:val="0"/>
        <w:adjustRightInd w:val="0"/>
        <w:spacing w:after="0" w:line="240" w:lineRule="auto"/>
        <w:rPr>
          <w:rFonts w:eastAsia="Times New Roman" w:cs="Arial"/>
          <w:b/>
          <w:sz w:val="18"/>
          <w:szCs w:val="18"/>
          <w:lang w:val="en-AU" w:eastAsia="en-AU"/>
        </w:rPr>
        <w:sectPr w:rsidR="002D2CCB" w:rsidRPr="007C747A" w:rsidSect="003412DE">
          <w:type w:val="continuous"/>
          <w:pgSz w:w="11906" w:h="16838" w:code="9"/>
          <w:pgMar w:top="567" w:right="1701" w:bottom="567" w:left="1134" w:header="680" w:footer="737" w:gutter="0"/>
          <w:cols w:space="708"/>
          <w:docGrid w:linePitch="360"/>
        </w:sectPr>
      </w:pPr>
    </w:p>
    <w:p w14:paraId="7AA497F3" w14:textId="77777777" w:rsidR="002D2CCB" w:rsidRPr="007C747A" w:rsidRDefault="002D2CCB" w:rsidP="002D2CCB">
      <w:pPr>
        <w:autoSpaceDE w:val="0"/>
        <w:autoSpaceDN w:val="0"/>
        <w:adjustRightInd w:val="0"/>
        <w:spacing w:after="0" w:line="240" w:lineRule="auto"/>
        <w:rPr>
          <w:rFonts w:eastAsia="Times New Roman" w:cs="Arial"/>
          <w:b/>
          <w:bCs/>
          <w:sz w:val="18"/>
          <w:szCs w:val="18"/>
          <w:lang w:val="en-AU" w:eastAsia="en-US"/>
        </w:rPr>
      </w:pPr>
      <w:r w:rsidRPr="007C747A">
        <w:rPr>
          <w:rFonts w:eastAsia="Times New Roman" w:cs="Arial"/>
          <w:noProof/>
          <w:sz w:val="18"/>
          <w:szCs w:val="18"/>
          <w:lang w:val="en-AU" w:eastAsia="en-AU"/>
        </w:rPr>
        <mc:AlternateContent>
          <mc:Choice Requires="wps">
            <w:drawing>
              <wp:anchor distT="0" distB="0" distL="114300" distR="114300" simplePos="0" relativeHeight="251629568" behindDoc="0" locked="1" layoutInCell="1" allowOverlap="1" wp14:anchorId="7A2F4B71" wp14:editId="09DF3387">
                <wp:simplePos x="0" y="0"/>
                <wp:positionH relativeFrom="column">
                  <wp:posOffset>-63500</wp:posOffset>
                </wp:positionH>
                <wp:positionV relativeFrom="paragraph">
                  <wp:posOffset>-46990</wp:posOffset>
                </wp:positionV>
                <wp:extent cx="6306820" cy="8513445"/>
                <wp:effectExtent l="0" t="0" r="17780" b="20955"/>
                <wp:wrapNone/>
                <wp:docPr id="9"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6820" cy="8513445"/>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43447F8" id="Rectangle 9" o:spid="_x0000_s1026" alt="&quot;&quot;" style="position:absolute;margin-left:-5pt;margin-top:-3.7pt;width:496.6pt;height:670.3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" filled="f" strokecolor="purple">
                <w10:anchorlock/>
              </v:rect>
            </w:pict>
          </mc:Fallback>
        </mc:AlternateContent>
      </w:r>
      <w:r w:rsidRPr="007C747A">
        <w:rPr>
          <w:rFonts w:eastAsia="Times New Roman" w:cs="Arial"/>
          <w:b/>
          <w:sz w:val="18"/>
          <w:szCs w:val="18"/>
          <w:lang w:val="en-AU" w:eastAsia="en-AU"/>
        </w:rPr>
        <w:t>A</w:t>
      </w:r>
      <w:r w:rsidRPr="007C747A">
        <w:rPr>
          <w:rFonts w:eastAsia="Times New Roman" w:cs="Arial"/>
          <w:b/>
          <w:bCs/>
          <w:sz w:val="18"/>
          <w:szCs w:val="18"/>
          <w:lang w:val="en-AU" w:eastAsia="en-US"/>
        </w:rPr>
        <w:t>ccounting Policy</w:t>
      </w:r>
    </w:p>
    <w:p w14:paraId="17664329" w14:textId="77777777" w:rsidR="002D2CCB" w:rsidRPr="007C747A" w:rsidRDefault="002D2CCB" w:rsidP="002D2CCB">
      <w:pPr>
        <w:spacing w:after="0" w:line="240" w:lineRule="auto"/>
        <w:rPr>
          <w:rFonts w:eastAsia="Times New Roman" w:cs="Arial"/>
          <w:sz w:val="18"/>
          <w:szCs w:val="18"/>
          <w:lang w:val="en-AU" w:eastAsia="en-US"/>
        </w:rPr>
      </w:pPr>
    </w:p>
    <w:p w14:paraId="492B355D" w14:textId="77777777" w:rsidR="002D2CCB" w:rsidRPr="007C747A" w:rsidRDefault="002D2CCB" w:rsidP="0091148B">
      <w:pPr>
        <w:spacing w:after="0" w:line="240" w:lineRule="auto"/>
        <w:jc w:val="both"/>
        <w:rPr>
          <w:rFonts w:eastAsia="Times New Roman" w:cs="Arial"/>
          <w:sz w:val="18"/>
          <w:szCs w:val="18"/>
          <w:lang w:val="en-AU" w:eastAsia="en-US"/>
        </w:rPr>
      </w:pPr>
      <w:r w:rsidRPr="007C747A">
        <w:rPr>
          <w:rFonts w:eastAsia="Times New Roman" w:cs="Arial"/>
          <w:sz w:val="18"/>
          <w:szCs w:val="18"/>
          <w:lang w:val="en-AU" w:eastAsia="en-US"/>
        </w:rPr>
        <w:t>Assets are recorded at cost on acquisition except as stated below. The cost of acquisition includes the fair value of assets transferred in exchange and liabilities undertaken. Non-financial assets are initially measured at their fair value plus transaction costs where appropriate.</w:t>
      </w:r>
    </w:p>
    <w:p w14:paraId="19AB16D7" w14:textId="77777777" w:rsidR="002D2CCB" w:rsidRPr="007C747A" w:rsidRDefault="002D2CCB" w:rsidP="0091148B">
      <w:pPr>
        <w:spacing w:after="0" w:line="240" w:lineRule="auto"/>
        <w:jc w:val="both"/>
        <w:rPr>
          <w:rFonts w:eastAsia="Times New Roman" w:cs="Arial"/>
          <w:sz w:val="18"/>
          <w:szCs w:val="18"/>
          <w:lang w:val="en-AU" w:eastAsia="en-US"/>
        </w:rPr>
      </w:pPr>
    </w:p>
    <w:p w14:paraId="5397F8B7" w14:textId="77777777" w:rsidR="002D2CCB" w:rsidRPr="007C747A" w:rsidRDefault="002D2CCB" w:rsidP="0091148B">
      <w:pPr>
        <w:spacing w:after="0" w:line="240" w:lineRule="auto"/>
        <w:jc w:val="both"/>
        <w:rPr>
          <w:rFonts w:eastAsia="Times New Roman" w:cs="Arial"/>
          <w:sz w:val="18"/>
          <w:szCs w:val="18"/>
          <w:lang w:val="en-AU" w:eastAsia="en-US"/>
        </w:rPr>
      </w:pPr>
      <w:r w:rsidRPr="007C747A">
        <w:rPr>
          <w:rFonts w:eastAsia="Times New Roman" w:cs="Arial"/>
          <w:sz w:val="18"/>
          <w:szCs w:val="18"/>
          <w:lang w:val="en-AU" w:eastAsia="en-US"/>
        </w:rPr>
        <w:t xml:space="preserve">Assets acquired at no cost, or for nominal consideration, are initially recognised as assets and income at their fair value at the date of acquisition. </w:t>
      </w:r>
    </w:p>
    <w:p w14:paraId="082D70AE" w14:textId="77777777" w:rsidR="002D2CCB" w:rsidRPr="007C747A" w:rsidRDefault="002D2CCB" w:rsidP="002D2CCB">
      <w:pPr>
        <w:spacing w:after="0" w:line="240" w:lineRule="auto"/>
        <w:jc w:val="both"/>
        <w:rPr>
          <w:rFonts w:eastAsia="Times New Roman" w:cs="Arial"/>
          <w:sz w:val="18"/>
          <w:szCs w:val="18"/>
          <w:lang w:val="en-AU" w:eastAsia="en-US"/>
        </w:rPr>
      </w:pPr>
    </w:p>
    <w:p w14:paraId="524881C6" w14:textId="77777777" w:rsidR="002D2CCB" w:rsidRPr="007C747A" w:rsidRDefault="002D2CCB" w:rsidP="002D2CCB">
      <w:pPr>
        <w:spacing w:after="0" w:line="240" w:lineRule="auto"/>
        <w:jc w:val="both"/>
        <w:rPr>
          <w:rFonts w:eastAsia="Times New Roman" w:cs="Arial"/>
          <w:i/>
          <w:iCs/>
          <w:sz w:val="18"/>
          <w:szCs w:val="18"/>
          <w:u w:val="single"/>
          <w:lang w:val="en-AU" w:eastAsia="en-AU"/>
        </w:rPr>
      </w:pPr>
      <w:r w:rsidRPr="007C747A">
        <w:rPr>
          <w:rFonts w:eastAsia="Times New Roman" w:cs="Arial"/>
          <w:i/>
          <w:iCs/>
          <w:sz w:val="18"/>
          <w:szCs w:val="18"/>
          <w:u w:val="single"/>
          <w:lang w:val="en-AU" w:eastAsia="en-AU"/>
        </w:rPr>
        <w:t>Asset recognition threshold</w:t>
      </w:r>
    </w:p>
    <w:p w14:paraId="42A77C78" w14:textId="77777777" w:rsidR="002D2CCB"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Purchases</w:t>
      </w:r>
      <w:r w:rsidRPr="007C747A">
        <w:rPr>
          <w:rFonts w:eastAsia="Times New Roman" w:cs="Arial"/>
          <w:sz w:val="21"/>
          <w:szCs w:val="21"/>
          <w:lang w:val="en-AU" w:eastAsia="en-US"/>
        </w:rPr>
        <w:t xml:space="preserve"> </w:t>
      </w:r>
      <w:r w:rsidRPr="007C747A">
        <w:rPr>
          <w:rFonts w:eastAsia="Times New Roman" w:cs="Arial"/>
          <w:sz w:val="18"/>
          <w:szCs w:val="18"/>
          <w:lang w:val="en-AU" w:eastAsia="en-AU"/>
        </w:rPr>
        <w:t>of leasehold improvements, plant and equipment are recognised initially at cost in the Statement of Financial Position, except for leased Right-of-Use (ROU) assets and purchases costing less than $100,000 which are expensed in the year of acquisition (other than where they form part of a group of similar items which are significant in total). Significant in total is defined as a value equal to or greater than $100,000 for similar items acquired or expected to be acquired over the length of an acquisition project.</w:t>
      </w:r>
    </w:p>
    <w:p w14:paraId="2E5EE4E2" w14:textId="77777777" w:rsidR="002D2CCB" w:rsidRPr="007C747A" w:rsidRDefault="002D2CCB" w:rsidP="002D2CCB">
      <w:pPr>
        <w:spacing w:after="0" w:line="240" w:lineRule="auto"/>
        <w:jc w:val="both"/>
        <w:rPr>
          <w:rFonts w:eastAsia="Times New Roman" w:cs="Arial"/>
          <w:sz w:val="18"/>
          <w:szCs w:val="18"/>
          <w:lang w:val="en-AU" w:eastAsia="en-AU"/>
        </w:rPr>
      </w:pPr>
    </w:p>
    <w:p w14:paraId="097F6B0D" w14:textId="77777777" w:rsidR="002D2CCB"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 xml:space="preserve">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w:t>
      </w:r>
    </w:p>
    <w:p w14:paraId="7859C418" w14:textId="77777777" w:rsidR="002D2CCB" w:rsidRPr="007C747A" w:rsidRDefault="002D2CCB" w:rsidP="002D2CCB">
      <w:pPr>
        <w:spacing w:after="0" w:line="240" w:lineRule="auto"/>
        <w:jc w:val="both"/>
        <w:rPr>
          <w:rFonts w:eastAsia="Times New Roman" w:cs="Arial"/>
          <w:sz w:val="18"/>
          <w:szCs w:val="18"/>
          <w:lang w:val="en-AU" w:eastAsia="en-AU"/>
        </w:rPr>
      </w:pPr>
    </w:p>
    <w:p w14:paraId="26C4B672" w14:textId="77777777" w:rsidR="002D2CCB" w:rsidRPr="007C747A" w:rsidRDefault="002D2CCB" w:rsidP="002D2CCB">
      <w:pPr>
        <w:spacing w:after="0" w:line="240" w:lineRule="auto"/>
        <w:jc w:val="both"/>
        <w:rPr>
          <w:rFonts w:eastAsia="Times New Roman" w:cs="Arial"/>
          <w:i/>
          <w:iCs/>
          <w:sz w:val="18"/>
          <w:szCs w:val="18"/>
          <w:u w:val="single"/>
          <w:lang w:val="en-AU" w:eastAsia="en-AU"/>
        </w:rPr>
      </w:pPr>
      <w:r w:rsidRPr="007C747A">
        <w:rPr>
          <w:rFonts w:eastAsia="Times New Roman" w:cs="Arial"/>
          <w:i/>
          <w:iCs/>
          <w:sz w:val="18"/>
          <w:szCs w:val="18"/>
          <w:u w:val="single"/>
          <w:lang w:val="en-AU" w:eastAsia="en-AU"/>
        </w:rPr>
        <w:t>Leased Right-of-Use Assets</w:t>
      </w:r>
    </w:p>
    <w:p w14:paraId="6397F247" w14:textId="77777777" w:rsidR="002D2CCB" w:rsidRPr="007C747A" w:rsidRDefault="002D2CCB" w:rsidP="002D2CCB">
      <w:pPr>
        <w:spacing w:after="0" w:line="240" w:lineRule="auto"/>
        <w:jc w:val="both"/>
        <w:rPr>
          <w:rFonts w:eastAsia="Times New Roman" w:cs="Arial"/>
          <w:sz w:val="18"/>
          <w:szCs w:val="18"/>
          <w:highlight w:val="yellow"/>
          <w:lang w:val="en-AU" w:eastAsia="en-AU"/>
        </w:rPr>
      </w:pPr>
      <w:r w:rsidRPr="007C747A">
        <w:rPr>
          <w:rFonts w:eastAsia="Times New Roman" w:cs="Arial"/>
          <w:sz w:val="18"/>
          <w:szCs w:val="18"/>
          <w:lang w:val="en-AU" w:eastAsia="en-AU"/>
        </w:rPr>
        <w:t>Purchases of leased ROU assets are capitalised at the commencement date of the lease and comprise the initial lease liability amount, including an estimate of any ‘make good’ provision in the lease, initial direct costs incurred when entering into the lease less any lease incentives received. These assets are accounted for by the Agency as separate asset classes to the corresponding assets owned outright but are included in the same column as where the corresponding underlying assets would be presented if they were owned.</w:t>
      </w:r>
    </w:p>
    <w:p w14:paraId="573676D7" w14:textId="77777777" w:rsidR="002D2CCB" w:rsidRPr="007C747A" w:rsidRDefault="002D2CCB" w:rsidP="002D2CCB">
      <w:pPr>
        <w:spacing w:after="0" w:line="240" w:lineRule="auto"/>
        <w:jc w:val="both"/>
        <w:rPr>
          <w:rFonts w:eastAsia="Times New Roman" w:cs="Arial"/>
          <w:sz w:val="18"/>
          <w:szCs w:val="18"/>
          <w:highlight w:val="yellow"/>
          <w:lang w:val="en-AU" w:eastAsia="en-AU"/>
        </w:rPr>
      </w:pPr>
    </w:p>
    <w:p w14:paraId="5F7A0945" w14:textId="77777777" w:rsidR="002D2CCB"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On initial adoption of AASB 16 the Agency has adjusted the ROU assets at the date of initial application by the amount of any provision for onerous leases recognised immediately before the date of initial application. Following initial application, an impairment review is undertaken for any ROU lease asset that shows indicators of impairment and an impairment loss is recognised against any ROU lease asset that is impaired. Leased ROU assets continue to be measured at cost after initial recognition in Commonwealth Agency, General Government Sector and Whole of Government financial statements.</w:t>
      </w:r>
    </w:p>
    <w:p w14:paraId="6E3BDFDC" w14:textId="77777777" w:rsidR="002D2CCB" w:rsidRPr="007C747A" w:rsidRDefault="002D2CCB" w:rsidP="002D2CCB">
      <w:pPr>
        <w:spacing w:after="0" w:line="240" w:lineRule="auto"/>
        <w:jc w:val="both"/>
        <w:rPr>
          <w:rFonts w:eastAsia="Times New Roman" w:cs="Arial"/>
          <w:i/>
          <w:iCs/>
          <w:sz w:val="18"/>
          <w:szCs w:val="18"/>
          <w:u w:val="single"/>
          <w:lang w:val="en-AU" w:eastAsia="en-AU"/>
        </w:rPr>
      </w:pPr>
    </w:p>
    <w:p w14:paraId="0A07EBFE" w14:textId="77777777" w:rsidR="002D2CCB" w:rsidRPr="007C747A" w:rsidRDefault="002D2CCB" w:rsidP="002D2CCB">
      <w:pPr>
        <w:spacing w:after="0" w:line="240" w:lineRule="auto"/>
        <w:jc w:val="both"/>
        <w:rPr>
          <w:rFonts w:eastAsia="Times New Roman" w:cs="Arial"/>
          <w:i/>
          <w:iCs/>
          <w:sz w:val="18"/>
          <w:szCs w:val="18"/>
          <w:u w:val="single"/>
          <w:lang w:val="en-AU" w:eastAsia="en-AU"/>
        </w:rPr>
      </w:pPr>
      <w:r w:rsidRPr="007C747A">
        <w:rPr>
          <w:rFonts w:eastAsia="Times New Roman" w:cs="Arial"/>
          <w:i/>
          <w:iCs/>
          <w:sz w:val="18"/>
          <w:szCs w:val="18"/>
          <w:u w:val="single"/>
          <w:lang w:val="en-AU" w:eastAsia="en-AU"/>
        </w:rPr>
        <w:t>Revaluations</w:t>
      </w:r>
    </w:p>
    <w:p w14:paraId="0F8CAA98" w14:textId="77777777" w:rsidR="00792AD7"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Following initial recognition at cost, items of leasehold improvements, plant, and equipment (excluding ROU assets) are carried at fair value (or an amount not materially different from fair value) less accumulated depreciation and accumulated impairment losses.</w:t>
      </w:r>
    </w:p>
    <w:p w14:paraId="6CF5267E" w14:textId="2F4AB75E" w:rsidR="002D2CCB"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 xml:space="preserve"> Valuations are conducted with sufficient frequency to ensure that the carrying value of items does not differ materially from their fair value at each reporting date.</w:t>
      </w:r>
      <w:r w:rsidRPr="007C747A">
        <w:rPr>
          <w:rFonts w:ascii="Times New Roman" w:eastAsia="Times New Roman" w:hAnsi="Times New Roman"/>
          <w:sz w:val="22"/>
          <w:szCs w:val="22"/>
          <w:lang w:val="en-AU" w:eastAsia="en-US"/>
        </w:rPr>
        <w:t xml:space="preserve"> </w:t>
      </w:r>
      <w:r w:rsidRPr="007C747A">
        <w:rPr>
          <w:rFonts w:eastAsia="Times New Roman" w:cs="Arial"/>
          <w:sz w:val="18"/>
          <w:szCs w:val="18"/>
          <w:lang w:val="en-AU" w:eastAsia="en-AU"/>
        </w:rPr>
        <w:t>The regularity of independent valuations depended on the volatility of movements in market values for the relevant assets.</w:t>
      </w:r>
    </w:p>
    <w:p w14:paraId="13D2AAF5" w14:textId="77777777" w:rsidR="002D2CCB" w:rsidRPr="007C747A" w:rsidRDefault="002D2CCB" w:rsidP="002D2CCB">
      <w:pPr>
        <w:spacing w:after="0" w:line="240" w:lineRule="auto"/>
        <w:jc w:val="both"/>
        <w:rPr>
          <w:rFonts w:eastAsia="Times New Roman" w:cs="Arial"/>
          <w:sz w:val="18"/>
          <w:szCs w:val="18"/>
          <w:lang w:val="en-AU" w:eastAsia="en-AU"/>
        </w:rPr>
      </w:pPr>
    </w:p>
    <w:p w14:paraId="13F54429" w14:textId="77777777" w:rsidR="002D2CCB"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 xml:space="preserve">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14:paraId="4344937D" w14:textId="77777777" w:rsidR="002D2CCB" w:rsidRPr="007C747A" w:rsidRDefault="002D2CCB" w:rsidP="002D2CCB">
      <w:pPr>
        <w:spacing w:after="0" w:line="240" w:lineRule="auto"/>
        <w:jc w:val="both"/>
        <w:rPr>
          <w:rFonts w:eastAsia="Times New Roman" w:cs="Arial"/>
          <w:sz w:val="18"/>
          <w:szCs w:val="18"/>
          <w:lang w:val="en-AU" w:eastAsia="en-AU"/>
        </w:rPr>
      </w:pPr>
    </w:p>
    <w:p w14:paraId="38DAFDE6" w14:textId="77777777" w:rsidR="002D2CCB" w:rsidRPr="007C747A" w:rsidRDefault="002D2CCB" w:rsidP="002D2CCB">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 xml:space="preserve">Any accumulated depreciation as at the revaluation date is eliminated against the gross carrying amount of the asset and the asset is restated to the revalued amount. </w:t>
      </w:r>
    </w:p>
    <w:p w14:paraId="444B3214" w14:textId="77777777" w:rsidR="002D2CCB" w:rsidRPr="007C747A" w:rsidRDefault="002D2CCB" w:rsidP="002D2CCB">
      <w:pPr>
        <w:spacing w:after="0" w:line="240" w:lineRule="auto"/>
        <w:rPr>
          <w:rFonts w:eastAsia="Times New Roman" w:cs="Arial"/>
          <w:i/>
          <w:iCs/>
          <w:sz w:val="18"/>
          <w:szCs w:val="18"/>
          <w:u w:val="single"/>
          <w:lang w:val="en-AU" w:eastAsia="en-AU"/>
        </w:rPr>
      </w:pPr>
    </w:p>
    <w:p w14:paraId="13CCF4B9" w14:textId="77777777" w:rsidR="002D2CCB" w:rsidRPr="007C747A" w:rsidRDefault="002D2CCB" w:rsidP="002D2CCB">
      <w:pPr>
        <w:spacing w:after="0" w:line="240" w:lineRule="auto"/>
        <w:rPr>
          <w:rFonts w:eastAsia="Times New Roman" w:cs="Arial"/>
          <w:i/>
          <w:iCs/>
          <w:sz w:val="18"/>
          <w:szCs w:val="18"/>
          <w:u w:val="single"/>
          <w:lang w:val="en-AU" w:eastAsia="en-AU"/>
        </w:rPr>
      </w:pPr>
      <w:r w:rsidRPr="007C747A">
        <w:rPr>
          <w:rFonts w:eastAsia="Times New Roman" w:cs="Arial"/>
          <w:i/>
          <w:iCs/>
          <w:sz w:val="18"/>
          <w:szCs w:val="18"/>
          <w:u w:val="single"/>
          <w:lang w:val="en-AU" w:eastAsia="en-AU"/>
        </w:rPr>
        <w:t>Depreciation</w:t>
      </w:r>
    </w:p>
    <w:p w14:paraId="38D50D50" w14:textId="77777777" w:rsidR="002D2CCB" w:rsidRPr="007C747A" w:rsidRDefault="002D2CCB" w:rsidP="002D2CCB">
      <w:pPr>
        <w:autoSpaceDE w:val="0"/>
        <w:autoSpaceDN w:val="0"/>
        <w:adjustRightInd w:val="0"/>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US"/>
        </w:rPr>
        <w:t>Depreciable leasehold improvements, plant, and equipment assets (other than leasehold improvements under construction) are written off to their estimated residual values over their estimated useful lives using the straight-line method of depreciation. The estimated useful lives, residual values and depreciation methods are reviewed at the end of each reporting period, with the effect of any changes in estimates accounted for on a prospective basis. The table below outlines the d</w:t>
      </w:r>
      <w:r w:rsidRPr="007C747A">
        <w:rPr>
          <w:rFonts w:eastAsia="Times New Roman" w:cs="Arial"/>
          <w:sz w:val="18"/>
          <w:szCs w:val="18"/>
          <w:lang w:val="en-AU" w:eastAsia="en-AU"/>
        </w:rPr>
        <w:t>epreciation rates applying to each class of depreciable asset based on the following useful lives:</w:t>
      </w:r>
    </w:p>
    <w:p w14:paraId="606C8110" w14:textId="77777777" w:rsidR="002D2CCB" w:rsidRPr="007C747A" w:rsidRDefault="002D2CCB" w:rsidP="002D2CCB">
      <w:pPr>
        <w:spacing w:after="0" w:line="240" w:lineRule="auto"/>
        <w:rPr>
          <w:rFonts w:eastAsia="Times New Roman" w:cs="Arial"/>
          <w:sz w:val="18"/>
          <w:szCs w:val="18"/>
          <w:lang w:val="en-AU" w:eastAsia="en-AU"/>
        </w:rPr>
      </w:pPr>
    </w:p>
    <w:tbl>
      <w:tblPr>
        <w:tblStyle w:val="LightShading1"/>
        <w:tblW w:w="4627" w:type="dxa"/>
        <w:tblLayout w:type="fixed"/>
        <w:tblLook w:val="04A0" w:firstRow="1" w:lastRow="0" w:firstColumn="1" w:lastColumn="0" w:noHBand="0" w:noVBand="1"/>
      </w:tblPr>
      <w:tblGrid>
        <w:gridCol w:w="2094"/>
        <w:gridCol w:w="1285"/>
        <w:gridCol w:w="1248"/>
      </w:tblGrid>
      <w:tr w:rsidR="002D2CCB" w:rsidRPr="007C747A" w14:paraId="6B177AF6" w14:textId="77777777">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94" w:type="dxa"/>
            <w:tcBorders>
              <w:bottom w:val="nil"/>
            </w:tcBorders>
            <w:shd w:val="clear" w:color="auto" w:fill="auto"/>
          </w:tcPr>
          <w:p w14:paraId="3DA03C32" w14:textId="77777777" w:rsidR="002D2CCB" w:rsidRPr="007C747A" w:rsidRDefault="002D2CCB">
            <w:pPr>
              <w:spacing w:after="0" w:line="260" w:lineRule="atLeast"/>
              <w:rPr>
                <w:rFonts w:eastAsia="Times New Roman" w:cs="Arial"/>
                <w:sz w:val="18"/>
                <w:szCs w:val="18"/>
                <w:lang w:val="en-AU" w:eastAsia="en-AU"/>
              </w:rPr>
            </w:pPr>
            <w:r w:rsidRPr="007C747A">
              <w:rPr>
                <w:rFonts w:eastAsia="Times New Roman" w:cs="Arial"/>
                <w:sz w:val="18"/>
                <w:szCs w:val="18"/>
                <w:lang w:val="en-AU" w:eastAsia="en-AU"/>
              </w:rPr>
              <w:t>Asset class</w:t>
            </w:r>
          </w:p>
        </w:tc>
        <w:tc>
          <w:tcPr>
            <w:tcW w:w="2533" w:type="dxa"/>
            <w:gridSpan w:val="2"/>
            <w:tcBorders>
              <w:bottom w:val="single" w:sz="8" w:space="0" w:color="auto"/>
            </w:tcBorders>
            <w:shd w:val="clear" w:color="auto" w:fill="auto"/>
          </w:tcPr>
          <w:p w14:paraId="47322DE5" w14:textId="77777777" w:rsidR="002D2CCB" w:rsidRPr="007C747A" w:rsidRDefault="002D2CCB">
            <w:pPr>
              <w:spacing w:after="0" w:line="260" w:lineRule="atLeast"/>
              <w:jc w:val="center"/>
              <w:cnfStyle w:val="100000000000" w:firstRow="1" w:lastRow="0" w:firstColumn="0" w:lastColumn="0" w:oddVBand="0" w:evenVBand="0" w:oddHBand="0" w:evenHBand="0" w:firstRowFirstColumn="0" w:firstRowLastColumn="0" w:lastRowFirstColumn="0" w:lastRowLastColumn="0"/>
              <w:rPr>
                <w:rFonts w:eastAsia="Calibri" w:cs="Arial"/>
                <w:sz w:val="18"/>
                <w:szCs w:val="18"/>
                <w:lang w:val="en-AU" w:eastAsia="en-AU"/>
              </w:rPr>
            </w:pPr>
            <w:r w:rsidRPr="007C747A">
              <w:rPr>
                <w:rFonts w:eastAsia="Times New Roman" w:cs="Arial"/>
                <w:sz w:val="18"/>
                <w:szCs w:val="18"/>
                <w:lang w:val="en-AU" w:eastAsia="en-AU"/>
              </w:rPr>
              <w:t>Useful life</w:t>
            </w:r>
          </w:p>
        </w:tc>
      </w:tr>
      <w:tr w:rsidR="002D2CCB" w:rsidRPr="007C747A" w14:paraId="15E9CF58" w14:textId="7777777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094" w:type="dxa"/>
            <w:tcBorders>
              <w:top w:val="nil"/>
              <w:bottom w:val="single" w:sz="8" w:space="0" w:color="auto"/>
            </w:tcBorders>
            <w:shd w:val="clear" w:color="auto" w:fill="auto"/>
          </w:tcPr>
          <w:p w14:paraId="7ED52839" w14:textId="77777777" w:rsidR="002D2CCB" w:rsidRPr="007C747A" w:rsidRDefault="002D2CCB">
            <w:pPr>
              <w:spacing w:after="0" w:line="260" w:lineRule="atLeast"/>
              <w:rPr>
                <w:rFonts w:eastAsia="Calibri" w:cs="Arial"/>
                <w:sz w:val="18"/>
                <w:szCs w:val="18"/>
                <w:lang w:val="en-AU" w:eastAsia="en-AU"/>
              </w:rPr>
            </w:pPr>
          </w:p>
        </w:tc>
        <w:tc>
          <w:tcPr>
            <w:tcW w:w="1285" w:type="dxa"/>
            <w:tcBorders>
              <w:top w:val="single" w:sz="8" w:space="0" w:color="auto"/>
              <w:bottom w:val="single" w:sz="8" w:space="0" w:color="auto"/>
            </w:tcBorders>
            <w:shd w:val="clear" w:color="auto" w:fill="auto"/>
          </w:tcPr>
          <w:p w14:paraId="52751275" w14:textId="77777777" w:rsidR="002D2CCB" w:rsidRPr="007C747A" w:rsidRDefault="002D2CCB">
            <w:pPr>
              <w:spacing w:after="0" w:line="260" w:lineRule="atLeast"/>
              <w:cnfStyle w:val="000000100000" w:firstRow="0" w:lastRow="0" w:firstColumn="0" w:lastColumn="0" w:oddVBand="0" w:evenVBand="0" w:oddHBand="1" w:evenHBand="0" w:firstRowFirstColumn="0" w:firstRowLastColumn="0" w:lastRowFirstColumn="0" w:lastRowLastColumn="0"/>
              <w:rPr>
                <w:rFonts w:eastAsia="Calibri" w:cs="Arial"/>
                <w:b/>
                <w:bCs/>
                <w:sz w:val="18"/>
                <w:szCs w:val="18"/>
                <w:lang w:val="en-AU" w:eastAsia="en-AU"/>
              </w:rPr>
            </w:pPr>
            <w:r w:rsidRPr="007C747A">
              <w:rPr>
                <w:rFonts w:eastAsia="Calibri" w:cs="Arial"/>
                <w:b/>
                <w:bCs/>
                <w:sz w:val="18"/>
                <w:szCs w:val="18"/>
                <w:lang w:val="en-AU" w:eastAsia="en-AU"/>
              </w:rPr>
              <w:t>2022-23</w:t>
            </w:r>
          </w:p>
        </w:tc>
        <w:tc>
          <w:tcPr>
            <w:tcW w:w="1248" w:type="dxa"/>
            <w:tcBorders>
              <w:top w:val="single" w:sz="8" w:space="0" w:color="auto"/>
              <w:bottom w:val="single" w:sz="8" w:space="0" w:color="auto"/>
            </w:tcBorders>
            <w:shd w:val="clear" w:color="auto" w:fill="auto"/>
          </w:tcPr>
          <w:p w14:paraId="7052072A" w14:textId="77777777" w:rsidR="002D2CCB" w:rsidRPr="007C747A" w:rsidRDefault="002D2CCB">
            <w:pPr>
              <w:spacing w:after="0" w:line="260" w:lineRule="atLeast"/>
              <w:cnfStyle w:val="000000100000" w:firstRow="0" w:lastRow="0" w:firstColumn="0" w:lastColumn="0" w:oddVBand="0" w:evenVBand="0" w:oddHBand="1" w:evenHBand="0" w:firstRowFirstColumn="0" w:firstRowLastColumn="0" w:lastRowFirstColumn="0" w:lastRowLastColumn="0"/>
              <w:rPr>
                <w:rFonts w:eastAsia="Calibri" w:cs="Arial"/>
                <w:sz w:val="18"/>
                <w:szCs w:val="18"/>
                <w:lang w:val="en-AU" w:eastAsia="en-AU"/>
              </w:rPr>
            </w:pPr>
            <w:r w:rsidRPr="007C747A">
              <w:rPr>
                <w:rFonts w:eastAsia="Calibri" w:cs="Arial"/>
                <w:sz w:val="18"/>
                <w:szCs w:val="18"/>
                <w:lang w:val="en-AU" w:eastAsia="en-AU"/>
              </w:rPr>
              <w:t>2021-22</w:t>
            </w:r>
          </w:p>
        </w:tc>
      </w:tr>
      <w:tr w:rsidR="002D2CCB" w:rsidRPr="007C747A" w14:paraId="3D95F2FB" w14:textId="77777777">
        <w:trPr>
          <w:trHeight w:val="236"/>
        </w:trPr>
        <w:tc>
          <w:tcPr>
            <w:cnfStyle w:val="001000000000" w:firstRow="0" w:lastRow="0" w:firstColumn="1" w:lastColumn="0" w:oddVBand="0" w:evenVBand="0" w:oddHBand="0" w:evenHBand="0" w:firstRowFirstColumn="0" w:firstRowLastColumn="0" w:lastRowFirstColumn="0" w:lastRowLastColumn="0"/>
            <w:tcW w:w="2094" w:type="dxa"/>
            <w:tcBorders>
              <w:top w:val="single" w:sz="8" w:space="0" w:color="auto"/>
            </w:tcBorders>
            <w:shd w:val="clear" w:color="auto" w:fill="auto"/>
          </w:tcPr>
          <w:p w14:paraId="45C42AD3" w14:textId="77777777" w:rsidR="002D2CCB" w:rsidRPr="007C747A" w:rsidRDefault="002D2CCB">
            <w:pPr>
              <w:spacing w:after="120" w:line="260" w:lineRule="atLeast"/>
              <w:rPr>
                <w:rFonts w:eastAsia="Calibri" w:cs="Arial"/>
                <w:sz w:val="18"/>
                <w:szCs w:val="18"/>
                <w:lang w:val="en-AU" w:eastAsia="en-AU"/>
              </w:rPr>
            </w:pPr>
            <w:r w:rsidRPr="007C747A">
              <w:rPr>
                <w:rFonts w:eastAsia="Calibri" w:cs="Arial"/>
                <w:sz w:val="18"/>
                <w:szCs w:val="18"/>
                <w:lang w:val="en-AU" w:eastAsia="en-AU"/>
              </w:rPr>
              <w:t>Plant and equipment</w:t>
            </w:r>
          </w:p>
        </w:tc>
        <w:tc>
          <w:tcPr>
            <w:tcW w:w="1285" w:type="dxa"/>
            <w:tcBorders>
              <w:top w:val="single" w:sz="8" w:space="0" w:color="auto"/>
            </w:tcBorders>
            <w:shd w:val="clear" w:color="auto" w:fill="auto"/>
          </w:tcPr>
          <w:p w14:paraId="11ABC1EA" w14:textId="77777777" w:rsidR="002D2CCB" w:rsidRPr="007C747A" w:rsidRDefault="002D2CCB">
            <w:pPr>
              <w:spacing w:after="120" w:line="260" w:lineRule="atLeast"/>
              <w:cnfStyle w:val="000000000000" w:firstRow="0" w:lastRow="0" w:firstColumn="0" w:lastColumn="0" w:oddVBand="0" w:evenVBand="0" w:oddHBand="0" w:evenHBand="0" w:firstRowFirstColumn="0" w:firstRowLastColumn="0" w:lastRowFirstColumn="0" w:lastRowLastColumn="0"/>
              <w:rPr>
                <w:rFonts w:eastAsia="Calibri" w:cs="Arial"/>
                <w:b/>
                <w:bCs/>
                <w:sz w:val="18"/>
                <w:szCs w:val="18"/>
                <w:lang w:val="en-AU" w:eastAsia="en-AU"/>
              </w:rPr>
            </w:pPr>
            <w:r w:rsidRPr="007C747A">
              <w:rPr>
                <w:rFonts w:eastAsia="Calibri" w:cs="Arial"/>
                <w:b/>
                <w:bCs/>
                <w:sz w:val="18"/>
                <w:szCs w:val="18"/>
                <w:lang w:val="en-AU" w:eastAsia="en-AU"/>
              </w:rPr>
              <w:t>3 to 10 years</w:t>
            </w:r>
          </w:p>
        </w:tc>
        <w:tc>
          <w:tcPr>
            <w:tcW w:w="1248" w:type="dxa"/>
            <w:tcBorders>
              <w:top w:val="single" w:sz="8" w:space="0" w:color="auto"/>
            </w:tcBorders>
            <w:shd w:val="clear" w:color="auto" w:fill="auto"/>
          </w:tcPr>
          <w:p w14:paraId="053AD8A5" w14:textId="77777777" w:rsidR="002D2CCB" w:rsidRPr="007C747A" w:rsidRDefault="002D2CCB">
            <w:pPr>
              <w:spacing w:after="120" w:line="260" w:lineRule="atLeast"/>
              <w:cnfStyle w:val="000000000000" w:firstRow="0" w:lastRow="0" w:firstColumn="0" w:lastColumn="0" w:oddVBand="0" w:evenVBand="0" w:oddHBand="0" w:evenHBand="0" w:firstRowFirstColumn="0" w:firstRowLastColumn="0" w:lastRowFirstColumn="0" w:lastRowLastColumn="0"/>
              <w:rPr>
                <w:rFonts w:eastAsia="Calibri" w:cs="Arial"/>
                <w:bCs/>
                <w:sz w:val="18"/>
                <w:szCs w:val="18"/>
                <w:lang w:val="en-AU" w:eastAsia="en-AU"/>
              </w:rPr>
            </w:pPr>
            <w:r w:rsidRPr="007C747A">
              <w:rPr>
                <w:rFonts w:eastAsia="Calibri" w:cs="Arial"/>
                <w:bCs/>
                <w:sz w:val="18"/>
                <w:szCs w:val="18"/>
                <w:lang w:val="en-AU" w:eastAsia="en-AU"/>
              </w:rPr>
              <w:t>3 to 10 years</w:t>
            </w:r>
          </w:p>
        </w:tc>
      </w:tr>
      <w:tr w:rsidR="002D2CCB" w:rsidRPr="007C747A" w14:paraId="3FA33B21" w14:textId="77777777">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094" w:type="dxa"/>
            <w:shd w:val="clear" w:color="auto" w:fill="auto"/>
          </w:tcPr>
          <w:p w14:paraId="3C975423" w14:textId="77777777" w:rsidR="002D2CCB" w:rsidRPr="007C747A" w:rsidRDefault="002D2CCB">
            <w:pPr>
              <w:spacing w:after="0" w:line="260" w:lineRule="atLeast"/>
              <w:rPr>
                <w:rFonts w:eastAsia="Calibri" w:cs="Arial"/>
                <w:sz w:val="18"/>
                <w:szCs w:val="18"/>
                <w:lang w:val="en-AU" w:eastAsia="en-AU"/>
              </w:rPr>
            </w:pPr>
            <w:r w:rsidRPr="007C747A">
              <w:rPr>
                <w:rFonts w:eastAsia="Calibri" w:cs="Arial"/>
                <w:sz w:val="18"/>
                <w:szCs w:val="18"/>
                <w:lang w:val="en-AU" w:eastAsia="en-AU"/>
              </w:rPr>
              <w:t>Buildings</w:t>
            </w:r>
          </w:p>
        </w:tc>
        <w:tc>
          <w:tcPr>
            <w:tcW w:w="1285" w:type="dxa"/>
            <w:shd w:val="clear" w:color="auto" w:fill="auto"/>
          </w:tcPr>
          <w:p w14:paraId="14838B19" w14:textId="77777777" w:rsidR="002D2CCB" w:rsidRPr="007C747A" w:rsidRDefault="002D2CCB">
            <w:pPr>
              <w:autoSpaceDE w:val="0"/>
              <w:autoSpaceDN w:val="0"/>
              <w:adjustRightInd w:val="0"/>
              <w:spacing w:after="0" w:line="260" w:lineRule="atLeast"/>
              <w:contextualSpacing/>
              <w:cnfStyle w:val="000000100000" w:firstRow="0" w:lastRow="0" w:firstColumn="0" w:lastColumn="0" w:oddVBand="0" w:evenVBand="0" w:oddHBand="1" w:evenHBand="0" w:firstRowFirstColumn="0" w:firstRowLastColumn="0" w:lastRowFirstColumn="0" w:lastRowLastColumn="0"/>
              <w:rPr>
                <w:rFonts w:eastAsia="Calibri" w:cs="Arial"/>
                <w:b/>
                <w:bCs/>
                <w:sz w:val="18"/>
                <w:szCs w:val="18"/>
                <w:lang w:val="en-AU" w:eastAsia="en-AU"/>
              </w:rPr>
            </w:pPr>
            <w:r w:rsidRPr="007C747A">
              <w:rPr>
                <w:rFonts w:eastAsia="Calibri" w:cs="Arial"/>
                <w:b/>
                <w:bCs/>
                <w:sz w:val="18"/>
                <w:szCs w:val="18"/>
                <w:lang w:val="en-AU" w:eastAsia="en-AU"/>
              </w:rPr>
              <w:t>Term of lease</w:t>
            </w:r>
          </w:p>
          <w:p w14:paraId="157C0365" w14:textId="77777777" w:rsidR="002D2CCB" w:rsidRPr="007C747A" w:rsidRDefault="002D2CCB">
            <w:pPr>
              <w:autoSpaceDE w:val="0"/>
              <w:autoSpaceDN w:val="0"/>
              <w:adjustRightInd w:val="0"/>
              <w:spacing w:after="0" w:line="260" w:lineRule="atLeast"/>
              <w:contextualSpacing/>
              <w:cnfStyle w:val="000000100000" w:firstRow="0" w:lastRow="0" w:firstColumn="0" w:lastColumn="0" w:oddVBand="0" w:evenVBand="0" w:oddHBand="1" w:evenHBand="0" w:firstRowFirstColumn="0" w:firstRowLastColumn="0" w:lastRowFirstColumn="0" w:lastRowLastColumn="0"/>
              <w:rPr>
                <w:rFonts w:eastAsia="Calibri" w:cs="Arial"/>
                <w:b/>
                <w:bCs/>
                <w:sz w:val="18"/>
                <w:szCs w:val="18"/>
                <w:lang w:val="en-AU" w:eastAsia="en-AU"/>
              </w:rPr>
            </w:pPr>
          </w:p>
        </w:tc>
        <w:tc>
          <w:tcPr>
            <w:tcW w:w="1248" w:type="dxa"/>
            <w:shd w:val="clear" w:color="auto" w:fill="auto"/>
          </w:tcPr>
          <w:p w14:paraId="519AEDD7" w14:textId="77777777" w:rsidR="002D2CCB" w:rsidRPr="007C747A" w:rsidRDefault="002D2CCB">
            <w:pPr>
              <w:autoSpaceDE w:val="0"/>
              <w:autoSpaceDN w:val="0"/>
              <w:adjustRightInd w:val="0"/>
              <w:spacing w:after="0" w:line="260" w:lineRule="atLeast"/>
              <w:contextualSpacing/>
              <w:cnfStyle w:val="000000100000" w:firstRow="0" w:lastRow="0" w:firstColumn="0" w:lastColumn="0" w:oddVBand="0" w:evenVBand="0" w:oddHBand="1" w:evenHBand="0" w:firstRowFirstColumn="0" w:firstRowLastColumn="0" w:lastRowFirstColumn="0" w:lastRowLastColumn="0"/>
              <w:rPr>
                <w:rFonts w:eastAsia="Calibri" w:cs="Arial"/>
                <w:bCs/>
                <w:sz w:val="18"/>
                <w:szCs w:val="18"/>
                <w:lang w:val="en-AU" w:eastAsia="en-AU"/>
              </w:rPr>
            </w:pPr>
            <w:r w:rsidRPr="007C747A">
              <w:rPr>
                <w:rFonts w:eastAsia="Calibri" w:cs="Arial"/>
                <w:bCs/>
                <w:sz w:val="18"/>
                <w:szCs w:val="18"/>
                <w:lang w:val="en-AU" w:eastAsia="en-AU"/>
              </w:rPr>
              <w:t>Term of lease</w:t>
            </w:r>
          </w:p>
        </w:tc>
      </w:tr>
    </w:tbl>
    <w:p w14:paraId="74203BA6" w14:textId="77777777" w:rsidR="002D2CCB" w:rsidRPr="007C747A" w:rsidRDefault="002D2CCB" w:rsidP="002D2CCB">
      <w:pPr>
        <w:spacing w:after="0" w:line="240" w:lineRule="auto"/>
        <w:rPr>
          <w:rFonts w:eastAsia="Times New Roman" w:cs="Arial"/>
          <w:sz w:val="18"/>
          <w:szCs w:val="18"/>
          <w:lang w:val="en-AU" w:eastAsia="en-US"/>
        </w:rPr>
      </w:pPr>
    </w:p>
    <w:p w14:paraId="139D4745" w14:textId="77777777" w:rsidR="002D2CCB" w:rsidRPr="007C747A" w:rsidRDefault="002D2CCB" w:rsidP="002D2CCB">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The depreciation rates for ROU assets are based on the life of the lease term, including options to extend where it is expected that these will be exercised.</w:t>
      </w:r>
    </w:p>
    <w:p w14:paraId="13C3CE34" w14:textId="77777777" w:rsidR="002D2CCB" w:rsidRPr="007C747A" w:rsidRDefault="002D2CCB" w:rsidP="002D2CCB">
      <w:pPr>
        <w:spacing w:after="0" w:line="240" w:lineRule="auto"/>
        <w:rPr>
          <w:rFonts w:eastAsia="Times New Roman" w:cs="Arial"/>
          <w:sz w:val="18"/>
          <w:szCs w:val="18"/>
          <w:lang w:val="en-AU" w:eastAsia="en-US"/>
        </w:rPr>
      </w:pPr>
    </w:p>
    <w:p w14:paraId="59CA53D7" w14:textId="77777777" w:rsidR="002D2CCB" w:rsidRPr="007C747A" w:rsidRDefault="002D2CCB" w:rsidP="002D2CCB">
      <w:pPr>
        <w:spacing w:after="0" w:line="240" w:lineRule="auto"/>
        <w:rPr>
          <w:rFonts w:eastAsia="Times New Roman" w:cs="Arial"/>
          <w:i/>
          <w:iCs/>
          <w:sz w:val="18"/>
          <w:szCs w:val="18"/>
          <w:u w:val="single"/>
          <w:lang w:val="en-AU" w:eastAsia="en-AU"/>
        </w:rPr>
      </w:pPr>
      <w:r w:rsidRPr="007C747A">
        <w:rPr>
          <w:rFonts w:eastAsia="Times New Roman" w:cs="Arial"/>
          <w:i/>
          <w:iCs/>
          <w:sz w:val="18"/>
          <w:szCs w:val="18"/>
          <w:u w:val="single"/>
          <w:lang w:val="en-AU" w:eastAsia="en-AU"/>
        </w:rPr>
        <w:t>Impairment</w:t>
      </w:r>
    </w:p>
    <w:p w14:paraId="4435D005" w14:textId="4456F305" w:rsidR="004A459F" w:rsidRPr="007C747A" w:rsidRDefault="002D2CCB" w:rsidP="004A459F">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All assets are assessed for impairment annually. 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w:t>
      </w:r>
      <w:r w:rsidR="00792AD7" w:rsidRPr="007C747A">
        <w:rPr>
          <w:rFonts w:eastAsia="Times New Roman" w:cs="Arial"/>
          <w:sz w:val="18"/>
          <w:szCs w:val="18"/>
          <w:lang w:val="en-AU" w:eastAsia="en-AU"/>
        </w:rPr>
        <w:t xml:space="preserve"> </w:t>
      </w:r>
      <w:r w:rsidR="004A459F" w:rsidRPr="007C747A">
        <w:rPr>
          <w:rFonts w:eastAsia="Times New Roman" w:cs="Arial"/>
          <w:sz w:val="18"/>
          <w:szCs w:val="18"/>
          <w:lang w:val="en-AU" w:eastAsia="en-AU"/>
        </w:rPr>
        <w:t xml:space="preserve">Agency were deprived of the asset, its value in use is taken to be its depreciated replacement cost. </w:t>
      </w:r>
    </w:p>
    <w:p w14:paraId="5F7A18A5" w14:textId="77777777" w:rsidR="004A459F" w:rsidRPr="007C747A" w:rsidRDefault="004A459F" w:rsidP="004A459F">
      <w:pPr>
        <w:spacing w:after="0" w:line="240" w:lineRule="auto"/>
        <w:jc w:val="both"/>
        <w:rPr>
          <w:rFonts w:eastAsia="Times New Roman" w:cs="Arial"/>
          <w:sz w:val="18"/>
          <w:szCs w:val="18"/>
          <w:lang w:val="en-AU" w:eastAsia="en-AU"/>
        </w:rPr>
      </w:pPr>
    </w:p>
    <w:p w14:paraId="6A10610F" w14:textId="77777777" w:rsidR="004A459F" w:rsidRPr="007C747A" w:rsidRDefault="004A459F" w:rsidP="004A459F">
      <w:pPr>
        <w:spacing w:after="0" w:line="240" w:lineRule="auto"/>
        <w:jc w:val="both"/>
        <w:rPr>
          <w:rFonts w:eastAsia="Times New Roman" w:cs="Arial"/>
          <w:i/>
          <w:iCs/>
          <w:sz w:val="18"/>
          <w:szCs w:val="18"/>
          <w:u w:val="single"/>
          <w:lang w:val="en-AU" w:eastAsia="en-AU"/>
        </w:rPr>
      </w:pPr>
      <w:r w:rsidRPr="007C747A">
        <w:rPr>
          <w:rFonts w:eastAsia="Times New Roman" w:cs="Arial"/>
          <w:noProof/>
          <w:sz w:val="18"/>
          <w:szCs w:val="18"/>
          <w:lang w:val="en-AU" w:eastAsia="en-AU"/>
        </w:rPr>
        <mc:AlternateContent>
          <mc:Choice Requires="wps">
            <w:drawing>
              <wp:anchor distT="0" distB="0" distL="114300" distR="114300" simplePos="0" relativeHeight="251634688" behindDoc="0" locked="1" layoutInCell="1" allowOverlap="1" wp14:anchorId="53267253" wp14:editId="52C88241">
                <wp:simplePos x="0" y="0"/>
                <wp:positionH relativeFrom="margin">
                  <wp:posOffset>-135890</wp:posOffset>
                </wp:positionH>
                <wp:positionV relativeFrom="paragraph">
                  <wp:posOffset>0</wp:posOffset>
                </wp:positionV>
                <wp:extent cx="6382385" cy="5397500"/>
                <wp:effectExtent l="0" t="0" r="18415" b="12700"/>
                <wp:wrapNone/>
                <wp:docPr id="12" name="Rectangl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2385" cy="5397500"/>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AFA2E33" id="Rectangle 12" o:spid="_x0000_s1026" alt="&quot;&quot;" style="position:absolute;margin-left:-10.7pt;margin-top:0;width:502.55pt;height:42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" filled="f" strokecolor="purple">
                <w10:wrap anchorx="margin"/>
                <w10:anchorlock/>
              </v:rect>
            </w:pict>
          </mc:Fallback>
        </mc:AlternateContent>
      </w:r>
      <w:r w:rsidRPr="007C747A">
        <w:rPr>
          <w:rFonts w:eastAsia="Times New Roman" w:cs="Arial"/>
          <w:i/>
          <w:iCs/>
          <w:sz w:val="18"/>
          <w:szCs w:val="18"/>
          <w:u w:val="single"/>
          <w:lang w:val="en-AU" w:eastAsia="en-AU"/>
        </w:rPr>
        <w:t>Fair Value</w:t>
      </w:r>
    </w:p>
    <w:p w14:paraId="30D0ED37" w14:textId="77777777" w:rsidR="00BB4296" w:rsidRPr="007C747A" w:rsidRDefault="00BB4296" w:rsidP="004A459F">
      <w:pPr>
        <w:spacing w:after="0" w:line="240" w:lineRule="auto"/>
        <w:jc w:val="both"/>
        <w:rPr>
          <w:rFonts w:eastAsia="Times New Roman" w:cs="Arial"/>
          <w:i/>
          <w:iCs/>
          <w:sz w:val="18"/>
          <w:szCs w:val="18"/>
          <w:u w:val="single"/>
          <w:lang w:val="en-AU" w:eastAsia="en-AU"/>
        </w:rPr>
      </w:pPr>
    </w:p>
    <w:p w14:paraId="1168649A" w14:textId="77777777" w:rsidR="004A459F" w:rsidRPr="007C747A" w:rsidRDefault="004A459F" w:rsidP="004A459F">
      <w:pPr>
        <w:spacing w:after="0" w:line="240" w:lineRule="auto"/>
        <w:jc w:val="both"/>
        <w:rPr>
          <w:rFonts w:eastAsia="Times New Roman" w:cs="Arial"/>
          <w:iCs/>
          <w:sz w:val="18"/>
          <w:szCs w:val="18"/>
          <w:lang w:val="en-AU" w:eastAsia="en-AU"/>
        </w:rPr>
      </w:pPr>
      <w:r w:rsidRPr="007C747A">
        <w:rPr>
          <w:rFonts w:eastAsia="Times New Roman" w:cs="Arial"/>
          <w:iCs/>
          <w:sz w:val="18"/>
          <w:szCs w:val="18"/>
          <w:lang w:val="en-AU" w:eastAsia="en-AU"/>
        </w:rPr>
        <w:t>All leasehold improvements and plant and equipment are measured at their estimated fair value in the Statement of Financial Position. All leasehold improvements and plant and equipment, other than ROU plant and equipment and computing equipment, held by the Agency are categorised under Level 3 in accordance with the hierarchy listed in AASB 13.</w:t>
      </w:r>
    </w:p>
    <w:p w14:paraId="6CE82DDA" w14:textId="77777777" w:rsidR="004A459F" w:rsidRPr="007C747A" w:rsidRDefault="004A459F" w:rsidP="004A459F">
      <w:pPr>
        <w:spacing w:after="0" w:line="240" w:lineRule="auto"/>
        <w:jc w:val="both"/>
        <w:rPr>
          <w:rFonts w:eastAsia="Times New Roman" w:cs="Arial"/>
          <w:iCs/>
          <w:sz w:val="18"/>
          <w:szCs w:val="18"/>
          <w:lang w:val="en-AU" w:eastAsia="en-AU"/>
        </w:rPr>
      </w:pPr>
    </w:p>
    <w:p w14:paraId="2233F018" w14:textId="77777777" w:rsidR="004A459F" w:rsidRPr="007C747A" w:rsidRDefault="004A459F" w:rsidP="004A459F">
      <w:pPr>
        <w:spacing w:after="0" w:line="240" w:lineRule="auto"/>
        <w:jc w:val="both"/>
        <w:rPr>
          <w:rFonts w:eastAsia="Times New Roman" w:cs="Arial"/>
          <w:iCs/>
          <w:sz w:val="18"/>
          <w:szCs w:val="18"/>
          <w:lang w:val="en-AU" w:eastAsia="en-AU"/>
        </w:rPr>
      </w:pPr>
      <w:r w:rsidRPr="007C747A">
        <w:rPr>
          <w:rFonts w:eastAsia="Times New Roman" w:cs="Arial"/>
          <w:iCs/>
          <w:sz w:val="18"/>
          <w:szCs w:val="18"/>
          <w:lang w:val="en-AU" w:eastAsia="en-AU"/>
        </w:rPr>
        <w:t>Level 3 measurements use inputs to estimate fair value where there are no observable market prices for the assets being valued. The future economic benefits of the Agency’s leasehold improvements and plant and equipment are not primarily dependent on their ability to generate cash flows. The Agency has not disclosed quantitative information about the significant unobservable inputs for the level 3 measurements in these classes.</w:t>
      </w:r>
    </w:p>
    <w:p w14:paraId="3D8E91C6" w14:textId="77777777" w:rsidR="004A459F" w:rsidRPr="007C747A" w:rsidRDefault="004A459F" w:rsidP="004A459F">
      <w:pPr>
        <w:spacing w:after="0" w:line="240" w:lineRule="auto"/>
        <w:jc w:val="both"/>
        <w:rPr>
          <w:rFonts w:eastAsia="Times New Roman" w:cs="Arial"/>
          <w:i/>
          <w:iCs/>
          <w:sz w:val="18"/>
          <w:szCs w:val="18"/>
          <w:u w:val="single"/>
          <w:lang w:val="en-AU" w:eastAsia="en-AU"/>
        </w:rPr>
      </w:pPr>
    </w:p>
    <w:p w14:paraId="217B3698" w14:textId="77777777" w:rsidR="004A459F" w:rsidRPr="007C747A" w:rsidRDefault="004A459F" w:rsidP="004A459F">
      <w:pPr>
        <w:spacing w:after="0" w:line="240" w:lineRule="auto"/>
        <w:jc w:val="both"/>
        <w:rPr>
          <w:rFonts w:eastAsia="Times New Roman" w:cs="Arial"/>
          <w:iCs/>
          <w:sz w:val="18"/>
          <w:szCs w:val="18"/>
          <w:lang w:val="en-AU" w:eastAsia="en-AU"/>
        </w:rPr>
      </w:pPr>
      <w:r w:rsidRPr="007C747A">
        <w:rPr>
          <w:rFonts w:eastAsia="Times New Roman" w:cs="Arial"/>
          <w:sz w:val="18"/>
          <w:szCs w:val="18"/>
          <w:lang w:val="en-AU" w:eastAsia="en-AU"/>
        </w:rPr>
        <w:t xml:space="preserve">Computing equipment are categorised under level 1 </w:t>
      </w:r>
      <w:r w:rsidRPr="007C747A">
        <w:rPr>
          <w:rFonts w:eastAsia="Times New Roman" w:cs="Arial"/>
          <w:iCs/>
          <w:sz w:val="18"/>
          <w:szCs w:val="18"/>
          <w:lang w:val="en-AU" w:eastAsia="en-AU"/>
        </w:rPr>
        <w:t>in accordance with the hierarchy listed in AASB 13.</w:t>
      </w:r>
    </w:p>
    <w:p w14:paraId="0EEA1AA5" w14:textId="77777777" w:rsidR="004A459F" w:rsidRPr="007C747A" w:rsidRDefault="004A459F" w:rsidP="004A459F">
      <w:pPr>
        <w:spacing w:after="0" w:line="240" w:lineRule="auto"/>
        <w:jc w:val="both"/>
        <w:rPr>
          <w:rFonts w:eastAsia="Times New Roman" w:cs="Arial"/>
          <w:iCs/>
          <w:sz w:val="18"/>
          <w:szCs w:val="18"/>
          <w:lang w:val="en-AU" w:eastAsia="en-AU"/>
        </w:rPr>
      </w:pPr>
    </w:p>
    <w:p w14:paraId="460CF2F9" w14:textId="77777777" w:rsidR="004A459F" w:rsidRPr="007C747A" w:rsidRDefault="004A459F" w:rsidP="004A459F">
      <w:pPr>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Level 1 measurements use quoted prices (unadjusted) in active markets for identical assets or liabilities that the entity can access at the measurement date.</w:t>
      </w:r>
    </w:p>
    <w:p w14:paraId="79D21BC9" w14:textId="77777777" w:rsidR="004A459F" w:rsidRPr="007C747A" w:rsidRDefault="004A459F" w:rsidP="004A459F">
      <w:pPr>
        <w:spacing w:after="0" w:line="240" w:lineRule="auto"/>
        <w:jc w:val="both"/>
        <w:rPr>
          <w:rFonts w:eastAsia="Times New Roman" w:cs="Arial"/>
          <w:i/>
          <w:iCs/>
          <w:sz w:val="18"/>
          <w:szCs w:val="18"/>
          <w:u w:val="single"/>
          <w:lang w:val="en-AU" w:eastAsia="en-AU"/>
        </w:rPr>
      </w:pPr>
    </w:p>
    <w:p w14:paraId="0C80EC5A" w14:textId="77777777" w:rsidR="004A459F" w:rsidRPr="007C747A" w:rsidRDefault="004A459F" w:rsidP="004A459F">
      <w:pPr>
        <w:spacing w:after="0" w:line="240" w:lineRule="auto"/>
        <w:jc w:val="both"/>
        <w:rPr>
          <w:rFonts w:eastAsia="Times New Roman" w:cs="Arial"/>
          <w:i/>
          <w:iCs/>
          <w:sz w:val="18"/>
          <w:szCs w:val="18"/>
          <w:u w:val="single"/>
          <w:lang w:val="en-AU" w:eastAsia="en-AU"/>
        </w:rPr>
      </w:pPr>
      <w:r w:rsidRPr="007C747A">
        <w:rPr>
          <w:rFonts w:eastAsia="Times New Roman" w:cs="Arial"/>
          <w:i/>
          <w:iCs/>
          <w:sz w:val="18"/>
          <w:szCs w:val="18"/>
          <w:u w:val="single"/>
          <w:lang w:val="en-AU" w:eastAsia="en-AU"/>
        </w:rPr>
        <w:t>De-recognition</w:t>
      </w:r>
    </w:p>
    <w:p w14:paraId="48F7F5C3"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US"/>
        </w:rPr>
      </w:pPr>
      <w:r w:rsidRPr="007C747A">
        <w:rPr>
          <w:rFonts w:eastAsia="Times New Roman" w:cs="Arial"/>
          <w:sz w:val="18"/>
          <w:szCs w:val="18"/>
          <w:lang w:val="en-AU" w:eastAsia="en-US"/>
        </w:rPr>
        <w:t xml:space="preserve">An item of buildings or plant and equipment is derecognised upon disposal or when no further future economic benefits are expected from its use or its disposal. </w:t>
      </w:r>
    </w:p>
    <w:p w14:paraId="6B9C151A"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US"/>
        </w:rPr>
      </w:pPr>
    </w:p>
    <w:p w14:paraId="5DE2696D"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US"/>
        </w:rPr>
      </w:pPr>
      <w:r w:rsidRPr="007C747A">
        <w:rPr>
          <w:rFonts w:eastAsia="Times New Roman" w:cs="Arial"/>
          <w:sz w:val="18"/>
          <w:szCs w:val="18"/>
          <w:lang w:val="en-AU" w:eastAsia="en-US"/>
        </w:rPr>
        <w:t xml:space="preserve">On de-recognition of a leased ROU asset, the Agency recognises any receipts on closure of the lease as a gain (unless </w:t>
      </w:r>
      <w:r w:rsidRPr="007C747A">
        <w:rPr>
          <w:rFonts w:eastAsia="Times New Roman" w:cs="Arial"/>
          <w:i/>
          <w:iCs/>
          <w:sz w:val="18"/>
          <w:szCs w:val="18"/>
          <w:lang w:val="en-AU" w:eastAsia="en-US"/>
        </w:rPr>
        <w:t>AASB 16 Leases</w:t>
      </w:r>
      <w:r w:rsidRPr="007C747A">
        <w:rPr>
          <w:rFonts w:eastAsia="Times New Roman" w:cs="Arial"/>
          <w:sz w:val="18"/>
          <w:szCs w:val="18"/>
          <w:lang w:val="en-AU" w:eastAsia="en-US"/>
        </w:rPr>
        <w:t xml:space="preserve"> requires otherwise on a sale and leaseback).</w:t>
      </w:r>
    </w:p>
    <w:p w14:paraId="51F3527D" w14:textId="77777777" w:rsidR="004A459F" w:rsidRPr="007C747A" w:rsidRDefault="004A459F" w:rsidP="004A459F">
      <w:pPr>
        <w:autoSpaceDE w:val="0"/>
        <w:autoSpaceDN w:val="0"/>
        <w:adjustRightInd w:val="0"/>
        <w:spacing w:after="0" w:line="240" w:lineRule="auto"/>
        <w:jc w:val="both"/>
        <w:rPr>
          <w:rFonts w:eastAsia="Times New Roman" w:cs="Arial"/>
          <w:b/>
          <w:bCs/>
          <w:sz w:val="18"/>
          <w:szCs w:val="18"/>
          <w:lang w:val="en-AU" w:eastAsia="en-US"/>
        </w:rPr>
      </w:pPr>
    </w:p>
    <w:p w14:paraId="166E5486" w14:textId="77777777" w:rsidR="00792AD7" w:rsidRPr="007C747A" w:rsidRDefault="00792AD7" w:rsidP="004A459F">
      <w:pPr>
        <w:autoSpaceDE w:val="0"/>
        <w:autoSpaceDN w:val="0"/>
        <w:adjustRightInd w:val="0"/>
        <w:spacing w:after="0" w:line="240" w:lineRule="auto"/>
        <w:jc w:val="both"/>
        <w:rPr>
          <w:rFonts w:eastAsia="Times New Roman" w:cs="Arial"/>
          <w:b/>
          <w:bCs/>
          <w:sz w:val="18"/>
          <w:szCs w:val="18"/>
          <w:lang w:val="en-AU" w:eastAsia="en-US"/>
        </w:rPr>
      </w:pPr>
    </w:p>
    <w:p w14:paraId="55C6BF3A" w14:textId="77777777" w:rsidR="00792AD7" w:rsidRPr="007C747A" w:rsidRDefault="00792AD7" w:rsidP="004A459F">
      <w:pPr>
        <w:autoSpaceDE w:val="0"/>
        <w:autoSpaceDN w:val="0"/>
        <w:adjustRightInd w:val="0"/>
        <w:spacing w:after="0" w:line="240" w:lineRule="auto"/>
        <w:jc w:val="both"/>
        <w:rPr>
          <w:rFonts w:eastAsia="Times New Roman" w:cs="Arial"/>
          <w:b/>
          <w:bCs/>
          <w:sz w:val="18"/>
          <w:szCs w:val="18"/>
          <w:lang w:val="en-AU" w:eastAsia="en-US"/>
        </w:rPr>
      </w:pPr>
    </w:p>
    <w:p w14:paraId="456C00FA" w14:textId="77777777" w:rsidR="00AD7750" w:rsidRPr="007C747A" w:rsidRDefault="00AD7750" w:rsidP="004A459F">
      <w:pPr>
        <w:autoSpaceDE w:val="0"/>
        <w:autoSpaceDN w:val="0"/>
        <w:adjustRightInd w:val="0"/>
        <w:spacing w:after="0" w:line="240" w:lineRule="auto"/>
        <w:jc w:val="both"/>
        <w:rPr>
          <w:rFonts w:eastAsia="Times New Roman" w:cs="Arial"/>
          <w:b/>
          <w:bCs/>
          <w:sz w:val="18"/>
          <w:szCs w:val="18"/>
          <w:lang w:val="en-AU" w:eastAsia="en-US"/>
        </w:rPr>
      </w:pPr>
    </w:p>
    <w:p w14:paraId="7EB061B8" w14:textId="4D8A159D" w:rsidR="004A459F" w:rsidRPr="007C747A" w:rsidRDefault="004A459F" w:rsidP="004A459F">
      <w:pPr>
        <w:autoSpaceDE w:val="0"/>
        <w:autoSpaceDN w:val="0"/>
        <w:adjustRightInd w:val="0"/>
        <w:spacing w:after="0" w:line="240" w:lineRule="auto"/>
        <w:jc w:val="both"/>
        <w:rPr>
          <w:rFonts w:eastAsia="Times New Roman" w:cs="Arial"/>
          <w:b/>
          <w:bCs/>
          <w:sz w:val="18"/>
          <w:szCs w:val="18"/>
          <w:lang w:val="en-AU" w:eastAsia="en-US"/>
        </w:rPr>
      </w:pPr>
      <w:r w:rsidRPr="007C747A">
        <w:rPr>
          <w:rFonts w:eastAsia="Times New Roman" w:cs="Arial"/>
          <w:b/>
          <w:bCs/>
          <w:sz w:val="18"/>
          <w:szCs w:val="18"/>
          <w:lang w:val="en-AU" w:eastAsia="en-US"/>
        </w:rPr>
        <w:t>Key judgements and estimates</w:t>
      </w:r>
    </w:p>
    <w:p w14:paraId="58CF9562" w14:textId="77777777" w:rsidR="00BB4296" w:rsidRPr="007C747A" w:rsidRDefault="00BB4296" w:rsidP="004A459F">
      <w:pPr>
        <w:autoSpaceDE w:val="0"/>
        <w:autoSpaceDN w:val="0"/>
        <w:adjustRightInd w:val="0"/>
        <w:spacing w:after="0" w:line="240" w:lineRule="auto"/>
        <w:jc w:val="both"/>
        <w:rPr>
          <w:rFonts w:eastAsia="Times New Roman" w:cs="Arial"/>
          <w:b/>
          <w:bCs/>
          <w:sz w:val="18"/>
          <w:szCs w:val="18"/>
          <w:lang w:val="en-AU" w:eastAsia="en-US"/>
        </w:rPr>
      </w:pPr>
    </w:p>
    <w:p w14:paraId="4FA1C7A7"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estimated fair value of leasehold improvements and plant and equipment (excluding ROU assets) is determined annually by an independent valuer using the Cost Approach as these assets do not generally transact with enough frequency or transparency to develop objective opinions of value. The valuation result provided by the independent valuer is subject to management assessment.</w:t>
      </w:r>
    </w:p>
    <w:p w14:paraId="0C753C98"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pPr>
    </w:p>
    <w:p w14:paraId="08A24E6A"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The Cost Approach seeks to estimate the amount required to replace the service capacity of an asset at its highest and best use and is determined as either the Replacement Cost of New Assets (RCN) or the Depreciated Replacement Cost (DRC).</w:t>
      </w:r>
    </w:p>
    <w:p w14:paraId="55A6FF04"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pPr>
    </w:p>
    <w:p w14:paraId="02921360"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pPr>
      <w:r w:rsidRPr="007C747A">
        <w:rPr>
          <w:rFonts w:eastAsia="Times New Roman" w:cs="Arial"/>
          <w:sz w:val="18"/>
          <w:szCs w:val="18"/>
          <w:lang w:val="en-AU" w:eastAsia="en-AU"/>
        </w:rPr>
        <w:t>Assets Under Construction are valued as RCN determined as the amount a market participant would pay to acquire or construct a new substitute asset of comparable utility and relevant to the asset’s location. Inputs including current local market prices for asset components such as materials and labour costs are utilised in determining RCN.</w:t>
      </w:r>
    </w:p>
    <w:p w14:paraId="38FDF1F6"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pPr>
    </w:p>
    <w:p w14:paraId="01384B08" w14:textId="77777777" w:rsidR="004A459F" w:rsidRPr="007C747A" w:rsidRDefault="004A459F" w:rsidP="004A459F">
      <w:pPr>
        <w:autoSpaceDE w:val="0"/>
        <w:autoSpaceDN w:val="0"/>
        <w:adjustRightInd w:val="0"/>
        <w:spacing w:after="0" w:line="240" w:lineRule="auto"/>
        <w:jc w:val="both"/>
        <w:rPr>
          <w:rFonts w:eastAsia="Times New Roman" w:cs="Arial"/>
          <w:sz w:val="18"/>
          <w:szCs w:val="18"/>
          <w:lang w:val="en-AU" w:eastAsia="en-AU"/>
        </w:rPr>
        <w:sectPr w:rsidR="004A459F" w:rsidRPr="007C747A">
          <w:type w:val="continuous"/>
          <w:pgSz w:w="11906" w:h="16838" w:code="9"/>
          <w:pgMar w:top="1670" w:right="1134" w:bottom="1134" w:left="1134" w:header="958" w:footer="737" w:gutter="0"/>
          <w:cols w:num="2" w:space="708"/>
          <w:docGrid w:linePitch="360"/>
        </w:sectPr>
      </w:pPr>
      <w:r w:rsidRPr="007C747A">
        <w:rPr>
          <w:rFonts w:eastAsia="Times New Roman" w:cs="Arial"/>
          <w:sz w:val="18"/>
          <w:szCs w:val="18"/>
          <w:lang w:val="en-AU" w:eastAsia="en-AU"/>
        </w:rPr>
        <w:t>Leasehold improvements, plant, and equipment (excluding ROU assets) are valued using DRC. Under DRC the replacement costs of new assets are adjusted for physical depreciation and obsolescence such as physical deterioration, functional or technical obsolescence and conditions of the economic environment specific to the asset. For leasehold improvements, the consumed economic benefit/asset obsolescence deduction is generally determined based on the term of the associated lease. All useful life inputs are based on the lower of the tenancy lease term or economic life of the fit-out. If a fit-out installation date has occurred at a time other than the lease commencement date, the asset’s useful life will be based on the lesser of the remaining tenancy lease term or economic life of the fit-out.</w:t>
      </w:r>
    </w:p>
    <w:tbl>
      <w:tblPr>
        <w:tblW w:w="9118" w:type="dxa"/>
        <w:tblLook w:val="04A0" w:firstRow="1" w:lastRow="0" w:firstColumn="1" w:lastColumn="0" w:noHBand="0" w:noVBand="1"/>
      </w:tblPr>
      <w:tblGrid>
        <w:gridCol w:w="6357"/>
        <w:gridCol w:w="1251"/>
        <w:gridCol w:w="267"/>
        <w:gridCol w:w="1243"/>
      </w:tblGrid>
      <w:tr w:rsidR="004A459F" w:rsidRPr="007C747A" w14:paraId="0BE77ED1" w14:textId="77777777" w:rsidTr="00723C2D">
        <w:trPr>
          <w:trHeight w:val="260"/>
        </w:trPr>
        <w:tc>
          <w:tcPr>
            <w:tcW w:w="6357" w:type="dxa"/>
            <w:tcBorders>
              <w:top w:val="nil"/>
              <w:left w:val="nil"/>
              <w:bottom w:val="nil"/>
              <w:right w:val="nil"/>
            </w:tcBorders>
            <w:shd w:val="clear" w:color="FFFFFF" w:fill="FFFFFF"/>
            <w:noWrap/>
            <w:vAlign w:val="bottom"/>
            <w:hideMark/>
          </w:tcPr>
          <w:p w14:paraId="2635BF55"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vAlign w:val="bottom"/>
            <w:hideMark/>
          </w:tcPr>
          <w:p w14:paraId="76F9EEED" w14:textId="12F62296" w:rsidR="004A459F" w:rsidRPr="007C747A" w:rsidRDefault="00486335">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4A459F" w:rsidRPr="007C747A">
              <w:rPr>
                <w:rFonts w:eastAsia="Times New Roman" w:cs="Arial"/>
                <w:b/>
                <w:bCs/>
                <w:sz w:val="18"/>
                <w:szCs w:val="18"/>
                <w:lang w:val="en-AU" w:eastAsia="en-US"/>
              </w:rPr>
              <w:t>$'000</w:t>
            </w:r>
          </w:p>
        </w:tc>
        <w:tc>
          <w:tcPr>
            <w:tcW w:w="267" w:type="dxa"/>
            <w:tcBorders>
              <w:top w:val="nil"/>
              <w:left w:val="nil"/>
              <w:bottom w:val="nil"/>
              <w:right w:val="nil"/>
            </w:tcBorders>
            <w:shd w:val="clear" w:color="FFFFFF" w:fill="FFFFFF"/>
            <w:noWrap/>
            <w:vAlign w:val="bottom"/>
            <w:hideMark/>
          </w:tcPr>
          <w:p w14:paraId="6D4FEC23"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vAlign w:val="bottom"/>
            <w:hideMark/>
          </w:tcPr>
          <w:p w14:paraId="2E22E63D" w14:textId="08C141F3" w:rsidR="004A459F" w:rsidRPr="007C747A" w:rsidRDefault="00486335">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4A459F" w:rsidRPr="007C747A">
              <w:rPr>
                <w:rFonts w:eastAsia="Times New Roman" w:cs="Arial"/>
                <w:sz w:val="18"/>
                <w:szCs w:val="18"/>
                <w:lang w:val="en-AU" w:eastAsia="en-US"/>
              </w:rPr>
              <w:t>$'000</w:t>
            </w:r>
          </w:p>
        </w:tc>
      </w:tr>
      <w:tr w:rsidR="004A459F" w:rsidRPr="007C747A" w14:paraId="4F3A9178" w14:textId="77777777" w:rsidTr="00723C2D">
        <w:trPr>
          <w:trHeight w:val="260"/>
        </w:trPr>
        <w:tc>
          <w:tcPr>
            <w:tcW w:w="6357" w:type="dxa"/>
            <w:tcBorders>
              <w:top w:val="nil"/>
              <w:left w:val="nil"/>
              <w:bottom w:val="nil"/>
              <w:right w:val="nil"/>
            </w:tcBorders>
            <w:shd w:val="clear" w:color="FFFFFF" w:fill="FFFFFF"/>
            <w:noWrap/>
            <w:vAlign w:val="bottom"/>
            <w:hideMark/>
          </w:tcPr>
          <w:p w14:paraId="4AF8C46F" w14:textId="77777777" w:rsidR="004A459F" w:rsidRPr="007C747A" w:rsidRDefault="004A459F">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2.2B: Other non-financial assets</w:t>
            </w:r>
          </w:p>
        </w:tc>
        <w:tc>
          <w:tcPr>
            <w:tcW w:w="1251" w:type="dxa"/>
            <w:tcBorders>
              <w:top w:val="nil"/>
              <w:left w:val="nil"/>
              <w:bottom w:val="nil"/>
              <w:right w:val="nil"/>
            </w:tcBorders>
            <w:shd w:val="clear" w:color="FFFFFF" w:fill="FFFFFF"/>
            <w:noWrap/>
            <w:vAlign w:val="bottom"/>
            <w:hideMark/>
          </w:tcPr>
          <w:p w14:paraId="4494AC1E"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67" w:type="dxa"/>
            <w:tcBorders>
              <w:top w:val="nil"/>
              <w:left w:val="nil"/>
              <w:bottom w:val="nil"/>
              <w:right w:val="nil"/>
            </w:tcBorders>
            <w:shd w:val="clear" w:color="FFFFFF" w:fill="FFFFFF"/>
            <w:noWrap/>
            <w:vAlign w:val="bottom"/>
            <w:hideMark/>
          </w:tcPr>
          <w:p w14:paraId="169BD3EB"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31D89C0"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4A459F" w:rsidRPr="007C747A" w14:paraId="4274347E" w14:textId="77777777" w:rsidTr="00723C2D">
        <w:trPr>
          <w:trHeight w:val="270"/>
        </w:trPr>
        <w:tc>
          <w:tcPr>
            <w:tcW w:w="6357" w:type="dxa"/>
            <w:tcBorders>
              <w:top w:val="nil"/>
              <w:left w:val="nil"/>
              <w:bottom w:val="nil"/>
              <w:right w:val="nil"/>
            </w:tcBorders>
            <w:shd w:val="clear" w:color="FFFFFF" w:fill="FFFFFF"/>
            <w:noWrap/>
            <w:vAlign w:val="bottom"/>
            <w:hideMark/>
          </w:tcPr>
          <w:p w14:paraId="14EB9937"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Participant plan prepayments</w:t>
            </w:r>
            <w:r w:rsidRPr="007C747A">
              <w:rPr>
                <w:rFonts w:eastAsia="Times New Roman" w:cs="Arial"/>
                <w:sz w:val="18"/>
                <w:szCs w:val="18"/>
                <w:vertAlign w:val="superscript"/>
                <w:lang w:val="en-AU" w:eastAsia="en-US"/>
              </w:rPr>
              <w:t>1</w:t>
            </w:r>
          </w:p>
        </w:tc>
        <w:tc>
          <w:tcPr>
            <w:tcW w:w="1251" w:type="dxa"/>
            <w:tcBorders>
              <w:top w:val="nil"/>
              <w:left w:val="nil"/>
              <w:bottom w:val="nil"/>
              <w:right w:val="nil"/>
            </w:tcBorders>
            <w:shd w:val="clear" w:color="FFFFFF" w:fill="FFFFFF"/>
            <w:noWrap/>
            <w:vAlign w:val="bottom"/>
            <w:hideMark/>
          </w:tcPr>
          <w:p w14:paraId="2D6186AF" w14:textId="77777777" w:rsidR="004A459F" w:rsidRPr="007C747A" w:rsidRDefault="004A459F">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3,165</w:t>
            </w:r>
          </w:p>
        </w:tc>
        <w:tc>
          <w:tcPr>
            <w:tcW w:w="267" w:type="dxa"/>
            <w:tcBorders>
              <w:top w:val="nil"/>
              <w:left w:val="nil"/>
              <w:bottom w:val="nil"/>
              <w:right w:val="nil"/>
            </w:tcBorders>
            <w:shd w:val="clear" w:color="FFFFFF" w:fill="FFFFFF"/>
            <w:noWrap/>
            <w:vAlign w:val="bottom"/>
            <w:hideMark/>
          </w:tcPr>
          <w:p w14:paraId="1178A7CA"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CC9BD68" w14:textId="77777777" w:rsidR="004A459F" w:rsidRPr="007C747A" w:rsidRDefault="004A459F">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3,953</w:t>
            </w:r>
          </w:p>
        </w:tc>
      </w:tr>
      <w:tr w:rsidR="004A459F" w:rsidRPr="007C747A" w14:paraId="62E00729" w14:textId="77777777" w:rsidTr="00723C2D">
        <w:trPr>
          <w:trHeight w:val="250"/>
        </w:trPr>
        <w:tc>
          <w:tcPr>
            <w:tcW w:w="6357" w:type="dxa"/>
            <w:tcBorders>
              <w:top w:val="nil"/>
              <w:left w:val="nil"/>
              <w:bottom w:val="nil"/>
              <w:right w:val="nil"/>
            </w:tcBorders>
            <w:shd w:val="clear" w:color="FFFFFF" w:fill="FFFFFF"/>
            <w:noWrap/>
            <w:vAlign w:val="bottom"/>
            <w:hideMark/>
          </w:tcPr>
          <w:p w14:paraId="7F0EAD52"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Other prepayments</w:t>
            </w:r>
          </w:p>
        </w:tc>
        <w:tc>
          <w:tcPr>
            <w:tcW w:w="1251" w:type="dxa"/>
            <w:tcBorders>
              <w:top w:val="nil"/>
              <w:left w:val="nil"/>
              <w:bottom w:val="nil"/>
              <w:right w:val="nil"/>
            </w:tcBorders>
            <w:shd w:val="clear" w:color="FFFFFF" w:fill="FFFFFF"/>
            <w:noWrap/>
            <w:vAlign w:val="bottom"/>
            <w:hideMark/>
          </w:tcPr>
          <w:p w14:paraId="711C240A" w14:textId="77777777" w:rsidR="004A459F" w:rsidRPr="007C747A" w:rsidRDefault="004A459F">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23,454</w:t>
            </w:r>
          </w:p>
        </w:tc>
        <w:tc>
          <w:tcPr>
            <w:tcW w:w="267" w:type="dxa"/>
            <w:tcBorders>
              <w:top w:val="nil"/>
              <w:left w:val="nil"/>
              <w:bottom w:val="nil"/>
              <w:right w:val="nil"/>
            </w:tcBorders>
            <w:shd w:val="clear" w:color="FFFFFF" w:fill="FFFFFF"/>
            <w:noWrap/>
            <w:vAlign w:val="bottom"/>
            <w:hideMark/>
          </w:tcPr>
          <w:p w14:paraId="5F9F7A35"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42036B9" w14:textId="77777777" w:rsidR="004A459F" w:rsidRPr="007C747A" w:rsidRDefault="004A459F">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19,727</w:t>
            </w:r>
          </w:p>
        </w:tc>
      </w:tr>
      <w:tr w:rsidR="004A459F" w:rsidRPr="007C747A" w14:paraId="55CA146A" w14:textId="77777777" w:rsidTr="00723C2D">
        <w:trPr>
          <w:trHeight w:val="260"/>
        </w:trPr>
        <w:tc>
          <w:tcPr>
            <w:tcW w:w="6357" w:type="dxa"/>
            <w:tcBorders>
              <w:top w:val="nil"/>
              <w:left w:val="nil"/>
              <w:bottom w:val="nil"/>
              <w:right w:val="nil"/>
            </w:tcBorders>
            <w:shd w:val="clear" w:color="FFFFFF" w:fill="FFFFFF"/>
            <w:vAlign w:val="bottom"/>
            <w:hideMark/>
          </w:tcPr>
          <w:p w14:paraId="477F9353" w14:textId="77777777" w:rsidR="004A459F" w:rsidRPr="007C747A" w:rsidRDefault="004A459F">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other non-financial assets</w:t>
            </w:r>
          </w:p>
        </w:tc>
        <w:tc>
          <w:tcPr>
            <w:tcW w:w="1251" w:type="dxa"/>
            <w:tcBorders>
              <w:top w:val="single" w:sz="4" w:space="0" w:color="auto"/>
              <w:left w:val="nil"/>
              <w:bottom w:val="single" w:sz="4" w:space="0" w:color="auto"/>
              <w:right w:val="nil"/>
            </w:tcBorders>
            <w:shd w:val="clear" w:color="FFFFFF" w:fill="FFFFFF"/>
            <w:noWrap/>
            <w:vAlign w:val="bottom"/>
            <w:hideMark/>
          </w:tcPr>
          <w:p w14:paraId="0443B26B" w14:textId="77777777" w:rsidR="004A459F" w:rsidRPr="007C747A" w:rsidRDefault="004A459F">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26,619</w:t>
            </w:r>
          </w:p>
        </w:tc>
        <w:tc>
          <w:tcPr>
            <w:tcW w:w="267" w:type="dxa"/>
            <w:tcBorders>
              <w:top w:val="nil"/>
              <w:left w:val="nil"/>
              <w:bottom w:val="nil"/>
              <w:right w:val="nil"/>
            </w:tcBorders>
            <w:shd w:val="clear" w:color="FFFFFF" w:fill="FFFFFF"/>
            <w:noWrap/>
            <w:vAlign w:val="bottom"/>
            <w:hideMark/>
          </w:tcPr>
          <w:p w14:paraId="34206F7D" w14:textId="77777777" w:rsidR="004A459F" w:rsidRPr="007C747A" w:rsidRDefault="004A459F">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B61E63A" w14:textId="77777777" w:rsidR="004A459F" w:rsidRPr="007C747A" w:rsidRDefault="004A459F">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23,680</w:t>
            </w:r>
          </w:p>
        </w:tc>
      </w:tr>
    </w:tbl>
    <w:p w14:paraId="447DFC13" w14:textId="77777777" w:rsidR="004A459F" w:rsidRPr="007C747A" w:rsidRDefault="004A459F" w:rsidP="004A459F">
      <w:pPr>
        <w:spacing w:after="0" w:line="260" w:lineRule="atLeast"/>
        <w:rPr>
          <w:rFonts w:ascii="Times New Roman" w:eastAsia="SimSun" w:hAnsi="Times New Roman"/>
          <w:sz w:val="22"/>
          <w:szCs w:val="20"/>
          <w:lang w:val="en-AU" w:eastAsia="en-AU"/>
        </w:rPr>
      </w:pPr>
    </w:p>
    <w:p w14:paraId="303C4F60" w14:textId="77777777" w:rsidR="004A459F" w:rsidRPr="007C747A" w:rsidRDefault="004A459F" w:rsidP="004A459F">
      <w:pPr>
        <w:spacing w:after="0" w:line="240" w:lineRule="auto"/>
        <w:rPr>
          <w:rFonts w:eastAsia="Times New Roman"/>
          <w:sz w:val="18"/>
          <w:szCs w:val="20"/>
          <w:lang w:val="en-AU" w:eastAsia="en-AU"/>
        </w:rPr>
      </w:pPr>
      <w:r w:rsidRPr="007C747A">
        <w:rPr>
          <w:rFonts w:eastAsia="Times New Roman"/>
          <w:sz w:val="18"/>
          <w:szCs w:val="20"/>
          <w:lang w:val="en-AU" w:eastAsia="en-AU"/>
        </w:rPr>
        <w:t>No indicators of impairment were found for other non-financial assets.</w:t>
      </w:r>
    </w:p>
    <w:p w14:paraId="14BDF3FD" w14:textId="77777777" w:rsidR="004A459F" w:rsidRPr="007C747A" w:rsidRDefault="004A459F" w:rsidP="004A459F">
      <w:pPr>
        <w:spacing w:before="60" w:after="0" w:line="240" w:lineRule="auto"/>
        <w:ind w:left="142" w:hanging="142"/>
        <w:rPr>
          <w:rFonts w:eastAsia="Times New Roman" w:cs="Arial"/>
          <w:sz w:val="16"/>
          <w:szCs w:val="18"/>
          <w:vertAlign w:val="superscript"/>
          <w:lang w:val="en-AU" w:eastAsia="en-US"/>
        </w:rPr>
      </w:pPr>
    </w:p>
    <w:p w14:paraId="2B947A79" w14:textId="5645E9C8" w:rsidR="007F1F15" w:rsidRPr="007C747A" w:rsidRDefault="004A459F" w:rsidP="004A459F">
      <w:pPr>
        <w:spacing w:after="0" w:line="240" w:lineRule="auto"/>
        <w:rPr>
          <w:rFonts w:eastAsia="Times New Roman"/>
          <w:sz w:val="18"/>
          <w:szCs w:val="20"/>
          <w:lang w:val="en-AU" w:eastAsia="en-AU"/>
        </w:rPr>
      </w:pPr>
      <w:r w:rsidRPr="007C747A">
        <w:rPr>
          <w:rFonts w:eastAsia="Times New Roman" w:cs="Arial"/>
          <w:sz w:val="16"/>
          <w:szCs w:val="18"/>
          <w:vertAlign w:val="superscript"/>
          <w:lang w:val="en-AU" w:eastAsia="en-US"/>
        </w:rPr>
        <w:t>1</w:t>
      </w:r>
      <w:r w:rsidRPr="007C747A">
        <w:rPr>
          <w:rFonts w:eastAsia="Times New Roman" w:cs="Arial"/>
          <w:sz w:val="16"/>
          <w:szCs w:val="18"/>
          <w:lang w:val="en-AU" w:eastAsia="en-US"/>
        </w:rPr>
        <w:t xml:space="preserve"> </w:t>
      </w:r>
      <w:r w:rsidRPr="007C747A">
        <w:rPr>
          <w:rFonts w:eastAsia="Times New Roman" w:cs="Arial"/>
          <w:sz w:val="14"/>
          <w:szCs w:val="16"/>
          <w:lang w:val="en-AU" w:eastAsia="en-US"/>
        </w:rPr>
        <w:t>Participant plan prepayments represent payments that have been made to providers in advance of supports being utilised by participants</w:t>
      </w:r>
    </w:p>
    <w:p w14:paraId="73AB1BB2" w14:textId="77777777" w:rsidR="007F1F15" w:rsidRPr="007C747A" w:rsidRDefault="007F1F15" w:rsidP="008D0F56">
      <w:pPr>
        <w:spacing w:after="0" w:line="240" w:lineRule="auto"/>
        <w:rPr>
          <w:rFonts w:eastAsia="Times New Roman"/>
          <w:sz w:val="18"/>
          <w:szCs w:val="20"/>
          <w:lang w:val="en-AU" w:eastAsia="en-AU"/>
        </w:rPr>
      </w:pPr>
    </w:p>
    <w:p w14:paraId="4645D42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7FE84D7A" w14:textId="77777777" w:rsidR="00F2518A" w:rsidRPr="007C747A" w:rsidRDefault="00F2518A" w:rsidP="00AD7750">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In 2022-23, the Agency fully implemented a voluntary change in accounting policy to increase the prepayment recognition threshold from $15,000 to $500,000. If the policy changes were applied in 2021-22 it would have resulted in a decrease of $3.2 million (representing 13.6%) in the other non-financial assets balance as at 30 June 2022. The purpose of the change was to better align the threshold to the Agency’s asset base and to optimise processes and costs involved in accounting for the immaterial low value items. The Agency has assessed and determined that the impact arising from this change in accounting policy is immaterial and therefore the relevant opening balances have not been restated. </w:t>
      </w:r>
    </w:p>
    <w:p w14:paraId="0DF150D0" w14:textId="440E9F89" w:rsidR="00F2518A" w:rsidRPr="007C747A" w:rsidRDefault="003412DE" w:rsidP="007E4E69">
      <w:pPr>
        <w:pStyle w:val="SubHeading"/>
        <w:numPr>
          <w:ilvl w:val="0"/>
          <w:numId w:val="0"/>
        </w:numPr>
        <w:spacing w:after="0"/>
        <w:outlineLvl w:val="3"/>
      </w:pPr>
      <w:bookmarkStart w:id="295" w:name="_Toc65742849"/>
      <w:bookmarkStart w:id="296" w:name="_Toc145583276"/>
      <w:bookmarkStart w:id="297" w:name="_Toc145949756"/>
      <w:bookmarkStart w:id="298" w:name="_Toc146022838"/>
      <w:bookmarkStart w:id="299" w:name="_Toc146191219"/>
      <w:bookmarkStart w:id="300" w:name="_Toc146195319"/>
      <w:bookmarkStart w:id="301" w:name="_Toc146200288"/>
      <w:bookmarkStart w:id="302" w:name="_Toc146203443"/>
      <w:bookmarkStart w:id="303" w:name="_Toc146538800"/>
      <w:bookmarkStart w:id="304" w:name="_Toc146545537"/>
      <w:bookmarkStart w:id="305" w:name="_Toc147769235"/>
      <w:bookmarkStart w:id="306" w:name="_Toc147834882"/>
      <w:bookmarkStart w:id="307" w:name="_Toc147992023"/>
      <w:bookmarkStart w:id="308" w:name="_Toc148020784"/>
      <w:bookmarkStart w:id="309" w:name="_Toc148108403"/>
      <w:r w:rsidRPr="007C747A">
        <w:t>2.3</w:t>
      </w:r>
      <w:r w:rsidR="006F7E78" w:rsidRPr="007C747A">
        <w:tab/>
      </w:r>
      <w:r w:rsidR="00F2518A" w:rsidRPr="007C747A">
        <w:t>Payables</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tbl>
      <w:tblPr>
        <w:tblW w:w="9087" w:type="dxa"/>
        <w:tblLayout w:type="fixed"/>
        <w:tblLook w:val="04A0" w:firstRow="1" w:lastRow="0" w:firstColumn="1" w:lastColumn="0" w:noHBand="0" w:noVBand="1"/>
      </w:tblPr>
      <w:tblGrid>
        <w:gridCol w:w="6357"/>
        <w:gridCol w:w="1251"/>
        <w:gridCol w:w="236"/>
        <w:gridCol w:w="1243"/>
      </w:tblGrid>
      <w:tr w:rsidR="00F2518A" w:rsidRPr="007C747A" w14:paraId="4F0BF62F" w14:textId="77777777">
        <w:trPr>
          <w:trHeight w:val="260"/>
        </w:trPr>
        <w:tc>
          <w:tcPr>
            <w:tcW w:w="6357" w:type="dxa"/>
            <w:tcBorders>
              <w:top w:val="nil"/>
              <w:left w:val="nil"/>
              <w:bottom w:val="nil"/>
              <w:right w:val="nil"/>
            </w:tcBorders>
            <w:shd w:val="clear" w:color="FFFFFF" w:fill="FFFFFF"/>
            <w:noWrap/>
            <w:vAlign w:val="bottom"/>
            <w:hideMark/>
          </w:tcPr>
          <w:p w14:paraId="43CB10E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noWrap/>
            <w:vAlign w:val="bottom"/>
            <w:hideMark/>
          </w:tcPr>
          <w:p w14:paraId="6053F662" w14:textId="6C41E716" w:rsidR="00F2518A" w:rsidRPr="007C747A" w:rsidRDefault="00E41EEB"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nil"/>
              <w:right w:val="nil"/>
            </w:tcBorders>
            <w:shd w:val="clear" w:color="FFFFFF" w:fill="FFFFFF"/>
            <w:noWrap/>
            <w:vAlign w:val="bottom"/>
            <w:hideMark/>
          </w:tcPr>
          <w:p w14:paraId="101FFB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603E8EF" w14:textId="6CE8707B" w:rsidR="00F2518A" w:rsidRPr="007C747A" w:rsidRDefault="00E41EEB"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r>
      <w:tr w:rsidR="00F2518A" w:rsidRPr="007C747A" w14:paraId="35F2BCFE" w14:textId="77777777">
        <w:trPr>
          <w:trHeight w:val="260"/>
        </w:trPr>
        <w:tc>
          <w:tcPr>
            <w:tcW w:w="6357" w:type="dxa"/>
            <w:tcBorders>
              <w:top w:val="nil"/>
              <w:left w:val="nil"/>
              <w:bottom w:val="nil"/>
              <w:right w:val="nil"/>
            </w:tcBorders>
            <w:shd w:val="clear" w:color="FFFFFF" w:fill="FFFFFF"/>
            <w:noWrap/>
            <w:vAlign w:val="bottom"/>
            <w:hideMark/>
          </w:tcPr>
          <w:p w14:paraId="18F04F5B"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2.3A: Suppliers</w:t>
            </w:r>
          </w:p>
        </w:tc>
        <w:tc>
          <w:tcPr>
            <w:tcW w:w="1251" w:type="dxa"/>
            <w:tcBorders>
              <w:top w:val="nil"/>
              <w:left w:val="nil"/>
              <w:bottom w:val="nil"/>
              <w:right w:val="nil"/>
            </w:tcBorders>
            <w:shd w:val="clear" w:color="FFFFFF" w:fill="FFFFFF"/>
            <w:noWrap/>
            <w:vAlign w:val="bottom"/>
            <w:hideMark/>
          </w:tcPr>
          <w:p w14:paraId="5621073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C1E827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497F5BD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6D3E87D9" w14:textId="77777777">
        <w:trPr>
          <w:trHeight w:val="250"/>
        </w:trPr>
        <w:tc>
          <w:tcPr>
            <w:tcW w:w="6357" w:type="dxa"/>
            <w:tcBorders>
              <w:top w:val="nil"/>
              <w:left w:val="nil"/>
              <w:bottom w:val="nil"/>
              <w:right w:val="nil"/>
            </w:tcBorders>
            <w:shd w:val="clear" w:color="FFFFFF" w:fill="FFFFFF"/>
            <w:vAlign w:val="bottom"/>
            <w:hideMark/>
          </w:tcPr>
          <w:p w14:paraId="3C49221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Trade creditors and accruals</w:t>
            </w:r>
          </w:p>
        </w:tc>
        <w:tc>
          <w:tcPr>
            <w:tcW w:w="1251" w:type="dxa"/>
            <w:tcBorders>
              <w:top w:val="nil"/>
              <w:left w:val="nil"/>
              <w:bottom w:val="nil"/>
              <w:right w:val="nil"/>
            </w:tcBorders>
            <w:shd w:val="clear" w:color="FFFFFF" w:fill="FFFFFF"/>
            <w:noWrap/>
            <w:vAlign w:val="bottom"/>
            <w:hideMark/>
          </w:tcPr>
          <w:p w14:paraId="5CAE4AB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594,071</w:t>
            </w:r>
          </w:p>
        </w:tc>
        <w:tc>
          <w:tcPr>
            <w:tcW w:w="236" w:type="dxa"/>
            <w:tcBorders>
              <w:top w:val="nil"/>
              <w:left w:val="nil"/>
              <w:bottom w:val="nil"/>
              <w:right w:val="nil"/>
            </w:tcBorders>
            <w:shd w:val="clear" w:color="FFFFFF" w:fill="FFFFFF"/>
            <w:noWrap/>
            <w:vAlign w:val="bottom"/>
            <w:hideMark/>
          </w:tcPr>
          <w:p w14:paraId="257601D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B314C0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250,705</w:t>
            </w:r>
          </w:p>
        </w:tc>
      </w:tr>
      <w:tr w:rsidR="00F2518A" w:rsidRPr="007C747A" w14:paraId="110C061B" w14:textId="77777777">
        <w:trPr>
          <w:trHeight w:val="250"/>
        </w:trPr>
        <w:tc>
          <w:tcPr>
            <w:tcW w:w="6357" w:type="dxa"/>
            <w:tcBorders>
              <w:top w:val="nil"/>
              <w:left w:val="nil"/>
              <w:bottom w:val="nil"/>
              <w:right w:val="nil"/>
            </w:tcBorders>
            <w:shd w:val="clear" w:color="FFFFFF" w:fill="FFFFFF"/>
            <w:vAlign w:val="bottom"/>
            <w:hideMark/>
          </w:tcPr>
          <w:p w14:paraId="12EE91D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suppliers</w:t>
            </w:r>
          </w:p>
        </w:tc>
        <w:tc>
          <w:tcPr>
            <w:tcW w:w="1251" w:type="dxa"/>
            <w:tcBorders>
              <w:top w:val="single" w:sz="4" w:space="0" w:color="auto"/>
              <w:left w:val="nil"/>
              <w:bottom w:val="single" w:sz="4" w:space="0" w:color="auto"/>
              <w:right w:val="nil"/>
            </w:tcBorders>
            <w:shd w:val="clear" w:color="FFFFFF" w:fill="FFFFFF"/>
            <w:noWrap/>
            <w:vAlign w:val="bottom"/>
            <w:hideMark/>
          </w:tcPr>
          <w:p w14:paraId="655D77E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594,071</w:t>
            </w:r>
          </w:p>
        </w:tc>
        <w:tc>
          <w:tcPr>
            <w:tcW w:w="236" w:type="dxa"/>
            <w:tcBorders>
              <w:top w:val="nil"/>
              <w:left w:val="nil"/>
              <w:bottom w:val="nil"/>
              <w:right w:val="nil"/>
            </w:tcBorders>
            <w:shd w:val="clear" w:color="FFFFFF" w:fill="FFFFFF"/>
            <w:noWrap/>
            <w:vAlign w:val="bottom"/>
            <w:hideMark/>
          </w:tcPr>
          <w:p w14:paraId="4DCE163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7636028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250,705</w:t>
            </w:r>
          </w:p>
        </w:tc>
      </w:tr>
    </w:tbl>
    <w:p w14:paraId="15530677"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p w14:paraId="2D2BAFBD"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Settlement is expected to be made for suppliers within 20 days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30 days).</w:t>
      </w:r>
    </w:p>
    <w:p w14:paraId="0001BB75" w14:textId="77777777" w:rsidR="00F2518A" w:rsidRPr="007C747A" w:rsidRDefault="00F2518A" w:rsidP="00F2518A">
      <w:pPr>
        <w:spacing w:after="0" w:line="240" w:lineRule="auto"/>
        <w:rPr>
          <w:rFonts w:eastAsia="Times New Roman" w:cs="Arial"/>
          <w:sz w:val="18"/>
          <w:szCs w:val="18"/>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3BECA755" w14:textId="77777777">
        <w:trPr>
          <w:trHeight w:val="260"/>
        </w:trPr>
        <w:tc>
          <w:tcPr>
            <w:tcW w:w="6357" w:type="dxa"/>
            <w:tcBorders>
              <w:top w:val="nil"/>
              <w:left w:val="nil"/>
              <w:bottom w:val="nil"/>
              <w:right w:val="nil"/>
            </w:tcBorders>
            <w:shd w:val="clear" w:color="FFFFFF" w:fill="FFFFFF"/>
            <w:noWrap/>
            <w:vAlign w:val="bottom"/>
            <w:hideMark/>
          </w:tcPr>
          <w:p w14:paraId="5D812A27"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310" w:name="Note_OPBTABLE1" w:colFirst="0" w:colLast="0"/>
            <w:r w:rsidRPr="007C747A">
              <w:rPr>
                <w:rFonts w:eastAsia="Times New Roman" w:cs="Arial"/>
                <w:b/>
                <w:bCs/>
                <w:sz w:val="18"/>
                <w:szCs w:val="18"/>
                <w:u w:val="single"/>
                <w:lang w:val="en-AU" w:eastAsia="en-US"/>
              </w:rPr>
              <w:t>Note 2.3B: Other payables</w:t>
            </w:r>
          </w:p>
        </w:tc>
        <w:tc>
          <w:tcPr>
            <w:tcW w:w="1251" w:type="dxa"/>
            <w:tcBorders>
              <w:top w:val="nil"/>
              <w:left w:val="nil"/>
              <w:bottom w:val="nil"/>
              <w:right w:val="nil"/>
            </w:tcBorders>
            <w:shd w:val="clear" w:color="FFFFFF" w:fill="FFFFFF"/>
            <w:noWrap/>
            <w:vAlign w:val="bottom"/>
            <w:hideMark/>
          </w:tcPr>
          <w:p w14:paraId="3F3B124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8391C0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21F4805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310"/>
      <w:tr w:rsidR="00F2518A" w:rsidRPr="007C747A" w14:paraId="3559C2EE" w14:textId="77777777">
        <w:trPr>
          <w:trHeight w:val="250"/>
        </w:trPr>
        <w:tc>
          <w:tcPr>
            <w:tcW w:w="6357" w:type="dxa"/>
            <w:tcBorders>
              <w:top w:val="nil"/>
              <w:left w:val="nil"/>
              <w:bottom w:val="nil"/>
              <w:right w:val="nil"/>
            </w:tcBorders>
            <w:shd w:val="clear" w:color="FFFFFF" w:fill="FFFFFF"/>
            <w:vAlign w:val="bottom"/>
            <w:hideMark/>
          </w:tcPr>
          <w:p w14:paraId="00DC28E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Salaries and wages</w:t>
            </w:r>
          </w:p>
        </w:tc>
        <w:tc>
          <w:tcPr>
            <w:tcW w:w="1251" w:type="dxa"/>
            <w:tcBorders>
              <w:top w:val="nil"/>
              <w:left w:val="nil"/>
              <w:bottom w:val="nil"/>
              <w:right w:val="nil"/>
            </w:tcBorders>
            <w:shd w:val="clear" w:color="FFFFFF" w:fill="FFFFFF"/>
            <w:noWrap/>
            <w:vAlign w:val="bottom"/>
            <w:hideMark/>
          </w:tcPr>
          <w:p w14:paraId="191A8C5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12,133</w:t>
            </w:r>
          </w:p>
        </w:tc>
        <w:tc>
          <w:tcPr>
            <w:tcW w:w="236" w:type="dxa"/>
            <w:tcBorders>
              <w:top w:val="nil"/>
              <w:left w:val="nil"/>
              <w:bottom w:val="nil"/>
              <w:right w:val="nil"/>
            </w:tcBorders>
            <w:shd w:val="clear" w:color="FFFFFF" w:fill="FFFFFF"/>
            <w:noWrap/>
            <w:vAlign w:val="bottom"/>
            <w:hideMark/>
          </w:tcPr>
          <w:p w14:paraId="2A86148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4CE9C9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9,115</w:t>
            </w:r>
          </w:p>
        </w:tc>
      </w:tr>
      <w:tr w:rsidR="00F2518A" w:rsidRPr="007C747A" w14:paraId="68A7ED8D" w14:textId="77777777">
        <w:trPr>
          <w:trHeight w:val="250"/>
        </w:trPr>
        <w:tc>
          <w:tcPr>
            <w:tcW w:w="6357" w:type="dxa"/>
            <w:tcBorders>
              <w:top w:val="nil"/>
              <w:left w:val="nil"/>
              <w:bottom w:val="nil"/>
              <w:right w:val="nil"/>
            </w:tcBorders>
            <w:shd w:val="clear" w:color="FFFFFF" w:fill="FFFFFF"/>
            <w:vAlign w:val="bottom"/>
            <w:hideMark/>
          </w:tcPr>
          <w:p w14:paraId="4F97E89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Superannuation</w:t>
            </w:r>
          </w:p>
        </w:tc>
        <w:tc>
          <w:tcPr>
            <w:tcW w:w="1251" w:type="dxa"/>
            <w:tcBorders>
              <w:top w:val="nil"/>
              <w:left w:val="nil"/>
              <w:bottom w:val="nil"/>
              <w:right w:val="nil"/>
            </w:tcBorders>
            <w:shd w:val="clear" w:color="FFFFFF" w:fill="FFFFFF"/>
            <w:noWrap/>
            <w:vAlign w:val="bottom"/>
            <w:hideMark/>
          </w:tcPr>
          <w:p w14:paraId="11C2072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2,090</w:t>
            </w:r>
          </w:p>
        </w:tc>
        <w:tc>
          <w:tcPr>
            <w:tcW w:w="236" w:type="dxa"/>
            <w:tcBorders>
              <w:top w:val="nil"/>
              <w:left w:val="nil"/>
              <w:bottom w:val="nil"/>
              <w:right w:val="nil"/>
            </w:tcBorders>
            <w:shd w:val="clear" w:color="FFFFFF" w:fill="FFFFFF"/>
            <w:noWrap/>
            <w:vAlign w:val="bottom"/>
            <w:hideMark/>
          </w:tcPr>
          <w:p w14:paraId="5B991C0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BD5804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1,689</w:t>
            </w:r>
          </w:p>
        </w:tc>
      </w:tr>
      <w:tr w:rsidR="00F2518A" w:rsidRPr="007C747A" w14:paraId="776A5625" w14:textId="77777777">
        <w:trPr>
          <w:trHeight w:val="250"/>
        </w:trPr>
        <w:tc>
          <w:tcPr>
            <w:tcW w:w="6357" w:type="dxa"/>
            <w:tcBorders>
              <w:top w:val="nil"/>
              <w:left w:val="nil"/>
              <w:bottom w:val="nil"/>
              <w:right w:val="nil"/>
            </w:tcBorders>
            <w:shd w:val="clear" w:color="FFFFFF" w:fill="FFFFFF"/>
            <w:vAlign w:val="bottom"/>
            <w:hideMark/>
          </w:tcPr>
          <w:p w14:paraId="0D51236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Other</w:t>
            </w:r>
          </w:p>
        </w:tc>
        <w:tc>
          <w:tcPr>
            <w:tcW w:w="1251" w:type="dxa"/>
            <w:tcBorders>
              <w:top w:val="nil"/>
              <w:left w:val="nil"/>
              <w:bottom w:val="nil"/>
              <w:right w:val="nil"/>
            </w:tcBorders>
            <w:shd w:val="clear" w:color="FFFFFF" w:fill="FFFFFF"/>
            <w:noWrap/>
            <w:vAlign w:val="bottom"/>
            <w:hideMark/>
          </w:tcPr>
          <w:p w14:paraId="7CC8C0F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187</w:t>
            </w:r>
          </w:p>
        </w:tc>
        <w:tc>
          <w:tcPr>
            <w:tcW w:w="236" w:type="dxa"/>
            <w:tcBorders>
              <w:top w:val="nil"/>
              <w:left w:val="nil"/>
              <w:bottom w:val="nil"/>
              <w:right w:val="nil"/>
            </w:tcBorders>
            <w:shd w:val="clear" w:color="FFFFFF" w:fill="FFFFFF"/>
            <w:noWrap/>
            <w:vAlign w:val="bottom"/>
            <w:hideMark/>
          </w:tcPr>
          <w:p w14:paraId="3C9FE90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DBB59A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180</w:t>
            </w:r>
          </w:p>
        </w:tc>
      </w:tr>
      <w:tr w:rsidR="00F2518A" w:rsidRPr="007C747A" w14:paraId="7BC72E75" w14:textId="77777777">
        <w:trPr>
          <w:trHeight w:val="250"/>
        </w:trPr>
        <w:tc>
          <w:tcPr>
            <w:tcW w:w="6357" w:type="dxa"/>
            <w:tcBorders>
              <w:top w:val="nil"/>
              <w:left w:val="nil"/>
              <w:bottom w:val="nil"/>
              <w:right w:val="nil"/>
            </w:tcBorders>
            <w:shd w:val="clear" w:color="FFFFFF" w:fill="FFFFFF"/>
            <w:vAlign w:val="bottom"/>
            <w:hideMark/>
          </w:tcPr>
          <w:p w14:paraId="4577AF6B"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Total other payables </w:t>
            </w:r>
          </w:p>
        </w:tc>
        <w:tc>
          <w:tcPr>
            <w:tcW w:w="1251" w:type="dxa"/>
            <w:tcBorders>
              <w:top w:val="single" w:sz="4" w:space="0" w:color="auto"/>
              <w:left w:val="nil"/>
              <w:bottom w:val="single" w:sz="4" w:space="0" w:color="auto"/>
              <w:right w:val="nil"/>
            </w:tcBorders>
            <w:shd w:val="clear" w:color="FFFFFF" w:fill="FFFFFF"/>
            <w:noWrap/>
            <w:vAlign w:val="bottom"/>
            <w:hideMark/>
          </w:tcPr>
          <w:p w14:paraId="1B917DF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14,410</w:t>
            </w:r>
          </w:p>
        </w:tc>
        <w:tc>
          <w:tcPr>
            <w:tcW w:w="236" w:type="dxa"/>
            <w:tcBorders>
              <w:top w:val="nil"/>
              <w:left w:val="nil"/>
              <w:bottom w:val="nil"/>
              <w:right w:val="nil"/>
            </w:tcBorders>
            <w:shd w:val="clear" w:color="FFFFFF" w:fill="FFFFFF"/>
            <w:noWrap/>
            <w:vAlign w:val="bottom"/>
            <w:hideMark/>
          </w:tcPr>
          <w:p w14:paraId="3799CA9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1FCD6B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10,984</w:t>
            </w:r>
          </w:p>
        </w:tc>
      </w:tr>
    </w:tbl>
    <w:p w14:paraId="234E2CE0"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p w14:paraId="091C5649"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1F26D7E2"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Cs/>
          <w:sz w:val="18"/>
          <w:szCs w:val="18"/>
          <w:lang w:val="en-AU" w:eastAsia="en-US"/>
        </w:rPr>
        <w:t>Financial liabilities, including supplier and other payables, are initially measured at fair value, net of transaction costs. These liabilities are subsequently measured at amortised cost using the effective interest method, with interest expense recognised on an effective yield basis.</w:t>
      </w:r>
      <w:r w:rsidRPr="007C747A">
        <w:rPr>
          <w:rFonts w:eastAsia="Times New Roman" w:cs="Arial"/>
          <w:b/>
          <w:bCs/>
          <w:sz w:val="18"/>
          <w:szCs w:val="18"/>
          <w:lang w:val="en-AU" w:eastAsia="en-US"/>
        </w:rPr>
        <w:t xml:space="preserve"> </w:t>
      </w:r>
    </w:p>
    <w:p w14:paraId="3034B6C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sz w:val="18"/>
          <w:szCs w:val="18"/>
          <w:lang w:val="en-AU" w:eastAsia="en-US"/>
        </w:rPr>
      </w:pPr>
      <w:r w:rsidRPr="007C747A">
        <w:rPr>
          <w:rFonts w:eastAsia="Times New Roman" w:cs="Arial"/>
          <w:sz w:val="18"/>
          <w:szCs w:val="18"/>
          <w:lang w:val="en-AU" w:eastAsia="en-US"/>
        </w:rPr>
        <w:t>Liabilities are recognised to the extent that the goods or services have been received (and irrespective of having been invoiced).</w:t>
      </w:r>
    </w:p>
    <w:p w14:paraId="715469D9"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Accounting policies for Salaries and wages and Superannuation are contained in Section 3. People and Relationships.</w:t>
      </w:r>
    </w:p>
    <w:p w14:paraId="4E6D9235"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p w14:paraId="5C8ED624" w14:textId="00FCC94E" w:rsidR="00F2518A" w:rsidRPr="007C747A" w:rsidRDefault="003412DE" w:rsidP="007E4E69">
      <w:pPr>
        <w:pStyle w:val="SubHeading"/>
        <w:numPr>
          <w:ilvl w:val="0"/>
          <w:numId w:val="0"/>
        </w:numPr>
        <w:spacing w:after="0"/>
        <w:outlineLvl w:val="3"/>
      </w:pPr>
      <w:bookmarkStart w:id="311" w:name="_Toc65742850"/>
      <w:bookmarkStart w:id="312" w:name="_Toc145583277"/>
      <w:bookmarkStart w:id="313" w:name="_Toc145949757"/>
      <w:bookmarkStart w:id="314" w:name="_Toc146022839"/>
      <w:bookmarkStart w:id="315" w:name="_Toc146191220"/>
      <w:bookmarkStart w:id="316" w:name="_Toc146195320"/>
      <w:bookmarkStart w:id="317" w:name="_Toc146200289"/>
      <w:bookmarkStart w:id="318" w:name="_Toc146203444"/>
      <w:bookmarkStart w:id="319" w:name="_Toc146538801"/>
      <w:bookmarkStart w:id="320" w:name="_Toc146545538"/>
      <w:bookmarkStart w:id="321" w:name="_Toc147769236"/>
      <w:bookmarkStart w:id="322" w:name="_Toc147834883"/>
      <w:bookmarkStart w:id="323" w:name="_Toc147992024"/>
      <w:bookmarkStart w:id="324" w:name="_Toc148020785"/>
      <w:bookmarkStart w:id="325" w:name="_Toc148108404"/>
      <w:r w:rsidRPr="007C747A">
        <w:t>2.4</w:t>
      </w:r>
      <w:r w:rsidR="00B53E15" w:rsidRPr="007C747A">
        <w:tab/>
      </w:r>
      <w:r w:rsidR="00F2518A" w:rsidRPr="007C747A">
        <w:t>Unearned Income</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EBA0994" w14:textId="77777777" w:rsidR="00F2518A" w:rsidRPr="007C747A" w:rsidRDefault="00F2518A" w:rsidP="00F2518A">
      <w:pPr>
        <w:spacing w:after="0" w:line="240" w:lineRule="auto"/>
        <w:ind w:right="607"/>
        <w:rPr>
          <w:rFonts w:eastAsia="Times New Roman"/>
          <w:b/>
          <w:sz w:val="20"/>
          <w:szCs w:val="20"/>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451693FF" w14:textId="77777777">
        <w:trPr>
          <w:trHeight w:val="253"/>
        </w:trPr>
        <w:tc>
          <w:tcPr>
            <w:tcW w:w="6357" w:type="dxa"/>
            <w:tcBorders>
              <w:top w:val="nil"/>
              <w:left w:val="nil"/>
              <w:bottom w:val="nil"/>
              <w:right w:val="nil"/>
            </w:tcBorders>
            <w:shd w:val="clear" w:color="FFFFFF" w:fill="FFFFFF"/>
            <w:noWrap/>
            <w:vAlign w:val="bottom"/>
            <w:hideMark/>
          </w:tcPr>
          <w:p w14:paraId="720E5F2F"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326" w:name="Note_PPPTABLE1" w:colFirst="0" w:colLast="0"/>
            <w:r w:rsidRPr="007C747A">
              <w:rPr>
                <w:rFonts w:eastAsia="Times New Roman" w:cs="Arial"/>
                <w:b/>
                <w:bCs/>
                <w:sz w:val="18"/>
                <w:szCs w:val="18"/>
                <w:u w:val="single"/>
                <w:lang w:val="en-AU" w:eastAsia="en-US"/>
              </w:rPr>
              <w:t>Note 2.4: Unearned revenue</w:t>
            </w:r>
          </w:p>
        </w:tc>
        <w:tc>
          <w:tcPr>
            <w:tcW w:w="1251" w:type="dxa"/>
            <w:tcBorders>
              <w:top w:val="nil"/>
              <w:left w:val="nil"/>
              <w:bottom w:val="nil"/>
              <w:right w:val="nil"/>
            </w:tcBorders>
            <w:shd w:val="clear" w:color="FFFFFF" w:fill="FFFFFF"/>
            <w:noWrap/>
            <w:vAlign w:val="bottom"/>
            <w:hideMark/>
          </w:tcPr>
          <w:p w14:paraId="2C6687F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47B966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4445CEA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326"/>
      <w:tr w:rsidR="00F2518A" w:rsidRPr="007C747A" w14:paraId="4FA5F2CB" w14:textId="77777777">
        <w:trPr>
          <w:trHeight w:val="250"/>
        </w:trPr>
        <w:tc>
          <w:tcPr>
            <w:tcW w:w="6357" w:type="dxa"/>
            <w:tcBorders>
              <w:top w:val="nil"/>
              <w:left w:val="nil"/>
              <w:bottom w:val="nil"/>
              <w:right w:val="nil"/>
            </w:tcBorders>
            <w:shd w:val="clear" w:color="FFFFFF" w:fill="FFFFFF"/>
            <w:vAlign w:val="bottom"/>
            <w:hideMark/>
          </w:tcPr>
          <w:p w14:paraId="0E386C9D" w14:textId="37864B4C"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Revenue received in advance</w:t>
            </w:r>
            <w:r w:rsidR="005907F9" w:rsidRPr="007C747A">
              <w:rPr>
                <w:rFonts w:eastAsia="Times New Roman" w:cs="Arial"/>
                <w:sz w:val="18"/>
                <w:szCs w:val="18"/>
                <w:lang w:val="en-AU" w:eastAsia="en-US"/>
              </w:rPr>
              <w:t xml:space="preserve"> – </w:t>
            </w:r>
            <w:r w:rsidRPr="007C747A">
              <w:rPr>
                <w:rFonts w:eastAsia="Times New Roman" w:cs="Arial"/>
                <w:sz w:val="18"/>
                <w:szCs w:val="18"/>
                <w:lang w:val="en-AU" w:eastAsia="en-US"/>
              </w:rPr>
              <w:t>external entities</w:t>
            </w:r>
          </w:p>
        </w:tc>
        <w:tc>
          <w:tcPr>
            <w:tcW w:w="1251" w:type="dxa"/>
            <w:tcBorders>
              <w:top w:val="nil"/>
              <w:left w:val="nil"/>
              <w:bottom w:val="nil"/>
              <w:right w:val="nil"/>
            </w:tcBorders>
            <w:shd w:val="clear" w:color="FFFFFF" w:fill="FFFFFF"/>
            <w:noWrap/>
            <w:vAlign w:val="bottom"/>
            <w:hideMark/>
          </w:tcPr>
          <w:p w14:paraId="25AB87B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506,442</w:t>
            </w:r>
          </w:p>
        </w:tc>
        <w:tc>
          <w:tcPr>
            <w:tcW w:w="236" w:type="dxa"/>
            <w:tcBorders>
              <w:top w:val="nil"/>
              <w:left w:val="nil"/>
              <w:bottom w:val="nil"/>
              <w:right w:val="nil"/>
            </w:tcBorders>
            <w:shd w:val="clear" w:color="FFFFFF" w:fill="FFFFFF"/>
            <w:noWrap/>
            <w:vAlign w:val="bottom"/>
            <w:hideMark/>
          </w:tcPr>
          <w:p w14:paraId="4083738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DF3739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477,070</w:t>
            </w:r>
          </w:p>
        </w:tc>
      </w:tr>
      <w:tr w:rsidR="00F2518A" w:rsidRPr="007C747A" w14:paraId="3EE04A50" w14:textId="77777777">
        <w:trPr>
          <w:trHeight w:val="260"/>
        </w:trPr>
        <w:tc>
          <w:tcPr>
            <w:tcW w:w="6357" w:type="dxa"/>
            <w:tcBorders>
              <w:top w:val="nil"/>
              <w:left w:val="nil"/>
              <w:bottom w:val="nil"/>
              <w:right w:val="nil"/>
            </w:tcBorders>
            <w:shd w:val="clear" w:color="FFFFFF" w:fill="FFFFFF"/>
            <w:vAlign w:val="bottom"/>
            <w:hideMark/>
          </w:tcPr>
          <w:p w14:paraId="2C60438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unearned revenue</w:t>
            </w:r>
          </w:p>
        </w:tc>
        <w:tc>
          <w:tcPr>
            <w:tcW w:w="1251" w:type="dxa"/>
            <w:tcBorders>
              <w:top w:val="single" w:sz="4" w:space="0" w:color="auto"/>
              <w:left w:val="nil"/>
              <w:bottom w:val="single" w:sz="4" w:space="0" w:color="auto"/>
              <w:right w:val="nil"/>
            </w:tcBorders>
            <w:shd w:val="clear" w:color="FFFFFF" w:fill="FFFFFF"/>
            <w:noWrap/>
            <w:vAlign w:val="bottom"/>
            <w:hideMark/>
          </w:tcPr>
          <w:p w14:paraId="040AFCC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506,442</w:t>
            </w:r>
          </w:p>
        </w:tc>
        <w:tc>
          <w:tcPr>
            <w:tcW w:w="236" w:type="dxa"/>
            <w:tcBorders>
              <w:top w:val="nil"/>
              <w:left w:val="nil"/>
              <w:bottom w:val="nil"/>
              <w:right w:val="nil"/>
            </w:tcBorders>
            <w:shd w:val="clear" w:color="FFFFFF" w:fill="FFFFFF"/>
            <w:noWrap/>
            <w:vAlign w:val="bottom"/>
            <w:hideMark/>
          </w:tcPr>
          <w:p w14:paraId="348FAE9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0728AF7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477,070</w:t>
            </w:r>
          </w:p>
        </w:tc>
      </w:tr>
    </w:tbl>
    <w:p w14:paraId="3D8FAFFC" w14:textId="77777777" w:rsidR="00F2518A" w:rsidRPr="007C747A" w:rsidRDefault="00F2518A" w:rsidP="00F2518A">
      <w:pPr>
        <w:spacing w:after="0" w:line="240" w:lineRule="auto"/>
        <w:ind w:right="607"/>
        <w:rPr>
          <w:rFonts w:eastAsia="Times New Roman"/>
          <w:b/>
          <w:sz w:val="20"/>
          <w:szCs w:val="20"/>
          <w:lang w:val="en-AU" w:eastAsia="en-US"/>
        </w:rPr>
      </w:pPr>
    </w:p>
    <w:p w14:paraId="4C5F36FB" w14:textId="77777777" w:rsidR="00F2518A" w:rsidRPr="007C747A" w:rsidRDefault="00F2518A" w:rsidP="00F2518A">
      <w:pPr>
        <w:pBdr>
          <w:top w:val="single" w:sz="4" w:space="0" w:color="800080"/>
          <w:left w:val="single" w:sz="4" w:space="0" w:color="800080"/>
          <w:bottom w:val="single" w:sz="4" w:space="1" w:color="800080"/>
          <w:right w:val="single" w:sz="4" w:space="0"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7BCD0C41" w14:textId="77777777" w:rsidR="00F2518A" w:rsidRPr="007C747A" w:rsidRDefault="00F2518A" w:rsidP="00F2518A">
      <w:pPr>
        <w:pBdr>
          <w:top w:val="single" w:sz="4" w:space="0"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Accounting policies for unearned income are contained in Note 1.2A Rendering of services. </w:t>
      </w:r>
    </w:p>
    <w:p w14:paraId="045C07FD" w14:textId="46CF3954" w:rsidR="00F2518A" w:rsidRPr="007C747A" w:rsidRDefault="003412DE" w:rsidP="007E4E69">
      <w:pPr>
        <w:pStyle w:val="SubHeading"/>
        <w:numPr>
          <w:ilvl w:val="0"/>
          <w:numId w:val="0"/>
        </w:numPr>
        <w:spacing w:after="0"/>
        <w:outlineLvl w:val="3"/>
      </w:pPr>
      <w:bookmarkStart w:id="327" w:name="_Toc65742851"/>
      <w:bookmarkStart w:id="328" w:name="_Toc145583278"/>
      <w:bookmarkStart w:id="329" w:name="_Toc145949758"/>
      <w:bookmarkStart w:id="330" w:name="_Toc146022840"/>
      <w:bookmarkStart w:id="331" w:name="_Toc146191221"/>
      <w:bookmarkStart w:id="332" w:name="_Toc146195321"/>
      <w:bookmarkStart w:id="333" w:name="_Toc146200290"/>
      <w:bookmarkStart w:id="334" w:name="_Toc146203445"/>
      <w:bookmarkStart w:id="335" w:name="_Toc146538802"/>
      <w:bookmarkStart w:id="336" w:name="_Toc146545539"/>
      <w:bookmarkStart w:id="337" w:name="_Toc147769237"/>
      <w:bookmarkStart w:id="338" w:name="_Toc147834884"/>
      <w:bookmarkStart w:id="339" w:name="_Toc147992025"/>
      <w:bookmarkStart w:id="340" w:name="_Toc148020786"/>
      <w:bookmarkStart w:id="341" w:name="_Toc148108405"/>
      <w:r w:rsidRPr="007C747A">
        <w:t>2.5</w:t>
      </w:r>
      <w:r w:rsidR="00B53E15" w:rsidRPr="007C747A">
        <w:tab/>
      </w:r>
      <w:r w:rsidR="00F2518A" w:rsidRPr="007C747A">
        <w:t>Interest Bearing Liabilities</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W w:w="9087" w:type="dxa"/>
        <w:tblLayout w:type="fixed"/>
        <w:tblLook w:val="04A0" w:firstRow="1" w:lastRow="0" w:firstColumn="1" w:lastColumn="0" w:noHBand="0" w:noVBand="1"/>
      </w:tblPr>
      <w:tblGrid>
        <w:gridCol w:w="6357"/>
        <w:gridCol w:w="1251"/>
        <w:gridCol w:w="236"/>
        <w:gridCol w:w="1243"/>
      </w:tblGrid>
      <w:tr w:rsidR="00F2518A" w:rsidRPr="007C747A" w14:paraId="5E31FB21" w14:textId="77777777">
        <w:trPr>
          <w:trHeight w:val="260"/>
        </w:trPr>
        <w:tc>
          <w:tcPr>
            <w:tcW w:w="6357" w:type="dxa"/>
            <w:tcBorders>
              <w:top w:val="nil"/>
              <w:left w:val="nil"/>
              <w:bottom w:val="nil"/>
              <w:right w:val="nil"/>
            </w:tcBorders>
            <w:shd w:val="clear" w:color="FFFFFF" w:fill="FFFFFF"/>
            <w:noWrap/>
            <w:vAlign w:val="bottom"/>
            <w:hideMark/>
          </w:tcPr>
          <w:p w14:paraId="59AB1773"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342" w:name="Note_LEATABLE1" w:colFirst="0" w:colLast="0"/>
            <w:r w:rsidRPr="007C747A">
              <w:rPr>
                <w:rFonts w:eastAsia="Times New Roman" w:cs="Arial"/>
                <w:b/>
                <w:bCs/>
                <w:sz w:val="18"/>
                <w:szCs w:val="18"/>
                <w:u w:val="single"/>
                <w:lang w:val="en-AU" w:eastAsia="en-US"/>
              </w:rPr>
              <w:t>Note 2.5: Leases</w:t>
            </w:r>
          </w:p>
        </w:tc>
        <w:tc>
          <w:tcPr>
            <w:tcW w:w="1251" w:type="dxa"/>
            <w:tcBorders>
              <w:top w:val="nil"/>
              <w:left w:val="nil"/>
              <w:bottom w:val="nil"/>
              <w:right w:val="nil"/>
            </w:tcBorders>
            <w:shd w:val="clear" w:color="FFFFFF" w:fill="FFFFFF"/>
            <w:noWrap/>
            <w:vAlign w:val="bottom"/>
            <w:hideMark/>
          </w:tcPr>
          <w:p w14:paraId="13AF8CD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0BBDE5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24C8FB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342"/>
      <w:tr w:rsidR="00F2518A" w:rsidRPr="007C747A" w14:paraId="00225194" w14:textId="77777777">
        <w:trPr>
          <w:trHeight w:val="250"/>
        </w:trPr>
        <w:tc>
          <w:tcPr>
            <w:tcW w:w="6357" w:type="dxa"/>
            <w:tcBorders>
              <w:top w:val="nil"/>
              <w:left w:val="nil"/>
              <w:bottom w:val="nil"/>
              <w:right w:val="nil"/>
            </w:tcBorders>
            <w:shd w:val="clear" w:color="FFFFFF" w:fill="FFFFFF"/>
            <w:vAlign w:val="bottom"/>
            <w:hideMark/>
          </w:tcPr>
          <w:p w14:paraId="3E7BFBC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Lease liabilities</w:t>
            </w:r>
          </w:p>
        </w:tc>
        <w:tc>
          <w:tcPr>
            <w:tcW w:w="1251" w:type="dxa"/>
            <w:tcBorders>
              <w:top w:val="nil"/>
              <w:left w:val="nil"/>
              <w:bottom w:val="nil"/>
              <w:right w:val="nil"/>
            </w:tcBorders>
            <w:shd w:val="clear" w:color="FFFFFF" w:fill="FFFFFF"/>
            <w:noWrap/>
            <w:vAlign w:val="bottom"/>
            <w:hideMark/>
          </w:tcPr>
          <w:p w14:paraId="3577C702"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c>
          <w:tcPr>
            <w:tcW w:w="236" w:type="dxa"/>
            <w:tcBorders>
              <w:top w:val="nil"/>
              <w:left w:val="nil"/>
              <w:bottom w:val="nil"/>
              <w:right w:val="nil"/>
            </w:tcBorders>
            <w:shd w:val="clear" w:color="FFFFFF" w:fill="FFFFFF"/>
            <w:noWrap/>
            <w:vAlign w:val="bottom"/>
            <w:hideMark/>
          </w:tcPr>
          <w:p w14:paraId="4F1A61E8"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c>
          <w:tcPr>
            <w:tcW w:w="1243" w:type="dxa"/>
            <w:tcBorders>
              <w:top w:val="nil"/>
              <w:left w:val="nil"/>
              <w:bottom w:val="nil"/>
              <w:right w:val="nil"/>
            </w:tcBorders>
            <w:shd w:val="clear" w:color="FFFFFF" w:fill="FFFFFF"/>
            <w:noWrap/>
            <w:vAlign w:val="bottom"/>
            <w:hideMark/>
          </w:tcPr>
          <w:p w14:paraId="422AD460" w14:textId="77777777" w:rsidR="00F2518A" w:rsidRPr="007C747A" w:rsidRDefault="00F2518A" w:rsidP="00F2518A">
            <w:pPr>
              <w:spacing w:after="0" w:line="260" w:lineRule="atLeast"/>
              <w:rPr>
                <w:rFonts w:eastAsia="Times New Roman" w:cs="Arial"/>
                <w:sz w:val="16"/>
                <w:szCs w:val="16"/>
                <w:lang w:val="en-AU" w:eastAsia="en-US"/>
              </w:rPr>
            </w:pPr>
            <w:r w:rsidRPr="007C747A">
              <w:rPr>
                <w:rFonts w:eastAsia="Times New Roman" w:cs="Arial"/>
                <w:sz w:val="16"/>
                <w:szCs w:val="16"/>
                <w:lang w:val="en-AU" w:eastAsia="en-US"/>
              </w:rPr>
              <w:t> </w:t>
            </w:r>
          </w:p>
        </w:tc>
      </w:tr>
      <w:tr w:rsidR="00F2518A" w:rsidRPr="007C747A" w14:paraId="6EAA9261" w14:textId="77777777">
        <w:trPr>
          <w:trHeight w:val="250"/>
        </w:trPr>
        <w:tc>
          <w:tcPr>
            <w:tcW w:w="6357" w:type="dxa"/>
            <w:tcBorders>
              <w:top w:val="nil"/>
              <w:left w:val="nil"/>
              <w:bottom w:val="nil"/>
              <w:right w:val="nil"/>
            </w:tcBorders>
            <w:shd w:val="clear" w:color="FFFFFF" w:fill="FFFFFF"/>
            <w:noWrap/>
            <w:vAlign w:val="bottom"/>
            <w:hideMark/>
          </w:tcPr>
          <w:p w14:paraId="3FA0410E"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Buildings</w:t>
            </w:r>
          </w:p>
        </w:tc>
        <w:tc>
          <w:tcPr>
            <w:tcW w:w="1251" w:type="dxa"/>
            <w:tcBorders>
              <w:top w:val="nil"/>
              <w:left w:val="nil"/>
              <w:bottom w:val="nil"/>
              <w:right w:val="nil"/>
            </w:tcBorders>
            <w:shd w:val="clear" w:color="FFFFFF" w:fill="FFFFFF"/>
            <w:noWrap/>
            <w:vAlign w:val="bottom"/>
            <w:hideMark/>
          </w:tcPr>
          <w:p w14:paraId="01EC88F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147,810</w:t>
            </w:r>
          </w:p>
        </w:tc>
        <w:tc>
          <w:tcPr>
            <w:tcW w:w="236" w:type="dxa"/>
            <w:tcBorders>
              <w:top w:val="nil"/>
              <w:left w:val="nil"/>
              <w:bottom w:val="nil"/>
              <w:right w:val="nil"/>
            </w:tcBorders>
            <w:shd w:val="clear" w:color="FFFFFF" w:fill="FFFFFF"/>
            <w:noWrap/>
            <w:vAlign w:val="bottom"/>
            <w:hideMark/>
          </w:tcPr>
          <w:p w14:paraId="6A4F032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439F64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156,296</w:t>
            </w:r>
          </w:p>
        </w:tc>
      </w:tr>
      <w:tr w:rsidR="00F2518A" w:rsidRPr="007C747A" w14:paraId="4ED8B1BB" w14:textId="77777777">
        <w:trPr>
          <w:trHeight w:val="250"/>
        </w:trPr>
        <w:tc>
          <w:tcPr>
            <w:tcW w:w="6357" w:type="dxa"/>
            <w:tcBorders>
              <w:top w:val="nil"/>
              <w:left w:val="nil"/>
              <w:bottom w:val="nil"/>
              <w:right w:val="nil"/>
            </w:tcBorders>
            <w:shd w:val="clear" w:color="FFFFFF" w:fill="FFFFFF"/>
            <w:noWrap/>
            <w:vAlign w:val="bottom"/>
            <w:hideMark/>
          </w:tcPr>
          <w:p w14:paraId="20BE8C40"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Plant and equipment</w:t>
            </w:r>
          </w:p>
        </w:tc>
        <w:tc>
          <w:tcPr>
            <w:tcW w:w="1251" w:type="dxa"/>
            <w:tcBorders>
              <w:top w:val="nil"/>
              <w:left w:val="nil"/>
              <w:bottom w:val="nil"/>
              <w:right w:val="nil"/>
            </w:tcBorders>
            <w:shd w:val="clear" w:color="FFFFFF" w:fill="FFFFFF"/>
            <w:noWrap/>
            <w:vAlign w:val="bottom"/>
            <w:hideMark/>
          </w:tcPr>
          <w:p w14:paraId="4917343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144</w:t>
            </w:r>
          </w:p>
        </w:tc>
        <w:tc>
          <w:tcPr>
            <w:tcW w:w="236" w:type="dxa"/>
            <w:tcBorders>
              <w:top w:val="nil"/>
              <w:left w:val="nil"/>
              <w:bottom w:val="nil"/>
              <w:right w:val="nil"/>
            </w:tcBorders>
            <w:shd w:val="clear" w:color="FFFFFF" w:fill="FFFFFF"/>
            <w:noWrap/>
            <w:vAlign w:val="bottom"/>
            <w:hideMark/>
          </w:tcPr>
          <w:p w14:paraId="1A3AE7F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0E1BB3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601</w:t>
            </w:r>
          </w:p>
        </w:tc>
      </w:tr>
      <w:tr w:rsidR="00F2518A" w:rsidRPr="007C747A" w14:paraId="0C4582F6" w14:textId="77777777">
        <w:trPr>
          <w:trHeight w:val="260"/>
        </w:trPr>
        <w:tc>
          <w:tcPr>
            <w:tcW w:w="6357" w:type="dxa"/>
            <w:tcBorders>
              <w:top w:val="nil"/>
              <w:left w:val="nil"/>
              <w:bottom w:val="nil"/>
              <w:right w:val="nil"/>
            </w:tcBorders>
            <w:shd w:val="clear" w:color="FFFFFF" w:fill="FFFFFF"/>
            <w:vAlign w:val="bottom"/>
            <w:hideMark/>
          </w:tcPr>
          <w:p w14:paraId="6A2730F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Total leases </w:t>
            </w:r>
          </w:p>
        </w:tc>
        <w:tc>
          <w:tcPr>
            <w:tcW w:w="1251" w:type="dxa"/>
            <w:tcBorders>
              <w:top w:val="single" w:sz="4" w:space="0" w:color="auto"/>
              <w:left w:val="nil"/>
              <w:bottom w:val="single" w:sz="4" w:space="0" w:color="auto"/>
              <w:right w:val="nil"/>
            </w:tcBorders>
            <w:shd w:val="clear" w:color="FFFFFF" w:fill="FFFFFF"/>
            <w:noWrap/>
            <w:vAlign w:val="bottom"/>
            <w:hideMark/>
          </w:tcPr>
          <w:p w14:paraId="7C8E725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147,954</w:t>
            </w:r>
          </w:p>
        </w:tc>
        <w:tc>
          <w:tcPr>
            <w:tcW w:w="236" w:type="dxa"/>
            <w:tcBorders>
              <w:top w:val="nil"/>
              <w:left w:val="nil"/>
              <w:bottom w:val="nil"/>
              <w:right w:val="nil"/>
            </w:tcBorders>
            <w:shd w:val="clear" w:color="FFFFFF" w:fill="FFFFFF"/>
            <w:noWrap/>
            <w:vAlign w:val="bottom"/>
            <w:hideMark/>
          </w:tcPr>
          <w:p w14:paraId="7FC60C3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6BCF56E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156,897</w:t>
            </w:r>
          </w:p>
        </w:tc>
      </w:tr>
      <w:tr w:rsidR="00F2518A" w:rsidRPr="007C747A" w14:paraId="578AC273" w14:textId="77777777">
        <w:trPr>
          <w:trHeight w:val="260"/>
        </w:trPr>
        <w:tc>
          <w:tcPr>
            <w:tcW w:w="6357" w:type="dxa"/>
            <w:tcBorders>
              <w:top w:val="nil"/>
              <w:left w:val="nil"/>
              <w:bottom w:val="nil"/>
              <w:right w:val="nil"/>
            </w:tcBorders>
            <w:shd w:val="clear" w:color="FFFFFF" w:fill="FFFFFF"/>
            <w:noWrap/>
            <w:vAlign w:val="bottom"/>
            <w:hideMark/>
          </w:tcPr>
          <w:p w14:paraId="4704EA32" w14:textId="36037242" w:rsidR="00F2518A" w:rsidRPr="007C747A" w:rsidRDefault="00F2518A" w:rsidP="00F2518A">
            <w:pPr>
              <w:spacing w:after="0" w:line="260" w:lineRule="atLeast"/>
              <w:rPr>
                <w:rFonts w:eastAsia="Times New Roman" w:cs="Arial"/>
                <w:b/>
                <w:bCs/>
                <w:sz w:val="18"/>
                <w:szCs w:val="18"/>
                <w:u w:val="single"/>
                <w:lang w:val="en-AU" w:eastAsia="en-US"/>
              </w:rPr>
            </w:pPr>
            <w:bookmarkStart w:id="343" w:name="Note_LEMTABLE1" w:colFirst="0" w:colLast="0"/>
            <w:r w:rsidRPr="007C747A">
              <w:rPr>
                <w:rFonts w:eastAsia="Times New Roman" w:cs="Arial"/>
                <w:b/>
                <w:bCs/>
                <w:sz w:val="18"/>
                <w:szCs w:val="18"/>
                <w:u w:val="single"/>
                <w:lang w:val="en-AU" w:eastAsia="en-US"/>
              </w:rPr>
              <w:t>Note 2.5: Leases</w:t>
            </w:r>
            <w:r w:rsidR="005907F9" w:rsidRPr="007C747A">
              <w:rPr>
                <w:rFonts w:eastAsia="Times New Roman" w:cs="Arial"/>
                <w:b/>
                <w:bCs/>
                <w:sz w:val="18"/>
                <w:szCs w:val="18"/>
                <w:u w:val="single"/>
                <w:lang w:val="en-AU" w:eastAsia="en-US"/>
              </w:rPr>
              <w:t xml:space="preserve"> – </w:t>
            </w:r>
            <w:r w:rsidRPr="007C747A">
              <w:rPr>
                <w:rFonts w:eastAsia="Times New Roman" w:cs="Arial"/>
                <w:b/>
                <w:bCs/>
                <w:sz w:val="18"/>
                <w:szCs w:val="18"/>
                <w:u w:val="single"/>
                <w:lang w:val="en-AU" w:eastAsia="en-US"/>
              </w:rPr>
              <w:t>Maturity</w:t>
            </w:r>
          </w:p>
        </w:tc>
        <w:tc>
          <w:tcPr>
            <w:tcW w:w="1251" w:type="dxa"/>
            <w:tcBorders>
              <w:top w:val="nil"/>
              <w:left w:val="nil"/>
              <w:bottom w:val="nil"/>
              <w:right w:val="nil"/>
            </w:tcBorders>
            <w:shd w:val="clear" w:color="FFFFFF" w:fill="FFFFFF"/>
            <w:noWrap/>
            <w:vAlign w:val="bottom"/>
            <w:hideMark/>
          </w:tcPr>
          <w:p w14:paraId="229958C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FF0AC1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F07566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343"/>
      <w:tr w:rsidR="00F2518A" w:rsidRPr="007C747A" w14:paraId="48B6C0DA" w14:textId="77777777">
        <w:trPr>
          <w:trHeight w:val="250"/>
        </w:trPr>
        <w:tc>
          <w:tcPr>
            <w:tcW w:w="6357" w:type="dxa"/>
            <w:tcBorders>
              <w:top w:val="nil"/>
              <w:left w:val="nil"/>
              <w:bottom w:val="nil"/>
              <w:right w:val="nil"/>
            </w:tcBorders>
            <w:shd w:val="clear" w:color="FFFFFF" w:fill="FFFFFF"/>
            <w:vAlign w:val="bottom"/>
            <w:hideMark/>
          </w:tcPr>
          <w:p w14:paraId="01529A8F" w14:textId="3D432B0A"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Maturity analysis</w:t>
            </w:r>
            <w:r w:rsidR="005907F9" w:rsidRPr="007C747A">
              <w:rPr>
                <w:rFonts w:eastAsia="Times New Roman" w:cs="Arial"/>
                <w:b/>
                <w:bCs/>
                <w:sz w:val="18"/>
                <w:szCs w:val="18"/>
                <w:lang w:val="en-AU" w:eastAsia="en-US"/>
              </w:rPr>
              <w:t xml:space="preserve"> – </w:t>
            </w:r>
            <w:r w:rsidRPr="007C747A">
              <w:rPr>
                <w:rFonts w:eastAsia="Times New Roman" w:cs="Arial"/>
                <w:b/>
                <w:bCs/>
                <w:sz w:val="18"/>
                <w:szCs w:val="18"/>
                <w:lang w:val="en-AU" w:eastAsia="en-US"/>
              </w:rPr>
              <w:t>contractual undiscounted cash flows</w:t>
            </w:r>
          </w:p>
        </w:tc>
        <w:tc>
          <w:tcPr>
            <w:tcW w:w="1251" w:type="dxa"/>
            <w:tcBorders>
              <w:top w:val="nil"/>
              <w:left w:val="nil"/>
              <w:bottom w:val="nil"/>
              <w:right w:val="nil"/>
            </w:tcBorders>
            <w:shd w:val="clear" w:color="FFFFFF" w:fill="FFFFFF"/>
            <w:noWrap/>
            <w:vAlign w:val="bottom"/>
            <w:hideMark/>
          </w:tcPr>
          <w:p w14:paraId="59001F3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4B959F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5BD42C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3425FCC6" w14:textId="77777777">
        <w:trPr>
          <w:trHeight w:val="250"/>
        </w:trPr>
        <w:tc>
          <w:tcPr>
            <w:tcW w:w="6357" w:type="dxa"/>
            <w:tcBorders>
              <w:top w:val="nil"/>
              <w:left w:val="nil"/>
              <w:bottom w:val="nil"/>
              <w:right w:val="nil"/>
            </w:tcBorders>
            <w:shd w:val="clear" w:color="FFFFFF" w:fill="FFFFFF"/>
            <w:noWrap/>
            <w:vAlign w:val="bottom"/>
            <w:hideMark/>
          </w:tcPr>
          <w:p w14:paraId="261143C3"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Within 1 year</w:t>
            </w:r>
          </w:p>
        </w:tc>
        <w:tc>
          <w:tcPr>
            <w:tcW w:w="1251" w:type="dxa"/>
            <w:tcBorders>
              <w:top w:val="nil"/>
              <w:left w:val="nil"/>
              <w:bottom w:val="nil"/>
              <w:right w:val="nil"/>
            </w:tcBorders>
            <w:shd w:val="clear" w:color="FFFFFF" w:fill="FFFFFF"/>
            <w:noWrap/>
            <w:vAlign w:val="bottom"/>
            <w:hideMark/>
          </w:tcPr>
          <w:p w14:paraId="7F615E2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31,595</w:t>
            </w:r>
          </w:p>
        </w:tc>
        <w:tc>
          <w:tcPr>
            <w:tcW w:w="236" w:type="dxa"/>
            <w:tcBorders>
              <w:top w:val="nil"/>
              <w:left w:val="nil"/>
              <w:bottom w:val="nil"/>
              <w:right w:val="nil"/>
            </w:tcBorders>
            <w:shd w:val="clear" w:color="FFFFFF" w:fill="FFFFFF"/>
            <w:noWrap/>
            <w:vAlign w:val="bottom"/>
            <w:hideMark/>
          </w:tcPr>
          <w:p w14:paraId="55655DC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2CCC495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33,424</w:t>
            </w:r>
          </w:p>
        </w:tc>
      </w:tr>
      <w:tr w:rsidR="00F2518A" w:rsidRPr="007C747A" w14:paraId="6314CDFD" w14:textId="77777777">
        <w:trPr>
          <w:trHeight w:val="250"/>
        </w:trPr>
        <w:tc>
          <w:tcPr>
            <w:tcW w:w="6357" w:type="dxa"/>
            <w:tcBorders>
              <w:top w:val="nil"/>
              <w:left w:val="nil"/>
              <w:bottom w:val="nil"/>
              <w:right w:val="nil"/>
            </w:tcBorders>
            <w:shd w:val="clear" w:color="FFFFFF" w:fill="FFFFFF"/>
            <w:noWrap/>
            <w:vAlign w:val="bottom"/>
            <w:hideMark/>
          </w:tcPr>
          <w:p w14:paraId="305F08EE"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Between 1 to 5 years</w:t>
            </w:r>
          </w:p>
        </w:tc>
        <w:tc>
          <w:tcPr>
            <w:tcW w:w="1251" w:type="dxa"/>
            <w:tcBorders>
              <w:top w:val="nil"/>
              <w:left w:val="nil"/>
              <w:bottom w:val="nil"/>
              <w:right w:val="nil"/>
            </w:tcBorders>
            <w:shd w:val="clear" w:color="FFFFFF" w:fill="FFFFFF"/>
            <w:noWrap/>
            <w:vAlign w:val="bottom"/>
            <w:hideMark/>
          </w:tcPr>
          <w:p w14:paraId="48E6538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81,988</w:t>
            </w:r>
          </w:p>
        </w:tc>
        <w:tc>
          <w:tcPr>
            <w:tcW w:w="236" w:type="dxa"/>
            <w:tcBorders>
              <w:top w:val="nil"/>
              <w:left w:val="nil"/>
              <w:bottom w:val="nil"/>
              <w:right w:val="nil"/>
            </w:tcBorders>
            <w:shd w:val="clear" w:color="FFFFFF" w:fill="FFFFFF"/>
            <w:noWrap/>
            <w:vAlign w:val="bottom"/>
            <w:hideMark/>
          </w:tcPr>
          <w:p w14:paraId="471E227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A1C848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80,099</w:t>
            </w:r>
          </w:p>
        </w:tc>
      </w:tr>
      <w:tr w:rsidR="00F2518A" w:rsidRPr="007C747A" w14:paraId="2BFDB9D8" w14:textId="77777777">
        <w:trPr>
          <w:trHeight w:val="250"/>
        </w:trPr>
        <w:tc>
          <w:tcPr>
            <w:tcW w:w="6357" w:type="dxa"/>
            <w:tcBorders>
              <w:top w:val="nil"/>
              <w:left w:val="nil"/>
              <w:bottom w:val="nil"/>
              <w:right w:val="nil"/>
            </w:tcBorders>
            <w:shd w:val="clear" w:color="FFFFFF" w:fill="FFFFFF"/>
            <w:noWrap/>
            <w:vAlign w:val="bottom"/>
            <w:hideMark/>
          </w:tcPr>
          <w:p w14:paraId="302F3D6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More than 5 years</w:t>
            </w:r>
          </w:p>
        </w:tc>
        <w:tc>
          <w:tcPr>
            <w:tcW w:w="1251" w:type="dxa"/>
            <w:tcBorders>
              <w:top w:val="nil"/>
              <w:left w:val="nil"/>
              <w:bottom w:val="nil"/>
              <w:right w:val="nil"/>
            </w:tcBorders>
            <w:shd w:val="clear" w:color="FFFFFF" w:fill="FFFFFF"/>
            <w:noWrap/>
            <w:vAlign w:val="bottom"/>
            <w:hideMark/>
          </w:tcPr>
          <w:p w14:paraId="1F54424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40,530</w:t>
            </w:r>
          </w:p>
        </w:tc>
        <w:tc>
          <w:tcPr>
            <w:tcW w:w="236" w:type="dxa"/>
            <w:tcBorders>
              <w:top w:val="nil"/>
              <w:left w:val="nil"/>
              <w:bottom w:val="nil"/>
              <w:right w:val="nil"/>
            </w:tcBorders>
            <w:shd w:val="clear" w:color="FFFFFF" w:fill="FFFFFF"/>
            <w:noWrap/>
            <w:vAlign w:val="bottom"/>
            <w:hideMark/>
          </w:tcPr>
          <w:p w14:paraId="7E7EB8A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E7E3D2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48,770</w:t>
            </w:r>
          </w:p>
        </w:tc>
      </w:tr>
      <w:tr w:rsidR="00F2518A" w:rsidRPr="007C747A" w14:paraId="38A1719D" w14:textId="77777777">
        <w:trPr>
          <w:trHeight w:val="260"/>
        </w:trPr>
        <w:tc>
          <w:tcPr>
            <w:tcW w:w="6357" w:type="dxa"/>
            <w:tcBorders>
              <w:top w:val="nil"/>
              <w:left w:val="nil"/>
              <w:bottom w:val="nil"/>
              <w:right w:val="nil"/>
            </w:tcBorders>
            <w:shd w:val="clear" w:color="FFFFFF" w:fill="FFFFFF"/>
            <w:vAlign w:val="bottom"/>
            <w:hideMark/>
          </w:tcPr>
          <w:p w14:paraId="3FCF6CC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leases</w:t>
            </w:r>
          </w:p>
        </w:tc>
        <w:tc>
          <w:tcPr>
            <w:tcW w:w="1251" w:type="dxa"/>
            <w:tcBorders>
              <w:top w:val="single" w:sz="4" w:space="0" w:color="auto"/>
              <w:left w:val="nil"/>
              <w:bottom w:val="single" w:sz="4" w:space="0" w:color="auto"/>
              <w:right w:val="nil"/>
            </w:tcBorders>
            <w:shd w:val="clear" w:color="FFFFFF" w:fill="FFFFFF"/>
            <w:noWrap/>
            <w:vAlign w:val="bottom"/>
            <w:hideMark/>
          </w:tcPr>
          <w:p w14:paraId="138D224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154,113</w:t>
            </w:r>
          </w:p>
        </w:tc>
        <w:tc>
          <w:tcPr>
            <w:tcW w:w="236" w:type="dxa"/>
            <w:tcBorders>
              <w:top w:val="nil"/>
              <w:left w:val="nil"/>
              <w:bottom w:val="nil"/>
              <w:right w:val="nil"/>
            </w:tcBorders>
            <w:shd w:val="clear" w:color="FFFFFF" w:fill="FFFFFF"/>
            <w:noWrap/>
            <w:vAlign w:val="bottom"/>
            <w:hideMark/>
          </w:tcPr>
          <w:p w14:paraId="2868CDA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7A6E4B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162,293</w:t>
            </w:r>
          </w:p>
        </w:tc>
      </w:tr>
    </w:tbl>
    <w:p w14:paraId="7AA5E285" w14:textId="769A54E4"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The Agency, in its capacity, as lessee, has entered into leasing arrangements to meet its operational obligations.</w:t>
      </w:r>
      <w:r w:rsidR="00C810ED" w:rsidRPr="007C747A">
        <w:rPr>
          <w:rFonts w:eastAsia="Times New Roman" w:cs="Arial"/>
          <w:sz w:val="18"/>
          <w:szCs w:val="18"/>
          <w:lang w:val="en-AU" w:eastAsia="en-US"/>
        </w:rPr>
        <w:t xml:space="preserve"> </w:t>
      </w:r>
      <w:r w:rsidRPr="007C747A">
        <w:rPr>
          <w:rFonts w:eastAsia="Times New Roman" w:cs="Arial"/>
          <w:sz w:val="18"/>
          <w:szCs w:val="18"/>
          <w:lang w:val="en-AU" w:eastAsia="en-US"/>
        </w:rPr>
        <w:t>These leases are managed through an agreement with Services Australia and JLL under Whole of Government (WoG) arrangements. Each lease has terms and conditions specified in relation to when contingent rent is payable, variable lease payments, renewal or purchase options, annual percentage rent increase, escalation clauses and restrictions. These lease terms are set as per commercial market arrangements.</w:t>
      </w:r>
    </w:p>
    <w:p w14:paraId="48F004EC" w14:textId="77777777" w:rsidR="00F2518A" w:rsidRPr="007C747A" w:rsidRDefault="00F2518A" w:rsidP="00F2518A">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t>The above lease disclosures should be read in conjunction with the accompanying notes 1.1B, 1.1D, 1.2B and 2.2A.</w:t>
      </w:r>
    </w:p>
    <w:p w14:paraId="3AF9AE45" w14:textId="77777777" w:rsidR="00F2518A" w:rsidRPr="007C747A" w:rsidRDefault="00F2518A" w:rsidP="00F2518A">
      <w:pPr>
        <w:spacing w:after="0" w:line="240" w:lineRule="auto"/>
        <w:rPr>
          <w:rFonts w:eastAsia="Times New Roman" w:cs="Arial"/>
          <w:sz w:val="4"/>
          <w:szCs w:val="4"/>
          <w:lang w:val="en-AU" w:eastAsia="en-AU"/>
        </w:rPr>
      </w:pPr>
    </w:p>
    <w:p w14:paraId="179F736C" w14:textId="77777777" w:rsidR="00F2518A" w:rsidRPr="007C747A" w:rsidRDefault="00F2518A" w:rsidP="00F2518A">
      <w:pPr>
        <w:spacing w:after="0" w:line="240" w:lineRule="auto"/>
        <w:rPr>
          <w:rFonts w:eastAsia="Times New Roman" w:cs="Arial"/>
          <w:sz w:val="18"/>
          <w:szCs w:val="18"/>
          <w:lang w:val="en-AU" w:eastAsia="en-AU"/>
        </w:rPr>
      </w:pPr>
    </w:p>
    <w:p w14:paraId="5B1BAE5B" w14:textId="77777777" w:rsidR="00F2518A" w:rsidRPr="007C747A" w:rsidRDefault="00F2518A" w:rsidP="00F2518A">
      <w:pPr>
        <w:spacing w:after="0" w:line="240" w:lineRule="auto"/>
        <w:rPr>
          <w:rFonts w:eastAsia="Times New Roman" w:cs="Arial"/>
          <w:sz w:val="18"/>
          <w:szCs w:val="18"/>
          <w:lang w:val="en-AU" w:eastAsia="en-AU"/>
        </w:rPr>
      </w:pPr>
      <w:r w:rsidRPr="007C747A">
        <w:rPr>
          <w:rFonts w:eastAsia="Times New Roman" w:cs="Arial"/>
          <w:sz w:val="18"/>
          <w:szCs w:val="18"/>
          <w:lang w:val="en-AU" w:eastAsia="en-AU"/>
        </w:rPr>
        <w:t xml:space="preserve">Total cash outflow for leases for the year ended </w:t>
      </w:r>
      <w:r w:rsidRPr="007C747A">
        <w:rPr>
          <w:rFonts w:eastAsia="Times New Roman" w:cs="Arial"/>
          <w:sz w:val="18"/>
          <w:szCs w:val="18"/>
          <w:lang w:val="en-AU" w:eastAsia="en-AU"/>
        </w:rPr>
        <w:fldChar w:fldCharType="begin"/>
      </w:r>
      <w:r w:rsidRPr="007C747A">
        <w:rPr>
          <w:rFonts w:eastAsia="Times New Roman" w:cs="Arial"/>
          <w:sz w:val="18"/>
          <w:szCs w:val="18"/>
          <w:lang w:val="en-AU" w:eastAsia="en-AU"/>
        </w:rPr>
        <w:instrText xml:space="preserve"> DOCPROPERTY  pEnd  \* MERGEFORMAT </w:instrText>
      </w:r>
      <w:r w:rsidRPr="007C747A">
        <w:rPr>
          <w:rFonts w:eastAsia="Times New Roman" w:cs="Arial"/>
          <w:sz w:val="18"/>
          <w:szCs w:val="18"/>
          <w:lang w:val="en-AU" w:eastAsia="en-AU"/>
        </w:rPr>
        <w:fldChar w:fldCharType="separate"/>
      </w:r>
      <w:r w:rsidRPr="007C747A">
        <w:rPr>
          <w:rFonts w:eastAsia="Times New Roman" w:cs="Arial"/>
          <w:sz w:val="18"/>
          <w:szCs w:val="18"/>
          <w:lang w:val="en-AU" w:eastAsia="en-AU"/>
        </w:rPr>
        <w:t>30 June</w:t>
      </w:r>
      <w:r w:rsidRPr="007C747A">
        <w:rPr>
          <w:rFonts w:eastAsia="Times New Roman" w:cs="Arial"/>
          <w:sz w:val="18"/>
          <w:szCs w:val="18"/>
          <w:lang w:val="en-AU" w:eastAsia="en-AU"/>
        </w:rPr>
        <w:fldChar w:fldCharType="end"/>
      </w:r>
      <w:r w:rsidRPr="007C747A">
        <w:rPr>
          <w:rFonts w:eastAsia="Times New Roman" w:cs="Arial"/>
          <w:sz w:val="18"/>
          <w:szCs w:val="18"/>
          <w:lang w:val="en-AU" w:eastAsia="en-AU"/>
        </w:rPr>
        <w:t xml:space="preserve"> </w:t>
      </w:r>
      <w:r w:rsidRPr="007C747A">
        <w:rPr>
          <w:rFonts w:eastAsia="Times New Roman" w:cs="Arial"/>
          <w:sz w:val="18"/>
          <w:szCs w:val="18"/>
          <w:lang w:val="en-AU" w:eastAsia="en-AU"/>
        </w:rPr>
        <w:fldChar w:fldCharType="begin"/>
      </w:r>
      <w:r w:rsidRPr="007C747A">
        <w:rPr>
          <w:rFonts w:eastAsia="Times New Roman" w:cs="Arial"/>
          <w:sz w:val="18"/>
          <w:szCs w:val="18"/>
          <w:lang w:val="en-AU" w:eastAsia="en-AU"/>
        </w:rPr>
        <w:instrText xml:space="preserve"> DOCPROPERTY  crYear  \* MERGEFORMAT </w:instrText>
      </w:r>
      <w:r w:rsidRPr="007C747A">
        <w:rPr>
          <w:rFonts w:eastAsia="Times New Roman" w:cs="Arial"/>
          <w:sz w:val="18"/>
          <w:szCs w:val="18"/>
          <w:lang w:val="en-AU" w:eastAsia="en-AU"/>
        </w:rPr>
        <w:fldChar w:fldCharType="separate"/>
      </w:r>
      <w:r w:rsidRPr="007C747A">
        <w:rPr>
          <w:rFonts w:eastAsia="Times New Roman" w:cs="Arial"/>
          <w:sz w:val="18"/>
          <w:szCs w:val="18"/>
          <w:lang w:val="en-AU" w:eastAsia="en-AU"/>
        </w:rPr>
        <w:t>2023</w:t>
      </w:r>
      <w:r w:rsidRPr="007C747A">
        <w:rPr>
          <w:rFonts w:eastAsia="Times New Roman" w:cs="Arial"/>
          <w:sz w:val="18"/>
          <w:szCs w:val="18"/>
          <w:lang w:val="en-AU" w:eastAsia="en-AU"/>
        </w:rPr>
        <w:fldChar w:fldCharType="end"/>
      </w:r>
      <w:r w:rsidRPr="007C747A">
        <w:rPr>
          <w:rFonts w:eastAsia="Times New Roman" w:cs="Arial"/>
          <w:sz w:val="18"/>
          <w:szCs w:val="18"/>
          <w:lang w:val="en-AU" w:eastAsia="en-AU"/>
        </w:rPr>
        <w:t xml:space="preserve"> was $42.3m (2021-22: $42.0m).</w:t>
      </w:r>
    </w:p>
    <w:p w14:paraId="4FFCB4C5" w14:textId="77777777" w:rsidR="00F2518A" w:rsidRPr="007C747A" w:rsidRDefault="00F2518A" w:rsidP="00F2518A">
      <w:pPr>
        <w:spacing w:after="0" w:line="240" w:lineRule="auto"/>
        <w:rPr>
          <w:rFonts w:eastAsia="Times New Roman" w:cs="Arial"/>
          <w:sz w:val="18"/>
          <w:szCs w:val="18"/>
          <w:lang w:val="en-AU" w:eastAsia="en-AU"/>
        </w:rPr>
      </w:pPr>
    </w:p>
    <w:p w14:paraId="2CAFCFFF"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Accounting Policy</w:t>
      </w:r>
    </w:p>
    <w:p w14:paraId="6FCB28B9"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For all new contracts entered into, the Agency considers whether the contract is, or contains a lease. A lease is defined as ‘a contract, or part of a contract, that conveys the right to use an asset (the underlying asset) for a period of time in exchange for consideration’.</w:t>
      </w:r>
    </w:p>
    <w:p w14:paraId="5FE63F29"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Once it has been determined that a contract is, or contains a lease, the lease liability is initially measured at the present value of the lease payments unpaid at the commencement date, discounted using the interest rate implicit in the lease, if that rate is readily determinable, or the Agency’s incremental borrowing rate.</w:t>
      </w:r>
    </w:p>
    <w:p w14:paraId="1F11EEC6"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Subsequent to initial measurement, the liability will be reduced for payments made and increased for interest. It is remeasured to reflect any reassessment or modification to the lease. When the lease liability is remeasured, the corresponding adjustment is reflected in the right-of-use asset or profit and loss depending on the nature of the reassessment or modification.</w:t>
      </w:r>
    </w:p>
    <w:p w14:paraId="0E01E478"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p w14:paraId="79A68E75" w14:textId="5783BCEE" w:rsidR="00F2518A" w:rsidRPr="007C747A" w:rsidRDefault="003412DE" w:rsidP="007E4E69">
      <w:pPr>
        <w:pStyle w:val="SubHeading"/>
        <w:numPr>
          <w:ilvl w:val="0"/>
          <w:numId w:val="0"/>
        </w:numPr>
        <w:outlineLvl w:val="3"/>
      </w:pPr>
      <w:bookmarkStart w:id="344" w:name="_Toc65742852"/>
      <w:bookmarkStart w:id="345" w:name="_Toc145583279"/>
      <w:bookmarkStart w:id="346" w:name="_Toc145949759"/>
      <w:bookmarkStart w:id="347" w:name="_Toc146022841"/>
      <w:bookmarkStart w:id="348" w:name="_Toc146191222"/>
      <w:bookmarkStart w:id="349" w:name="_Toc146195322"/>
      <w:bookmarkStart w:id="350" w:name="_Toc146200291"/>
      <w:bookmarkStart w:id="351" w:name="_Toc146203446"/>
      <w:bookmarkStart w:id="352" w:name="_Toc146538803"/>
      <w:bookmarkStart w:id="353" w:name="_Toc146545540"/>
      <w:bookmarkStart w:id="354" w:name="_Toc147769238"/>
      <w:bookmarkStart w:id="355" w:name="_Toc147834885"/>
      <w:bookmarkStart w:id="356" w:name="_Toc147992026"/>
      <w:bookmarkStart w:id="357" w:name="_Toc148020787"/>
      <w:bookmarkStart w:id="358" w:name="_Toc148108406"/>
      <w:r w:rsidRPr="007C747A">
        <w:t>2.6</w:t>
      </w:r>
      <w:r w:rsidR="004A1858" w:rsidRPr="007C747A">
        <w:tab/>
      </w:r>
      <w:r w:rsidR="00F2518A" w:rsidRPr="007C747A">
        <w:t>Provisions</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14:paraId="05B4078F" w14:textId="77777777" w:rsidR="00F2518A" w:rsidRPr="007C747A" w:rsidRDefault="00F2518A" w:rsidP="00F2518A">
      <w:pPr>
        <w:spacing w:after="0" w:line="240" w:lineRule="auto"/>
        <w:ind w:right="607"/>
        <w:rPr>
          <w:rFonts w:eastAsia="Times New Roman"/>
          <w:b/>
          <w:sz w:val="18"/>
          <w:szCs w:val="18"/>
          <w:lang w:val="en-AU" w:eastAsia="en-US"/>
        </w:rPr>
      </w:pPr>
    </w:p>
    <w:tbl>
      <w:tblPr>
        <w:tblW w:w="9087" w:type="dxa"/>
        <w:tblLayout w:type="fixed"/>
        <w:tblCellMar>
          <w:left w:w="57" w:type="dxa"/>
          <w:right w:w="57" w:type="dxa"/>
        </w:tblCellMar>
        <w:tblLook w:val="04A0" w:firstRow="1" w:lastRow="0" w:firstColumn="1" w:lastColumn="0" w:noHBand="0" w:noVBand="1"/>
      </w:tblPr>
      <w:tblGrid>
        <w:gridCol w:w="3818"/>
        <w:gridCol w:w="1405"/>
        <w:gridCol w:w="1406"/>
        <w:gridCol w:w="1405"/>
        <w:gridCol w:w="1053"/>
      </w:tblGrid>
      <w:tr w:rsidR="00F2518A" w:rsidRPr="007C747A" w14:paraId="4426AE15" w14:textId="77777777" w:rsidTr="00E41EEB">
        <w:trPr>
          <w:trHeight w:val="688"/>
        </w:trPr>
        <w:tc>
          <w:tcPr>
            <w:tcW w:w="3818" w:type="dxa"/>
            <w:tcBorders>
              <w:top w:val="single" w:sz="4" w:space="0" w:color="auto"/>
              <w:left w:val="nil"/>
              <w:bottom w:val="single" w:sz="4" w:space="0" w:color="auto"/>
              <w:right w:val="nil"/>
            </w:tcBorders>
            <w:shd w:val="clear" w:color="FFFFFF" w:fill="FFFFFF"/>
            <w:vAlign w:val="bottom"/>
            <w:hideMark/>
          </w:tcPr>
          <w:p w14:paraId="66929F89" w14:textId="77777777" w:rsidR="00F2518A" w:rsidRPr="007C747A" w:rsidRDefault="00F2518A" w:rsidP="00F2518A">
            <w:pPr>
              <w:spacing w:after="0" w:line="260" w:lineRule="atLeast"/>
              <w:rPr>
                <w:rFonts w:eastAsia="Times New Roman" w:cs="Arial"/>
                <w:sz w:val="18"/>
                <w:szCs w:val="18"/>
                <w:lang w:val="en-AU" w:eastAsia="en-US"/>
              </w:rPr>
            </w:pPr>
            <w:bookmarkStart w:id="359" w:name="Note_ROPTABLE1" w:colFirst="0" w:colLast="0"/>
            <w:r w:rsidRPr="007C747A">
              <w:rPr>
                <w:rFonts w:eastAsia="Times New Roman" w:cs="Arial"/>
                <w:sz w:val="18"/>
                <w:szCs w:val="18"/>
                <w:lang w:val="en-AU" w:eastAsia="en-US"/>
              </w:rPr>
              <w:t> </w:t>
            </w:r>
          </w:p>
        </w:tc>
        <w:tc>
          <w:tcPr>
            <w:tcW w:w="1405" w:type="dxa"/>
            <w:tcBorders>
              <w:top w:val="single" w:sz="4" w:space="0" w:color="auto"/>
              <w:left w:val="nil"/>
              <w:bottom w:val="single" w:sz="4" w:space="0" w:color="auto"/>
              <w:right w:val="nil"/>
            </w:tcBorders>
            <w:shd w:val="clear" w:color="FFFFFF" w:fill="FFFFFF"/>
            <w:vAlign w:val="bottom"/>
            <w:hideMark/>
          </w:tcPr>
          <w:p w14:paraId="21FF3984" w14:textId="7B2FA93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Participant plan provision</w:t>
            </w:r>
            <w:r w:rsidR="00E41EEB" w:rsidRPr="007C747A">
              <w:rPr>
                <w:rFonts w:eastAsia="Times New Roman" w:cs="Arial"/>
                <w:b/>
                <w:bCs/>
                <w:sz w:val="18"/>
                <w:szCs w:val="18"/>
                <w:lang w:val="en-AU" w:eastAsia="en-US"/>
              </w:rPr>
              <w:br/>
              <w:t>$’000</w:t>
            </w:r>
          </w:p>
        </w:tc>
        <w:tc>
          <w:tcPr>
            <w:tcW w:w="1406" w:type="dxa"/>
            <w:tcBorders>
              <w:top w:val="single" w:sz="4" w:space="0" w:color="auto"/>
              <w:left w:val="nil"/>
              <w:bottom w:val="single" w:sz="4" w:space="0" w:color="auto"/>
              <w:right w:val="nil"/>
            </w:tcBorders>
            <w:shd w:val="clear" w:color="FFFFFF" w:fill="FFFFFF"/>
            <w:vAlign w:val="bottom"/>
            <w:hideMark/>
          </w:tcPr>
          <w:p w14:paraId="574E4243" w14:textId="51858773"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Provision for restoration obligations</w:t>
            </w:r>
            <w:r w:rsidR="00E41EEB" w:rsidRPr="007C747A">
              <w:rPr>
                <w:rFonts w:eastAsia="Times New Roman" w:cs="Arial"/>
                <w:b/>
                <w:bCs/>
                <w:sz w:val="18"/>
                <w:szCs w:val="18"/>
                <w:lang w:val="en-AU" w:eastAsia="en-US"/>
              </w:rPr>
              <w:br/>
              <w:t>$’000</w:t>
            </w:r>
          </w:p>
        </w:tc>
        <w:tc>
          <w:tcPr>
            <w:tcW w:w="1405" w:type="dxa"/>
            <w:tcBorders>
              <w:top w:val="single" w:sz="4" w:space="0" w:color="auto"/>
              <w:left w:val="nil"/>
              <w:bottom w:val="single" w:sz="4" w:space="0" w:color="auto"/>
              <w:right w:val="nil"/>
            </w:tcBorders>
            <w:shd w:val="clear" w:color="FFFFFF" w:fill="FFFFFF"/>
            <w:vAlign w:val="bottom"/>
            <w:hideMark/>
          </w:tcPr>
          <w:p w14:paraId="7050DEDA" w14:textId="4AB16905"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Provision for provider additional costs</w:t>
            </w:r>
            <w:r w:rsidR="00E41EEB" w:rsidRPr="007C747A">
              <w:rPr>
                <w:rFonts w:eastAsia="Times New Roman" w:cs="Arial"/>
                <w:b/>
                <w:bCs/>
                <w:sz w:val="18"/>
                <w:szCs w:val="18"/>
                <w:lang w:val="en-AU" w:eastAsia="en-US"/>
              </w:rPr>
              <w:br/>
              <w:t>$’000</w:t>
            </w:r>
            <w:r w:rsidRPr="007C747A">
              <w:rPr>
                <w:rFonts w:eastAsia="Times New Roman" w:cs="Arial"/>
                <w:b/>
                <w:bCs/>
                <w:sz w:val="18"/>
                <w:szCs w:val="18"/>
                <w:lang w:val="en-AU" w:eastAsia="en-US"/>
              </w:rPr>
              <w:t xml:space="preserve"> </w:t>
            </w:r>
          </w:p>
        </w:tc>
        <w:tc>
          <w:tcPr>
            <w:tcW w:w="1053" w:type="dxa"/>
            <w:tcBorders>
              <w:top w:val="single" w:sz="4" w:space="0" w:color="auto"/>
              <w:left w:val="nil"/>
              <w:bottom w:val="single" w:sz="4" w:space="0" w:color="auto"/>
              <w:right w:val="nil"/>
            </w:tcBorders>
            <w:shd w:val="clear" w:color="FFFFFF" w:fill="FFFFFF"/>
            <w:vAlign w:val="bottom"/>
            <w:hideMark/>
          </w:tcPr>
          <w:p w14:paraId="69823B37" w14:textId="75782573"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Total</w:t>
            </w:r>
            <w:r w:rsidR="00E41EEB" w:rsidRPr="007C747A">
              <w:rPr>
                <w:rFonts w:eastAsia="Times New Roman" w:cs="Arial"/>
                <w:b/>
                <w:bCs/>
                <w:sz w:val="18"/>
                <w:szCs w:val="18"/>
                <w:lang w:val="en-AU" w:eastAsia="en-US"/>
              </w:rPr>
              <w:br/>
              <w:t>$’000</w:t>
            </w:r>
          </w:p>
        </w:tc>
      </w:tr>
      <w:bookmarkEnd w:id="359"/>
      <w:tr w:rsidR="00F2518A" w:rsidRPr="007C747A" w14:paraId="4DF76D8F" w14:textId="77777777" w:rsidTr="00E41EEB">
        <w:trPr>
          <w:trHeight w:val="250"/>
        </w:trPr>
        <w:tc>
          <w:tcPr>
            <w:tcW w:w="3818" w:type="dxa"/>
            <w:tcBorders>
              <w:top w:val="single" w:sz="4" w:space="0" w:color="auto"/>
              <w:left w:val="nil"/>
              <w:bottom w:val="nil"/>
              <w:right w:val="nil"/>
            </w:tcBorders>
            <w:shd w:val="clear" w:color="FFFFFF" w:fill="FFFFFF"/>
            <w:vAlign w:val="bottom"/>
            <w:hideMark/>
          </w:tcPr>
          <w:p w14:paraId="7210683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Carrying amount 1 July 2022</w:t>
            </w:r>
          </w:p>
        </w:tc>
        <w:tc>
          <w:tcPr>
            <w:tcW w:w="1405" w:type="dxa"/>
            <w:tcBorders>
              <w:top w:val="single" w:sz="4" w:space="0" w:color="auto"/>
              <w:left w:val="nil"/>
              <w:bottom w:val="nil"/>
              <w:right w:val="nil"/>
            </w:tcBorders>
            <w:shd w:val="clear" w:color="FFFFFF" w:fill="FFFFFF"/>
            <w:noWrap/>
            <w:vAlign w:val="bottom"/>
            <w:hideMark/>
          </w:tcPr>
          <w:p w14:paraId="7A7B6CD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1,963,712</w:t>
            </w:r>
          </w:p>
        </w:tc>
        <w:tc>
          <w:tcPr>
            <w:tcW w:w="1406" w:type="dxa"/>
            <w:tcBorders>
              <w:top w:val="single" w:sz="4" w:space="0" w:color="auto"/>
              <w:left w:val="nil"/>
              <w:bottom w:val="nil"/>
              <w:right w:val="nil"/>
            </w:tcBorders>
            <w:shd w:val="clear" w:color="FFFFFF" w:fill="FFFFFF"/>
            <w:noWrap/>
            <w:vAlign w:val="bottom"/>
            <w:hideMark/>
          </w:tcPr>
          <w:p w14:paraId="6C0B19A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7,301</w:t>
            </w:r>
          </w:p>
        </w:tc>
        <w:tc>
          <w:tcPr>
            <w:tcW w:w="1405" w:type="dxa"/>
            <w:tcBorders>
              <w:top w:val="single" w:sz="4" w:space="0" w:color="auto"/>
              <w:left w:val="nil"/>
              <w:bottom w:val="nil"/>
              <w:right w:val="nil"/>
            </w:tcBorders>
            <w:shd w:val="clear" w:color="FFFFFF" w:fill="FFFFFF"/>
            <w:noWrap/>
            <w:vAlign w:val="bottom"/>
            <w:hideMark/>
          </w:tcPr>
          <w:p w14:paraId="00E3A8E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475,644</w:t>
            </w:r>
          </w:p>
        </w:tc>
        <w:tc>
          <w:tcPr>
            <w:tcW w:w="1053" w:type="dxa"/>
            <w:tcBorders>
              <w:top w:val="single" w:sz="4" w:space="0" w:color="auto"/>
              <w:left w:val="nil"/>
              <w:bottom w:val="nil"/>
              <w:right w:val="nil"/>
            </w:tcBorders>
            <w:shd w:val="clear" w:color="FFFFFF" w:fill="FFFFFF"/>
            <w:noWrap/>
            <w:vAlign w:val="bottom"/>
            <w:hideMark/>
          </w:tcPr>
          <w:p w14:paraId="38D4922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2,446,657</w:t>
            </w:r>
          </w:p>
        </w:tc>
      </w:tr>
      <w:tr w:rsidR="00F2518A" w:rsidRPr="007C747A" w14:paraId="3A101F6A" w14:textId="77777777">
        <w:trPr>
          <w:trHeight w:val="250"/>
        </w:trPr>
        <w:tc>
          <w:tcPr>
            <w:tcW w:w="3818" w:type="dxa"/>
            <w:tcBorders>
              <w:top w:val="nil"/>
              <w:left w:val="nil"/>
              <w:bottom w:val="nil"/>
              <w:right w:val="nil"/>
            </w:tcBorders>
            <w:shd w:val="clear" w:color="FFFFFF" w:fill="FFFFFF"/>
            <w:vAlign w:val="bottom"/>
            <w:hideMark/>
          </w:tcPr>
          <w:p w14:paraId="2832DD4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Additional provisions made</w:t>
            </w:r>
          </w:p>
        </w:tc>
        <w:tc>
          <w:tcPr>
            <w:tcW w:w="1405" w:type="dxa"/>
            <w:tcBorders>
              <w:top w:val="nil"/>
              <w:left w:val="nil"/>
              <w:bottom w:val="nil"/>
              <w:right w:val="nil"/>
            </w:tcBorders>
            <w:shd w:val="clear" w:color="FFFFFF" w:fill="FFFFFF"/>
            <w:noWrap/>
            <w:vAlign w:val="bottom"/>
            <w:hideMark/>
          </w:tcPr>
          <w:p w14:paraId="425F5D2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2,005,426</w:t>
            </w:r>
          </w:p>
        </w:tc>
        <w:tc>
          <w:tcPr>
            <w:tcW w:w="1406" w:type="dxa"/>
            <w:tcBorders>
              <w:top w:val="nil"/>
              <w:left w:val="nil"/>
              <w:bottom w:val="nil"/>
              <w:right w:val="nil"/>
            </w:tcBorders>
            <w:shd w:val="clear" w:color="FFFFFF" w:fill="FFFFFF"/>
            <w:noWrap/>
            <w:vAlign w:val="bottom"/>
            <w:hideMark/>
          </w:tcPr>
          <w:p w14:paraId="5F84BC9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315</w:t>
            </w:r>
          </w:p>
        </w:tc>
        <w:tc>
          <w:tcPr>
            <w:tcW w:w="1405" w:type="dxa"/>
            <w:tcBorders>
              <w:top w:val="nil"/>
              <w:left w:val="nil"/>
              <w:bottom w:val="nil"/>
              <w:right w:val="nil"/>
            </w:tcBorders>
            <w:shd w:val="clear" w:color="FFFFFF" w:fill="FFFFFF"/>
            <w:noWrap/>
            <w:vAlign w:val="bottom"/>
            <w:hideMark/>
          </w:tcPr>
          <w:p w14:paraId="0244B60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053" w:type="dxa"/>
            <w:tcBorders>
              <w:top w:val="nil"/>
              <w:left w:val="nil"/>
              <w:bottom w:val="nil"/>
              <w:right w:val="nil"/>
            </w:tcBorders>
            <w:shd w:val="clear" w:color="FFFFFF" w:fill="FFFFFF"/>
            <w:noWrap/>
            <w:vAlign w:val="bottom"/>
            <w:hideMark/>
          </w:tcPr>
          <w:p w14:paraId="21078F4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2,005,741</w:t>
            </w:r>
          </w:p>
        </w:tc>
      </w:tr>
      <w:tr w:rsidR="00F2518A" w:rsidRPr="007C747A" w14:paraId="75E03CE9" w14:textId="77777777">
        <w:trPr>
          <w:trHeight w:val="250"/>
        </w:trPr>
        <w:tc>
          <w:tcPr>
            <w:tcW w:w="3818" w:type="dxa"/>
            <w:tcBorders>
              <w:top w:val="nil"/>
              <w:left w:val="nil"/>
              <w:bottom w:val="nil"/>
              <w:right w:val="nil"/>
            </w:tcBorders>
            <w:shd w:val="clear" w:color="FFFFFF" w:fill="FFFFFF"/>
            <w:vAlign w:val="bottom"/>
            <w:hideMark/>
          </w:tcPr>
          <w:p w14:paraId="1791EBB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Amounts reversed</w:t>
            </w:r>
          </w:p>
        </w:tc>
        <w:tc>
          <w:tcPr>
            <w:tcW w:w="1405" w:type="dxa"/>
            <w:tcBorders>
              <w:top w:val="nil"/>
              <w:left w:val="nil"/>
              <w:bottom w:val="nil"/>
              <w:right w:val="nil"/>
            </w:tcBorders>
            <w:shd w:val="clear" w:color="FFFFFF" w:fill="FFFFFF"/>
            <w:noWrap/>
            <w:vAlign w:val="bottom"/>
            <w:hideMark/>
          </w:tcPr>
          <w:p w14:paraId="540CACE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(443,996)</w:t>
            </w:r>
          </w:p>
        </w:tc>
        <w:tc>
          <w:tcPr>
            <w:tcW w:w="1406" w:type="dxa"/>
            <w:tcBorders>
              <w:top w:val="nil"/>
              <w:left w:val="nil"/>
              <w:bottom w:val="nil"/>
              <w:right w:val="nil"/>
            </w:tcBorders>
            <w:shd w:val="clear" w:color="FFFFFF" w:fill="FFFFFF"/>
            <w:noWrap/>
            <w:vAlign w:val="bottom"/>
            <w:hideMark/>
          </w:tcPr>
          <w:p w14:paraId="05515F6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(1,405)</w:t>
            </w:r>
          </w:p>
        </w:tc>
        <w:tc>
          <w:tcPr>
            <w:tcW w:w="1405" w:type="dxa"/>
            <w:tcBorders>
              <w:top w:val="nil"/>
              <w:left w:val="nil"/>
              <w:bottom w:val="nil"/>
              <w:right w:val="nil"/>
            </w:tcBorders>
            <w:shd w:val="clear" w:color="FFFFFF" w:fill="FFFFFF"/>
            <w:noWrap/>
            <w:vAlign w:val="bottom"/>
            <w:hideMark/>
          </w:tcPr>
          <w:p w14:paraId="1DC5AB3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(31,088)</w:t>
            </w:r>
          </w:p>
        </w:tc>
        <w:tc>
          <w:tcPr>
            <w:tcW w:w="1053" w:type="dxa"/>
            <w:tcBorders>
              <w:top w:val="nil"/>
              <w:left w:val="nil"/>
              <w:bottom w:val="nil"/>
              <w:right w:val="nil"/>
            </w:tcBorders>
            <w:shd w:val="clear" w:color="FFFFFF" w:fill="FFFFFF"/>
            <w:noWrap/>
            <w:vAlign w:val="bottom"/>
            <w:hideMark/>
          </w:tcPr>
          <w:p w14:paraId="43462AA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(476,489)</w:t>
            </w:r>
          </w:p>
        </w:tc>
      </w:tr>
      <w:tr w:rsidR="00F2518A" w:rsidRPr="007C747A" w14:paraId="77DFB83D" w14:textId="77777777">
        <w:trPr>
          <w:trHeight w:val="250"/>
        </w:trPr>
        <w:tc>
          <w:tcPr>
            <w:tcW w:w="3818" w:type="dxa"/>
            <w:tcBorders>
              <w:top w:val="nil"/>
              <w:left w:val="nil"/>
              <w:bottom w:val="nil"/>
              <w:right w:val="nil"/>
            </w:tcBorders>
            <w:shd w:val="clear" w:color="FFFFFF" w:fill="FFFFFF"/>
            <w:vAlign w:val="bottom"/>
            <w:hideMark/>
          </w:tcPr>
          <w:p w14:paraId="368D9F7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Amounts used</w:t>
            </w:r>
          </w:p>
        </w:tc>
        <w:tc>
          <w:tcPr>
            <w:tcW w:w="1405" w:type="dxa"/>
            <w:tcBorders>
              <w:top w:val="nil"/>
              <w:left w:val="nil"/>
              <w:bottom w:val="nil"/>
              <w:right w:val="nil"/>
            </w:tcBorders>
            <w:shd w:val="clear" w:color="FFFFFF" w:fill="FFFFFF"/>
            <w:noWrap/>
            <w:vAlign w:val="bottom"/>
            <w:hideMark/>
          </w:tcPr>
          <w:p w14:paraId="722B9CE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(1,576,504)</w:t>
            </w:r>
          </w:p>
        </w:tc>
        <w:tc>
          <w:tcPr>
            <w:tcW w:w="1406" w:type="dxa"/>
            <w:tcBorders>
              <w:top w:val="nil"/>
              <w:left w:val="nil"/>
              <w:bottom w:val="nil"/>
              <w:right w:val="nil"/>
            </w:tcBorders>
            <w:shd w:val="clear" w:color="FFFFFF" w:fill="FFFFFF"/>
            <w:noWrap/>
            <w:vAlign w:val="bottom"/>
            <w:hideMark/>
          </w:tcPr>
          <w:p w14:paraId="0E30243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(426)</w:t>
            </w:r>
          </w:p>
        </w:tc>
        <w:tc>
          <w:tcPr>
            <w:tcW w:w="1405" w:type="dxa"/>
            <w:tcBorders>
              <w:top w:val="nil"/>
              <w:left w:val="nil"/>
              <w:bottom w:val="nil"/>
              <w:right w:val="nil"/>
            </w:tcBorders>
            <w:shd w:val="clear" w:color="FFFFFF" w:fill="FFFFFF"/>
            <w:noWrap/>
            <w:vAlign w:val="bottom"/>
            <w:hideMark/>
          </w:tcPr>
          <w:p w14:paraId="67EB009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(444,556)</w:t>
            </w:r>
          </w:p>
        </w:tc>
        <w:tc>
          <w:tcPr>
            <w:tcW w:w="1053" w:type="dxa"/>
            <w:tcBorders>
              <w:top w:val="nil"/>
              <w:left w:val="nil"/>
              <w:bottom w:val="nil"/>
              <w:right w:val="nil"/>
            </w:tcBorders>
            <w:shd w:val="clear" w:color="FFFFFF" w:fill="FFFFFF"/>
            <w:noWrap/>
            <w:vAlign w:val="bottom"/>
            <w:hideMark/>
          </w:tcPr>
          <w:p w14:paraId="3D8379A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(2,021,486)</w:t>
            </w:r>
          </w:p>
        </w:tc>
      </w:tr>
      <w:tr w:rsidR="00F2518A" w:rsidRPr="007C747A" w14:paraId="4DE0D554" w14:textId="77777777">
        <w:trPr>
          <w:trHeight w:val="270"/>
        </w:trPr>
        <w:tc>
          <w:tcPr>
            <w:tcW w:w="3818" w:type="dxa"/>
            <w:tcBorders>
              <w:top w:val="nil"/>
              <w:left w:val="nil"/>
              <w:bottom w:val="nil"/>
              <w:right w:val="nil"/>
            </w:tcBorders>
            <w:shd w:val="clear" w:color="FFFFFF" w:fill="FFFFFF"/>
            <w:hideMark/>
          </w:tcPr>
          <w:p w14:paraId="5CABE68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Unwinding of discount or change in discount rate</w:t>
            </w:r>
          </w:p>
        </w:tc>
        <w:tc>
          <w:tcPr>
            <w:tcW w:w="1405" w:type="dxa"/>
            <w:tcBorders>
              <w:top w:val="nil"/>
              <w:left w:val="nil"/>
              <w:bottom w:val="nil"/>
              <w:right w:val="nil"/>
            </w:tcBorders>
            <w:shd w:val="clear" w:color="FFFFFF" w:fill="FFFFFF"/>
            <w:noWrap/>
            <w:hideMark/>
          </w:tcPr>
          <w:p w14:paraId="49B8D31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406" w:type="dxa"/>
            <w:tcBorders>
              <w:top w:val="nil"/>
              <w:left w:val="nil"/>
              <w:bottom w:val="nil"/>
              <w:right w:val="nil"/>
            </w:tcBorders>
            <w:shd w:val="clear" w:color="FFFFFF" w:fill="FFFFFF"/>
            <w:noWrap/>
            <w:hideMark/>
          </w:tcPr>
          <w:p w14:paraId="5286FCB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151</w:t>
            </w:r>
          </w:p>
        </w:tc>
        <w:tc>
          <w:tcPr>
            <w:tcW w:w="1405" w:type="dxa"/>
            <w:tcBorders>
              <w:top w:val="nil"/>
              <w:left w:val="nil"/>
              <w:bottom w:val="nil"/>
              <w:right w:val="nil"/>
            </w:tcBorders>
            <w:shd w:val="clear" w:color="FFFFFF" w:fill="FFFFFF"/>
            <w:noWrap/>
            <w:hideMark/>
          </w:tcPr>
          <w:p w14:paraId="1F99A66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053" w:type="dxa"/>
            <w:tcBorders>
              <w:top w:val="nil"/>
              <w:left w:val="nil"/>
              <w:bottom w:val="nil"/>
              <w:right w:val="nil"/>
            </w:tcBorders>
            <w:shd w:val="clear" w:color="FFFFFF" w:fill="FFFFFF"/>
            <w:noWrap/>
            <w:hideMark/>
          </w:tcPr>
          <w:p w14:paraId="6491F13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151</w:t>
            </w:r>
          </w:p>
        </w:tc>
      </w:tr>
      <w:tr w:rsidR="00F2518A" w:rsidRPr="007C747A" w14:paraId="5F193477" w14:textId="77777777">
        <w:trPr>
          <w:trHeight w:val="260"/>
        </w:trPr>
        <w:tc>
          <w:tcPr>
            <w:tcW w:w="3818" w:type="dxa"/>
            <w:tcBorders>
              <w:top w:val="single" w:sz="4" w:space="0" w:color="auto"/>
              <w:left w:val="nil"/>
              <w:bottom w:val="single" w:sz="4" w:space="0" w:color="auto"/>
              <w:right w:val="nil"/>
            </w:tcBorders>
            <w:shd w:val="clear" w:color="FFFFFF" w:fill="FFFFFF"/>
            <w:vAlign w:val="bottom"/>
            <w:hideMark/>
          </w:tcPr>
          <w:p w14:paraId="4564D06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Closing balance 30 June 2023</w:t>
            </w:r>
          </w:p>
        </w:tc>
        <w:tc>
          <w:tcPr>
            <w:tcW w:w="1405" w:type="dxa"/>
            <w:tcBorders>
              <w:top w:val="single" w:sz="4" w:space="0" w:color="auto"/>
              <w:left w:val="nil"/>
              <w:bottom w:val="single" w:sz="4" w:space="0" w:color="auto"/>
              <w:right w:val="nil"/>
            </w:tcBorders>
            <w:shd w:val="clear" w:color="FFFFFF" w:fill="FFFFFF"/>
            <w:noWrap/>
            <w:vAlign w:val="bottom"/>
            <w:hideMark/>
          </w:tcPr>
          <w:p w14:paraId="479B036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1,948,638</w:t>
            </w:r>
          </w:p>
        </w:tc>
        <w:tc>
          <w:tcPr>
            <w:tcW w:w="1406" w:type="dxa"/>
            <w:tcBorders>
              <w:top w:val="single" w:sz="4" w:space="0" w:color="auto"/>
              <w:left w:val="nil"/>
              <w:bottom w:val="single" w:sz="4" w:space="0" w:color="auto"/>
              <w:right w:val="nil"/>
            </w:tcBorders>
            <w:shd w:val="clear" w:color="FFFFFF" w:fill="FFFFFF"/>
            <w:noWrap/>
            <w:vAlign w:val="bottom"/>
            <w:hideMark/>
          </w:tcPr>
          <w:p w14:paraId="20DEBBB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5,936</w:t>
            </w:r>
          </w:p>
        </w:tc>
        <w:tc>
          <w:tcPr>
            <w:tcW w:w="1405" w:type="dxa"/>
            <w:tcBorders>
              <w:top w:val="single" w:sz="4" w:space="0" w:color="auto"/>
              <w:left w:val="nil"/>
              <w:bottom w:val="single" w:sz="4" w:space="0" w:color="auto"/>
              <w:right w:val="nil"/>
            </w:tcBorders>
            <w:shd w:val="clear" w:color="FFFFFF" w:fill="FFFFFF"/>
            <w:noWrap/>
            <w:vAlign w:val="bottom"/>
            <w:hideMark/>
          </w:tcPr>
          <w:p w14:paraId="1BD557B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1053" w:type="dxa"/>
            <w:tcBorders>
              <w:top w:val="single" w:sz="4" w:space="0" w:color="auto"/>
              <w:left w:val="nil"/>
              <w:bottom w:val="single" w:sz="4" w:space="0" w:color="auto"/>
              <w:right w:val="nil"/>
            </w:tcBorders>
            <w:shd w:val="clear" w:color="FFFFFF" w:fill="FFFFFF"/>
            <w:noWrap/>
            <w:vAlign w:val="bottom"/>
            <w:hideMark/>
          </w:tcPr>
          <w:p w14:paraId="6293E731"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1,954,574</w:t>
            </w:r>
          </w:p>
        </w:tc>
      </w:tr>
    </w:tbl>
    <w:p w14:paraId="64FEA81F" w14:textId="77777777" w:rsidR="00F2518A" w:rsidRPr="007C747A" w:rsidRDefault="00F2518A" w:rsidP="00F2518A">
      <w:pPr>
        <w:spacing w:after="0" w:line="240" w:lineRule="auto"/>
        <w:rPr>
          <w:rFonts w:ascii="Times New Roman" w:eastAsia="Times New Roman" w:hAnsi="Times New Roman"/>
          <w:sz w:val="16"/>
          <w:szCs w:val="16"/>
          <w:lang w:val="en-AU" w:eastAsia="en-US"/>
        </w:rPr>
      </w:pPr>
    </w:p>
    <w:p w14:paraId="1884A6E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The Agency makes a provision for the reasonable and necessary supports provided to participants during the period but not yet notified to the Agency. The provision represents the best estimate of the amount based on available evidence in relation to rates of expenditure by participants and is informed by actuarial analysis.</w:t>
      </w:r>
    </w:p>
    <w:p w14:paraId="34028B49" w14:textId="77777777" w:rsidR="00F2518A" w:rsidRPr="007C747A" w:rsidRDefault="00F2518A" w:rsidP="00F2518A">
      <w:pPr>
        <w:spacing w:after="0" w:line="240" w:lineRule="auto"/>
        <w:rPr>
          <w:rFonts w:ascii="Times New Roman" w:eastAsia="Times New Roman" w:hAnsi="Times New Roman"/>
          <w:sz w:val="16"/>
          <w:szCs w:val="16"/>
          <w:lang w:val="en-AU" w:eastAsia="en-US"/>
        </w:rPr>
      </w:pPr>
    </w:p>
    <w:p w14:paraId="60A633ED" w14:textId="77777777" w:rsidR="00F2518A" w:rsidRPr="007C747A" w:rsidRDefault="00F2518A" w:rsidP="00F2518A">
      <w:pPr>
        <w:spacing w:after="0" w:line="240" w:lineRule="auto"/>
        <w:rPr>
          <w:rFonts w:ascii="Times New Roman" w:eastAsia="Times New Roman" w:hAnsi="Times New Roman"/>
          <w:sz w:val="16"/>
          <w:szCs w:val="16"/>
          <w:lang w:val="en-AU" w:eastAsia="en-US"/>
        </w:rPr>
      </w:pPr>
      <w:r w:rsidRPr="007C747A">
        <w:rPr>
          <w:rFonts w:eastAsia="Times New Roman" w:cs="Arial"/>
          <w:sz w:val="18"/>
          <w:szCs w:val="18"/>
          <w:lang w:val="en-AU" w:eastAsia="en-US"/>
        </w:rPr>
        <w:t>No liability is recorded for any participant supports to be provided in future reporting periods as the relevant recognition criteria are not met.</w:t>
      </w:r>
    </w:p>
    <w:p w14:paraId="63230514" w14:textId="77777777" w:rsidR="00F2518A" w:rsidRPr="007C747A" w:rsidRDefault="00F2518A" w:rsidP="00F2518A">
      <w:pPr>
        <w:spacing w:after="0" w:line="240" w:lineRule="auto"/>
        <w:rPr>
          <w:rFonts w:ascii="Times New Roman" w:eastAsia="Times New Roman" w:hAnsi="Times New Roman"/>
          <w:sz w:val="16"/>
          <w:szCs w:val="16"/>
          <w:lang w:val="en-AU" w:eastAsia="en-US"/>
        </w:rPr>
      </w:pPr>
    </w:p>
    <w:p w14:paraId="5186C56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The Agency has 34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44) agreements for the leasing of premises, which have provisions requiring the entity to restore the premises to their original condition at the conclusion of the lease. The Agency has made a provision to reflect the present value of this obligation.</w:t>
      </w:r>
    </w:p>
    <w:p w14:paraId="3A4EF068" w14:textId="77777777" w:rsidR="00F2518A" w:rsidRPr="007C747A" w:rsidRDefault="00F2518A" w:rsidP="00F2518A">
      <w:pPr>
        <w:spacing w:after="0" w:line="260" w:lineRule="atLeast"/>
        <w:rPr>
          <w:rFonts w:eastAsia="Times New Roman" w:cs="Arial"/>
          <w:sz w:val="18"/>
          <w:szCs w:val="18"/>
          <w:lang w:val="en-AU" w:eastAsia="en-US"/>
        </w:rPr>
      </w:pPr>
    </w:p>
    <w:p w14:paraId="01699B4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The 2022 Annual Price Review identified evidence that providers had incurred costs over 2021–22 due to the impacts of COVID-19 and strengthened quality and safeguarding requirements not fully accounted for in the 2021–22 Price Guide and Support Catalogue. In June 2022, the Board approved one-off lump sum payments to registered providers to reimburse these costs for specific support categories and a provision was raised to recognise this obligation. During 2022-23, all provided amounts were utilised or reversed to other gains.</w:t>
      </w:r>
    </w:p>
    <w:p w14:paraId="5181AC13" w14:textId="68188DAF" w:rsidR="00E41EEB" w:rsidRPr="007C747A" w:rsidRDefault="00E41EEB">
      <w:pPr>
        <w:spacing w:after="0" w:line="240" w:lineRule="auto"/>
        <w:rPr>
          <w:rFonts w:eastAsia="Times New Roman" w:cs="Arial"/>
          <w:sz w:val="18"/>
          <w:szCs w:val="18"/>
          <w:lang w:val="en-AU" w:eastAsia="en-US"/>
        </w:rPr>
      </w:pPr>
      <w:r w:rsidRPr="007C747A">
        <w:rPr>
          <w:rFonts w:eastAsia="Times New Roman" w:cs="Arial"/>
          <w:sz w:val="18"/>
          <w:szCs w:val="18"/>
          <w:lang w:val="en-AU" w:eastAsia="en-US"/>
        </w:rPr>
        <w:br w:type="page"/>
      </w:r>
    </w:p>
    <w:p w14:paraId="02738194"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
          <w:sz w:val="18"/>
          <w:szCs w:val="18"/>
          <w:lang w:val="en-AU" w:eastAsia="en-US"/>
        </w:rPr>
      </w:pPr>
      <w:bookmarkStart w:id="360" w:name="_Toc443469538"/>
      <w:bookmarkStart w:id="361" w:name="_Toc444065792"/>
      <w:bookmarkStart w:id="362" w:name="_Toc444079989"/>
      <w:bookmarkStart w:id="363" w:name="_Toc447030543"/>
      <w:bookmarkStart w:id="364" w:name="_Toc447030695"/>
      <w:bookmarkStart w:id="365" w:name="_Toc447030788"/>
      <w:bookmarkStart w:id="366" w:name="OLE_LINK9"/>
      <w:r w:rsidRPr="007C747A">
        <w:rPr>
          <w:rFonts w:eastAsia="Times New Roman" w:cs="Arial"/>
          <w:b/>
          <w:sz w:val="18"/>
          <w:szCs w:val="18"/>
          <w:lang w:val="en-AU" w:eastAsia="en-US"/>
        </w:rPr>
        <w:t>Key judgements and estimates</w:t>
      </w:r>
    </w:p>
    <w:p w14:paraId="243EB64D"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Agency recognises a liability for the costs of reasonable and necessary supports at the time that services are provided to participants in the Scheme. Due to the payment and claiming process the Agency may not be aware of all services rendered at the time of closing the financial statements. The Agency makes an estimate of the outstanding liability by reviewing historical payments experience.</w:t>
      </w:r>
    </w:p>
    <w:p w14:paraId="14E46FE9"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Due to the uncertainty around the level of future payments, a net central estimate plus a risk margin is adopted, where the risk margin aligns to a 75% probability of adequacy of the provision.  A risk margin of 7.5% (2022: 7.5%) has been incorporated into the Participant Plan Provision.  Historically, the risk margin was applied to both of the components that made up the Participant Plan Provision (i.e. the Cash Participant Plan Provision net central estimate and the Residential Aged Care (RAC) net central estimate).  From 30 June 2023, the RAC net central estimate has been moved from the Participant Plan Provision account to a separate RAC Payables account, and the risk margin is no longer applied to the RAC net central estimate.  The reason for this change is that the outstanding payment amounts related to RAC are now regarded as a payable to an external vendor (Department of Health), rather than as a provision.  </w:t>
      </w:r>
    </w:p>
    <w:p w14:paraId="1AA5F026"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For each 0.5 percentage point increase/(decrease) in the risk margin applied to the Participant Plan Provision, the estimated liability would increase/(decrease) by $9.4 million.</w:t>
      </w:r>
    </w:p>
    <w:p w14:paraId="6AFAA59D"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One of the outputs from the valuation process is the resulting expected ultimate utilisation rates by support year, where the projected ultimate payments are compared to the aggregated Committed Supports contained within participant’s plans in the relevant period.  At 30 June 2023, the utilisation rates shown have been calculated using Committed Supports that allow for projected development, which means that they consider the retrospective changes that occur due to plan shortening and other adjustments such as plan indexation.  The allowance of future development in the Committed Supports used to estimate the utilisation rates provides a better indication of where the utilisation rates will ultimately land.  </w:t>
      </w:r>
    </w:p>
    <w:p w14:paraId="2CB060A3"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To aid comparability, the utilisation rates shown for 2022 have been re-stated to use Committed Supports that allow for projected development.  As at 30 June 2023, the expected ultimate utilisation (excluding risk margin) of Committed Supports by support year is as follows:</w:t>
      </w:r>
    </w:p>
    <w:p w14:paraId="05781693"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    2013-14: 64.1% (2022: 64.1%)</w:t>
      </w:r>
    </w:p>
    <w:p w14:paraId="6B06B235"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2014-15: 74.6% (2022: 74.6%)</w:t>
      </w:r>
    </w:p>
    <w:p w14:paraId="7AEF8CEB"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    2015-16: 74.9% (2022: 74.9%)</w:t>
      </w:r>
    </w:p>
    <w:p w14:paraId="52FE0257"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    2016-17: 67.4% (2022: 67.4%)</w:t>
      </w:r>
    </w:p>
    <w:p w14:paraId="75AC9DE4"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    2017-18: 70.0% (2022: 70.0%)</w:t>
      </w:r>
    </w:p>
    <w:p w14:paraId="7A322F4F"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2018-19: 71.3% (2022: 71.2%)</w:t>
      </w:r>
    </w:p>
    <w:p w14:paraId="724DD0B9"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    2019-20: 71.1% (2022: 70.9%)</w:t>
      </w:r>
    </w:p>
    <w:p w14:paraId="2E4D401F"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2020-21: 72.8% (2022: 72.6%)</w:t>
      </w:r>
    </w:p>
    <w:p w14:paraId="64A1A2ED"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2021-22: 75.5% (2022: 76.5%)</w:t>
      </w:r>
    </w:p>
    <w:p w14:paraId="27F44ABF"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lang w:val="en-AU" w:eastAsia="en-US"/>
        </w:rPr>
      </w:pPr>
      <w:r w:rsidRPr="007C747A">
        <w:rPr>
          <w:rFonts w:eastAsia="Times New Roman" w:cs="Arial"/>
          <w:bCs/>
          <w:sz w:val="18"/>
          <w:szCs w:val="18"/>
          <w:lang w:val="en-AU" w:eastAsia="en-US"/>
        </w:rPr>
        <w:t>    2022-23: 77.0%</w:t>
      </w:r>
    </w:p>
    <w:p w14:paraId="61E44366"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0" w:line="120" w:lineRule="atLeast"/>
        <w:rPr>
          <w:rFonts w:eastAsia="Times New Roman" w:cs="Arial"/>
          <w:bCs/>
          <w:sz w:val="18"/>
          <w:szCs w:val="18"/>
          <w:highlight w:val="yellow"/>
          <w:lang w:val="en-AU" w:eastAsia="en-US"/>
        </w:rPr>
      </w:pPr>
    </w:p>
    <w:p w14:paraId="0CFA7ADF"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above utilisation rates are re-calculated annually by the Scheme Actuary to take into account actual payments made over the year, the latest value of the Participant Plan Provision and the RAC Payable, as well as retrospective changes in the Committed Supports.  For the 2022-23 support year, for each 0.5 percentage point increase/(decrease) in the ultimate utilisation rate (excluding risk margin), the estimated liability increases/(decreases) by $229.8 million.</w:t>
      </w:r>
    </w:p>
    <w:p w14:paraId="00487630"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provision for provider additional costs was estimated based on the following factors:</w:t>
      </w:r>
    </w:p>
    <w:p w14:paraId="76EAB340"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historical claims by the relevant providers in the financial year 2021-22;</w:t>
      </w:r>
    </w:p>
    <w:p w14:paraId="24EB97B6"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additional cost reimbursement factor approved by the Board; and</w:t>
      </w:r>
    </w:p>
    <w:p w14:paraId="7D27F3E9" w14:textId="77777777" w:rsidR="00F2518A" w:rsidRPr="007C747A" w:rsidRDefault="00F2518A" w:rsidP="00F2518A">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the amount documented in the Deed of Agreement sent to the relevant providers.</w:t>
      </w:r>
    </w:p>
    <w:p w14:paraId="00C526D6"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ind w:right="607"/>
        <w:rPr>
          <w:rFonts w:eastAsia="Times New Roman" w:cs="Arial"/>
          <w:sz w:val="18"/>
          <w:szCs w:val="18"/>
          <w:lang w:val="en-AU" w:eastAsia="en-US"/>
        </w:rPr>
        <w:sectPr w:rsidR="00F2518A" w:rsidRPr="007C747A" w:rsidSect="00723C2D">
          <w:type w:val="continuous"/>
          <w:pgSz w:w="11906" w:h="16838" w:code="9"/>
          <w:pgMar w:top="1134" w:right="1701" w:bottom="284" w:left="1134" w:header="680" w:footer="737" w:gutter="0"/>
          <w:cols w:space="708"/>
          <w:docGrid w:linePitch="360"/>
        </w:sectPr>
      </w:pPr>
    </w:p>
    <w:p w14:paraId="266F9684" w14:textId="77777777" w:rsidR="00F2518A" w:rsidRPr="007C747A" w:rsidRDefault="00F2518A" w:rsidP="007E4E69">
      <w:pPr>
        <w:pStyle w:val="SectionHeading"/>
        <w:outlineLvl w:val="2"/>
      </w:pPr>
      <w:bookmarkStart w:id="367" w:name="_Toc65742853"/>
      <w:bookmarkStart w:id="368" w:name="_Toc145583280"/>
      <w:bookmarkStart w:id="369" w:name="_Toc145949760"/>
      <w:bookmarkStart w:id="370" w:name="_Toc146022842"/>
      <w:bookmarkStart w:id="371" w:name="_Toc146191223"/>
      <w:bookmarkStart w:id="372" w:name="_Toc146195323"/>
      <w:bookmarkStart w:id="373" w:name="_Toc146200292"/>
      <w:bookmarkStart w:id="374" w:name="_Toc146203447"/>
      <w:bookmarkStart w:id="375" w:name="_Toc146289447"/>
      <w:bookmarkStart w:id="376" w:name="_Toc146538804"/>
      <w:bookmarkStart w:id="377" w:name="_Toc146545541"/>
      <w:bookmarkStart w:id="378" w:name="_Toc147769239"/>
      <w:bookmarkStart w:id="379" w:name="_Toc147834886"/>
      <w:bookmarkStart w:id="380" w:name="_Toc147992027"/>
      <w:bookmarkStart w:id="381" w:name="_Toc148020788"/>
      <w:bookmarkStart w:id="382" w:name="_Toc148108407"/>
      <w:bookmarkStart w:id="383" w:name="_Toc443469540"/>
      <w:bookmarkStart w:id="384" w:name="_Toc444065794"/>
      <w:bookmarkStart w:id="385" w:name="_Toc444079991"/>
      <w:bookmarkEnd w:id="360"/>
      <w:bookmarkEnd w:id="361"/>
      <w:bookmarkEnd w:id="362"/>
      <w:bookmarkEnd w:id="363"/>
      <w:bookmarkEnd w:id="364"/>
      <w:bookmarkEnd w:id="365"/>
      <w:bookmarkEnd w:id="366"/>
      <w:r w:rsidRPr="007C747A">
        <w:t>People and Relationship</w:t>
      </w:r>
      <w:bookmarkEnd w:id="367"/>
      <w:r w:rsidRPr="007C747A">
        <w:t>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21EE1754" w14:textId="77777777" w:rsidR="00F2518A" w:rsidRPr="007C747A" w:rsidRDefault="00F2518A" w:rsidP="00F2518A">
      <w:pPr>
        <w:shd w:val="clear" w:color="00CC99" w:fill="800080"/>
        <w:spacing w:after="0" w:line="260" w:lineRule="atLeast"/>
        <w:rPr>
          <w:rFonts w:eastAsia="Times New Roman"/>
          <w:color w:val="FFFFFF"/>
          <w:sz w:val="18"/>
          <w:szCs w:val="18"/>
          <w:lang w:val="en-AU" w:eastAsia="en-US"/>
        </w:rPr>
      </w:pPr>
      <w:r w:rsidRPr="007C747A">
        <w:rPr>
          <w:rFonts w:eastAsia="Times New Roman"/>
          <w:color w:val="FFFFFF"/>
          <w:sz w:val="18"/>
          <w:szCs w:val="18"/>
          <w:lang w:val="en-AU" w:eastAsia="en-US"/>
        </w:rPr>
        <w:t>This section describes a range of employment and post-employment benefits provided to our employees and our relationships with other key people.</w:t>
      </w:r>
    </w:p>
    <w:p w14:paraId="4601BA89" w14:textId="77777777" w:rsidR="00F2518A" w:rsidRPr="007C747A" w:rsidRDefault="00F2518A" w:rsidP="00F2518A">
      <w:pPr>
        <w:spacing w:after="0" w:line="260" w:lineRule="atLeast"/>
        <w:rPr>
          <w:rFonts w:ascii="Times New Roman" w:eastAsia="Times New Roman" w:hAnsi="Times New Roman"/>
          <w:sz w:val="22"/>
          <w:szCs w:val="20"/>
          <w:lang w:val="en-AU" w:eastAsia="en-US"/>
        </w:rPr>
      </w:pPr>
    </w:p>
    <w:p w14:paraId="4B5DE0C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bookmarkStart w:id="386" w:name="_Toc443469546"/>
      <w:bookmarkStart w:id="387" w:name="_Toc444065801"/>
      <w:bookmarkStart w:id="388" w:name="_Toc444079997"/>
      <w:r w:rsidRPr="007C747A">
        <w:rPr>
          <w:rFonts w:eastAsia="Times New Roman" w:cs="Arial"/>
          <w:b/>
          <w:bCs/>
          <w:sz w:val="18"/>
          <w:szCs w:val="18"/>
          <w:lang w:val="en-AU" w:eastAsia="en-US"/>
        </w:rPr>
        <w:t>Accounting Policy</w:t>
      </w:r>
    </w:p>
    <w:p w14:paraId="6B8489D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Liabilities for ‘short-term employee benefits’ (as defined in AASB 119 </w:t>
      </w:r>
      <w:r w:rsidRPr="007C747A">
        <w:rPr>
          <w:rFonts w:eastAsia="Times New Roman" w:cs="Arial"/>
          <w:bCs/>
          <w:i/>
          <w:sz w:val="18"/>
          <w:szCs w:val="18"/>
          <w:lang w:val="en-AU" w:eastAsia="en-US"/>
        </w:rPr>
        <w:t>Employee Benefits</w:t>
      </w:r>
      <w:r w:rsidRPr="007C747A">
        <w:rPr>
          <w:rFonts w:eastAsia="Times New Roman" w:cs="Arial"/>
          <w:bCs/>
          <w:sz w:val="18"/>
          <w:szCs w:val="18"/>
          <w:lang w:val="en-AU" w:eastAsia="en-US"/>
        </w:rPr>
        <w:t xml:space="preserve">) and termination benefits expected within twelve months of the end of the reporting period are measured at their nominal amounts. </w:t>
      </w:r>
    </w:p>
    <w:p w14:paraId="56A886EC"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Leave</w:t>
      </w:r>
    </w:p>
    <w:p w14:paraId="1A4CDDC9"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liability for employee benefits includes provision for annual leave and long service leave.</w:t>
      </w:r>
      <w:r w:rsidRPr="007C747A">
        <w:rPr>
          <w:rFonts w:eastAsia="Times New Roman" w:cs="Arial"/>
          <w:bCs/>
          <w:sz w:val="18"/>
          <w:szCs w:val="18"/>
          <w:lang w:val="en-AU" w:eastAsia="en-US"/>
        </w:rPr>
        <w:tab/>
      </w:r>
    </w:p>
    <w:p w14:paraId="11E5178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on termination. </w:t>
      </w:r>
    </w:p>
    <w:p w14:paraId="1CC44FAA"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Superannuation</w:t>
      </w:r>
    </w:p>
    <w:p w14:paraId="3230FA62"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Agency staff are members of the Commonwealth Superannuation Scheme (CSS), the Public Sector Superannuation Scheme (PSS), the PSS accumulation plan (PSSap) or other superannuation funds held outside the Australian Government. The CSS and PSS are defined benefit schemes for the Australian Government. The PSSap is a defined contribution scheme.</w:t>
      </w:r>
      <w:r w:rsidRPr="007C747A">
        <w:rPr>
          <w:rFonts w:eastAsia="Times New Roman" w:cs="Arial"/>
          <w:bCs/>
          <w:sz w:val="18"/>
          <w:szCs w:val="18"/>
          <w:lang w:val="en-AU" w:eastAsia="en-US"/>
        </w:rPr>
        <w:tab/>
      </w:r>
    </w:p>
    <w:p w14:paraId="1C026256"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The liability for defined benefits is recognised in the financial statements of the Australian Government and is settled by the Australian Government in due course. This liability is reported in the Department of Finance’s administered schedules and notes.</w:t>
      </w:r>
    </w:p>
    <w:p w14:paraId="228343D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The Agency makes employer contributions to employee superannuation schemes at rates determined by an actuary to be sufficient to meet the current cost to the Government. The Agency accounts for these contributions as if they were contributions to defined contribution plans. </w:t>
      </w:r>
    </w:p>
    <w:p w14:paraId="20CDD38A"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 xml:space="preserve">The liability for superannuation recognised at Note 2.3B Other payables represents contributions outstanding at balance date. </w:t>
      </w:r>
    </w:p>
    <w:p w14:paraId="13391F7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Key Accounting judgements and estimates</w:t>
      </w:r>
    </w:p>
    <w:p w14:paraId="1178D2E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i/>
          <w:sz w:val="18"/>
          <w:szCs w:val="18"/>
          <w:lang w:val="en-AU" w:eastAsia="en-US"/>
        </w:rPr>
      </w:pPr>
      <w:r w:rsidRPr="007C747A">
        <w:rPr>
          <w:rFonts w:eastAsia="Times New Roman" w:cs="Arial"/>
          <w:bCs/>
          <w:sz w:val="18"/>
          <w:szCs w:val="18"/>
          <w:lang w:val="en-AU" w:eastAsia="en-US"/>
        </w:rPr>
        <w:t>The liability for long service leave has been determined by reference to the work of the Australian Government Actuary as at 30 June 2023. The estimate of the present value of the liability for long service leave takes into account attrition rates and pay increases through promotion and inflation. The estimate of future costs requires management and independent actuarial assessment of assumed salary growth rates, future on-cost rates and the experience of employee departures. The future costs are then discounted to present value using market yields on government bonds in accordance with AASB 119</w:t>
      </w:r>
      <w:r w:rsidRPr="007C747A">
        <w:rPr>
          <w:rFonts w:eastAsia="Times New Roman" w:cs="Arial"/>
          <w:bCs/>
          <w:i/>
          <w:sz w:val="18"/>
          <w:szCs w:val="18"/>
          <w:lang w:val="en-AU" w:eastAsia="en-US"/>
        </w:rPr>
        <w:t>.</w:t>
      </w:r>
    </w:p>
    <w:p w14:paraId="633FA402" w14:textId="77777777" w:rsidR="00F2518A" w:rsidRPr="007C747A" w:rsidRDefault="00F2518A" w:rsidP="00F2518A">
      <w:pPr>
        <w:spacing w:after="0" w:line="240" w:lineRule="auto"/>
        <w:rPr>
          <w:rFonts w:eastAsia="Times New Roman"/>
          <w:b/>
          <w:sz w:val="20"/>
          <w:szCs w:val="20"/>
          <w:lang w:val="en-AU" w:eastAsia="en-US"/>
        </w:rPr>
      </w:pPr>
      <w:r w:rsidRPr="007C747A">
        <w:rPr>
          <w:rFonts w:ascii="Times New Roman" w:eastAsia="Times New Roman" w:hAnsi="Times New Roman"/>
          <w:sz w:val="22"/>
          <w:szCs w:val="20"/>
          <w:lang w:val="en-AU" w:eastAsia="en-US"/>
        </w:rPr>
        <w:br w:type="page"/>
      </w:r>
    </w:p>
    <w:p w14:paraId="1B83D47E" w14:textId="182EC38F" w:rsidR="00F2518A" w:rsidRPr="007C747A" w:rsidRDefault="003412DE" w:rsidP="007E4E69">
      <w:pPr>
        <w:pStyle w:val="SubHeading"/>
        <w:numPr>
          <w:ilvl w:val="0"/>
          <w:numId w:val="0"/>
        </w:numPr>
        <w:outlineLvl w:val="3"/>
      </w:pPr>
      <w:bookmarkStart w:id="389" w:name="_Toc447030547"/>
      <w:bookmarkStart w:id="390" w:name="_Toc447030699"/>
      <w:bookmarkStart w:id="391" w:name="_Toc447030792"/>
      <w:bookmarkStart w:id="392" w:name="_Toc65742855"/>
      <w:bookmarkStart w:id="393" w:name="_Toc145583281"/>
      <w:bookmarkStart w:id="394" w:name="_Toc145949761"/>
      <w:bookmarkStart w:id="395" w:name="_Toc146022843"/>
      <w:bookmarkStart w:id="396" w:name="_Toc146191224"/>
      <w:bookmarkStart w:id="397" w:name="_Toc146195324"/>
      <w:bookmarkStart w:id="398" w:name="_Toc146200293"/>
      <w:bookmarkStart w:id="399" w:name="_Toc146203448"/>
      <w:bookmarkStart w:id="400" w:name="_Toc146538805"/>
      <w:bookmarkStart w:id="401" w:name="_Toc146545542"/>
      <w:bookmarkStart w:id="402" w:name="_Toc147769240"/>
      <w:bookmarkStart w:id="403" w:name="_Toc147834887"/>
      <w:bookmarkStart w:id="404" w:name="_Toc147992028"/>
      <w:bookmarkStart w:id="405" w:name="_Toc148020789"/>
      <w:bookmarkStart w:id="406" w:name="_Toc148108408"/>
      <w:r w:rsidRPr="007C747A">
        <w:t>3.1</w:t>
      </w:r>
      <w:r w:rsidR="004A1858" w:rsidRPr="007C747A">
        <w:tab/>
      </w:r>
      <w:r w:rsidR="00F2518A" w:rsidRPr="007C747A">
        <w:t>Key Management Personnel Remuneration</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14:paraId="2B7BB19A" w14:textId="77777777" w:rsidR="00F2518A" w:rsidRPr="007C747A" w:rsidRDefault="00F2518A" w:rsidP="00F2518A">
      <w:pPr>
        <w:autoSpaceDE w:val="0"/>
        <w:autoSpaceDN w:val="0"/>
        <w:adjustRightInd w:val="0"/>
        <w:spacing w:after="0" w:line="240" w:lineRule="auto"/>
        <w:rPr>
          <w:rFonts w:ascii="Cambria" w:eastAsia="Times New Roman" w:hAnsi="Cambria" w:cs="Cambria"/>
          <w:sz w:val="18"/>
          <w:szCs w:val="18"/>
          <w:lang w:val="en-AU" w:eastAsia="en-AU"/>
        </w:rPr>
      </w:pPr>
    </w:p>
    <w:p w14:paraId="435933E4" w14:textId="77777777" w:rsidR="00F2518A" w:rsidRPr="007C747A" w:rsidRDefault="00F2518A" w:rsidP="00F2518A">
      <w:pPr>
        <w:autoSpaceDE w:val="0"/>
        <w:autoSpaceDN w:val="0"/>
        <w:adjustRightInd w:val="0"/>
        <w:spacing w:after="0" w:line="240" w:lineRule="auto"/>
        <w:rPr>
          <w:rFonts w:eastAsia="Times New Roman"/>
          <w:sz w:val="18"/>
          <w:szCs w:val="20"/>
          <w:lang w:val="en-AU" w:eastAsia="en-US"/>
        </w:rPr>
      </w:pPr>
      <w:r w:rsidRPr="007C747A">
        <w:rPr>
          <w:rFonts w:eastAsia="Times New Roman" w:cs="Arial"/>
          <w:sz w:val="18"/>
          <w:szCs w:val="18"/>
          <w:lang w:val="en-AU" w:eastAsia="en-US"/>
        </w:rPr>
        <w:t xml:space="preserve">Key Management Personnel (KMP) are those persons having authority and responsibility for planning, directing, and controlling the activities of the Agency, directly or indirectly. The Agency has determined the Key Management Personnel to be Board members, the Chief Executive, and other members of the Strategic Leadership Team. </w:t>
      </w:r>
      <w:r w:rsidRPr="007C747A">
        <w:rPr>
          <w:rFonts w:eastAsia="Times New Roman"/>
          <w:sz w:val="18"/>
          <w:szCs w:val="20"/>
          <w:lang w:val="en-AU" w:eastAsia="en-US"/>
        </w:rPr>
        <w:t>Despite the formal definition of Key Management Personnel, Board members are independent of management.</w:t>
      </w:r>
    </w:p>
    <w:p w14:paraId="50288E97" w14:textId="77777777" w:rsidR="00F2518A" w:rsidRPr="007C747A" w:rsidRDefault="00F2518A" w:rsidP="00F2518A">
      <w:pPr>
        <w:autoSpaceDE w:val="0"/>
        <w:autoSpaceDN w:val="0"/>
        <w:adjustRightInd w:val="0"/>
        <w:spacing w:after="0" w:line="240" w:lineRule="auto"/>
        <w:rPr>
          <w:rFonts w:eastAsia="Times New Roman"/>
          <w:sz w:val="18"/>
          <w:szCs w:val="20"/>
          <w:lang w:val="en-AU" w:eastAsia="en-US"/>
        </w:rPr>
      </w:pPr>
    </w:p>
    <w:p w14:paraId="3EF30BC0" w14:textId="77777777" w:rsidR="00F2518A" w:rsidRPr="007C747A" w:rsidRDefault="00F2518A" w:rsidP="00F2518A">
      <w:pPr>
        <w:autoSpaceDE w:val="0"/>
        <w:autoSpaceDN w:val="0"/>
        <w:adjustRightInd w:val="0"/>
        <w:spacing w:after="0" w:line="240" w:lineRule="auto"/>
        <w:rPr>
          <w:rFonts w:eastAsia="Times New Roman" w:cs="Arial"/>
          <w:sz w:val="18"/>
          <w:szCs w:val="18"/>
          <w:lang w:val="en-AU" w:eastAsia="en-US"/>
        </w:rPr>
      </w:pPr>
      <w:r w:rsidRPr="007C747A">
        <w:rPr>
          <w:rFonts w:eastAsia="Times New Roman" w:cs="Arial"/>
          <w:sz w:val="18"/>
          <w:szCs w:val="18"/>
          <w:lang w:val="en-AU" w:eastAsia="en-US"/>
        </w:rPr>
        <w:t xml:space="preserve">Key Management Personnel remuneration is reported in the table below: </w:t>
      </w:r>
    </w:p>
    <w:p w14:paraId="0D1696E0" w14:textId="77777777" w:rsidR="00F2518A" w:rsidRPr="007C747A" w:rsidRDefault="00F2518A" w:rsidP="00F2518A">
      <w:pPr>
        <w:autoSpaceDE w:val="0"/>
        <w:autoSpaceDN w:val="0"/>
        <w:adjustRightInd w:val="0"/>
        <w:spacing w:after="0" w:line="240" w:lineRule="auto"/>
        <w:rPr>
          <w:rFonts w:eastAsia="Times New Roman" w:cs="Arial"/>
          <w:sz w:val="18"/>
          <w:szCs w:val="18"/>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0872DC24" w14:textId="77777777">
        <w:trPr>
          <w:trHeight w:val="260"/>
        </w:trPr>
        <w:tc>
          <w:tcPr>
            <w:tcW w:w="6357" w:type="dxa"/>
            <w:tcBorders>
              <w:top w:val="nil"/>
              <w:left w:val="nil"/>
              <w:bottom w:val="nil"/>
              <w:right w:val="nil"/>
            </w:tcBorders>
            <w:shd w:val="clear" w:color="FFFFFF" w:fill="FFFFFF"/>
            <w:noWrap/>
            <w:vAlign w:val="bottom"/>
            <w:hideMark/>
          </w:tcPr>
          <w:p w14:paraId="06FCE51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vAlign w:val="bottom"/>
            <w:hideMark/>
          </w:tcPr>
          <w:p w14:paraId="2EED35B7" w14:textId="61952FBC" w:rsidR="00F2518A" w:rsidRPr="007C747A" w:rsidRDefault="00E41EEB"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nil"/>
              <w:right w:val="nil"/>
            </w:tcBorders>
            <w:shd w:val="clear" w:color="FFFFFF" w:fill="FFFFFF"/>
            <w:noWrap/>
            <w:vAlign w:val="bottom"/>
            <w:hideMark/>
          </w:tcPr>
          <w:p w14:paraId="5D32743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vAlign w:val="bottom"/>
            <w:hideMark/>
          </w:tcPr>
          <w:p w14:paraId="73A12770" w14:textId="1B2B70E6" w:rsidR="00F2518A" w:rsidRPr="007C747A" w:rsidRDefault="00E41EEB"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r>
      <w:tr w:rsidR="00F2518A" w:rsidRPr="007C747A" w14:paraId="2A7C047B" w14:textId="77777777">
        <w:trPr>
          <w:trHeight w:val="280"/>
        </w:trPr>
        <w:tc>
          <w:tcPr>
            <w:tcW w:w="6357" w:type="dxa"/>
            <w:tcBorders>
              <w:top w:val="nil"/>
              <w:left w:val="nil"/>
              <w:bottom w:val="nil"/>
              <w:right w:val="nil"/>
            </w:tcBorders>
            <w:shd w:val="clear" w:color="FFFFFF" w:fill="FFFFFF"/>
            <w:noWrap/>
            <w:vAlign w:val="bottom"/>
            <w:hideMark/>
          </w:tcPr>
          <w:p w14:paraId="39740CA6"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3.1: Key Management Personnel Remuneration</w:t>
            </w:r>
            <w:r w:rsidRPr="007C747A">
              <w:rPr>
                <w:rFonts w:eastAsia="Times New Roman" w:cs="Arial"/>
                <w:b/>
                <w:bCs/>
                <w:sz w:val="18"/>
                <w:szCs w:val="18"/>
                <w:u w:val="single"/>
                <w:vertAlign w:val="superscript"/>
                <w:lang w:val="en-AU" w:eastAsia="en-US"/>
              </w:rPr>
              <w:t>1</w:t>
            </w:r>
          </w:p>
        </w:tc>
        <w:tc>
          <w:tcPr>
            <w:tcW w:w="1251" w:type="dxa"/>
            <w:tcBorders>
              <w:top w:val="nil"/>
              <w:left w:val="nil"/>
              <w:bottom w:val="nil"/>
              <w:right w:val="nil"/>
            </w:tcBorders>
            <w:shd w:val="clear" w:color="FFFFFF" w:fill="FFFFFF"/>
            <w:vAlign w:val="bottom"/>
            <w:hideMark/>
          </w:tcPr>
          <w:p w14:paraId="3415FF4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AEFA28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vAlign w:val="bottom"/>
            <w:hideMark/>
          </w:tcPr>
          <w:p w14:paraId="663C1845"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8166B1E" w14:textId="77777777">
        <w:trPr>
          <w:trHeight w:val="270"/>
        </w:trPr>
        <w:tc>
          <w:tcPr>
            <w:tcW w:w="6357" w:type="dxa"/>
            <w:tcBorders>
              <w:top w:val="nil"/>
              <w:left w:val="nil"/>
              <w:bottom w:val="nil"/>
              <w:right w:val="nil"/>
            </w:tcBorders>
            <w:shd w:val="clear" w:color="FFFFFF" w:fill="FFFFFF"/>
            <w:noWrap/>
            <w:vAlign w:val="bottom"/>
            <w:hideMark/>
          </w:tcPr>
          <w:p w14:paraId="72C4AE5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Short-term employee benefits</w:t>
            </w:r>
            <w:r w:rsidRPr="007C747A">
              <w:rPr>
                <w:rFonts w:eastAsia="Times New Roman" w:cs="Arial"/>
                <w:sz w:val="18"/>
                <w:szCs w:val="18"/>
                <w:vertAlign w:val="superscript"/>
                <w:lang w:val="en-AU" w:eastAsia="en-US"/>
              </w:rPr>
              <w:t>2, 3</w:t>
            </w:r>
          </w:p>
        </w:tc>
        <w:tc>
          <w:tcPr>
            <w:tcW w:w="1251" w:type="dxa"/>
            <w:tcBorders>
              <w:top w:val="nil"/>
              <w:left w:val="nil"/>
              <w:bottom w:val="nil"/>
              <w:right w:val="nil"/>
            </w:tcBorders>
            <w:shd w:val="clear" w:color="FFFFFF" w:fill="FFFFFF"/>
            <w:noWrap/>
            <w:vAlign w:val="bottom"/>
            <w:hideMark/>
          </w:tcPr>
          <w:p w14:paraId="7E61EAC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5,365</w:t>
            </w:r>
          </w:p>
        </w:tc>
        <w:tc>
          <w:tcPr>
            <w:tcW w:w="236" w:type="dxa"/>
            <w:tcBorders>
              <w:top w:val="nil"/>
              <w:left w:val="nil"/>
              <w:bottom w:val="nil"/>
              <w:right w:val="nil"/>
            </w:tcBorders>
            <w:shd w:val="clear" w:color="FFFFFF" w:fill="FFFFFF"/>
            <w:noWrap/>
            <w:vAlign w:val="bottom"/>
            <w:hideMark/>
          </w:tcPr>
          <w:p w14:paraId="0D7952D4" w14:textId="77777777" w:rsidR="00F2518A" w:rsidRPr="007C747A" w:rsidRDefault="00F2518A" w:rsidP="00F2518A">
            <w:pPr>
              <w:spacing w:after="0" w:line="260" w:lineRule="atLeast"/>
              <w:rPr>
                <w:rFonts w:eastAsia="Times New Roman" w:cs="Arial"/>
                <w:b/>
                <w:bCs/>
                <w:color w:val="00B050"/>
                <w:sz w:val="18"/>
                <w:szCs w:val="18"/>
                <w:lang w:val="en-AU" w:eastAsia="en-US"/>
              </w:rPr>
            </w:pPr>
            <w:r w:rsidRPr="007C747A">
              <w:rPr>
                <w:rFonts w:eastAsia="Times New Roman" w:cs="Arial"/>
                <w:b/>
                <w:bCs/>
                <w:color w:val="00B050"/>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26B43D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4,935</w:t>
            </w:r>
          </w:p>
        </w:tc>
      </w:tr>
      <w:tr w:rsidR="00F2518A" w:rsidRPr="007C747A" w14:paraId="1DC29795" w14:textId="77777777">
        <w:trPr>
          <w:trHeight w:val="250"/>
        </w:trPr>
        <w:tc>
          <w:tcPr>
            <w:tcW w:w="6357" w:type="dxa"/>
            <w:tcBorders>
              <w:top w:val="nil"/>
              <w:left w:val="nil"/>
              <w:bottom w:val="nil"/>
              <w:right w:val="nil"/>
            </w:tcBorders>
            <w:shd w:val="clear" w:color="FFFFFF" w:fill="FFFFFF"/>
            <w:noWrap/>
            <w:vAlign w:val="bottom"/>
            <w:hideMark/>
          </w:tcPr>
          <w:p w14:paraId="3F1839D7"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Post-employment benefits</w:t>
            </w:r>
          </w:p>
        </w:tc>
        <w:tc>
          <w:tcPr>
            <w:tcW w:w="1251" w:type="dxa"/>
            <w:tcBorders>
              <w:top w:val="nil"/>
              <w:left w:val="nil"/>
              <w:bottom w:val="nil"/>
              <w:right w:val="nil"/>
            </w:tcBorders>
            <w:shd w:val="clear" w:color="FFFFFF" w:fill="FFFFFF"/>
            <w:noWrap/>
            <w:vAlign w:val="bottom"/>
            <w:hideMark/>
          </w:tcPr>
          <w:p w14:paraId="1F6FB2B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568</w:t>
            </w:r>
          </w:p>
        </w:tc>
        <w:tc>
          <w:tcPr>
            <w:tcW w:w="236" w:type="dxa"/>
            <w:tcBorders>
              <w:top w:val="nil"/>
              <w:left w:val="nil"/>
              <w:bottom w:val="nil"/>
              <w:right w:val="nil"/>
            </w:tcBorders>
            <w:shd w:val="clear" w:color="FFFFFF" w:fill="FFFFFF"/>
            <w:noWrap/>
            <w:vAlign w:val="bottom"/>
            <w:hideMark/>
          </w:tcPr>
          <w:p w14:paraId="1B27E68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4C2BC6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395</w:t>
            </w:r>
          </w:p>
        </w:tc>
      </w:tr>
      <w:tr w:rsidR="00F2518A" w:rsidRPr="007C747A" w14:paraId="495AB55B" w14:textId="77777777">
        <w:trPr>
          <w:trHeight w:val="250"/>
        </w:trPr>
        <w:tc>
          <w:tcPr>
            <w:tcW w:w="6357" w:type="dxa"/>
            <w:tcBorders>
              <w:top w:val="nil"/>
              <w:left w:val="nil"/>
              <w:bottom w:val="nil"/>
              <w:right w:val="nil"/>
            </w:tcBorders>
            <w:shd w:val="clear" w:color="FFFFFF" w:fill="FFFFFF"/>
            <w:noWrap/>
            <w:vAlign w:val="bottom"/>
            <w:hideMark/>
          </w:tcPr>
          <w:p w14:paraId="4D3DF2A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long-term employee benefits</w:t>
            </w:r>
          </w:p>
        </w:tc>
        <w:tc>
          <w:tcPr>
            <w:tcW w:w="1251" w:type="dxa"/>
            <w:tcBorders>
              <w:top w:val="nil"/>
              <w:left w:val="nil"/>
              <w:bottom w:val="nil"/>
              <w:right w:val="nil"/>
            </w:tcBorders>
            <w:shd w:val="clear" w:color="FFFFFF" w:fill="FFFFFF"/>
            <w:noWrap/>
            <w:vAlign w:val="bottom"/>
            <w:hideMark/>
          </w:tcPr>
          <w:p w14:paraId="5C924A4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81</w:t>
            </w:r>
          </w:p>
        </w:tc>
        <w:tc>
          <w:tcPr>
            <w:tcW w:w="236" w:type="dxa"/>
            <w:tcBorders>
              <w:top w:val="nil"/>
              <w:left w:val="nil"/>
              <w:bottom w:val="nil"/>
              <w:right w:val="nil"/>
            </w:tcBorders>
            <w:shd w:val="clear" w:color="FFFFFF" w:fill="FFFFFF"/>
            <w:noWrap/>
            <w:vAlign w:val="bottom"/>
            <w:hideMark/>
          </w:tcPr>
          <w:p w14:paraId="73396C2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CF7CC0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71</w:t>
            </w:r>
          </w:p>
        </w:tc>
      </w:tr>
      <w:tr w:rsidR="00F2518A" w:rsidRPr="007C747A" w14:paraId="68F82D26" w14:textId="77777777">
        <w:trPr>
          <w:trHeight w:val="250"/>
        </w:trPr>
        <w:tc>
          <w:tcPr>
            <w:tcW w:w="6357" w:type="dxa"/>
            <w:tcBorders>
              <w:top w:val="nil"/>
              <w:left w:val="nil"/>
              <w:bottom w:val="nil"/>
              <w:right w:val="nil"/>
            </w:tcBorders>
            <w:shd w:val="clear" w:color="FFFFFF" w:fill="FFFFFF"/>
            <w:noWrap/>
            <w:vAlign w:val="bottom"/>
            <w:hideMark/>
          </w:tcPr>
          <w:p w14:paraId="37EC404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Termination benefits</w:t>
            </w:r>
          </w:p>
        </w:tc>
        <w:tc>
          <w:tcPr>
            <w:tcW w:w="1251" w:type="dxa"/>
            <w:tcBorders>
              <w:top w:val="nil"/>
              <w:left w:val="nil"/>
              <w:bottom w:val="nil"/>
              <w:right w:val="nil"/>
            </w:tcBorders>
            <w:shd w:val="clear" w:color="FFFFFF" w:fill="FFFFFF"/>
            <w:noWrap/>
            <w:vAlign w:val="bottom"/>
            <w:hideMark/>
          </w:tcPr>
          <w:p w14:paraId="7D6B6E1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237</w:t>
            </w:r>
          </w:p>
        </w:tc>
        <w:tc>
          <w:tcPr>
            <w:tcW w:w="236" w:type="dxa"/>
            <w:tcBorders>
              <w:top w:val="nil"/>
              <w:left w:val="nil"/>
              <w:bottom w:val="nil"/>
              <w:right w:val="nil"/>
            </w:tcBorders>
            <w:shd w:val="clear" w:color="FFFFFF" w:fill="FFFFFF"/>
            <w:noWrap/>
            <w:vAlign w:val="bottom"/>
            <w:hideMark/>
          </w:tcPr>
          <w:p w14:paraId="1D6B30F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44227A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w:t>
            </w:r>
          </w:p>
        </w:tc>
      </w:tr>
      <w:tr w:rsidR="00F2518A" w:rsidRPr="007C747A" w14:paraId="03296D5A" w14:textId="77777777">
        <w:trPr>
          <w:trHeight w:val="280"/>
        </w:trPr>
        <w:tc>
          <w:tcPr>
            <w:tcW w:w="6357" w:type="dxa"/>
            <w:tcBorders>
              <w:top w:val="nil"/>
              <w:left w:val="nil"/>
              <w:bottom w:val="nil"/>
              <w:right w:val="nil"/>
            </w:tcBorders>
            <w:shd w:val="clear" w:color="FFFFFF" w:fill="FFFFFF"/>
            <w:vAlign w:val="bottom"/>
            <w:hideMark/>
          </w:tcPr>
          <w:p w14:paraId="13E8F1D6"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Key Management Personnel remuneration expenses</w:t>
            </w:r>
            <w:r w:rsidRPr="007C747A">
              <w:rPr>
                <w:rFonts w:eastAsia="Times New Roman" w:cs="Arial"/>
                <w:b/>
                <w:bCs/>
                <w:sz w:val="18"/>
                <w:szCs w:val="18"/>
                <w:vertAlign w:val="superscript"/>
                <w:lang w:val="en-AU" w:eastAsia="en-US"/>
              </w:rPr>
              <w:t>4</w:t>
            </w:r>
          </w:p>
        </w:tc>
        <w:tc>
          <w:tcPr>
            <w:tcW w:w="1251" w:type="dxa"/>
            <w:tcBorders>
              <w:top w:val="single" w:sz="4" w:space="0" w:color="auto"/>
              <w:left w:val="nil"/>
              <w:bottom w:val="single" w:sz="4" w:space="0" w:color="auto"/>
              <w:right w:val="nil"/>
            </w:tcBorders>
            <w:shd w:val="clear" w:color="FFFFFF" w:fill="FFFFFF"/>
            <w:noWrap/>
            <w:vAlign w:val="bottom"/>
            <w:hideMark/>
          </w:tcPr>
          <w:p w14:paraId="6A9248D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6,251</w:t>
            </w:r>
          </w:p>
        </w:tc>
        <w:tc>
          <w:tcPr>
            <w:tcW w:w="236" w:type="dxa"/>
            <w:tcBorders>
              <w:top w:val="nil"/>
              <w:left w:val="nil"/>
              <w:bottom w:val="nil"/>
              <w:right w:val="nil"/>
            </w:tcBorders>
            <w:shd w:val="clear" w:color="FFFFFF" w:fill="FFFFFF"/>
            <w:noWrap/>
            <w:vAlign w:val="bottom"/>
            <w:hideMark/>
          </w:tcPr>
          <w:p w14:paraId="0901B02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0D0BE8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5,401</w:t>
            </w:r>
          </w:p>
        </w:tc>
      </w:tr>
    </w:tbl>
    <w:p w14:paraId="6754CD4A" w14:textId="77777777" w:rsidR="00F2518A" w:rsidRPr="007C747A" w:rsidRDefault="00F2518A" w:rsidP="00F2518A">
      <w:pPr>
        <w:spacing w:after="0" w:line="260" w:lineRule="atLeast"/>
        <w:rPr>
          <w:rFonts w:eastAsia="Times New Roman" w:cs="Arial"/>
          <w:sz w:val="18"/>
          <w:szCs w:val="18"/>
          <w:lang w:val="en-AU" w:eastAsia="en-US"/>
        </w:rPr>
      </w:pPr>
    </w:p>
    <w:p w14:paraId="3B54878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The total number of Key Management Personnel that are included in the above table is 33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22).</w:t>
      </w:r>
    </w:p>
    <w:p w14:paraId="34E0D369" w14:textId="77777777" w:rsidR="00F2518A" w:rsidRPr="007C747A" w:rsidRDefault="00F2518A" w:rsidP="00F2518A">
      <w:pPr>
        <w:spacing w:after="0" w:line="260" w:lineRule="atLeast"/>
        <w:rPr>
          <w:rFonts w:eastAsia="Times New Roman" w:cs="Arial"/>
          <w:sz w:val="18"/>
          <w:szCs w:val="18"/>
          <w:lang w:val="en-AU" w:eastAsia="en-US"/>
        </w:rPr>
      </w:pPr>
    </w:p>
    <w:p w14:paraId="301B3CE9" w14:textId="77777777" w:rsidR="00F2518A" w:rsidRPr="007C747A" w:rsidRDefault="00F2518A" w:rsidP="00F2518A">
      <w:pPr>
        <w:spacing w:after="0" w:line="260" w:lineRule="atLeast"/>
        <w:rPr>
          <w:rFonts w:eastAsia="Times New Roman" w:cs="Arial"/>
          <w:sz w:val="16"/>
          <w:szCs w:val="18"/>
          <w:lang w:val="en-AU" w:eastAsia="en-US"/>
        </w:rPr>
      </w:pPr>
      <w:bookmarkStart w:id="407" w:name="_Toc427244156"/>
      <w:r w:rsidRPr="007C747A">
        <w:rPr>
          <w:rFonts w:eastAsia="Times New Roman" w:cs="Arial"/>
          <w:sz w:val="16"/>
          <w:szCs w:val="18"/>
          <w:vertAlign w:val="superscript"/>
          <w:lang w:val="en-AU" w:eastAsia="en-US"/>
        </w:rPr>
        <w:t xml:space="preserve">1 </w:t>
      </w:r>
      <w:r w:rsidRPr="007C747A">
        <w:rPr>
          <w:rFonts w:eastAsia="Times New Roman" w:cs="Arial"/>
          <w:sz w:val="16"/>
          <w:szCs w:val="18"/>
          <w:lang w:val="en-AU" w:eastAsia="en-US"/>
        </w:rPr>
        <w:t xml:space="preserve">All remuneration in the table above and reported in Appendix 5.6 of the annual report is calculated on an accrual basis. </w:t>
      </w:r>
    </w:p>
    <w:p w14:paraId="1FFC815A" w14:textId="77777777" w:rsidR="00F2518A" w:rsidRPr="007C747A" w:rsidRDefault="00F2518A" w:rsidP="00F2518A">
      <w:pPr>
        <w:spacing w:after="0" w:line="260" w:lineRule="atLeast"/>
        <w:rPr>
          <w:rFonts w:eastAsia="Times New Roman" w:cs="Arial"/>
          <w:sz w:val="16"/>
          <w:szCs w:val="18"/>
          <w:lang w:val="en-AU" w:eastAsia="en-US"/>
        </w:rPr>
      </w:pPr>
      <w:r w:rsidRPr="007C747A">
        <w:rPr>
          <w:rFonts w:eastAsia="Times New Roman" w:cs="Arial"/>
          <w:sz w:val="16"/>
          <w:szCs w:val="18"/>
          <w:vertAlign w:val="superscript"/>
          <w:lang w:val="en-AU" w:eastAsia="en-US"/>
        </w:rPr>
        <w:t xml:space="preserve">2 </w:t>
      </w:r>
      <w:r w:rsidRPr="007C747A">
        <w:rPr>
          <w:rFonts w:eastAsia="Times New Roman" w:cs="Arial"/>
          <w:sz w:val="16"/>
          <w:szCs w:val="18"/>
          <w:lang w:val="en-AU" w:eastAsia="en-US"/>
        </w:rPr>
        <w:t>Employee benefits include salary and vehicle allowances.</w:t>
      </w:r>
      <w:bookmarkEnd w:id="407"/>
    </w:p>
    <w:p w14:paraId="34FB10D8" w14:textId="77777777" w:rsidR="00F2518A" w:rsidRPr="007C747A" w:rsidRDefault="00F2518A" w:rsidP="00F2518A">
      <w:pPr>
        <w:spacing w:after="0" w:line="260" w:lineRule="atLeast"/>
        <w:rPr>
          <w:rFonts w:eastAsia="Times New Roman" w:cs="Arial"/>
          <w:sz w:val="16"/>
          <w:szCs w:val="18"/>
          <w:lang w:val="en-AU" w:eastAsia="en-US"/>
        </w:rPr>
      </w:pPr>
      <w:r w:rsidRPr="007C747A">
        <w:rPr>
          <w:rFonts w:eastAsia="Times New Roman" w:cs="Arial"/>
          <w:sz w:val="16"/>
          <w:szCs w:val="18"/>
          <w:vertAlign w:val="superscript"/>
          <w:lang w:val="en-AU" w:eastAsia="en-US"/>
        </w:rPr>
        <w:t>3</w:t>
      </w:r>
      <w:r w:rsidRPr="007C747A">
        <w:rPr>
          <w:rFonts w:eastAsia="Times New Roman" w:cs="Arial"/>
          <w:sz w:val="16"/>
          <w:szCs w:val="18"/>
          <w:lang w:val="en-AU" w:eastAsia="en-US"/>
        </w:rPr>
        <w:t xml:space="preserve"> Where the Agency engages Key Management Personnel through direct contract arrangements the total contract costs for those individuals are reflected as short-term employee benefits.</w:t>
      </w:r>
    </w:p>
    <w:p w14:paraId="1EC1FC52" w14:textId="77777777" w:rsidR="00F2518A" w:rsidRPr="007C747A" w:rsidRDefault="00F2518A" w:rsidP="00F2518A">
      <w:pPr>
        <w:spacing w:after="0" w:line="260" w:lineRule="atLeast"/>
        <w:rPr>
          <w:rFonts w:eastAsia="Times New Roman" w:cs="Arial"/>
          <w:sz w:val="16"/>
          <w:szCs w:val="18"/>
          <w:lang w:val="en-AU" w:eastAsia="en-US"/>
        </w:rPr>
      </w:pPr>
      <w:r w:rsidRPr="007C747A">
        <w:rPr>
          <w:rFonts w:eastAsia="Times New Roman" w:cs="Arial"/>
          <w:sz w:val="16"/>
          <w:szCs w:val="18"/>
          <w:vertAlign w:val="superscript"/>
          <w:lang w:val="en-AU" w:eastAsia="en-US"/>
        </w:rPr>
        <w:t xml:space="preserve">4 </w:t>
      </w:r>
      <w:r w:rsidRPr="007C747A">
        <w:rPr>
          <w:rFonts w:eastAsia="Times New Roman" w:cs="Arial"/>
          <w:sz w:val="16"/>
          <w:szCs w:val="18"/>
          <w:lang w:val="en-AU" w:eastAsia="en-US"/>
        </w:rPr>
        <w:t xml:space="preserve">The above Key Management Personnel remuneration excludes the remuneration and other benefits of the Minister and Portfolio Minister. The Minister’s and Portfolio Minister’s remuneration and other benefits are set by the Remuneration Tribunal and are not paid by the Agency. These expenses are reported in the Department of Finance’s administered schedules and notes. </w:t>
      </w:r>
    </w:p>
    <w:p w14:paraId="12F9A511" w14:textId="77777777" w:rsidR="00F2518A" w:rsidRPr="007C747A" w:rsidRDefault="00F2518A" w:rsidP="00F2518A">
      <w:pPr>
        <w:spacing w:after="0" w:line="260" w:lineRule="atLeast"/>
        <w:rPr>
          <w:rFonts w:eastAsia="Times New Roman" w:cs="Arial"/>
          <w:sz w:val="18"/>
          <w:szCs w:val="18"/>
          <w:lang w:val="en-AU" w:eastAsia="en-US"/>
        </w:rPr>
      </w:pPr>
    </w:p>
    <w:p w14:paraId="0E3E3766" w14:textId="77777777" w:rsidR="00F2518A" w:rsidRPr="007C747A" w:rsidRDefault="00F2518A" w:rsidP="007E4E69">
      <w:pPr>
        <w:pStyle w:val="SubHeading"/>
        <w:ind w:left="357" w:hanging="357"/>
        <w:outlineLvl w:val="3"/>
      </w:pPr>
      <w:bookmarkStart w:id="408" w:name="_Toc65742856"/>
      <w:bookmarkStart w:id="409" w:name="_Toc145583282"/>
      <w:bookmarkStart w:id="410" w:name="_Toc145949762"/>
      <w:bookmarkStart w:id="411" w:name="_Toc146022844"/>
      <w:bookmarkStart w:id="412" w:name="_Toc146191225"/>
      <w:bookmarkStart w:id="413" w:name="_Toc146195325"/>
      <w:bookmarkStart w:id="414" w:name="_Toc146200294"/>
      <w:bookmarkStart w:id="415" w:name="_Toc146203449"/>
      <w:bookmarkStart w:id="416" w:name="_Toc146538806"/>
      <w:bookmarkStart w:id="417" w:name="_Toc146545543"/>
      <w:bookmarkStart w:id="418" w:name="_Toc147769241"/>
      <w:bookmarkStart w:id="419" w:name="_Toc147834888"/>
      <w:bookmarkStart w:id="420" w:name="_Toc147992029"/>
      <w:bookmarkStart w:id="421" w:name="_Toc148020790"/>
      <w:bookmarkStart w:id="422" w:name="_Toc148108409"/>
      <w:r w:rsidRPr="007C747A">
        <w:t>Related Party Disclosures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03DFFCB4" w14:textId="77777777" w:rsidR="00F2518A" w:rsidRPr="007C747A" w:rsidRDefault="00F2518A" w:rsidP="00F2518A">
      <w:pPr>
        <w:spacing w:after="0" w:line="40" w:lineRule="atLeast"/>
        <w:rPr>
          <w:rFonts w:eastAsia="Times New Roman"/>
          <w:b/>
          <w:sz w:val="18"/>
          <w:szCs w:val="20"/>
          <w:lang w:val="en-AU" w:eastAsia="en-US"/>
        </w:rPr>
      </w:pPr>
    </w:p>
    <w:p w14:paraId="42EE4528" w14:textId="77777777" w:rsidR="00F2518A" w:rsidRPr="007C747A" w:rsidRDefault="00F2518A" w:rsidP="00F2518A">
      <w:pPr>
        <w:spacing w:after="0" w:line="40" w:lineRule="atLeast"/>
        <w:rPr>
          <w:rFonts w:eastAsia="Times New Roman"/>
          <w:b/>
          <w:sz w:val="18"/>
          <w:szCs w:val="20"/>
          <w:lang w:val="en-AU" w:eastAsia="en-US"/>
        </w:rPr>
      </w:pPr>
      <w:r w:rsidRPr="007C747A">
        <w:rPr>
          <w:rFonts w:eastAsia="Times New Roman"/>
          <w:b/>
          <w:sz w:val="18"/>
          <w:szCs w:val="20"/>
          <w:lang w:val="en-AU" w:eastAsia="en-US"/>
        </w:rPr>
        <w:t>Related party relationships:</w:t>
      </w:r>
    </w:p>
    <w:p w14:paraId="49DFD91C" w14:textId="77777777" w:rsidR="00F2518A" w:rsidRPr="007C747A" w:rsidRDefault="00F2518A" w:rsidP="00F2518A">
      <w:pPr>
        <w:spacing w:after="0" w:line="40" w:lineRule="atLeast"/>
        <w:rPr>
          <w:rFonts w:eastAsia="Times New Roman"/>
          <w:sz w:val="18"/>
          <w:szCs w:val="20"/>
          <w:lang w:val="en-AU" w:eastAsia="en-US"/>
        </w:rPr>
      </w:pPr>
    </w:p>
    <w:p w14:paraId="2B98EF40" w14:textId="77777777" w:rsidR="00F2518A" w:rsidRPr="007C747A" w:rsidRDefault="00F2518A" w:rsidP="00F2518A">
      <w:pPr>
        <w:spacing w:after="0" w:line="40" w:lineRule="atLeast"/>
        <w:rPr>
          <w:rFonts w:eastAsia="Times New Roman" w:cs="Arial"/>
          <w:sz w:val="18"/>
          <w:szCs w:val="18"/>
          <w:lang w:val="en-AU" w:eastAsia="en-US"/>
        </w:rPr>
      </w:pPr>
      <w:r w:rsidRPr="007C747A">
        <w:rPr>
          <w:rFonts w:eastAsia="Times New Roman" w:cs="Arial"/>
          <w:sz w:val="18"/>
          <w:szCs w:val="18"/>
          <w:lang w:val="en-AU" w:eastAsia="en-US"/>
        </w:rPr>
        <w:t>The Agency is an Australian Government controlled entity, which is governed by an independent Board. For reporting purposes, the Agency’s related parties are the DSS, Services Australia and Key Management Personnel. The definition of Key Management Personnel is included in Note 3.1.</w:t>
      </w:r>
    </w:p>
    <w:p w14:paraId="251F2931" w14:textId="77777777" w:rsidR="00F2518A" w:rsidRPr="007C747A" w:rsidRDefault="00F2518A" w:rsidP="00F2518A">
      <w:pPr>
        <w:spacing w:after="0" w:line="40" w:lineRule="atLeast"/>
        <w:rPr>
          <w:rFonts w:eastAsia="Times New Roman" w:cs="Arial"/>
          <w:sz w:val="18"/>
          <w:szCs w:val="18"/>
          <w:lang w:val="en-AU" w:eastAsia="en-US"/>
        </w:rPr>
      </w:pPr>
    </w:p>
    <w:p w14:paraId="377C0675" w14:textId="77777777" w:rsidR="00F2518A" w:rsidRPr="007C747A" w:rsidRDefault="00F2518A" w:rsidP="00F2518A">
      <w:pPr>
        <w:spacing w:after="0" w:line="40" w:lineRule="atLeast"/>
        <w:rPr>
          <w:rFonts w:eastAsia="Times New Roman" w:cs="Arial"/>
          <w:sz w:val="18"/>
          <w:szCs w:val="18"/>
          <w:lang w:val="en-AU" w:eastAsia="en-US"/>
        </w:rPr>
      </w:pPr>
      <w:r w:rsidRPr="007C747A">
        <w:rPr>
          <w:rFonts w:eastAsia="Times New Roman" w:cs="Arial"/>
          <w:sz w:val="18"/>
          <w:szCs w:val="18"/>
          <w:lang w:val="en-AU" w:eastAsia="en-US"/>
        </w:rPr>
        <w:t>There were no loans to any Key Management Personnel or other related parties during the period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Nil).</w:t>
      </w:r>
    </w:p>
    <w:p w14:paraId="2C107F30" w14:textId="77777777" w:rsidR="00F2518A" w:rsidRPr="007C747A" w:rsidRDefault="00F2518A" w:rsidP="00F2518A">
      <w:pPr>
        <w:spacing w:after="0" w:line="40" w:lineRule="atLeast"/>
        <w:rPr>
          <w:rFonts w:eastAsia="Times New Roman"/>
          <w:sz w:val="18"/>
          <w:szCs w:val="20"/>
          <w:lang w:val="en-AU" w:eastAsia="en-US"/>
        </w:rPr>
      </w:pPr>
    </w:p>
    <w:p w14:paraId="0FEC0F42" w14:textId="77777777" w:rsidR="00F2518A" w:rsidRPr="007C747A" w:rsidRDefault="00F2518A" w:rsidP="00F2518A">
      <w:pPr>
        <w:spacing w:after="0" w:line="40" w:lineRule="atLeast"/>
        <w:rPr>
          <w:rFonts w:eastAsia="Times New Roman"/>
          <w:b/>
          <w:sz w:val="18"/>
          <w:szCs w:val="20"/>
          <w:lang w:val="en-AU" w:eastAsia="en-US"/>
        </w:rPr>
      </w:pPr>
      <w:r w:rsidRPr="007C747A">
        <w:rPr>
          <w:rFonts w:eastAsia="Times New Roman"/>
          <w:b/>
          <w:sz w:val="18"/>
          <w:szCs w:val="20"/>
          <w:lang w:val="en-AU" w:eastAsia="en-US"/>
        </w:rPr>
        <w:t>Transactions with related parties:</w:t>
      </w:r>
    </w:p>
    <w:p w14:paraId="6E122101" w14:textId="77777777" w:rsidR="00F2518A" w:rsidRPr="007C747A" w:rsidRDefault="00F2518A" w:rsidP="00F2518A">
      <w:pPr>
        <w:spacing w:after="0" w:line="40" w:lineRule="atLeast"/>
        <w:rPr>
          <w:rFonts w:eastAsia="Times New Roman" w:cs="Arial"/>
          <w:sz w:val="18"/>
          <w:szCs w:val="18"/>
          <w:lang w:val="en-AU" w:eastAsia="en-US"/>
        </w:rPr>
      </w:pPr>
      <w:r w:rsidRPr="007C747A">
        <w:rPr>
          <w:rFonts w:eastAsia="Times New Roman" w:cs="Arial"/>
          <w:sz w:val="18"/>
          <w:szCs w:val="18"/>
          <w:lang w:val="en-AU" w:eastAsia="en-US"/>
        </w:rPr>
        <w:t>Given the scope of Government activities, related parties may transact with the government sector in the same capacity as ordinary citizens and/or may have family members that are participants in the Scheme. These transactions are conducted at arm’s length and have not been separately disclosed in this note. A number of Key Management Personnel fall into this category. Where the Agency has had interactions with DSS and Services Australia, the financial impact of such interactions has been disclosed in sections 1 and 2 of the financial statements.</w:t>
      </w:r>
    </w:p>
    <w:p w14:paraId="48890EE3" w14:textId="77777777" w:rsidR="00F2518A" w:rsidRPr="007C747A" w:rsidRDefault="00F2518A" w:rsidP="00F2518A">
      <w:pPr>
        <w:spacing w:after="0" w:line="40" w:lineRule="atLeast"/>
        <w:rPr>
          <w:rFonts w:eastAsia="Times New Roman" w:cs="Arial"/>
          <w:sz w:val="18"/>
          <w:szCs w:val="18"/>
          <w:lang w:val="en-AU" w:eastAsia="en-US"/>
        </w:rPr>
      </w:pPr>
    </w:p>
    <w:p w14:paraId="4D0CE71E" w14:textId="77777777" w:rsidR="00F2518A" w:rsidRPr="007C747A" w:rsidRDefault="00F2518A" w:rsidP="00F2518A">
      <w:pPr>
        <w:spacing w:after="0" w:line="40" w:lineRule="atLeast"/>
        <w:rPr>
          <w:rFonts w:eastAsia="Times New Roman"/>
          <w:i/>
          <w:sz w:val="18"/>
          <w:szCs w:val="20"/>
          <w:u w:val="single"/>
          <w:lang w:val="en-AU" w:eastAsia="en-US"/>
        </w:rPr>
      </w:pPr>
      <w:r w:rsidRPr="007C747A">
        <w:rPr>
          <w:rFonts w:eastAsia="Times New Roman"/>
          <w:i/>
          <w:sz w:val="18"/>
          <w:szCs w:val="20"/>
          <w:u w:val="single"/>
          <w:lang w:val="en-AU" w:eastAsia="en-US"/>
        </w:rPr>
        <w:t>Registered Service Providers</w:t>
      </w:r>
    </w:p>
    <w:p w14:paraId="030B3CC6" w14:textId="77777777" w:rsidR="00F2518A" w:rsidRPr="007C747A" w:rsidRDefault="00F2518A" w:rsidP="00F2518A">
      <w:pPr>
        <w:spacing w:after="0" w:line="40" w:lineRule="atLeast"/>
        <w:rPr>
          <w:rFonts w:eastAsia="Times New Roman"/>
          <w:sz w:val="18"/>
          <w:szCs w:val="20"/>
          <w:lang w:val="en-AU" w:eastAsia="en-US"/>
        </w:rPr>
      </w:pPr>
      <w:r w:rsidRPr="007C747A">
        <w:rPr>
          <w:rFonts w:eastAsia="Times New Roman"/>
          <w:sz w:val="18"/>
          <w:szCs w:val="20"/>
          <w:lang w:val="en-AU" w:eastAsia="en-US"/>
        </w:rPr>
        <w:t xml:space="preserve">Participants who elect to have their plan managed by the Agency must select a registered service provider to deliver the supports in their plan. To become a registered service provider an organisation must submit an application to the NDIS Quality and Safeguards Commission. All applications are assessed against the criteria specified in </w:t>
      </w:r>
      <w:r w:rsidRPr="007C747A">
        <w:rPr>
          <w:rFonts w:eastAsia="Times New Roman"/>
          <w:i/>
          <w:iCs/>
          <w:sz w:val="18"/>
          <w:szCs w:val="20"/>
          <w:lang w:val="en-AU" w:eastAsia="en-US"/>
        </w:rPr>
        <w:t>National Disability Insurance Scheme (Provider Registration and Practice Standards) Rules 2018.</w:t>
      </w:r>
      <w:r w:rsidRPr="007C747A">
        <w:rPr>
          <w:rFonts w:eastAsia="Times New Roman"/>
          <w:sz w:val="18"/>
          <w:szCs w:val="20"/>
          <w:lang w:val="en-AU" w:eastAsia="en-US"/>
        </w:rPr>
        <w:t xml:space="preserve"> </w:t>
      </w:r>
    </w:p>
    <w:p w14:paraId="6127275C" w14:textId="77777777" w:rsidR="00F2518A" w:rsidRPr="007C747A" w:rsidRDefault="00F2518A" w:rsidP="00F2518A">
      <w:pPr>
        <w:spacing w:after="0" w:line="40" w:lineRule="atLeast"/>
        <w:rPr>
          <w:rFonts w:eastAsia="Times New Roman"/>
          <w:sz w:val="18"/>
          <w:szCs w:val="20"/>
          <w:lang w:val="en-AU" w:eastAsia="en-US"/>
        </w:rPr>
      </w:pPr>
    </w:p>
    <w:p w14:paraId="361DCD71" w14:textId="77777777" w:rsidR="00F2518A" w:rsidRPr="007C747A" w:rsidRDefault="00F2518A" w:rsidP="00F2518A">
      <w:pPr>
        <w:spacing w:after="0" w:line="40" w:lineRule="atLeast"/>
        <w:rPr>
          <w:rFonts w:eastAsia="Times New Roman"/>
          <w:sz w:val="18"/>
          <w:szCs w:val="20"/>
          <w:lang w:val="en-AU" w:eastAsia="en-US"/>
        </w:rPr>
      </w:pPr>
      <w:r w:rsidRPr="007C747A">
        <w:rPr>
          <w:rFonts w:eastAsia="Times New Roman"/>
          <w:sz w:val="18"/>
          <w:szCs w:val="20"/>
          <w:lang w:val="en-AU" w:eastAsia="en-US"/>
        </w:rPr>
        <w:t>Given the scope of the sector in which the Agency operates, Board members may also hold positions with registered service providers. Directors of the Agency are not involved in any decisions to accept or reject applications to register as a service provider. Transactions between the Agency and registered providers are initiated by the participants rather than the Agency, are at arm’s length and have not been separately disclosed in this note.</w:t>
      </w:r>
    </w:p>
    <w:p w14:paraId="305F2A70" w14:textId="77777777" w:rsidR="00F2518A" w:rsidRPr="007C747A" w:rsidRDefault="00F2518A" w:rsidP="00F2518A">
      <w:pPr>
        <w:spacing w:after="0" w:line="40" w:lineRule="atLeast"/>
        <w:rPr>
          <w:rFonts w:eastAsia="Times New Roman"/>
          <w:sz w:val="18"/>
          <w:szCs w:val="20"/>
          <w:lang w:val="en-AU" w:eastAsia="en-US"/>
        </w:rPr>
      </w:pPr>
    </w:p>
    <w:p w14:paraId="4DEBE1FA" w14:textId="77777777" w:rsidR="00F2518A" w:rsidRPr="007C747A" w:rsidRDefault="00F2518A" w:rsidP="00F2518A">
      <w:pPr>
        <w:spacing w:after="0" w:line="40" w:lineRule="atLeast"/>
        <w:rPr>
          <w:rFonts w:eastAsia="Times New Roman" w:cs="Arial"/>
          <w:sz w:val="18"/>
          <w:szCs w:val="18"/>
          <w:lang w:val="en-AU" w:eastAsia="en-US"/>
        </w:rPr>
      </w:pPr>
    </w:p>
    <w:p w14:paraId="7CC42F38" w14:textId="77777777" w:rsidR="00481B93" w:rsidRPr="007C747A" w:rsidRDefault="00481B93" w:rsidP="00F2518A">
      <w:pPr>
        <w:spacing w:after="0" w:line="40" w:lineRule="atLeast"/>
        <w:rPr>
          <w:rFonts w:eastAsia="Times New Roman" w:cs="Arial"/>
          <w:sz w:val="18"/>
          <w:szCs w:val="18"/>
          <w:lang w:val="en-AU" w:eastAsia="en-US"/>
        </w:rPr>
      </w:pPr>
    </w:p>
    <w:p w14:paraId="55C01F3E" w14:textId="77777777" w:rsidR="00481B93" w:rsidRPr="007C747A" w:rsidRDefault="00481B93" w:rsidP="00F2518A">
      <w:pPr>
        <w:spacing w:after="0" w:line="40" w:lineRule="atLeast"/>
        <w:rPr>
          <w:rFonts w:eastAsia="Times New Roman" w:cs="Arial"/>
          <w:sz w:val="18"/>
          <w:szCs w:val="18"/>
          <w:lang w:val="en-AU" w:eastAsia="en-US"/>
        </w:rPr>
      </w:pPr>
    </w:p>
    <w:p w14:paraId="090237E6" w14:textId="77777777" w:rsidR="00481B93" w:rsidRPr="007C747A" w:rsidRDefault="00481B93" w:rsidP="00F2518A">
      <w:pPr>
        <w:spacing w:after="0" w:line="40" w:lineRule="atLeast"/>
        <w:rPr>
          <w:rFonts w:eastAsia="Times New Roman" w:cs="Arial"/>
          <w:sz w:val="18"/>
          <w:szCs w:val="18"/>
          <w:lang w:val="en-AU" w:eastAsia="en-US"/>
        </w:rPr>
      </w:pPr>
    </w:p>
    <w:p w14:paraId="381AD22F" w14:textId="77777777" w:rsidR="001D09A1" w:rsidRPr="007C747A" w:rsidRDefault="001D09A1" w:rsidP="00F2518A">
      <w:pPr>
        <w:spacing w:after="0" w:line="40" w:lineRule="atLeast"/>
        <w:rPr>
          <w:rFonts w:eastAsia="Times New Roman" w:cs="Arial"/>
          <w:sz w:val="18"/>
          <w:szCs w:val="18"/>
          <w:lang w:val="en-AU" w:eastAsia="en-US"/>
        </w:rPr>
      </w:pPr>
    </w:p>
    <w:p w14:paraId="2C1FCA91" w14:textId="77777777" w:rsidR="001D09A1" w:rsidRPr="007C747A" w:rsidRDefault="001D09A1" w:rsidP="00F2518A">
      <w:pPr>
        <w:spacing w:after="0" w:line="40" w:lineRule="atLeast"/>
        <w:rPr>
          <w:rFonts w:eastAsia="Times New Roman" w:cs="Arial"/>
          <w:sz w:val="18"/>
          <w:szCs w:val="18"/>
          <w:lang w:val="en-AU" w:eastAsia="en-US"/>
        </w:rPr>
      </w:pPr>
    </w:p>
    <w:p w14:paraId="3963B8A8" w14:textId="77777777" w:rsidR="00481B93" w:rsidRPr="007C747A" w:rsidRDefault="00481B93" w:rsidP="00F2518A">
      <w:pPr>
        <w:spacing w:after="0" w:line="40" w:lineRule="atLeast"/>
        <w:rPr>
          <w:rFonts w:eastAsia="Times New Roman" w:cs="Arial"/>
          <w:sz w:val="18"/>
          <w:szCs w:val="18"/>
          <w:lang w:val="en-AU" w:eastAsia="en-US"/>
        </w:rPr>
      </w:pPr>
    </w:p>
    <w:p w14:paraId="6D49251C" w14:textId="77777777" w:rsidR="00F2518A" w:rsidRPr="007C747A" w:rsidRDefault="00F2518A" w:rsidP="00F2518A">
      <w:pPr>
        <w:spacing w:after="0" w:line="40" w:lineRule="atLeast"/>
        <w:rPr>
          <w:rFonts w:eastAsia="Times New Roman"/>
          <w:sz w:val="18"/>
          <w:szCs w:val="20"/>
          <w:lang w:val="en-AU" w:eastAsia="en-US"/>
        </w:rPr>
      </w:pPr>
      <w:r w:rsidRPr="007C747A">
        <w:rPr>
          <w:rFonts w:eastAsia="Times New Roman" w:cs="Arial"/>
          <w:sz w:val="18"/>
          <w:szCs w:val="18"/>
          <w:lang w:val="en-AU" w:eastAsia="en-US"/>
        </w:rPr>
        <w:t>The following cash payments were made to parties related to Key Management Personnel members during the financial year:</w:t>
      </w:r>
    </w:p>
    <w:tbl>
      <w:tblPr>
        <w:tblW w:w="9356" w:type="dxa"/>
        <w:tblLayout w:type="fixed"/>
        <w:tblLook w:val="04A0" w:firstRow="1" w:lastRow="0" w:firstColumn="1" w:lastColumn="0" w:noHBand="0" w:noVBand="1"/>
      </w:tblPr>
      <w:tblGrid>
        <w:gridCol w:w="2694"/>
        <w:gridCol w:w="4677"/>
        <w:gridCol w:w="851"/>
        <w:gridCol w:w="275"/>
        <w:gridCol w:w="859"/>
      </w:tblGrid>
      <w:tr w:rsidR="00E41EEB" w:rsidRPr="007C747A" w14:paraId="4EC9517E" w14:textId="77777777" w:rsidTr="00A70D71">
        <w:trPr>
          <w:trHeight w:val="255"/>
        </w:trPr>
        <w:tc>
          <w:tcPr>
            <w:tcW w:w="2694" w:type="dxa"/>
            <w:tcBorders>
              <w:top w:val="nil"/>
              <w:left w:val="nil"/>
              <w:bottom w:val="single" w:sz="4" w:space="0" w:color="auto"/>
              <w:right w:val="nil"/>
            </w:tcBorders>
            <w:shd w:val="clear" w:color="FFFFFF" w:fill="FFFFFF"/>
            <w:noWrap/>
            <w:vAlign w:val="bottom"/>
          </w:tcPr>
          <w:p w14:paraId="47EDAABC" w14:textId="77777777" w:rsidR="00E41EEB" w:rsidRPr="007C747A" w:rsidRDefault="00E41EEB" w:rsidP="00F2518A">
            <w:pPr>
              <w:spacing w:after="0" w:line="260" w:lineRule="atLeast"/>
              <w:rPr>
                <w:rFonts w:eastAsia="Times New Roman" w:cs="Arial"/>
                <w:b/>
                <w:bCs/>
                <w:sz w:val="18"/>
                <w:szCs w:val="18"/>
                <w:lang w:val="en-AU" w:eastAsia="en-US"/>
              </w:rPr>
            </w:pPr>
          </w:p>
        </w:tc>
        <w:tc>
          <w:tcPr>
            <w:tcW w:w="4677" w:type="dxa"/>
            <w:tcBorders>
              <w:top w:val="nil"/>
              <w:left w:val="nil"/>
              <w:bottom w:val="single" w:sz="4" w:space="0" w:color="auto"/>
              <w:right w:val="nil"/>
            </w:tcBorders>
            <w:shd w:val="clear" w:color="FFFFFF" w:fill="FFFFFF"/>
          </w:tcPr>
          <w:p w14:paraId="559ADCA7" w14:textId="77777777" w:rsidR="00E41EEB" w:rsidRPr="007C747A" w:rsidRDefault="00E41EEB" w:rsidP="00F2518A">
            <w:pPr>
              <w:spacing w:after="0" w:line="260" w:lineRule="atLeast"/>
              <w:rPr>
                <w:rFonts w:eastAsia="Times New Roman" w:cs="Arial"/>
                <w:b/>
                <w:bCs/>
                <w:sz w:val="18"/>
                <w:szCs w:val="18"/>
                <w:lang w:val="en-AU" w:eastAsia="en-US"/>
              </w:rPr>
            </w:pPr>
          </w:p>
        </w:tc>
        <w:tc>
          <w:tcPr>
            <w:tcW w:w="851" w:type="dxa"/>
            <w:tcBorders>
              <w:top w:val="nil"/>
              <w:left w:val="nil"/>
              <w:bottom w:val="single" w:sz="4" w:space="0" w:color="auto"/>
              <w:right w:val="nil"/>
            </w:tcBorders>
            <w:shd w:val="clear" w:color="FFFFFF" w:fill="FFFFFF"/>
            <w:vAlign w:val="bottom"/>
          </w:tcPr>
          <w:p w14:paraId="310FE0F7" w14:textId="3E7CA663" w:rsidR="00E41EEB" w:rsidRPr="007C747A" w:rsidRDefault="00E41EEB"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fldChar w:fldCharType="begin"/>
            </w:r>
            <w:r w:rsidRPr="007C747A">
              <w:rPr>
                <w:rFonts w:eastAsia="Times New Roman" w:cs="Arial"/>
                <w:b/>
                <w:bCs/>
                <w:sz w:val="18"/>
                <w:szCs w:val="18"/>
                <w:lang w:val="en-AU" w:eastAsia="en-US"/>
              </w:rPr>
              <w:instrText xml:space="preserve"> DOCPROPERTY  crYear  \* MERGEFORMAT </w:instrText>
            </w:r>
            <w:r w:rsidRPr="007C747A">
              <w:rPr>
                <w:rFonts w:eastAsia="Times New Roman" w:cs="Arial"/>
                <w:b/>
                <w:bCs/>
                <w:sz w:val="18"/>
                <w:szCs w:val="18"/>
                <w:lang w:val="en-AU" w:eastAsia="en-US"/>
              </w:rPr>
              <w:fldChar w:fldCharType="separate"/>
            </w: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fldChar w:fldCharType="end"/>
            </w:r>
            <w:r w:rsidRPr="007C747A">
              <w:rPr>
                <w:rFonts w:eastAsia="Times New Roman" w:cs="Arial"/>
                <w:b/>
                <w:bCs/>
                <w:sz w:val="18"/>
                <w:szCs w:val="18"/>
                <w:lang w:val="en-AU" w:eastAsia="en-US"/>
              </w:rPr>
              <w:br/>
              <w:t>$'000</w:t>
            </w:r>
          </w:p>
        </w:tc>
        <w:tc>
          <w:tcPr>
            <w:tcW w:w="275" w:type="dxa"/>
            <w:tcBorders>
              <w:top w:val="nil"/>
              <w:left w:val="nil"/>
              <w:bottom w:val="single" w:sz="4" w:space="0" w:color="auto"/>
              <w:right w:val="nil"/>
            </w:tcBorders>
            <w:shd w:val="clear" w:color="FFFFFF" w:fill="FFFFFF"/>
            <w:noWrap/>
            <w:vAlign w:val="bottom"/>
          </w:tcPr>
          <w:p w14:paraId="49362598" w14:textId="77777777" w:rsidR="00E41EEB" w:rsidRPr="007C747A" w:rsidRDefault="00E41EEB"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859" w:type="dxa"/>
            <w:tcBorders>
              <w:top w:val="nil"/>
              <w:left w:val="nil"/>
              <w:bottom w:val="single" w:sz="4" w:space="0" w:color="auto"/>
              <w:right w:val="nil"/>
            </w:tcBorders>
            <w:shd w:val="clear" w:color="FFFFFF" w:fill="FFFFFF"/>
            <w:vAlign w:val="bottom"/>
          </w:tcPr>
          <w:p w14:paraId="3D4D0518" w14:textId="3F7C61BF" w:rsidR="00E41EEB" w:rsidRPr="007C747A" w:rsidRDefault="00E41EEB"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2022</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br/>
              <w:t>$'000</w:t>
            </w:r>
          </w:p>
        </w:tc>
      </w:tr>
      <w:tr w:rsidR="00F2518A" w:rsidRPr="007C747A" w14:paraId="5EBD6DF0" w14:textId="77777777">
        <w:trPr>
          <w:trHeight w:val="255"/>
        </w:trPr>
        <w:tc>
          <w:tcPr>
            <w:tcW w:w="2694" w:type="dxa"/>
            <w:tcBorders>
              <w:top w:val="single" w:sz="4" w:space="0" w:color="auto"/>
              <w:left w:val="nil"/>
              <w:bottom w:val="single" w:sz="4" w:space="0" w:color="auto"/>
              <w:right w:val="nil"/>
            </w:tcBorders>
            <w:shd w:val="clear" w:color="FFFFFF" w:fill="FFFFFF"/>
            <w:noWrap/>
            <w:vAlign w:val="center"/>
            <w:hideMark/>
          </w:tcPr>
          <w:p w14:paraId="1C483E92" w14:textId="77777777" w:rsidR="00F2518A" w:rsidRPr="007C747A" w:rsidRDefault="00F2518A" w:rsidP="00F2518A">
            <w:pPr>
              <w:spacing w:after="0" w:line="260" w:lineRule="atLeast"/>
              <w:rPr>
                <w:rFonts w:eastAsia="Times New Roman" w:cs="Arial"/>
                <w:b/>
                <w:sz w:val="18"/>
                <w:szCs w:val="18"/>
                <w:lang w:val="en-AU" w:eastAsia="en-US"/>
              </w:rPr>
            </w:pPr>
            <w:r w:rsidRPr="007C747A">
              <w:rPr>
                <w:rFonts w:eastAsia="Times New Roman" w:cs="Arial"/>
                <w:b/>
                <w:sz w:val="18"/>
                <w:szCs w:val="18"/>
                <w:lang w:val="en-AU" w:eastAsia="en-US"/>
              </w:rPr>
              <w:t>Board Member</w:t>
            </w:r>
          </w:p>
        </w:tc>
        <w:tc>
          <w:tcPr>
            <w:tcW w:w="4677" w:type="dxa"/>
            <w:tcBorders>
              <w:top w:val="single" w:sz="4" w:space="0" w:color="auto"/>
              <w:left w:val="nil"/>
              <w:bottom w:val="single" w:sz="4" w:space="0" w:color="auto"/>
              <w:right w:val="nil"/>
            </w:tcBorders>
            <w:shd w:val="clear" w:color="FFFFFF" w:fill="FFFFFF"/>
          </w:tcPr>
          <w:p w14:paraId="1A951AD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Related party and payments for services rendered by the related party</w:t>
            </w:r>
            <w:r w:rsidRPr="007C747A">
              <w:rPr>
                <w:rFonts w:eastAsia="Times New Roman" w:cs="Arial"/>
                <w:bCs/>
                <w:sz w:val="16"/>
                <w:szCs w:val="16"/>
                <w:vertAlign w:val="superscript"/>
                <w:lang w:val="en-AU" w:eastAsia="en-US"/>
              </w:rPr>
              <w:t>1</w:t>
            </w:r>
          </w:p>
        </w:tc>
        <w:tc>
          <w:tcPr>
            <w:tcW w:w="851" w:type="dxa"/>
            <w:tcBorders>
              <w:top w:val="single" w:sz="4" w:space="0" w:color="auto"/>
              <w:left w:val="nil"/>
              <w:bottom w:val="single" w:sz="4" w:space="0" w:color="auto"/>
              <w:right w:val="nil"/>
            </w:tcBorders>
            <w:shd w:val="clear" w:color="FFFFFF" w:fill="FFFFFF"/>
            <w:vAlign w:val="bottom"/>
          </w:tcPr>
          <w:p w14:paraId="65328B1B" w14:textId="77777777" w:rsidR="00F2518A" w:rsidRPr="007C747A" w:rsidRDefault="00F2518A" w:rsidP="00F2518A">
            <w:pPr>
              <w:spacing w:after="0" w:line="260" w:lineRule="atLeast"/>
              <w:jc w:val="right"/>
              <w:rPr>
                <w:rFonts w:eastAsia="Times New Roman" w:cs="Arial"/>
                <w:b/>
                <w:bCs/>
                <w:sz w:val="18"/>
                <w:szCs w:val="18"/>
                <w:lang w:val="en-AU" w:eastAsia="en-US"/>
              </w:rPr>
            </w:pPr>
          </w:p>
        </w:tc>
        <w:tc>
          <w:tcPr>
            <w:tcW w:w="275" w:type="dxa"/>
            <w:tcBorders>
              <w:top w:val="single" w:sz="4" w:space="0" w:color="auto"/>
              <w:left w:val="nil"/>
              <w:bottom w:val="single" w:sz="4" w:space="0" w:color="auto"/>
              <w:right w:val="nil"/>
            </w:tcBorders>
            <w:shd w:val="clear" w:color="FFFFFF" w:fill="FFFFFF"/>
            <w:noWrap/>
            <w:vAlign w:val="bottom"/>
          </w:tcPr>
          <w:p w14:paraId="5F0F7A13" w14:textId="77777777" w:rsidR="00F2518A" w:rsidRPr="007C747A" w:rsidRDefault="00F2518A" w:rsidP="00F2518A">
            <w:pPr>
              <w:spacing w:after="0" w:line="260" w:lineRule="atLeast"/>
              <w:rPr>
                <w:rFonts w:eastAsia="Times New Roman" w:cs="Arial"/>
                <w:sz w:val="18"/>
                <w:szCs w:val="18"/>
                <w:lang w:val="en-AU" w:eastAsia="en-US"/>
              </w:rPr>
            </w:pPr>
          </w:p>
        </w:tc>
        <w:tc>
          <w:tcPr>
            <w:tcW w:w="859" w:type="dxa"/>
            <w:tcBorders>
              <w:top w:val="single" w:sz="4" w:space="0" w:color="auto"/>
              <w:left w:val="nil"/>
              <w:bottom w:val="single" w:sz="4" w:space="0" w:color="auto"/>
              <w:right w:val="nil"/>
            </w:tcBorders>
            <w:shd w:val="clear" w:color="FFFFFF" w:fill="FFFFFF"/>
            <w:vAlign w:val="bottom"/>
          </w:tcPr>
          <w:p w14:paraId="6FCB20FD" w14:textId="77777777" w:rsidR="00F2518A" w:rsidRPr="007C747A" w:rsidRDefault="00F2518A" w:rsidP="00F2518A">
            <w:pPr>
              <w:spacing w:after="0" w:line="260" w:lineRule="atLeast"/>
              <w:jc w:val="right"/>
              <w:rPr>
                <w:rFonts w:eastAsia="Times New Roman" w:cs="Arial"/>
                <w:sz w:val="18"/>
                <w:szCs w:val="18"/>
                <w:lang w:val="en-AU" w:eastAsia="en-US"/>
              </w:rPr>
            </w:pPr>
          </w:p>
        </w:tc>
      </w:tr>
      <w:tr w:rsidR="00F2518A" w:rsidRPr="007C747A" w14:paraId="6F2389F8" w14:textId="77777777">
        <w:trPr>
          <w:trHeight w:val="255"/>
        </w:trPr>
        <w:tc>
          <w:tcPr>
            <w:tcW w:w="2694" w:type="dxa"/>
            <w:tcBorders>
              <w:top w:val="dotted" w:sz="4" w:space="0" w:color="auto"/>
              <w:left w:val="nil"/>
              <w:bottom w:val="dotted" w:sz="4" w:space="0" w:color="auto"/>
              <w:right w:val="nil"/>
            </w:tcBorders>
            <w:shd w:val="clear" w:color="FFFFFF" w:fill="FFFFFF"/>
            <w:noWrap/>
          </w:tcPr>
          <w:p w14:paraId="242F7CE9" w14:textId="77777777" w:rsidR="00F2518A" w:rsidRPr="007C747A" w:rsidRDefault="00F2518A" w:rsidP="00F2518A">
            <w:pPr>
              <w:spacing w:after="0" w:line="260" w:lineRule="atLeast"/>
              <w:ind w:left="176"/>
              <w:rPr>
                <w:rFonts w:eastAsia="Times New Roman" w:cs="Arial"/>
                <w:sz w:val="18"/>
                <w:szCs w:val="18"/>
                <w:lang w:val="en-AU" w:eastAsia="en-US"/>
              </w:rPr>
            </w:pPr>
            <w:r w:rsidRPr="007C747A">
              <w:rPr>
                <w:rFonts w:eastAsia="Times New Roman" w:cs="Arial"/>
                <w:sz w:val="18"/>
                <w:szCs w:val="18"/>
                <w:lang w:val="en-AU" w:eastAsia="en-US"/>
              </w:rPr>
              <w:t>Mr Glenn Keys AO</w:t>
            </w:r>
          </w:p>
        </w:tc>
        <w:tc>
          <w:tcPr>
            <w:tcW w:w="4677" w:type="dxa"/>
            <w:tcBorders>
              <w:top w:val="dotted" w:sz="4" w:space="0" w:color="auto"/>
              <w:left w:val="nil"/>
              <w:bottom w:val="dotted" w:sz="4" w:space="0" w:color="auto"/>
              <w:right w:val="nil"/>
            </w:tcBorders>
            <w:shd w:val="clear" w:color="FFFFFF" w:fill="FFFFFF"/>
          </w:tcPr>
          <w:p w14:paraId="4CD7BFA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Executive Chair of Aspen Medical Pty Ltd (Aspen). Aspen provided support to the Agency’s COVID-19 Response.</w:t>
            </w:r>
          </w:p>
          <w:p w14:paraId="0BDF33D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Mr Keys’ term as a Board member finished on 31 December 2022.</w:t>
            </w:r>
          </w:p>
        </w:tc>
        <w:tc>
          <w:tcPr>
            <w:tcW w:w="851" w:type="dxa"/>
            <w:tcBorders>
              <w:top w:val="dotted" w:sz="4" w:space="0" w:color="auto"/>
              <w:left w:val="nil"/>
              <w:bottom w:val="dotted" w:sz="4" w:space="0" w:color="auto"/>
              <w:right w:val="nil"/>
            </w:tcBorders>
            <w:shd w:val="clear" w:color="FFFFFF" w:fill="FFFFFF"/>
          </w:tcPr>
          <w:p w14:paraId="0CD3B8D6" w14:textId="77777777" w:rsidR="00F2518A" w:rsidRPr="007C747A" w:rsidRDefault="00F2518A" w:rsidP="00F2518A">
            <w:pPr>
              <w:spacing w:after="0" w:line="260" w:lineRule="atLeast"/>
              <w:ind w:right="90"/>
              <w:jc w:val="right"/>
              <w:rPr>
                <w:rFonts w:eastAsia="Times New Roman" w:cs="Arial"/>
                <w:b/>
                <w:bCs/>
                <w:sz w:val="18"/>
                <w:szCs w:val="18"/>
                <w:lang w:val="en-AU" w:eastAsia="en-US"/>
              </w:rPr>
            </w:pPr>
            <w:r w:rsidRPr="007C747A">
              <w:rPr>
                <w:rFonts w:eastAsia="Times New Roman" w:cs="Arial"/>
                <w:b/>
                <w:bCs/>
                <w:sz w:val="18"/>
                <w:szCs w:val="18"/>
                <w:lang w:val="en-AU" w:eastAsia="en-US"/>
              </w:rPr>
              <w:t>133</w:t>
            </w:r>
          </w:p>
        </w:tc>
        <w:tc>
          <w:tcPr>
            <w:tcW w:w="275" w:type="dxa"/>
            <w:tcBorders>
              <w:top w:val="dotted" w:sz="4" w:space="0" w:color="auto"/>
              <w:left w:val="nil"/>
              <w:bottom w:val="dotted" w:sz="4" w:space="0" w:color="auto"/>
              <w:right w:val="nil"/>
            </w:tcBorders>
            <w:shd w:val="clear" w:color="FFFFFF" w:fill="FFFFFF"/>
            <w:noWrap/>
          </w:tcPr>
          <w:p w14:paraId="797A4199" w14:textId="77777777" w:rsidR="00F2518A" w:rsidRPr="007C747A" w:rsidRDefault="00F2518A" w:rsidP="00F2518A">
            <w:pPr>
              <w:spacing w:after="0" w:line="260" w:lineRule="atLeast"/>
              <w:rPr>
                <w:rFonts w:eastAsia="Times New Roman" w:cs="Arial"/>
                <w:sz w:val="18"/>
                <w:szCs w:val="18"/>
                <w:lang w:val="en-AU" w:eastAsia="en-US"/>
              </w:rPr>
            </w:pPr>
          </w:p>
        </w:tc>
        <w:tc>
          <w:tcPr>
            <w:tcW w:w="859" w:type="dxa"/>
            <w:tcBorders>
              <w:top w:val="dotted" w:sz="4" w:space="0" w:color="auto"/>
              <w:left w:val="nil"/>
              <w:bottom w:val="dotted" w:sz="4" w:space="0" w:color="auto"/>
              <w:right w:val="nil"/>
            </w:tcBorders>
            <w:shd w:val="clear" w:color="FFFFFF" w:fill="FFFFFF"/>
          </w:tcPr>
          <w:p w14:paraId="62338FE1"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265</w:t>
            </w:r>
          </w:p>
        </w:tc>
      </w:tr>
      <w:tr w:rsidR="00F2518A" w:rsidRPr="007C747A" w14:paraId="5DFEF48E" w14:textId="77777777">
        <w:trPr>
          <w:trHeight w:val="255"/>
        </w:trPr>
        <w:tc>
          <w:tcPr>
            <w:tcW w:w="2694" w:type="dxa"/>
            <w:tcBorders>
              <w:top w:val="single" w:sz="4" w:space="0" w:color="auto"/>
              <w:left w:val="nil"/>
              <w:bottom w:val="single" w:sz="4" w:space="0" w:color="auto"/>
              <w:right w:val="nil"/>
            </w:tcBorders>
            <w:shd w:val="clear" w:color="FFFFFF" w:fill="FFFFFF"/>
            <w:noWrap/>
            <w:vAlign w:val="center"/>
          </w:tcPr>
          <w:p w14:paraId="4170EA20" w14:textId="77777777" w:rsidR="00F2518A" w:rsidRPr="007C747A" w:rsidRDefault="00F2518A" w:rsidP="00F2518A">
            <w:pPr>
              <w:spacing w:after="0" w:line="260" w:lineRule="atLeast"/>
              <w:ind w:left="176"/>
              <w:rPr>
                <w:rFonts w:eastAsia="Times New Roman" w:cs="Arial"/>
                <w:sz w:val="18"/>
                <w:szCs w:val="18"/>
                <w:lang w:val="en-AU" w:eastAsia="en-US"/>
              </w:rPr>
            </w:pPr>
            <w:r w:rsidRPr="007C747A">
              <w:rPr>
                <w:rFonts w:eastAsia="Times New Roman" w:cs="Arial"/>
                <w:b/>
                <w:bCs/>
                <w:sz w:val="18"/>
                <w:szCs w:val="18"/>
                <w:lang w:val="en-AU" w:eastAsia="en-US"/>
              </w:rPr>
              <w:t>Key Management Personnel Executive Members</w:t>
            </w:r>
          </w:p>
        </w:tc>
        <w:tc>
          <w:tcPr>
            <w:tcW w:w="4677" w:type="dxa"/>
            <w:tcBorders>
              <w:top w:val="single" w:sz="4" w:space="0" w:color="auto"/>
              <w:left w:val="nil"/>
              <w:bottom w:val="single" w:sz="4" w:space="0" w:color="auto"/>
              <w:right w:val="nil"/>
            </w:tcBorders>
            <w:shd w:val="clear" w:color="FFFFFF" w:fill="FFFFFF"/>
            <w:vAlign w:val="center"/>
          </w:tcPr>
          <w:p w14:paraId="23D2B15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b/>
                <w:bCs/>
                <w:sz w:val="18"/>
                <w:szCs w:val="18"/>
                <w:lang w:val="en-AU" w:eastAsia="en-US"/>
              </w:rPr>
              <w:t>Related party and payments for services rendered by the related party</w:t>
            </w:r>
          </w:p>
        </w:tc>
        <w:tc>
          <w:tcPr>
            <w:tcW w:w="851" w:type="dxa"/>
            <w:tcBorders>
              <w:top w:val="single" w:sz="4" w:space="0" w:color="auto"/>
              <w:left w:val="nil"/>
              <w:bottom w:val="single" w:sz="4" w:space="0" w:color="auto"/>
              <w:right w:val="nil"/>
            </w:tcBorders>
            <w:shd w:val="clear" w:color="FFFFFF" w:fill="FFFFFF"/>
            <w:vAlign w:val="bottom"/>
          </w:tcPr>
          <w:p w14:paraId="64EAC0D4" w14:textId="77777777" w:rsidR="00F2518A" w:rsidRPr="007C747A" w:rsidRDefault="00F2518A" w:rsidP="00F2518A">
            <w:pPr>
              <w:spacing w:after="0" w:line="260" w:lineRule="atLeast"/>
              <w:jc w:val="right"/>
              <w:rPr>
                <w:rFonts w:eastAsia="Times New Roman" w:cs="Arial"/>
                <w:b/>
                <w:bCs/>
                <w:sz w:val="18"/>
                <w:szCs w:val="18"/>
                <w:highlight w:val="yellow"/>
                <w:lang w:val="en-AU" w:eastAsia="en-US"/>
              </w:rPr>
            </w:pPr>
          </w:p>
        </w:tc>
        <w:tc>
          <w:tcPr>
            <w:tcW w:w="275" w:type="dxa"/>
            <w:tcBorders>
              <w:top w:val="single" w:sz="4" w:space="0" w:color="auto"/>
              <w:left w:val="nil"/>
              <w:bottom w:val="single" w:sz="4" w:space="0" w:color="auto"/>
              <w:right w:val="nil"/>
            </w:tcBorders>
            <w:shd w:val="clear" w:color="FFFFFF" w:fill="FFFFFF"/>
            <w:noWrap/>
            <w:vAlign w:val="bottom"/>
          </w:tcPr>
          <w:p w14:paraId="1CF47DE1" w14:textId="77777777" w:rsidR="00F2518A" w:rsidRPr="007C747A" w:rsidRDefault="00F2518A" w:rsidP="00F2518A">
            <w:pPr>
              <w:spacing w:after="0" w:line="260" w:lineRule="atLeast"/>
              <w:rPr>
                <w:rFonts w:eastAsia="Times New Roman" w:cs="Arial"/>
                <w:sz w:val="18"/>
                <w:szCs w:val="18"/>
                <w:highlight w:val="yellow"/>
                <w:lang w:val="en-AU" w:eastAsia="en-US"/>
              </w:rPr>
            </w:pPr>
          </w:p>
        </w:tc>
        <w:tc>
          <w:tcPr>
            <w:tcW w:w="859" w:type="dxa"/>
            <w:tcBorders>
              <w:top w:val="single" w:sz="4" w:space="0" w:color="auto"/>
              <w:left w:val="nil"/>
              <w:bottom w:val="single" w:sz="4" w:space="0" w:color="auto"/>
              <w:right w:val="nil"/>
            </w:tcBorders>
            <w:shd w:val="clear" w:color="FFFFFF" w:fill="FFFFFF"/>
            <w:vAlign w:val="bottom"/>
          </w:tcPr>
          <w:p w14:paraId="6A8DD3B0" w14:textId="77777777" w:rsidR="00F2518A" w:rsidRPr="007C747A" w:rsidRDefault="00F2518A" w:rsidP="00F2518A">
            <w:pPr>
              <w:spacing w:after="0" w:line="260" w:lineRule="atLeast"/>
              <w:jc w:val="right"/>
              <w:rPr>
                <w:rFonts w:eastAsia="Times New Roman" w:cs="Arial"/>
                <w:sz w:val="18"/>
                <w:szCs w:val="18"/>
                <w:lang w:val="en-AU" w:eastAsia="en-US"/>
              </w:rPr>
            </w:pPr>
          </w:p>
        </w:tc>
      </w:tr>
      <w:tr w:rsidR="00F2518A" w:rsidRPr="007C747A" w14:paraId="76FA0433" w14:textId="77777777">
        <w:trPr>
          <w:trHeight w:val="873"/>
        </w:trPr>
        <w:tc>
          <w:tcPr>
            <w:tcW w:w="2694" w:type="dxa"/>
            <w:tcBorders>
              <w:top w:val="single" w:sz="4" w:space="0" w:color="auto"/>
              <w:left w:val="nil"/>
              <w:bottom w:val="single" w:sz="4" w:space="0" w:color="auto"/>
              <w:right w:val="nil"/>
            </w:tcBorders>
            <w:shd w:val="clear" w:color="FFFFFF" w:fill="FFFFFF"/>
            <w:noWrap/>
          </w:tcPr>
          <w:p w14:paraId="18F8E1D3" w14:textId="77777777" w:rsidR="00F2518A" w:rsidRPr="007C747A" w:rsidRDefault="00F2518A" w:rsidP="00F2518A">
            <w:pPr>
              <w:spacing w:after="0" w:line="260" w:lineRule="atLeast"/>
              <w:ind w:left="176"/>
              <w:rPr>
                <w:rFonts w:eastAsia="Times New Roman" w:cs="Arial"/>
                <w:sz w:val="18"/>
                <w:szCs w:val="18"/>
                <w:lang w:val="en-AU" w:eastAsia="en-US"/>
              </w:rPr>
            </w:pPr>
            <w:r w:rsidRPr="007C747A">
              <w:rPr>
                <w:rFonts w:eastAsia="Times New Roman" w:cs="Arial"/>
                <w:sz w:val="18"/>
                <w:szCs w:val="18"/>
                <w:lang w:val="en-AU" w:eastAsia="en-US"/>
              </w:rPr>
              <w:t>Mr Oliver Bladek</w:t>
            </w:r>
          </w:p>
          <w:p w14:paraId="1EFC2742" w14:textId="77777777" w:rsidR="00F2518A" w:rsidRPr="007C747A" w:rsidRDefault="00F2518A" w:rsidP="00F2518A">
            <w:pPr>
              <w:spacing w:after="0" w:line="260" w:lineRule="atLeast"/>
              <w:rPr>
                <w:rFonts w:eastAsia="Times New Roman" w:cs="Arial"/>
                <w:i/>
                <w:sz w:val="18"/>
                <w:szCs w:val="18"/>
                <w:lang w:val="en-AU" w:eastAsia="en-US"/>
              </w:rPr>
            </w:pPr>
          </w:p>
        </w:tc>
        <w:tc>
          <w:tcPr>
            <w:tcW w:w="4677" w:type="dxa"/>
            <w:tcBorders>
              <w:top w:val="single" w:sz="4" w:space="0" w:color="auto"/>
              <w:left w:val="nil"/>
              <w:bottom w:val="single" w:sz="4" w:space="0" w:color="auto"/>
              <w:right w:val="nil"/>
            </w:tcBorders>
            <w:shd w:val="clear" w:color="FFFFFF" w:fill="FFFFFF"/>
          </w:tcPr>
          <w:p w14:paraId="4A7ACD04" w14:textId="77777777" w:rsidR="00F2518A" w:rsidRPr="007C747A" w:rsidRDefault="00F2518A" w:rsidP="00F2518A">
            <w:pPr>
              <w:spacing w:after="0" w:line="260" w:lineRule="atLeast"/>
              <w:rPr>
                <w:rFonts w:eastAsia="Times New Roman" w:cs="Arial"/>
                <w:color w:val="000000"/>
                <w:sz w:val="18"/>
                <w:szCs w:val="18"/>
                <w:lang w:val="en-AU" w:eastAsia="en-AU"/>
              </w:rPr>
            </w:pPr>
            <w:r w:rsidRPr="007C747A">
              <w:rPr>
                <w:rFonts w:eastAsia="Times New Roman" w:cs="Arial"/>
                <w:color w:val="000000"/>
                <w:sz w:val="18"/>
                <w:szCs w:val="18"/>
                <w:lang w:val="en-AU" w:eastAsia="en-AU"/>
              </w:rPr>
              <w:t xml:space="preserve">Proprietor of Bladek and Company Pty Ltd. </w:t>
            </w:r>
          </w:p>
          <w:p w14:paraId="6417FB9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color w:val="000000"/>
                <w:sz w:val="18"/>
                <w:szCs w:val="18"/>
                <w:lang w:val="en-AU" w:eastAsia="en-AU"/>
              </w:rPr>
              <w:t>Bladek and Company provided design, digital and strategic services to the Agency.</w:t>
            </w:r>
            <w:r w:rsidRPr="007C747A">
              <w:rPr>
                <w:rFonts w:eastAsia="Times New Roman" w:cs="Arial"/>
                <w:sz w:val="18"/>
                <w:szCs w:val="18"/>
                <w:lang w:val="en-AU" w:eastAsia="en-US"/>
              </w:rPr>
              <w:br/>
              <w:t>Mr Bladek left the Agency on 27 January 2022.</w:t>
            </w:r>
          </w:p>
        </w:tc>
        <w:tc>
          <w:tcPr>
            <w:tcW w:w="851" w:type="dxa"/>
            <w:tcBorders>
              <w:top w:val="single" w:sz="4" w:space="0" w:color="auto"/>
              <w:left w:val="nil"/>
              <w:bottom w:val="single" w:sz="4" w:space="0" w:color="auto"/>
              <w:right w:val="nil"/>
            </w:tcBorders>
            <w:shd w:val="clear" w:color="FFFFFF" w:fill="FFFFFF"/>
          </w:tcPr>
          <w:p w14:paraId="071B308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75" w:type="dxa"/>
            <w:tcBorders>
              <w:top w:val="single" w:sz="4" w:space="0" w:color="auto"/>
              <w:left w:val="nil"/>
              <w:bottom w:val="single" w:sz="4" w:space="0" w:color="auto"/>
              <w:right w:val="nil"/>
            </w:tcBorders>
            <w:shd w:val="clear" w:color="FFFFFF" w:fill="FFFFFF"/>
            <w:noWrap/>
          </w:tcPr>
          <w:p w14:paraId="3921D475" w14:textId="77777777" w:rsidR="00F2518A" w:rsidRPr="007C747A" w:rsidRDefault="00F2518A" w:rsidP="00F2518A">
            <w:pPr>
              <w:spacing w:after="0" w:line="260" w:lineRule="atLeast"/>
              <w:jc w:val="right"/>
              <w:rPr>
                <w:rFonts w:eastAsia="Times New Roman" w:cs="Arial"/>
                <w:sz w:val="18"/>
                <w:szCs w:val="18"/>
                <w:highlight w:val="yellow"/>
                <w:lang w:val="en-AU" w:eastAsia="en-US"/>
              </w:rPr>
            </w:pPr>
          </w:p>
        </w:tc>
        <w:tc>
          <w:tcPr>
            <w:tcW w:w="859" w:type="dxa"/>
            <w:tcBorders>
              <w:top w:val="single" w:sz="4" w:space="0" w:color="auto"/>
              <w:left w:val="nil"/>
              <w:bottom w:val="single" w:sz="4" w:space="0" w:color="auto"/>
              <w:right w:val="nil"/>
            </w:tcBorders>
            <w:shd w:val="clear" w:color="FFFFFF" w:fill="FFFFFF"/>
          </w:tcPr>
          <w:p w14:paraId="61E05A6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329</w:t>
            </w:r>
          </w:p>
        </w:tc>
      </w:tr>
      <w:tr w:rsidR="00F2518A" w:rsidRPr="007C747A" w14:paraId="766ABF30" w14:textId="77777777">
        <w:trPr>
          <w:trHeight w:val="255"/>
        </w:trPr>
        <w:tc>
          <w:tcPr>
            <w:tcW w:w="2694" w:type="dxa"/>
            <w:tcBorders>
              <w:top w:val="single" w:sz="4" w:space="0" w:color="auto"/>
              <w:left w:val="nil"/>
              <w:bottom w:val="single" w:sz="4" w:space="0" w:color="auto"/>
              <w:right w:val="nil"/>
            </w:tcBorders>
            <w:shd w:val="clear" w:color="FFFFFF" w:fill="FFFFFF"/>
            <w:noWrap/>
          </w:tcPr>
          <w:p w14:paraId="70801B59" w14:textId="77777777" w:rsidR="00F2518A" w:rsidRPr="007C747A" w:rsidRDefault="00F2518A" w:rsidP="00F2518A">
            <w:pPr>
              <w:spacing w:after="0" w:line="260" w:lineRule="atLeast"/>
              <w:ind w:left="176"/>
              <w:rPr>
                <w:rFonts w:eastAsia="Times New Roman" w:cs="Arial"/>
                <w:sz w:val="18"/>
                <w:szCs w:val="18"/>
                <w:lang w:val="en-AU" w:eastAsia="en-US"/>
              </w:rPr>
            </w:pPr>
            <w:r w:rsidRPr="007C747A">
              <w:rPr>
                <w:rFonts w:eastAsia="Times New Roman" w:cs="Arial"/>
                <w:sz w:val="18"/>
                <w:szCs w:val="18"/>
                <w:lang w:val="en-AU" w:eastAsia="en-US"/>
              </w:rPr>
              <w:t>Mr David Gifford </w:t>
            </w:r>
          </w:p>
          <w:p w14:paraId="7DA62B3A" w14:textId="77777777" w:rsidR="00F2518A" w:rsidRPr="007C747A" w:rsidRDefault="00F2518A" w:rsidP="00F2518A">
            <w:pPr>
              <w:spacing w:after="0" w:line="260" w:lineRule="atLeast"/>
              <w:ind w:left="176"/>
              <w:rPr>
                <w:rFonts w:eastAsia="Times New Roman" w:cs="Arial"/>
                <w:i/>
                <w:iCs/>
                <w:sz w:val="18"/>
                <w:szCs w:val="18"/>
                <w:lang w:val="en-AU" w:eastAsia="en-US"/>
              </w:rPr>
            </w:pPr>
          </w:p>
        </w:tc>
        <w:tc>
          <w:tcPr>
            <w:tcW w:w="4677" w:type="dxa"/>
            <w:tcBorders>
              <w:top w:val="single" w:sz="4" w:space="0" w:color="auto"/>
              <w:left w:val="nil"/>
              <w:bottom w:val="single" w:sz="4" w:space="0" w:color="auto"/>
              <w:right w:val="nil"/>
            </w:tcBorders>
            <w:shd w:val="clear" w:color="FFFFFF" w:fill="FFFFFF"/>
          </w:tcPr>
          <w:p w14:paraId="6AD540A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Proprietor of Davegiff Consulting Services Pty Ltd. Davegiff Consulting Services provided scheme actuarial services to the Agency.</w:t>
            </w:r>
          </w:p>
        </w:tc>
        <w:tc>
          <w:tcPr>
            <w:tcW w:w="851" w:type="dxa"/>
            <w:tcBorders>
              <w:top w:val="single" w:sz="4" w:space="0" w:color="auto"/>
              <w:left w:val="nil"/>
              <w:bottom w:val="single" w:sz="4" w:space="0" w:color="auto"/>
              <w:right w:val="nil"/>
            </w:tcBorders>
            <w:shd w:val="clear" w:color="FFFFFF" w:fill="FFFFFF"/>
          </w:tcPr>
          <w:p w14:paraId="121F7A1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329</w:t>
            </w:r>
          </w:p>
        </w:tc>
        <w:tc>
          <w:tcPr>
            <w:tcW w:w="275" w:type="dxa"/>
            <w:tcBorders>
              <w:top w:val="single" w:sz="4" w:space="0" w:color="auto"/>
              <w:left w:val="nil"/>
              <w:bottom w:val="single" w:sz="4" w:space="0" w:color="auto"/>
              <w:right w:val="nil"/>
            </w:tcBorders>
            <w:shd w:val="clear" w:color="FFFFFF" w:fill="FFFFFF"/>
            <w:noWrap/>
          </w:tcPr>
          <w:p w14:paraId="5C9B1885" w14:textId="77777777" w:rsidR="00F2518A" w:rsidRPr="007C747A" w:rsidRDefault="00F2518A" w:rsidP="00F2518A">
            <w:pPr>
              <w:spacing w:after="0" w:line="260" w:lineRule="atLeast"/>
              <w:jc w:val="right"/>
              <w:rPr>
                <w:rFonts w:eastAsia="Times New Roman" w:cs="Arial"/>
                <w:sz w:val="18"/>
                <w:szCs w:val="18"/>
                <w:highlight w:val="yellow"/>
                <w:lang w:val="en-AU" w:eastAsia="en-US"/>
              </w:rPr>
            </w:pPr>
          </w:p>
        </w:tc>
        <w:tc>
          <w:tcPr>
            <w:tcW w:w="859" w:type="dxa"/>
            <w:tcBorders>
              <w:top w:val="single" w:sz="4" w:space="0" w:color="auto"/>
              <w:left w:val="nil"/>
              <w:bottom w:val="single" w:sz="4" w:space="0" w:color="auto"/>
              <w:right w:val="nil"/>
            </w:tcBorders>
            <w:shd w:val="clear" w:color="FFFFFF" w:fill="FFFFFF"/>
          </w:tcPr>
          <w:p w14:paraId="45089C8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161</w:t>
            </w:r>
          </w:p>
        </w:tc>
      </w:tr>
      <w:tr w:rsidR="00F2518A" w:rsidRPr="007C747A" w14:paraId="442BED0E" w14:textId="77777777">
        <w:trPr>
          <w:trHeight w:val="873"/>
        </w:trPr>
        <w:tc>
          <w:tcPr>
            <w:tcW w:w="2694" w:type="dxa"/>
            <w:tcBorders>
              <w:top w:val="single" w:sz="4" w:space="0" w:color="auto"/>
              <w:left w:val="nil"/>
              <w:bottom w:val="single" w:sz="4" w:space="0" w:color="auto"/>
              <w:right w:val="nil"/>
            </w:tcBorders>
            <w:shd w:val="clear" w:color="FFFFFF" w:fill="FFFFFF"/>
            <w:noWrap/>
          </w:tcPr>
          <w:p w14:paraId="783578D7" w14:textId="77777777" w:rsidR="00F2518A" w:rsidRPr="007C747A" w:rsidRDefault="00F2518A" w:rsidP="00F2518A">
            <w:pPr>
              <w:spacing w:after="0" w:line="260" w:lineRule="atLeast"/>
              <w:ind w:left="176"/>
              <w:rPr>
                <w:rFonts w:eastAsia="Times New Roman" w:cs="Arial"/>
                <w:sz w:val="18"/>
                <w:szCs w:val="18"/>
                <w:lang w:val="en-AU" w:eastAsia="en-US"/>
              </w:rPr>
            </w:pPr>
            <w:r w:rsidRPr="007C747A">
              <w:rPr>
                <w:rFonts w:eastAsia="Times New Roman" w:cs="Arial"/>
                <w:sz w:val="18"/>
                <w:szCs w:val="18"/>
                <w:lang w:val="en-AU" w:eastAsia="en-US"/>
              </w:rPr>
              <w:t xml:space="preserve">Ms Sarah Johnson </w:t>
            </w:r>
          </w:p>
          <w:p w14:paraId="3669B93B" w14:textId="77777777" w:rsidR="00F2518A" w:rsidRPr="007C747A" w:rsidRDefault="00F2518A" w:rsidP="00F2518A">
            <w:pPr>
              <w:spacing w:after="0" w:line="260" w:lineRule="atLeast"/>
              <w:rPr>
                <w:rFonts w:eastAsia="Times New Roman" w:cs="Arial"/>
                <w:i/>
                <w:sz w:val="18"/>
                <w:szCs w:val="18"/>
                <w:lang w:val="en-AU" w:eastAsia="en-US"/>
              </w:rPr>
            </w:pPr>
          </w:p>
        </w:tc>
        <w:tc>
          <w:tcPr>
            <w:tcW w:w="4677" w:type="dxa"/>
            <w:tcBorders>
              <w:top w:val="single" w:sz="4" w:space="0" w:color="auto"/>
              <w:left w:val="nil"/>
              <w:bottom w:val="single" w:sz="4" w:space="0" w:color="auto"/>
              <w:right w:val="nil"/>
            </w:tcBorders>
            <w:shd w:val="clear" w:color="FFFFFF" w:fill="FFFFFF"/>
          </w:tcPr>
          <w:p w14:paraId="10F3E04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xml:space="preserve">Proprietor of Sarah Consulting Pty Ltd. </w:t>
            </w:r>
          </w:p>
          <w:p w14:paraId="76EFE77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Sarah Consulting provided scheme actuarial and strategic services to the Agency.</w:t>
            </w:r>
            <w:r w:rsidRPr="007C747A">
              <w:rPr>
                <w:rFonts w:eastAsia="Times New Roman" w:cs="Arial"/>
                <w:sz w:val="18"/>
                <w:szCs w:val="18"/>
                <w:lang w:val="en-AU" w:eastAsia="en-US"/>
              </w:rPr>
              <w:br/>
              <w:t>Ms Johnson left the Agency on 30 November 2022.</w:t>
            </w:r>
          </w:p>
        </w:tc>
        <w:tc>
          <w:tcPr>
            <w:tcW w:w="851" w:type="dxa"/>
            <w:tcBorders>
              <w:top w:val="single" w:sz="4" w:space="0" w:color="auto"/>
              <w:left w:val="nil"/>
              <w:bottom w:val="single" w:sz="4" w:space="0" w:color="auto"/>
              <w:right w:val="nil"/>
            </w:tcBorders>
            <w:shd w:val="clear" w:color="FFFFFF" w:fill="FFFFFF"/>
          </w:tcPr>
          <w:p w14:paraId="6C8EF09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324</w:t>
            </w:r>
          </w:p>
        </w:tc>
        <w:tc>
          <w:tcPr>
            <w:tcW w:w="275" w:type="dxa"/>
            <w:tcBorders>
              <w:top w:val="single" w:sz="4" w:space="0" w:color="auto"/>
              <w:left w:val="nil"/>
              <w:bottom w:val="single" w:sz="4" w:space="0" w:color="auto"/>
              <w:right w:val="nil"/>
            </w:tcBorders>
            <w:shd w:val="clear" w:color="FFFFFF" w:fill="FFFFFF"/>
            <w:noWrap/>
          </w:tcPr>
          <w:p w14:paraId="42B05AD2" w14:textId="77777777" w:rsidR="00F2518A" w:rsidRPr="007C747A" w:rsidRDefault="00F2518A" w:rsidP="00F2518A">
            <w:pPr>
              <w:spacing w:after="0" w:line="260" w:lineRule="atLeast"/>
              <w:jc w:val="right"/>
              <w:rPr>
                <w:rFonts w:eastAsia="Times New Roman" w:cs="Arial"/>
                <w:sz w:val="18"/>
                <w:szCs w:val="18"/>
                <w:highlight w:val="yellow"/>
                <w:lang w:val="en-AU" w:eastAsia="en-US"/>
              </w:rPr>
            </w:pPr>
          </w:p>
        </w:tc>
        <w:tc>
          <w:tcPr>
            <w:tcW w:w="859" w:type="dxa"/>
            <w:tcBorders>
              <w:top w:val="single" w:sz="4" w:space="0" w:color="auto"/>
              <w:left w:val="nil"/>
              <w:bottom w:val="single" w:sz="4" w:space="0" w:color="auto"/>
              <w:right w:val="nil"/>
            </w:tcBorders>
            <w:shd w:val="clear" w:color="FFFFFF" w:fill="FFFFFF"/>
          </w:tcPr>
          <w:p w14:paraId="02990A4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484</w:t>
            </w:r>
          </w:p>
        </w:tc>
      </w:tr>
    </w:tbl>
    <w:p w14:paraId="643212D2" w14:textId="77777777" w:rsidR="00F2518A" w:rsidRPr="007C747A" w:rsidRDefault="00F2518A" w:rsidP="00F2518A">
      <w:pPr>
        <w:spacing w:after="0" w:line="40" w:lineRule="atLeast"/>
        <w:rPr>
          <w:rFonts w:eastAsia="Times New Roman"/>
          <w:sz w:val="18"/>
          <w:szCs w:val="20"/>
          <w:lang w:val="en-AU" w:eastAsia="en-US"/>
        </w:rPr>
      </w:pPr>
    </w:p>
    <w:p w14:paraId="7008DFDF" w14:textId="77777777" w:rsidR="00F2518A" w:rsidRPr="007C747A" w:rsidRDefault="00F2518A" w:rsidP="00F2518A">
      <w:pPr>
        <w:spacing w:after="0" w:line="260" w:lineRule="atLeast"/>
        <w:rPr>
          <w:rFonts w:eastAsia="Times New Roman" w:cs="Arial"/>
          <w:sz w:val="14"/>
          <w:szCs w:val="16"/>
          <w:lang w:val="en-AU" w:eastAsia="en-US"/>
        </w:rPr>
      </w:pPr>
      <w:r w:rsidRPr="007C747A">
        <w:rPr>
          <w:rFonts w:eastAsia="Times New Roman" w:cs="Arial"/>
          <w:sz w:val="16"/>
          <w:szCs w:val="18"/>
          <w:vertAlign w:val="superscript"/>
          <w:lang w:val="en-AU" w:eastAsia="en-US"/>
        </w:rPr>
        <w:t xml:space="preserve">1 </w:t>
      </w:r>
      <w:r w:rsidRPr="007C747A">
        <w:rPr>
          <w:rFonts w:eastAsia="Times New Roman" w:cs="Arial"/>
          <w:sz w:val="14"/>
          <w:szCs w:val="16"/>
          <w:lang w:val="en-AU" w:eastAsia="en-US"/>
        </w:rPr>
        <w:t>All payments in the table above are calculated on a cash rather than accrual basis and therefore may differ from any amounts reported in Note 3.2 and Appendix 5.6 of the annual report.</w:t>
      </w:r>
    </w:p>
    <w:p w14:paraId="1F816932" w14:textId="77777777" w:rsidR="00F2518A" w:rsidRPr="007C747A" w:rsidRDefault="00F2518A" w:rsidP="00F2518A">
      <w:pPr>
        <w:spacing w:after="0" w:line="40" w:lineRule="atLeast"/>
        <w:rPr>
          <w:rFonts w:eastAsia="Times New Roman"/>
          <w:sz w:val="18"/>
          <w:szCs w:val="20"/>
          <w:lang w:val="en-AU" w:eastAsia="en-US"/>
        </w:rPr>
      </w:pPr>
    </w:p>
    <w:p w14:paraId="42AD6E51" w14:textId="77777777" w:rsidR="00F2518A" w:rsidRPr="007C747A" w:rsidRDefault="00F2518A" w:rsidP="00F2518A">
      <w:pPr>
        <w:spacing w:after="0" w:line="40" w:lineRule="atLeast"/>
        <w:rPr>
          <w:rFonts w:eastAsia="Times New Roman"/>
          <w:sz w:val="18"/>
          <w:szCs w:val="20"/>
          <w:lang w:val="en-AU" w:eastAsia="en-US"/>
        </w:rPr>
      </w:pPr>
      <w:r w:rsidRPr="007C747A">
        <w:rPr>
          <w:rFonts w:eastAsia="Times New Roman"/>
          <w:sz w:val="18"/>
          <w:szCs w:val="20"/>
          <w:lang w:val="en-AU" w:eastAsia="en-US"/>
        </w:rPr>
        <w:t>None of the above Key Management Personnel played any role in Agency decisions in relation to their related party transactions noted above.</w:t>
      </w:r>
    </w:p>
    <w:p w14:paraId="126DFA63" w14:textId="77777777" w:rsidR="00F2518A" w:rsidRPr="007C747A" w:rsidRDefault="00F2518A" w:rsidP="00F2518A">
      <w:pPr>
        <w:spacing w:after="0" w:line="40" w:lineRule="atLeast"/>
        <w:rPr>
          <w:rFonts w:eastAsia="Times New Roman"/>
          <w:sz w:val="18"/>
          <w:szCs w:val="20"/>
          <w:lang w:val="en-AU" w:eastAsia="en-US"/>
        </w:rPr>
      </w:pPr>
    </w:p>
    <w:p w14:paraId="202B5D17" w14:textId="77777777" w:rsidR="00F2518A" w:rsidRPr="007C747A" w:rsidRDefault="00F2518A" w:rsidP="00F2518A">
      <w:pPr>
        <w:spacing w:after="0" w:line="40" w:lineRule="atLeast"/>
        <w:rPr>
          <w:rFonts w:eastAsia="Times New Roman"/>
          <w:sz w:val="18"/>
          <w:szCs w:val="20"/>
          <w:lang w:val="en-AU" w:eastAsia="en-US"/>
        </w:rPr>
      </w:pPr>
      <w:r w:rsidRPr="007C747A">
        <w:rPr>
          <w:rFonts w:eastAsia="Times New Roman"/>
          <w:sz w:val="18"/>
          <w:szCs w:val="20"/>
          <w:lang w:val="en-AU" w:eastAsia="en-US"/>
        </w:rPr>
        <w:t xml:space="preserve">There were no other related party payments made during the period. </w:t>
      </w:r>
      <w:bookmarkEnd w:id="383"/>
      <w:bookmarkEnd w:id="384"/>
      <w:bookmarkEnd w:id="385"/>
      <w:r w:rsidRPr="007C747A">
        <w:rPr>
          <w:rFonts w:eastAsia="Times New Roman"/>
          <w:sz w:val="18"/>
          <w:szCs w:val="20"/>
          <w:lang w:val="en-AU" w:eastAsia="en-US"/>
        </w:rPr>
        <w:br w:type="page"/>
      </w:r>
    </w:p>
    <w:p w14:paraId="3A9F0CE1" w14:textId="77777777" w:rsidR="00F2518A" w:rsidRPr="007C747A" w:rsidRDefault="00F2518A" w:rsidP="00F2518A">
      <w:pPr>
        <w:spacing w:after="0" w:line="40" w:lineRule="atLeast"/>
        <w:rPr>
          <w:rFonts w:eastAsia="Times New Roman"/>
          <w:sz w:val="18"/>
          <w:szCs w:val="20"/>
          <w:lang w:val="en-AU" w:eastAsia="en-US"/>
        </w:rPr>
      </w:pPr>
    </w:p>
    <w:p w14:paraId="02BDDF32" w14:textId="77777777" w:rsidR="00F2518A" w:rsidRPr="007C747A" w:rsidRDefault="00F2518A" w:rsidP="007E4E69">
      <w:pPr>
        <w:pStyle w:val="SectionHeading"/>
        <w:outlineLvl w:val="2"/>
      </w:pPr>
      <w:bookmarkStart w:id="423" w:name="_Toc65742857"/>
      <w:bookmarkStart w:id="424" w:name="_Toc145583283"/>
      <w:bookmarkStart w:id="425" w:name="_Toc145949763"/>
      <w:bookmarkStart w:id="426" w:name="_Toc146022845"/>
      <w:bookmarkStart w:id="427" w:name="_Toc146191226"/>
      <w:bookmarkStart w:id="428" w:name="_Toc146195326"/>
      <w:bookmarkStart w:id="429" w:name="_Toc146200295"/>
      <w:bookmarkStart w:id="430" w:name="_Toc146203450"/>
      <w:bookmarkStart w:id="431" w:name="_Toc146289448"/>
      <w:bookmarkStart w:id="432" w:name="_Toc146538807"/>
      <w:bookmarkStart w:id="433" w:name="_Toc146545544"/>
      <w:bookmarkStart w:id="434" w:name="_Toc147769242"/>
      <w:bookmarkStart w:id="435" w:name="_Toc147834889"/>
      <w:bookmarkStart w:id="436" w:name="_Toc147992030"/>
      <w:bookmarkStart w:id="437" w:name="_Toc148020791"/>
      <w:bookmarkStart w:id="438" w:name="_Toc148108410"/>
      <w:r w:rsidRPr="007C747A">
        <w:t>Managing Uncertainties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49283145" w14:textId="77777777" w:rsidR="00F2518A" w:rsidRPr="007C747A" w:rsidRDefault="00F2518A" w:rsidP="00F2518A">
      <w:pPr>
        <w:shd w:val="clear" w:color="00CC99" w:fill="800080"/>
        <w:spacing w:after="0" w:line="260" w:lineRule="atLeast"/>
        <w:rPr>
          <w:rFonts w:eastAsia="Times New Roman"/>
          <w:color w:val="FFFFFF"/>
          <w:sz w:val="18"/>
          <w:szCs w:val="18"/>
          <w:lang w:val="en-AU" w:eastAsia="en-US"/>
        </w:rPr>
      </w:pPr>
      <w:r w:rsidRPr="007C747A">
        <w:rPr>
          <w:rFonts w:eastAsia="Times New Roman"/>
          <w:color w:val="FFFFFF"/>
          <w:sz w:val="18"/>
          <w:szCs w:val="18"/>
          <w:lang w:val="en-AU" w:eastAsia="en-US"/>
        </w:rPr>
        <w:t>This section analyses how the Agency manages financial risks within its operating environment.</w:t>
      </w:r>
    </w:p>
    <w:p w14:paraId="25F6EF13" w14:textId="31EB6F52" w:rsidR="00F2518A" w:rsidRPr="007C747A" w:rsidRDefault="001E2D18" w:rsidP="007E4E69">
      <w:pPr>
        <w:pStyle w:val="SubHeading"/>
        <w:numPr>
          <w:ilvl w:val="0"/>
          <w:numId w:val="0"/>
        </w:numPr>
        <w:outlineLvl w:val="3"/>
      </w:pPr>
      <w:bookmarkStart w:id="439" w:name="_Toc65742858"/>
      <w:bookmarkStart w:id="440" w:name="_Toc145583284"/>
      <w:bookmarkStart w:id="441" w:name="_Toc145949764"/>
      <w:bookmarkStart w:id="442" w:name="_Toc146022846"/>
      <w:bookmarkStart w:id="443" w:name="_Toc146191227"/>
      <w:bookmarkStart w:id="444" w:name="_Toc146195327"/>
      <w:bookmarkStart w:id="445" w:name="_Toc146200296"/>
      <w:bookmarkStart w:id="446" w:name="_Toc146203451"/>
      <w:bookmarkStart w:id="447" w:name="_Toc146538808"/>
      <w:bookmarkStart w:id="448" w:name="_Toc146545545"/>
      <w:bookmarkStart w:id="449" w:name="_Toc147769243"/>
      <w:bookmarkStart w:id="450" w:name="_Toc147834890"/>
      <w:bookmarkStart w:id="451" w:name="_Toc147992031"/>
      <w:bookmarkStart w:id="452" w:name="_Toc148020792"/>
      <w:bookmarkStart w:id="453" w:name="_Toc148108411"/>
      <w:r w:rsidRPr="007C747A">
        <w:t>4.1</w:t>
      </w:r>
      <w:r w:rsidRPr="007C747A">
        <w:tab/>
      </w:r>
      <w:r w:rsidR="00F2518A" w:rsidRPr="007C747A">
        <w:t>Contingent Assets and Liabilities</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0D3E6F91" w14:textId="77777777" w:rsidR="00F2518A" w:rsidRPr="007C747A" w:rsidRDefault="00F2518A" w:rsidP="00F2518A">
      <w:pPr>
        <w:spacing w:after="0" w:line="240" w:lineRule="auto"/>
        <w:rPr>
          <w:rFonts w:ascii="Times New Roman" w:eastAsia="Times New Roman" w:hAnsi="Times New Roman"/>
          <w:sz w:val="22"/>
          <w:szCs w:val="20"/>
          <w:lang w:val="en-AU" w:eastAsia="en-US"/>
        </w:rPr>
      </w:pPr>
    </w:p>
    <w:p w14:paraId="2F4AC1FA" w14:textId="77777777" w:rsidR="00F2518A" w:rsidRPr="007C747A" w:rsidRDefault="00F2518A" w:rsidP="00F2518A">
      <w:pPr>
        <w:spacing w:after="0" w:line="260" w:lineRule="atLeast"/>
        <w:rPr>
          <w:rFonts w:eastAsia="Times New Roman" w:cs="Arial"/>
          <w:b/>
          <w:sz w:val="18"/>
          <w:szCs w:val="18"/>
          <w:u w:val="single"/>
          <w:lang w:val="en-AU" w:eastAsia="en-AU"/>
        </w:rPr>
      </w:pPr>
      <w:r w:rsidRPr="007C747A">
        <w:rPr>
          <w:rFonts w:eastAsia="Times New Roman" w:cs="Arial"/>
          <w:b/>
          <w:sz w:val="18"/>
          <w:szCs w:val="18"/>
          <w:u w:val="single"/>
          <w:lang w:val="en-AU" w:eastAsia="en-AU"/>
        </w:rPr>
        <w:t>Quantifiable Contingencies</w:t>
      </w:r>
    </w:p>
    <w:p w14:paraId="6200656A" w14:textId="77777777" w:rsidR="00F2518A" w:rsidRPr="007C747A" w:rsidRDefault="00F2518A" w:rsidP="00F2518A">
      <w:pPr>
        <w:spacing w:after="0" w:line="260" w:lineRule="atLeast"/>
        <w:rPr>
          <w:rFonts w:eastAsia="Times New Roman" w:cs="Arial"/>
          <w:sz w:val="18"/>
          <w:szCs w:val="18"/>
          <w:lang w:val="en-AU" w:eastAsia="en-AU"/>
        </w:rPr>
      </w:pPr>
      <w:bookmarkStart w:id="454" w:name="_Ref338146507"/>
      <w:r w:rsidRPr="007C747A">
        <w:rPr>
          <w:rFonts w:eastAsia="Times New Roman"/>
          <w:sz w:val="18"/>
          <w:szCs w:val="20"/>
          <w:lang w:val="en-AU" w:eastAsia="en-US"/>
        </w:rPr>
        <w:t xml:space="preserve">As at </w:t>
      </w:r>
      <w:r w:rsidRPr="007C747A">
        <w:rPr>
          <w:rFonts w:eastAsia="Times New Roman"/>
          <w:sz w:val="18"/>
          <w:szCs w:val="20"/>
          <w:lang w:val="en-AU" w:eastAsia="en-US"/>
        </w:rPr>
        <w:fldChar w:fldCharType="begin"/>
      </w:r>
      <w:r w:rsidRPr="007C747A">
        <w:rPr>
          <w:rFonts w:eastAsia="Times New Roman"/>
          <w:sz w:val="18"/>
          <w:szCs w:val="20"/>
          <w:lang w:val="en-AU" w:eastAsia="en-US"/>
        </w:rPr>
        <w:instrText xml:space="preserve"> DOCPROPERTY  pEnd  \* MERGEFORMAT </w:instrText>
      </w:r>
      <w:r w:rsidRPr="007C747A">
        <w:rPr>
          <w:rFonts w:eastAsia="Times New Roman"/>
          <w:sz w:val="18"/>
          <w:szCs w:val="20"/>
          <w:lang w:val="en-AU" w:eastAsia="en-US"/>
        </w:rPr>
        <w:fldChar w:fldCharType="separate"/>
      </w:r>
      <w:r w:rsidRPr="007C747A">
        <w:rPr>
          <w:rFonts w:eastAsia="Times New Roman"/>
          <w:sz w:val="18"/>
          <w:szCs w:val="20"/>
          <w:lang w:val="en-AU" w:eastAsia="en-US"/>
        </w:rPr>
        <w:t>30 June</w:t>
      </w:r>
      <w:r w:rsidRPr="007C747A">
        <w:rPr>
          <w:rFonts w:eastAsia="Times New Roman"/>
          <w:sz w:val="18"/>
          <w:szCs w:val="20"/>
          <w:lang w:val="en-AU" w:eastAsia="en-US"/>
        </w:rPr>
        <w:fldChar w:fldCharType="end"/>
      </w:r>
      <w:r w:rsidRPr="007C747A">
        <w:rPr>
          <w:rFonts w:eastAsia="Times New Roman"/>
          <w:sz w:val="18"/>
          <w:szCs w:val="20"/>
          <w:lang w:val="en-AU" w:eastAsia="en-US"/>
        </w:rPr>
        <w:t xml:space="preserve"> </w:t>
      </w:r>
      <w:r w:rsidRPr="007C747A">
        <w:rPr>
          <w:rFonts w:eastAsia="Times New Roman"/>
          <w:sz w:val="18"/>
          <w:szCs w:val="20"/>
          <w:lang w:val="en-AU" w:eastAsia="en-US"/>
        </w:rPr>
        <w:fldChar w:fldCharType="begin"/>
      </w:r>
      <w:r w:rsidRPr="007C747A">
        <w:rPr>
          <w:rFonts w:eastAsia="Times New Roman"/>
          <w:sz w:val="18"/>
          <w:szCs w:val="20"/>
          <w:lang w:val="en-AU" w:eastAsia="en-US"/>
        </w:rPr>
        <w:instrText xml:space="preserve"> DOCPROPERTY  crYear  \* MERGEFORMAT </w:instrText>
      </w:r>
      <w:r w:rsidRPr="007C747A">
        <w:rPr>
          <w:rFonts w:eastAsia="Times New Roman"/>
          <w:sz w:val="18"/>
          <w:szCs w:val="20"/>
          <w:lang w:val="en-AU" w:eastAsia="en-US"/>
        </w:rPr>
        <w:fldChar w:fldCharType="separate"/>
      </w:r>
      <w:r w:rsidRPr="007C747A">
        <w:rPr>
          <w:rFonts w:eastAsia="Times New Roman"/>
          <w:sz w:val="18"/>
          <w:szCs w:val="20"/>
          <w:lang w:val="en-AU" w:eastAsia="en-US"/>
        </w:rPr>
        <w:t>2023</w:t>
      </w:r>
      <w:r w:rsidRPr="007C747A">
        <w:rPr>
          <w:rFonts w:eastAsia="Times New Roman"/>
          <w:sz w:val="18"/>
          <w:szCs w:val="20"/>
          <w:lang w:val="en-AU" w:eastAsia="en-US"/>
        </w:rPr>
        <w:fldChar w:fldCharType="end"/>
      </w:r>
      <w:r w:rsidRPr="007C747A">
        <w:rPr>
          <w:rFonts w:eastAsia="Times New Roman"/>
          <w:sz w:val="18"/>
          <w:szCs w:val="20"/>
          <w:lang w:val="en-AU" w:eastAsia="en-US"/>
        </w:rPr>
        <w:t>, the Agency had no quantifiable</w:t>
      </w:r>
      <w:r w:rsidRPr="007C747A">
        <w:rPr>
          <w:rFonts w:eastAsia="Times New Roman"/>
          <w:color w:val="C00000"/>
          <w:sz w:val="18"/>
          <w:szCs w:val="20"/>
          <w:lang w:val="en-AU" w:eastAsia="en-US"/>
        </w:rPr>
        <w:t xml:space="preserve"> </w:t>
      </w:r>
      <w:r w:rsidRPr="007C747A">
        <w:rPr>
          <w:rFonts w:eastAsia="Times New Roman"/>
          <w:sz w:val="18"/>
          <w:szCs w:val="20"/>
          <w:lang w:val="en-AU" w:eastAsia="en-US"/>
        </w:rPr>
        <w:t xml:space="preserve">contingent assets or liabilities </w:t>
      </w:r>
      <w:r w:rsidRPr="007C747A">
        <w:rPr>
          <w:rFonts w:eastAsia="Times New Roman" w:cs="Arial"/>
          <w:sz w:val="18"/>
          <w:szCs w:val="18"/>
          <w:lang w:val="en-AU" w:eastAsia="en-AU"/>
        </w:rPr>
        <w:t>(</w:t>
      </w:r>
      <w:r w:rsidRPr="007C747A">
        <w:rPr>
          <w:rFonts w:eastAsia="Times New Roman" w:cs="Arial"/>
          <w:sz w:val="18"/>
          <w:szCs w:val="18"/>
          <w:lang w:val="en-AU" w:eastAsia="en-AU"/>
        </w:rPr>
        <w:fldChar w:fldCharType="begin"/>
      </w:r>
      <w:r w:rsidRPr="007C747A">
        <w:rPr>
          <w:rFonts w:eastAsia="Times New Roman" w:cs="Arial"/>
          <w:sz w:val="18"/>
          <w:szCs w:val="18"/>
          <w:lang w:val="en-AU" w:eastAsia="en-AU"/>
        </w:rPr>
        <w:instrText xml:space="preserve"> DOCPROPERTY  prYear  \* MERGEFORMAT </w:instrText>
      </w:r>
      <w:r w:rsidRPr="007C747A">
        <w:rPr>
          <w:rFonts w:eastAsia="Times New Roman" w:cs="Arial"/>
          <w:sz w:val="18"/>
          <w:szCs w:val="18"/>
          <w:lang w:val="en-AU" w:eastAsia="en-AU"/>
        </w:rPr>
        <w:fldChar w:fldCharType="separate"/>
      </w:r>
      <w:r w:rsidRPr="007C747A">
        <w:rPr>
          <w:rFonts w:eastAsia="Times New Roman" w:cs="Arial"/>
          <w:sz w:val="18"/>
          <w:szCs w:val="18"/>
          <w:lang w:val="en-AU" w:eastAsia="en-AU"/>
        </w:rPr>
        <w:t>2022</w:t>
      </w:r>
      <w:r w:rsidRPr="007C747A">
        <w:rPr>
          <w:rFonts w:eastAsia="Times New Roman" w:cs="Arial"/>
          <w:sz w:val="18"/>
          <w:szCs w:val="18"/>
          <w:lang w:val="en-AU" w:eastAsia="en-AU"/>
        </w:rPr>
        <w:fldChar w:fldCharType="end"/>
      </w:r>
      <w:r w:rsidRPr="007C747A">
        <w:rPr>
          <w:rFonts w:eastAsia="Times New Roman" w:cs="Arial"/>
          <w:sz w:val="18"/>
          <w:szCs w:val="18"/>
          <w:lang w:val="en-AU" w:eastAsia="en-AU"/>
        </w:rPr>
        <w:t>: $Nil).</w:t>
      </w:r>
    </w:p>
    <w:p w14:paraId="443F8C4B" w14:textId="77777777" w:rsidR="00F2518A" w:rsidRPr="007C747A" w:rsidRDefault="00F2518A" w:rsidP="00F2518A">
      <w:pPr>
        <w:spacing w:after="0" w:line="260" w:lineRule="atLeast"/>
        <w:rPr>
          <w:rFonts w:eastAsia="Times New Roman" w:cs="Arial"/>
          <w:b/>
          <w:sz w:val="18"/>
          <w:szCs w:val="18"/>
          <w:u w:val="single"/>
          <w:lang w:val="en-AU" w:eastAsia="en-AU"/>
        </w:rPr>
      </w:pPr>
    </w:p>
    <w:p w14:paraId="54F5EB97" w14:textId="77777777" w:rsidR="00F2518A" w:rsidRPr="007C747A" w:rsidRDefault="00F2518A" w:rsidP="00F2518A">
      <w:pPr>
        <w:spacing w:after="0" w:line="260" w:lineRule="atLeast"/>
        <w:rPr>
          <w:rFonts w:eastAsia="Times New Roman" w:cs="Arial"/>
          <w:b/>
          <w:sz w:val="18"/>
          <w:szCs w:val="18"/>
          <w:u w:val="single"/>
          <w:lang w:val="en-AU" w:eastAsia="en-AU"/>
        </w:rPr>
      </w:pPr>
      <w:r w:rsidRPr="007C747A">
        <w:rPr>
          <w:rFonts w:eastAsia="Times New Roman" w:cs="Arial"/>
          <w:b/>
          <w:sz w:val="18"/>
          <w:szCs w:val="18"/>
          <w:u w:val="single"/>
          <w:lang w:val="en-AU" w:eastAsia="en-AU"/>
        </w:rPr>
        <w:t>Unquantifiable Contingencies</w:t>
      </w:r>
    </w:p>
    <w:p w14:paraId="795BF198" w14:textId="77777777" w:rsidR="00F2518A" w:rsidRPr="007C747A" w:rsidRDefault="00F2518A" w:rsidP="00F2518A">
      <w:pPr>
        <w:spacing w:after="0" w:line="260" w:lineRule="atLeast"/>
        <w:rPr>
          <w:rFonts w:eastAsia="Times New Roman" w:cs="Arial"/>
          <w:b/>
          <w:i/>
          <w:sz w:val="22"/>
          <w:szCs w:val="22"/>
          <w:u w:val="single"/>
          <w:lang w:val="en-AU" w:eastAsia="en-US"/>
        </w:rPr>
      </w:pPr>
      <w:r w:rsidRPr="007C747A">
        <w:rPr>
          <w:rFonts w:eastAsia="Times New Roman"/>
          <w:i/>
          <w:sz w:val="18"/>
          <w:szCs w:val="20"/>
          <w:u w:val="single"/>
          <w:lang w:val="en-AU" w:eastAsia="en-US"/>
        </w:rPr>
        <w:t>Contingent</w:t>
      </w:r>
      <w:r w:rsidRPr="007C747A">
        <w:rPr>
          <w:rFonts w:eastAsia="Times New Roman" w:cs="Arial"/>
          <w:b/>
          <w:i/>
          <w:sz w:val="22"/>
          <w:szCs w:val="22"/>
          <w:u w:val="single"/>
          <w:lang w:val="en-AU" w:eastAsia="en-US"/>
        </w:rPr>
        <w:t xml:space="preserve"> </w:t>
      </w:r>
      <w:r w:rsidRPr="007C747A">
        <w:rPr>
          <w:rFonts w:eastAsia="Times New Roman" w:cs="Arial"/>
          <w:i/>
          <w:sz w:val="18"/>
          <w:szCs w:val="18"/>
          <w:u w:val="single"/>
          <w:lang w:val="en-AU" w:eastAsia="en-US"/>
        </w:rPr>
        <w:t>asset</w:t>
      </w:r>
      <w:r w:rsidRPr="007C747A">
        <w:rPr>
          <w:rFonts w:eastAsia="Times New Roman" w:cs="Arial"/>
          <w:b/>
          <w:i/>
          <w:sz w:val="22"/>
          <w:szCs w:val="22"/>
          <w:u w:val="single"/>
          <w:lang w:val="en-AU" w:eastAsia="en-US"/>
        </w:rPr>
        <w:t xml:space="preserve"> </w:t>
      </w:r>
      <w:r w:rsidRPr="007C747A">
        <w:rPr>
          <w:rFonts w:eastAsia="Times New Roman" w:cs="Arial"/>
          <w:i/>
          <w:sz w:val="18"/>
          <w:szCs w:val="18"/>
          <w:u w:val="single"/>
          <w:lang w:val="en-AU" w:eastAsia="en-US"/>
        </w:rPr>
        <w:t>–</w:t>
      </w:r>
      <w:r w:rsidRPr="007C747A">
        <w:rPr>
          <w:rFonts w:eastAsia="Times New Roman" w:cs="Arial"/>
          <w:b/>
          <w:i/>
          <w:sz w:val="22"/>
          <w:szCs w:val="22"/>
          <w:u w:val="single"/>
          <w:lang w:val="en-AU" w:eastAsia="en-US"/>
        </w:rPr>
        <w:t xml:space="preserve"> </w:t>
      </w:r>
      <w:r w:rsidRPr="007C747A">
        <w:rPr>
          <w:rFonts w:eastAsia="Times New Roman" w:cs="Arial"/>
          <w:i/>
          <w:sz w:val="18"/>
          <w:szCs w:val="18"/>
          <w:u w:val="single"/>
          <w:lang w:val="en-AU" w:eastAsia="en-US"/>
        </w:rPr>
        <w:t>Compensation</w:t>
      </w:r>
      <w:r w:rsidRPr="007C747A">
        <w:rPr>
          <w:rFonts w:eastAsia="Times New Roman" w:cs="Arial"/>
          <w:b/>
          <w:i/>
          <w:sz w:val="22"/>
          <w:szCs w:val="22"/>
          <w:u w:val="single"/>
          <w:lang w:val="en-AU" w:eastAsia="en-US"/>
        </w:rPr>
        <w:t xml:space="preserve"> </w:t>
      </w:r>
      <w:r w:rsidRPr="007C747A">
        <w:rPr>
          <w:rFonts w:eastAsia="Times New Roman"/>
          <w:i/>
          <w:sz w:val="18"/>
          <w:szCs w:val="20"/>
          <w:u w:val="single"/>
          <w:lang w:val="en-AU" w:eastAsia="en-US"/>
        </w:rPr>
        <w:t>recoveries</w:t>
      </w:r>
    </w:p>
    <w:p w14:paraId="57504A1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sz w:val="18"/>
          <w:szCs w:val="20"/>
          <w:lang w:val="en-AU" w:eastAsia="en-US"/>
        </w:rPr>
        <w:t>There</w:t>
      </w:r>
      <w:r w:rsidRPr="007C747A">
        <w:rPr>
          <w:rFonts w:eastAsia="Times New Roman" w:cs="Arial"/>
          <w:i/>
          <w:sz w:val="22"/>
          <w:szCs w:val="22"/>
          <w:lang w:val="en-AU" w:eastAsia="en-US"/>
        </w:rPr>
        <w:t xml:space="preserve"> </w:t>
      </w:r>
      <w:r w:rsidRPr="007C747A">
        <w:rPr>
          <w:rFonts w:eastAsia="Times New Roman" w:cs="Arial"/>
          <w:sz w:val="18"/>
          <w:szCs w:val="18"/>
          <w:lang w:val="en-AU" w:eastAsia="en-US"/>
        </w:rPr>
        <w:t xml:space="preserve">are provisions set out in the Act and the NDIS Compensation Rules that allow the Agency to recover amounts of compensation that have been paid to, or given up by, Scheme participants. These provisions apply to a number of Scheme participant plans, for which compensation recovery decisions have not yet been made at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pEnd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30 June</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crYear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2023</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A number of potential compensation cases are in progress at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pEnd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30 June</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xml:space="preserve"> </w:t>
      </w:r>
      <w:r w:rsidRPr="007C747A">
        <w:rPr>
          <w:rFonts w:eastAsia="Times New Roman" w:cs="Arial"/>
          <w:sz w:val="18"/>
          <w:szCs w:val="18"/>
          <w:lang w:val="en-AU" w:eastAsia="en-US"/>
        </w:rPr>
        <w:fldChar w:fldCharType="begin"/>
      </w:r>
      <w:r w:rsidRPr="007C747A">
        <w:rPr>
          <w:rFonts w:eastAsia="Times New Roman" w:cs="Arial"/>
          <w:sz w:val="18"/>
          <w:szCs w:val="18"/>
          <w:lang w:val="en-AU" w:eastAsia="en-US"/>
        </w:rPr>
        <w:instrText xml:space="preserve"> DOCPROPERTY  crYear  \* MERGEFORMAT </w:instrText>
      </w:r>
      <w:r w:rsidRPr="007C747A">
        <w:rPr>
          <w:rFonts w:eastAsia="Times New Roman" w:cs="Arial"/>
          <w:sz w:val="18"/>
          <w:szCs w:val="18"/>
          <w:lang w:val="en-AU" w:eastAsia="en-US"/>
        </w:rPr>
        <w:fldChar w:fldCharType="separate"/>
      </w:r>
      <w:r w:rsidRPr="007C747A">
        <w:rPr>
          <w:rFonts w:eastAsia="Times New Roman" w:cs="Arial"/>
          <w:sz w:val="18"/>
          <w:szCs w:val="18"/>
          <w:lang w:val="en-AU" w:eastAsia="en-US"/>
        </w:rPr>
        <w:t>2023</w:t>
      </w:r>
      <w:r w:rsidRPr="007C747A">
        <w:rPr>
          <w:rFonts w:eastAsia="Times New Roman" w:cs="Arial"/>
          <w:sz w:val="18"/>
          <w:szCs w:val="18"/>
          <w:lang w:val="en-AU" w:eastAsia="en-US"/>
        </w:rPr>
        <w:fldChar w:fldCharType="end"/>
      </w:r>
      <w:r w:rsidRPr="007C747A">
        <w:rPr>
          <w:rFonts w:eastAsia="Times New Roman" w:cs="Arial"/>
          <w:sz w:val="18"/>
          <w:szCs w:val="18"/>
          <w:lang w:val="en-AU" w:eastAsia="en-US"/>
        </w:rPr>
        <w:t>, which may result in future compensation recoveries by the Agency. Due to the unique circumstances of each case, the Agency is currently unable to estimate the amount that may be recoverable from these cases. These amounts will be recognised as income in future periods when the relevant recognition criteria are met. The accounting policy for compensation receipts is included in Note 1.2C.</w:t>
      </w:r>
    </w:p>
    <w:p w14:paraId="3E36D6D4" w14:textId="77777777" w:rsidR="00F2518A" w:rsidRPr="007C747A" w:rsidRDefault="00F2518A" w:rsidP="00F2518A">
      <w:pPr>
        <w:spacing w:after="0" w:line="260" w:lineRule="atLeast"/>
        <w:rPr>
          <w:rFonts w:eastAsia="Times New Roman" w:cs="Arial"/>
          <w:sz w:val="18"/>
          <w:szCs w:val="18"/>
          <w:lang w:val="en-AU" w:eastAsia="en-AU"/>
        </w:rPr>
      </w:pPr>
    </w:p>
    <w:p w14:paraId="58DC5CA1" w14:textId="77777777" w:rsidR="00F2518A" w:rsidRPr="007C747A" w:rsidRDefault="00F2518A" w:rsidP="00F2518A">
      <w:pPr>
        <w:spacing w:after="0" w:line="260" w:lineRule="atLeast"/>
        <w:rPr>
          <w:rFonts w:eastAsia="Times New Roman" w:cs="Arial"/>
          <w:i/>
          <w:sz w:val="18"/>
          <w:szCs w:val="18"/>
          <w:u w:val="single"/>
          <w:lang w:val="en-AU" w:eastAsia="en-AU"/>
        </w:rPr>
      </w:pPr>
      <w:r w:rsidRPr="007C747A">
        <w:rPr>
          <w:rFonts w:eastAsia="Times New Roman" w:cs="Arial"/>
          <w:i/>
          <w:sz w:val="18"/>
          <w:szCs w:val="18"/>
          <w:u w:val="single"/>
          <w:lang w:val="en-AU" w:eastAsia="en-AU"/>
        </w:rPr>
        <w:t>Contingent liabilities</w:t>
      </w:r>
    </w:p>
    <w:p w14:paraId="18DA6F9F" w14:textId="77777777" w:rsidR="00F2518A" w:rsidRPr="007C747A" w:rsidRDefault="00F2518A" w:rsidP="00F2518A">
      <w:pPr>
        <w:spacing w:after="0" w:line="260" w:lineRule="atLeast"/>
        <w:rPr>
          <w:rFonts w:eastAsia="Times New Roman" w:cs="Arial"/>
          <w:iCs/>
          <w:sz w:val="18"/>
          <w:szCs w:val="18"/>
          <w:lang w:val="en-AU" w:eastAsia="en-US"/>
        </w:rPr>
      </w:pPr>
      <w:r w:rsidRPr="007C747A">
        <w:rPr>
          <w:rFonts w:eastAsia="Times New Roman" w:cs="Arial"/>
          <w:iCs/>
          <w:sz w:val="18"/>
          <w:szCs w:val="18"/>
          <w:lang w:val="en-AU" w:eastAsia="en-US"/>
        </w:rPr>
        <w:t xml:space="preserve">As at </w:t>
      </w:r>
      <w:r w:rsidRPr="007C747A">
        <w:rPr>
          <w:rFonts w:eastAsia="Times New Roman" w:cs="Arial"/>
          <w:iCs/>
          <w:sz w:val="18"/>
          <w:szCs w:val="18"/>
          <w:lang w:val="en-AU" w:eastAsia="en-US"/>
        </w:rPr>
        <w:fldChar w:fldCharType="begin"/>
      </w:r>
      <w:r w:rsidRPr="007C747A">
        <w:rPr>
          <w:rFonts w:eastAsia="Times New Roman" w:cs="Arial"/>
          <w:iCs/>
          <w:sz w:val="18"/>
          <w:szCs w:val="18"/>
          <w:lang w:val="en-AU" w:eastAsia="en-US"/>
        </w:rPr>
        <w:instrText xml:space="preserve"> DOCPROPERTY  pEnd  \* MERGEFORMAT </w:instrText>
      </w:r>
      <w:r w:rsidRPr="007C747A">
        <w:rPr>
          <w:rFonts w:eastAsia="Times New Roman" w:cs="Arial"/>
          <w:iCs/>
          <w:sz w:val="18"/>
          <w:szCs w:val="18"/>
          <w:lang w:val="en-AU" w:eastAsia="en-US"/>
        </w:rPr>
        <w:fldChar w:fldCharType="separate"/>
      </w:r>
      <w:r w:rsidRPr="007C747A">
        <w:rPr>
          <w:rFonts w:eastAsia="Times New Roman" w:cs="Arial"/>
          <w:iCs/>
          <w:sz w:val="18"/>
          <w:szCs w:val="18"/>
          <w:lang w:val="en-AU" w:eastAsia="en-US"/>
        </w:rPr>
        <w:t>30 June</w:t>
      </w:r>
      <w:r w:rsidRPr="007C747A">
        <w:rPr>
          <w:rFonts w:eastAsia="Times New Roman" w:cs="Arial"/>
          <w:iCs/>
          <w:sz w:val="18"/>
          <w:szCs w:val="18"/>
          <w:lang w:val="en-AU" w:eastAsia="en-US"/>
        </w:rPr>
        <w:fldChar w:fldCharType="end"/>
      </w:r>
      <w:r w:rsidRPr="007C747A">
        <w:rPr>
          <w:rFonts w:eastAsia="Times New Roman" w:cs="Arial"/>
          <w:iCs/>
          <w:sz w:val="18"/>
          <w:szCs w:val="18"/>
          <w:lang w:val="en-AU" w:eastAsia="en-US"/>
        </w:rPr>
        <w:t xml:space="preserve"> </w:t>
      </w:r>
      <w:r w:rsidRPr="007C747A">
        <w:rPr>
          <w:rFonts w:eastAsia="Times New Roman" w:cs="Arial"/>
          <w:iCs/>
          <w:sz w:val="18"/>
          <w:szCs w:val="18"/>
          <w:lang w:val="en-AU" w:eastAsia="en-US"/>
        </w:rPr>
        <w:fldChar w:fldCharType="begin"/>
      </w:r>
      <w:r w:rsidRPr="007C747A">
        <w:rPr>
          <w:rFonts w:eastAsia="Times New Roman" w:cs="Arial"/>
          <w:iCs/>
          <w:sz w:val="18"/>
          <w:szCs w:val="18"/>
          <w:lang w:val="en-AU" w:eastAsia="en-US"/>
        </w:rPr>
        <w:instrText xml:space="preserve"> DOCPROPERTY  crYear  \* MERGEFORMAT </w:instrText>
      </w:r>
      <w:r w:rsidRPr="007C747A">
        <w:rPr>
          <w:rFonts w:eastAsia="Times New Roman" w:cs="Arial"/>
          <w:iCs/>
          <w:sz w:val="18"/>
          <w:szCs w:val="18"/>
          <w:lang w:val="en-AU" w:eastAsia="en-US"/>
        </w:rPr>
        <w:fldChar w:fldCharType="separate"/>
      </w:r>
      <w:r w:rsidRPr="007C747A">
        <w:rPr>
          <w:rFonts w:eastAsia="Times New Roman" w:cs="Arial"/>
          <w:iCs/>
          <w:sz w:val="18"/>
          <w:szCs w:val="18"/>
          <w:lang w:val="en-AU" w:eastAsia="en-US"/>
        </w:rPr>
        <w:t>2023</w:t>
      </w:r>
      <w:r w:rsidRPr="007C747A">
        <w:rPr>
          <w:rFonts w:eastAsia="Times New Roman" w:cs="Arial"/>
          <w:iCs/>
          <w:sz w:val="18"/>
          <w:szCs w:val="18"/>
          <w:lang w:val="en-AU" w:eastAsia="en-US"/>
        </w:rPr>
        <w:fldChar w:fldCharType="end"/>
      </w:r>
      <w:r w:rsidRPr="007C747A">
        <w:rPr>
          <w:rFonts w:eastAsia="Times New Roman" w:cs="Arial"/>
          <w:iCs/>
          <w:sz w:val="18"/>
          <w:szCs w:val="18"/>
          <w:lang w:val="en-AU" w:eastAsia="en-US"/>
        </w:rPr>
        <w:t>, the Agency has a contract with a supplier which includes unquantifiable contingent liabilities. These relate to the indemnification of the supplier for expenses arising from alleged or actual violations of any third-party rights arising from the Agency’s data, alleged or actual use or misuse of the supplier’s intellectual property, software, and subscriptions. The Agency has assessed that it is unlikely that events crystallising these contingent liabilities will occur.</w:t>
      </w:r>
    </w:p>
    <w:p w14:paraId="0EF8E628" w14:textId="77777777" w:rsidR="00F2518A" w:rsidRPr="007C747A" w:rsidRDefault="00F2518A" w:rsidP="00F2518A">
      <w:pPr>
        <w:spacing w:after="0" w:line="260" w:lineRule="atLeast"/>
        <w:rPr>
          <w:rFonts w:eastAsia="Times New Roman" w:cs="Arial"/>
          <w:iCs/>
          <w:sz w:val="18"/>
          <w:szCs w:val="18"/>
          <w:u w:val="single"/>
          <w:lang w:val="en-AU" w:eastAsia="en-US"/>
        </w:rPr>
      </w:pPr>
    </w:p>
    <w:p w14:paraId="7DA23344" w14:textId="77777777" w:rsidR="00F2518A" w:rsidRPr="007C747A" w:rsidRDefault="00F2518A" w:rsidP="00F2518A">
      <w:pPr>
        <w:spacing w:after="0" w:line="260" w:lineRule="atLeast"/>
        <w:rPr>
          <w:rFonts w:eastAsia="Times New Roman" w:cs="Arial"/>
          <w:iCs/>
          <w:sz w:val="18"/>
          <w:szCs w:val="18"/>
          <w:lang w:val="en-AU" w:eastAsia="en-US"/>
        </w:rPr>
      </w:pPr>
      <w:r w:rsidRPr="007C747A">
        <w:rPr>
          <w:rFonts w:eastAsia="Times New Roman" w:cs="Arial"/>
          <w:iCs/>
          <w:sz w:val="18"/>
          <w:szCs w:val="18"/>
          <w:lang w:val="en-AU" w:eastAsia="en-US"/>
        </w:rPr>
        <w:t>During 2022–23, the Agency was involved in a number of cases before the Administrative Appeals Tribunal. It is not possible to estimate the amounts of any eventual payments that may be required in relation to these claims.</w:t>
      </w:r>
    </w:p>
    <w:p w14:paraId="5295B462" w14:textId="77777777" w:rsidR="00F2518A" w:rsidRPr="007C747A" w:rsidRDefault="00F2518A" w:rsidP="00F2518A">
      <w:pPr>
        <w:spacing w:after="0" w:line="260" w:lineRule="atLeast"/>
        <w:rPr>
          <w:rFonts w:eastAsia="Times New Roman" w:cs="Arial"/>
          <w:sz w:val="18"/>
          <w:szCs w:val="18"/>
          <w:lang w:val="en-AU" w:eastAsia="en-AU"/>
        </w:rPr>
      </w:pPr>
    </w:p>
    <w:p w14:paraId="5435F708"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Accounting Policy </w:t>
      </w:r>
    </w:p>
    <w:p w14:paraId="3552C92B"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US"/>
        </w:rPr>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43FC599A" w14:textId="77777777" w:rsidR="00F2518A" w:rsidRPr="007C747A" w:rsidRDefault="00F2518A" w:rsidP="00F2518A">
      <w:pPr>
        <w:spacing w:after="0" w:line="240" w:lineRule="auto"/>
        <w:rPr>
          <w:rFonts w:eastAsia="Times New Roman" w:cs="Arial"/>
          <w:sz w:val="18"/>
          <w:szCs w:val="18"/>
          <w:lang w:val="en-AU" w:eastAsia="en-AU"/>
        </w:rPr>
      </w:pPr>
      <w:r w:rsidRPr="007C747A">
        <w:rPr>
          <w:rFonts w:eastAsia="Times New Roman" w:cs="Arial"/>
          <w:sz w:val="18"/>
          <w:szCs w:val="18"/>
          <w:lang w:val="en-AU" w:eastAsia="en-AU"/>
        </w:rPr>
        <w:br w:type="page"/>
      </w:r>
    </w:p>
    <w:p w14:paraId="430640C3" w14:textId="77777777" w:rsidR="00F2518A" w:rsidRPr="007C747A" w:rsidRDefault="00F2518A" w:rsidP="007E4E69">
      <w:pPr>
        <w:pStyle w:val="SubHeading"/>
        <w:ind w:left="357" w:hanging="357"/>
        <w:outlineLvl w:val="3"/>
      </w:pPr>
      <w:bookmarkStart w:id="455" w:name="_Toc443469549"/>
      <w:bookmarkStart w:id="456" w:name="_Toc444065804"/>
      <w:bookmarkStart w:id="457" w:name="_Toc444080001"/>
      <w:bookmarkStart w:id="458" w:name="_Toc447030550"/>
      <w:bookmarkStart w:id="459" w:name="_Toc447030702"/>
      <w:bookmarkStart w:id="460" w:name="_Toc447030795"/>
      <w:bookmarkStart w:id="461" w:name="_Toc65742859"/>
      <w:bookmarkStart w:id="462" w:name="_Toc145583285"/>
      <w:bookmarkStart w:id="463" w:name="_Toc145949765"/>
      <w:bookmarkStart w:id="464" w:name="_Toc146022847"/>
      <w:bookmarkStart w:id="465" w:name="_Toc146191228"/>
      <w:bookmarkStart w:id="466" w:name="_Toc146195328"/>
      <w:bookmarkStart w:id="467" w:name="_Toc146200297"/>
      <w:bookmarkStart w:id="468" w:name="_Toc146203452"/>
      <w:bookmarkStart w:id="469" w:name="_Toc146538809"/>
      <w:bookmarkStart w:id="470" w:name="_Toc146545546"/>
      <w:bookmarkStart w:id="471" w:name="_Toc147769244"/>
      <w:bookmarkStart w:id="472" w:name="_Toc147834891"/>
      <w:bookmarkStart w:id="473" w:name="_Toc147992032"/>
      <w:bookmarkStart w:id="474" w:name="_Toc148020793"/>
      <w:bookmarkStart w:id="475" w:name="_Toc148108412"/>
      <w:r w:rsidRPr="007C747A">
        <w:t>Financial Instruments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tbl>
      <w:tblPr>
        <w:tblW w:w="9087" w:type="dxa"/>
        <w:tblLayout w:type="fixed"/>
        <w:tblLook w:val="04A0" w:firstRow="1" w:lastRow="0" w:firstColumn="1" w:lastColumn="0" w:noHBand="0" w:noVBand="1"/>
      </w:tblPr>
      <w:tblGrid>
        <w:gridCol w:w="6357"/>
        <w:gridCol w:w="1251"/>
        <w:gridCol w:w="236"/>
        <w:gridCol w:w="1243"/>
      </w:tblGrid>
      <w:tr w:rsidR="00F2518A" w:rsidRPr="007C747A" w14:paraId="4E08569D" w14:textId="77777777">
        <w:trPr>
          <w:trHeight w:val="250"/>
        </w:trPr>
        <w:tc>
          <w:tcPr>
            <w:tcW w:w="6357" w:type="dxa"/>
            <w:tcBorders>
              <w:top w:val="nil"/>
              <w:left w:val="nil"/>
              <w:bottom w:val="nil"/>
              <w:right w:val="nil"/>
            </w:tcBorders>
            <w:shd w:val="clear" w:color="FFFFFF" w:fill="FFFFFF"/>
            <w:noWrap/>
            <w:vAlign w:val="bottom"/>
            <w:hideMark/>
          </w:tcPr>
          <w:p w14:paraId="61EF4E2E" w14:textId="77777777" w:rsidR="00F2518A" w:rsidRPr="007C747A" w:rsidRDefault="00F2518A" w:rsidP="00F2518A">
            <w:pPr>
              <w:spacing w:after="0" w:line="260" w:lineRule="atLeast"/>
              <w:rPr>
                <w:rFonts w:eastAsia="Times New Roman" w:cs="Arial"/>
                <w:sz w:val="18"/>
                <w:szCs w:val="18"/>
                <w:lang w:val="en-AU" w:eastAsia="en-US"/>
              </w:rPr>
            </w:pPr>
            <w:bookmarkStart w:id="476" w:name="Note_FIATABLE1" w:colFirst="0" w:colLast="0"/>
            <w:r w:rsidRPr="007C747A">
              <w:rPr>
                <w:rFonts w:eastAsia="Times New Roman" w:cs="Arial"/>
                <w:sz w:val="18"/>
                <w:szCs w:val="18"/>
                <w:lang w:val="en-AU" w:eastAsia="en-US"/>
              </w:rPr>
              <w:t> </w:t>
            </w:r>
          </w:p>
        </w:tc>
        <w:tc>
          <w:tcPr>
            <w:tcW w:w="1251" w:type="dxa"/>
            <w:tcBorders>
              <w:top w:val="nil"/>
              <w:left w:val="nil"/>
              <w:bottom w:val="nil"/>
              <w:right w:val="nil"/>
            </w:tcBorders>
            <w:shd w:val="clear" w:color="FFFFFF" w:fill="FFFFFF"/>
            <w:vAlign w:val="bottom"/>
            <w:hideMark/>
          </w:tcPr>
          <w:p w14:paraId="349736A5" w14:textId="317B1830"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00E41EEB" w:rsidRPr="007C747A">
              <w:rPr>
                <w:rFonts w:eastAsia="Times New Roman" w:cs="Arial"/>
                <w:b/>
                <w:bCs/>
                <w:sz w:val="18"/>
                <w:szCs w:val="18"/>
                <w:lang w:val="en-AU" w:eastAsia="en-US"/>
              </w:rPr>
              <w:br/>
              <w:t>$'000</w:t>
            </w:r>
          </w:p>
        </w:tc>
        <w:tc>
          <w:tcPr>
            <w:tcW w:w="236" w:type="dxa"/>
            <w:tcBorders>
              <w:top w:val="nil"/>
              <w:left w:val="nil"/>
              <w:bottom w:val="nil"/>
              <w:right w:val="nil"/>
            </w:tcBorders>
            <w:shd w:val="clear" w:color="FFFFFF" w:fill="FFFFFF"/>
            <w:noWrap/>
            <w:vAlign w:val="bottom"/>
            <w:hideMark/>
          </w:tcPr>
          <w:p w14:paraId="28181C0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vAlign w:val="bottom"/>
            <w:hideMark/>
          </w:tcPr>
          <w:p w14:paraId="3FF8FCD5" w14:textId="2A76E1C6"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00E41EEB" w:rsidRPr="007C747A">
              <w:rPr>
                <w:rFonts w:eastAsia="Times New Roman" w:cs="Arial"/>
                <w:sz w:val="18"/>
                <w:szCs w:val="18"/>
                <w:lang w:val="en-AU" w:eastAsia="en-US"/>
              </w:rPr>
              <w:br/>
              <w:t>$'000</w:t>
            </w:r>
          </w:p>
        </w:tc>
      </w:tr>
      <w:bookmarkEnd w:id="476"/>
      <w:tr w:rsidR="00F2518A" w:rsidRPr="007C747A" w14:paraId="7C689C57" w14:textId="77777777">
        <w:trPr>
          <w:trHeight w:val="260"/>
        </w:trPr>
        <w:tc>
          <w:tcPr>
            <w:tcW w:w="6357" w:type="dxa"/>
            <w:tcBorders>
              <w:top w:val="nil"/>
              <w:left w:val="nil"/>
              <w:bottom w:val="nil"/>
              <w:right w:val="nil"/>
            </w:tcBorders>
            <w:shd w:val="clear" w:color="FFFFFF" w:fill="FFFFFF"/>
            <w:noWrap/>
            <w:vAlign w:val="bottom"/>
            <w:hideMark/>
          </w:tcPr>
          <w:p w14:paraId="7C8E81D5"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4.2A: Categories of financial instruments</w:t>
            </w:r>
          </w:p>
        </w:tc>
        <w:tc>
          <w:tcPr>
            <w:tcW w:w="1251" w:type="dxa"/>
            <w:tcBorders>
              <w:top w:val="nil"/>
              <w:left w:val="nil"/>
              <w:bottom w:val="nil"/>
              <w:right w:val="nil"/>
            </w:tcBorders>
            <w:shd w:val="clear" w:color="FFFFFF" w:fill="FFFFFF"/>
            <w:noWrap/>
            <w:vAlign w:val="bottom"/>
            <w:hideMark/>
          </w:tcPr>
          <w:p w14:paraId="0217C18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4689A0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1BEA090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5EC7A8A" w14:textId="77777777">
        <w:trPr>
          <w:trHeight w:val="260"/>
        </w:trPr>
        <w:tc>
          <w:tcPr>
            <w:tcW w:w="6357" w:type="dxa"/>
            <w:tcBorders>
              <w:top w:val="nil"/>
              <w:left w:val="nil"/>
              <w:bottom w:val="nil"/>
              <w:right w:val="nil"/>
            </w:tcBorders>
            <w:shd w:val="clear" w:color="FFFFFF" w:fill="FFFFFF"/>
            <w:vAlign w:val="bottom"/>
            <w:hideMark/>
          </w:tcPr>
          <w:p w14:paraId="5442B72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Financial assets at amortised cost</w:t>
            </w:r>
          </w:p>
        </w:tc>
        <w:tc>
          <w:tcPr>
            <w:tcW w:w="1251" w:type="dxa"/>
            <w:tcBorders>
              <w:top w:val="nil"/>
              <w:left w:val="nil"/>
              <w:bottom w:val="nil"/>
              <w:right w:val="nil"/>
            </w:tcBorders>
            <w:shd w:val="clear" w:color="FFFFFF" w:fill="FFFFFF"/>
            <w:noWrap/>
            <w:vAlign w:val="bottom"/>
            <w:hideMark/>
          </w:tcPr>
          <w:p w14:paraId="1E79559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FD6714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50C58E2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E9D28FA" w14:textId="77777777">
        <w:trPr>
          <w:trHeight w:val="250"/>
        </w:trPr>
        <w:tc>
          <w:tcPr>
            <w:tcW w:w="6357" w:type="dxa"/>
            <w:tcBorders>
              <w:top w:val="nil"/>
              <w:left w:val="nil"/>
              <w:bottom w:val="nil"/>
              <w:right w:val="nil"/>
            </w:tcBorders>
            <w:shd w:val="clear" w:color="FFFFFF" w:fill="FFFFFF"/>
            <w:noWrap/>
            <w:vAlign w:val="bottom"/>
            <w:hideMark/>
          </w:tcPr>
          <w:p w14:paraId="1C25D55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Cash and cash equivalents</w:t>
            </w:r>
          </w:p>
        </w:tc>
        <w:tc>
          <w:tcPr>
            <w:tcW w:w="1251" w:type="dxa"/>
            <w:tcBorders>
              <w:top w:val="nil"/>
              <w:left w:val="nil"/>
              <w:bottom w:val="nil"/>
              <w:right w:val="nil"/>
            </w:tcBorders>
            <w:shd w:val="clear" w:color="FFFFFF" w:fill="FFFFFF"/>
            <w:noWrap/>
            <w:vAlign w:val="bottom"/>
            <w:hideMark/>
          </w:tcPr>
          <w:p w14:paraId="7275BF2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2,729,779</w:t>
            </w:r>
          </w:p>
        </w:tc>
        <w:tc>
          <w:tcPr>
            <w:tcW w:w="236" w:type="dxa"/>
            <w:tcBorders>
              <w:top w:val="nil"/>
              <w:left w:val="nil"/>
              <w:bottom w:val="nil"/>
              <w:right w:val="nil"/>
            </w:tcBorders>
            <w:shd w:val="clear" w:color="FFFFFF" w:fill="FFFFFF"/>
            <w:noWrap/>
            <w:vAlign w:val="bottom"/>
            <w:hideMark/>
          </w:tcPr>
          <w:p w14:paraId="2A32E12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CF498F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1,918,956</w:t>
            </w:r>
          </w:p>
        </w:tc>
      </w:tr>
      <w:tr w:rsidR="00F2518A" w:rsidRPr="007C747A" w14:paraId="65205874" w14:textId="77777777">
        <w:trPr>
          <w:trHeight w:val="250"/>
        </w:trPr>
        <w:tc>
          <w:tcPr>
            <w:tcW w:w="6357" w:type="dxa"/>
            <w:tcBorders>
              <w:top w:val="nil"/>
              <w:left w:val="nil"/>
              <w:bottom w:val="nil"/>
              <w:right w:val="nil"/>
            </w:tcBorders>
            <w:shd w:val="clear" w:color="FFFFFF" w:fill="FFFFFF"/>
            <w:noWrap/>
            <w:vAlign w:val="bottom"/>
            <w:hideMark/>
          </w:tcPr>
          <w:p w14:paraId="7E39D25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receivables</w:t>
            </w:r>
          </w:p>
        </w:tc>
        <w:tc>
          <w:tcPr>
            <w:tcW w:w="1251" w:type="dxa"/>
            <w:tcBorders>
              <w:top w:val="nil"/>
              <w:left w:val="nil"/>
              <w:bottom w:val="nil"/>
              <w:right w:val="nil"/>
            </w:tcBorders>
            <w:shd w:val="clear" w:color="FFFFFF" w:fill="FFFFFF"/>
            <w:noWrap/>
            <w:vAlign w:val="bottom"/>
            <w:hideMark/>
          </w:tcPr>
          <w:p w14:paraId="0B4827E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68,553</w:t>
            </w:r>
          </w:p>
        </w:tc>
        <w:tc>
          <w:tcPr>
            <w:tcW w:w="236" w:type="dxa"/>
            <w:tcBorders>
              <w:top w:val="nil"/>
              <w:left w:val="nil"/>
              <w:bottom w:val="nil"/>
              <w:right w:val="nil"/>
            </w:tcBorders>
            <w:shd w:val="clear" w:color="FFFFFF" w:fill="FFFFFF"/>
            <w:noWrap/>
            <w:vAlign w:val="bottom"/>
            <w:hideMark/>
          </w:tcPr>
          <w:p w14:paraId="6A30AFE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8D8ED9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30,640</w:t>
            </w:r>
          </w:p>
        </w:tc>
      </w:tr>
      <w:tr w:rsidR="00F2518A" w:rsidRPr="007C747A" w14:paraId="6A04B91B" w14:textId="77777777">
        <w:trPr>
          <w:trHeight w:val="250"/>
        </w:trPr>
        <w:tc>
          <w:tcPr>
            <w:tcW w:w="6357" w:type="dxa"/>
            <w:tcBorders>
              <w:top w:val="nil"/>
              <w:left w:val="nil"/>
              <w:bottom w:val="nil"/>
              <w:right w:val="nil"/>
            </w:tcBorders>
            <w:shd w:val="clear" w:color="FFFFFF" w:fill="FFFFFF"/>
            <w:noWrap/>
            <w:vAlign w:val="bottom"/>
            <w:hideMark/>
          </w:tcPr>
          <w:p w14:paraId="24EE51BA"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financial assets</w:t>
            </w:r>
          </w:p>
        </w:tc>
        <w:tc>
          <w:tcPr>
            <w:tcW w:w="1251" w:type="dxa"/>
            <w:tcBorders>
              <w:top w:val="nil"/>
              <w:left w:val="nil"/>
              <w:bottom w:val="nil"/>
              <w:right w:val="nil"/>
            </w:tcBorders>
            <w:shd w:val="clear" w:color="FFFFFF" w:fill="FFFFFF"/>
            <w:noWrap/>
            <w:vAlign w:val="bottom"/>
            <w:hideMark/>
          </w:tcPr>
          <w:p w14:paraId="65C22283"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1,500,000</w:t>
            </w:r>
          </w:p>
        </w:tc>
        <w:tc>
          <w:tcPr>
            <w:tcW w:w="236" w:type="dxa"/>
            <w:tcBorders>
              <w:top w:val="nil"/>
              <w:left w:val="nil"/>
              <w:bottom w:val="nil"/>
              <w:right w:val="nil"/>
            </w:tcBorders>
            <w:shd w:val="clear" w:color="FFFFFF" w:fill="FFFFFF"/>
            <w:noWrap/>
            <w:vAlign w:val="bottom"/>
            <w:hideMark/>
          </w:tcPr>
          <w:p w14:paraId="63B2E28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0A9B80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2,465,000</w:t>
            </w:r>
          </w:p>
        </w:tc>
      </w:tr>
      <w:tr w:rsidR="00F2518A" w:rsidRPr="007C747A" w14:paraId="5C2FD6F9" w14:textId="77777777">
        <w:trPr>
          <w:trHeight w:val="250"/>
        </w:trPr>
        <w:tc>
          <w:tcPr>
            <w:tcW w:w="6357" w:type="dxa"/>
            <w:tcBorders>
              <w:top w:val="nil"/>
              <w:left w:val="nil"/>
              <w:bottom w:val="nil"/>
              <w:right w:val="nil"/>
            </w:tcBorders>
            <w:shd w:val="clear" w:color="FFFFFF" w:fill="FFFFFF"/>
            <w:noWrap/>
            <w:vAlign w:val="bottom"/>
            <w:hideMark/>
          </w:tcPr>
          <w:p w14:paraId="523E2A3B"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financial assets at amortised cost</w:t>
            </w:r>
          </w:p>
        </w:tc>
        <w:tc>
          <w:tcPr>
            <w:tcW w:w="1251" w:type="dxa"/>
            <w:tcBorders>
              <w:top w:val="single" w:sz="4" w:space="0" w:color="auto"/>
              <w:left w:val="nil"/>
              <w:bottom w:val="single" w:sz="4" w:space="0" w:color="auto"/>
              <w:right w:val="nil"/>
            </w:tcBorders>
            <w:shd w:val="clear" w:color="FFFFFF" w:fill="FFFFFF"/>
            <w:noWrap/>
            <w:vAlign w:val="bottom"/>
            <w:hideMark/>
          </w:tcPr>
          <w:p w14:paraId="35E7091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4,298,332</w:t>
            </w:r>
          </w:p>
        </w:tc>
        <w:tc>
          <w:tcPr>
            <w:tcW w:w="236" w:type="dxa"/>
            <w:tcBorders>
              <w:top w:val="nil"/>
              <w:left w:val="nil"/>
              <w:bottom w:val="nil"/>
              <w:right w:val="nil"/>
            </w:tcBorders>
            <w:shd w:val="clear" w:color="FFFFFF" w:fill="FFFFFF"/>
            <w:noWrap/>
            <w:vAlign w:val="bottom"/>
            <w:hideMark/>
          </w:tcPr>
          <w:p w14:paraId="7B54107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63089B0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4,414,596</w:t>
            </w:r>
          </w:p>
        </w:tc>
      </w:tr>
      <w:tr w:rsidR="00F2518A" w:rsidRPr="007C747A" w14:paraId="707C0A9D" w14:textId="77777777">
        <w:trPr>
          <w:trHeight w:val="250"/>
        </w:trPr>
        <w:tc>
          <w:tcPr>
            <w:tcW w:w="6357" w:type="dxa"/>
            <w:tcBorders>
              <w:top w:val="nil"/>
              <w:left w:val="nil"/>
              <w:bottom w:val="nil"/>
              <w:right w:val="nil"/>
            </w:tcBorders>
            <w:shd w:val="clear" w:color="FFFFFF" w:fill="FFFFFF"/>
            <w:vAlign w:val="bottom"/>
            <w:hideMark/>
          </w:tcPr>
          <w:p w14:paraId="3256E53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251" w:type="dxa"/>
            <w:tcBorders>
              <w:top w:val="nil"/>
              <w:left w:val="nil"/>
              <w:bottom w:val="nil"/>
              <w:right w:val="nil"/>
            </w:tcBorders>
            <w:shd w:val="clear" w:color="FFFFFF" w:fill="FFFFFF"/>
            <w:noWrap/>
            <w:vAlign w:val="bottom"/>
            <w:hideMark/>
          </w:tcPr>
          <w:p w14:paraId="4AA4A29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8FE170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6C64CC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1D7727F" w14:textId="77777777">
        <w:trPr>
          <w:trHeight w:val="250"/>
        </w:trPr>
        <w:tc>
          <w:tcPr>
            <w:tcW w:w="6357" w:type="dxa"/>
            <w:tcBorders>
              <w:top w:val="nil"/>
              <w:left w:val="nil"/>
              <w:bottom w:val="nil"/>
              <w:right w:val="nil"/>
            </w:tcBorders>
            <w:shd w:val="clear" w:color="FFFFFF" w:fill="FFFFFF"/>
            <w:vAlign w:val="bottom"/>
            <w:hideMark/>
          </w:tcPr>
          <w:p w14:paraId="61B01C33"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Financial liabilities measured at amortised cost</w:t>
            </w:r>
          </w:p>
        </w:tc>
        <w:tc>
          <w:tcPr>
            <w:tcW w:w="1251" w:type="dxa"/>
            <w:tcBorders>
              <w:top w:val="nil"/>
              <w:left w:val="nil"/>
              <w:bottom w:val="nil"/>
              <w:right w:val="nil"/>
            </w:tcBorders>
            <w:shd w:val="clear" w:color="FFFFFF" w:fill="FFFFFF"/>
            <w:noWrap/>
            <w:vAlign w:val="bottom"/>
            <w:hideMark/>
          </w:tcPr>
          <w:p w14:paraId="3C36B16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940DDA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884986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7CAEBFAE" w14:textId="77777777">
        <w:trPr>
          <w:trHeight w:val="250"/>
        </w:trPr>
        <w:tc>
          <w:tcPr>
            <w:tcW w:w="6357" w:type="dxa"/>
            <w:tcBorders>
              <w:top w:val="nil"/>
              <w:left w:val="nil"/>
              <w:bottom w:val="nil"/>
              <w:right w:val="nil"/>
            </w:tcBorders>
            <w:shd w:val="clear" w:color="FFFFFF" w:fill="FFFFFF"/>
            <w:noWrap/>
            <w:vAlign w:val="bottom"/>
            <w:hideMark/>
          </w:tcPr>
          <w:p w14:paraId="01504C21"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Supplier and other payables</w:t>
            </w:r>
          </w:p>
        </w:tc>
        <w:tc>
          <w:tcPr>
            <w:tcW w:w="1251" w:type="dxa"/>
            <w:tcBorders>
              <w:top w:val="nil"/>
              <w:left w:val="nil"/>
              <w:bottom w:val="nil"/>
              <w:right w:val="nil"/>
            </w:tcBorders>
            <w:shd w:val="clear" w:color="FFFFFF" w:fill="FFFFFF"/>
            <w:noWrap/>
            <w:vAlign w:val="bottom"/>
            <w:hideMark/>
          </w:tcPr>
          <w:p w14:paraId="0085473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109,634</w:t>
            </w:r>
          </w:p>
        </w:tc>
        <w:tc>
          <w:tcPr>
            <w:tcW w:w="236" w:type="dxa"/>
            <w:tcBorders>
              <w:top w:val="nil"/>
              <w:left w:val="nil"/>
              <w:bottom w:val="nil"/>
              <w:right w:val="nil"/>
            </w:tcBorders>
            <w:shd w:val="clear" w:color="FFFFFF" w:fill="FFFFFF"/>
            <w:noWrap/>
            <w:vAlign w:val="bottom"/>
            <w:hideMark/>
          </w:tcPr>
          <w:p w14:paraId="140A99F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5C0B36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192,116</w:t>
            </w:r>
          </w:p>
        </w:tc>
      </w:tr>
      <w:tr w:rsidR="00F2518A" w:rsidRPr="007C747A" w14:paraId="31512E04" w14:textId="77777777">
        <w:trPr>
          <w:trHeight w:val="260"/>
        </w:trPr>
        <w:tc>
          <w:tcPr>
            <w:tcW w:w="6357" w:type="dxa"/>
            <w:tcBorders>
              <w:top w:val="nil"/>
              <w:left w:val="nil"/>
              <w:bottom w:val="nil"/>
              <w:right w:val="nil"/>
            </w:tcBorders>
            <w:shd w:val="clear" w:color="FFFFFF" w:fill="FFFFFF"/>
            <w:vAlign w:val="bottom"/>
            <w:hideMark/>
          </w:tcPr>
          <w:p w14:paraId="56FC6F3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financial liabilities at amortised cost</w:t>
            </w:r>
          </w:p>
        </w:tc>
        <w:tc>
          <w:tcPr>
            <w:tcW w:w="1251" w:type="dxa"/>
            <w:tcBorders>
              <w:top w:val="single" w:sz="4" w:space="0" w:color="auto"/>
              <w:left w:val="nil"/>
              <w:bottom w:val="single" w:sz="4" w:space="0" w:color="auto"/>
              <w:right w:val="nil"/>
            </w:tcBorders>
            <w:shd w:val="clear" w:color="FFFFFF" w:fill="FFFFFF"/>
            <w:noWrap/>
            <w:vAlign w:val="bottom"/>
            <w:hideMark/>
          </w:tcPr>
          <w:p w14:paraId="2D439EA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109,634</w:t>
            </w:r>
          </w:p>
        </w:tc>
        <w:tc>
          <w:tcPr>
            <w:tcW w:w="236" w:type="dxa"/>
            <w:tcBorders>
              <w:top w:val="nil"/>
              <w:left w:val="nil"/>
              <w:bottom w:val="nil"/>
              <w:right w:val="nil"/>
            </w:tcBorders>
            <w:shd w:val="clear" w:color="FFFFFF" w:fill="FFFFFF"/>
            <w:noWrap/>
            <w:vAlign w:val="bottom"/>
            <w:hideMark/>
          </w:tcPr>
          <w:p w14:paraId="162AF27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08A4B21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192,116</w:t>
            </w:r>
          </w:p>
        </w:tc>
      </w:tr>
    </w:tbl>
    <w:p w14:paraId="125F2D7E" w14:textId="77777777" w:rsidR="00F2518A" w:rsidRPr="007C747A" w:rsidRDefault="00F2518A" w:rsidP="00F2518A">
      <w:pPr>
        <w:spacing w:after="0" w:line="260" w:lineRule="atLeast"/>
        <w:rPr>
          <w:rFonts w:ascii="Times New Roman" w:eastAsia="Times New Roman" w:hAnsi="Times New Roman"/>
          <w:sz w:val="22"/>
          <w:szCs w:val="20"/>
          <w:highlight w:val="yellow"/>
          <w:lang w:val="en-AU" w:eastAsia="en-US"/>
        </w:rPr>
      </w:pPr>
    </w:p>
    <w:tbl>
      <w:tblPr>
        <w:tblW w:w="9087" w:type="dxa"/>
        <w:tblLayout w:type="fixed"/>
        <w:tblLook w:val="04A0" w:firstRow="1" w:lastRow="0" w:firstColumn="1" w:lastColumn="0" w:noHBand="0" w:noVBand="1"/>
      </w:tblPr>
      <w:tblGrid>
        <w:gridCol w:w="6357"/>
        <w:gridCol w:w="1251"/>
        <w:gridCol w:w="236"/>
        <w:gridCol w:w="1243"/>
      </w:tblGrid>
      <w:tr w:rsidR="00F2518A" w:rsidRPr="007C747A" w14:paraId="3420E633" w14:textId="77777777">
        <w:trPr>
          <w:trHeight w:val="260"/>
        </w:trPr>
        <w:tc>
          <w:tcPr>
            <w:tcW w:w="6357" w:type="dxa"/>
            <w:tcBorders>
              <w:top w:val="nil"/>
              <w:left w:val="nil"/>
              <w:bottom w:val="nil"/>
              <w:right w:val="nil"/>
            </w:tcBorders>
            <w:shd w:val="clear" w:color="FFFFFF" w:fill="FFFFFF"/>
            <w:noWrap/>
            <w:vAlign w:val="bottom"/>
            <w:hideMark/>
          </w:tcPr>
          <w:p w14:paraId="6860ECAC" w14:textId="77777777" w:rsidR="00F2518A" w:rsidRPr="007C747A" w:rsidRDefault="00F2518A" w:rsidP="00F2518A">
            <w:pPr>
              <w:spacing w:after="0" w:line="260" w:lineRule="atLeast"/>
              <w:rPr>
                <w:rFonts w:eastAsia="Times New Roman" w:cs="Arial"/>
                <w:b/>
                <w:bCs/>
                <w:sz w:val="18"/>
                <w:szCs w:val="18"/>
                <w:u w:val="single"/>
                <w:lang w:val="en-AU" w:eastAsia="en-US"/>
              </w:rPr>
            </w:pPr>
            <w:bookmarkStart w:id="477" w:name="Note_FIBTABLE1" w:colFirst="0" w:colLast="0"/>
            <w:r w:rsidRPr="007C747A">
              <w:rPr>
                <w:rFonts w:eastAsia="Times New Roman" w:cs="Arial"/>
                <w:b/>
                <w:bCs/>
                <w:sz w:val="18"/>
                <w:szCs w:val="18"/>
                <w:u w:val="single"/>
                <w:lang w:val="en-AU" w:eastAsia="en-US"/>
              </w:rPr>
              <w:t>Note 4.2B: Net gains or losses on financial assets</w:t>
            </w:r>
          </w:p>
        </w:tc>
        <w:tc>
          <w:tcPr>
            <w:tcW w:w="1251" w:type="dxa"/>
            <w:tcBorders>
              <w:top w:val="nil"/>
              <w:left w:val="nil"/>
              <w:bottom w:val="nil"/>
              <w:right w:val="nil"/>
            </w:tcBorders>
            <w:shd w:val="clear" w:color="FFFFFF" w:fill="FFFFFF"/>
            <w:noWrap/>
            <w:vAlign w:val="bottom"/>
            <w:hideMark/>
          </w:tcPr>
          <w:p w14:paraId="696481A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FCE2D6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33B14E9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bookmarkEnd w:id="477"/>
      <w:tr w:rsidR="00F2518A" w:rsidRPr="007C747A" w14:paraId="6EA0E3F1" w14:textId="77777777">
        <w:trPr>
          <w:trHeight w:val="260"/>
        </w:trPr>
        <w:tc>
          <w:tcPr>
            <w:tcW w:w="6357" w:type="dxa"/>
            <w:tcBorders>
              <w:top w:val="nil"/>
              <w:left w:val="nil"/>
              <w:bottom w:val="nil"/>
              <w:right w:val="nil"/>
            </w:tcBorders>
            <w:shd w:val="clear" w:color="FFFFFF" w:fill="FFFFFF"/>
            <w:vAlign w:val="bottom"/>
            <w:hideMark/>
          </w:tcPr>
          <w:p w14:paraId="6D2C093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Financial assets at amortised cost</w:t>
            </w:r>
          </w:p>
        </w:tc>
        <w:tc>
          <w:tcPr>
            <w:tcW w:w="1251" w:type="dxa"/>
            <w:tcBorders>
              <w:top w:val="nil"/>
              <w:left w:val="nil"/>
              <w:bottom w:val="nil"/>
              <w:right w:val="nil"/>
            </w:tcBorders>
            <w:shd w:val="clear" w:color="FFFFFF" w:fill="FFFFFF"/>
            <w:noWrap/>
            <w:vAlign w:val="bottom"/>
            <w:hideMark/>
          </w:tcPr>
          <w:p w14:paraId="4D6A8940"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B20494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70A7C0E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085FCA2F" w14:textId="77777777">
        <w:trPr>
          <w:trHeight w:val="250"/>
        </w:trPr>
        <w:tc>
          <w:tcPr>
            <w:tcW w:w="6357" w:type="dxa"/>
            <w:tcBorders>
              <w:top w:val="nil"/>
              <w:left w:val="nil"/>
              <w:bottom w:val="nil"/>
              <w:right w:val="nil"/>
            </w:tcBorders>
            <w:shd w:val="clear" w:color="FFFFFF" w:fill="FFFFFF"/>
            <w:vAlign w:val="bottom"/>
            <w:hideMark/>
          </w:tcPr>
          <w:p w14:paraId="2D55760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Interest revenue</w:t>
            </w:r>
          </w:p>
        </w:tc>
        <w:tc>
          <w:tcPr>
            <w:tcW w:w="1251" w:type="dxa"/>
            <w:tcBorders>
              <w:top w:val="nil"/>
              <w:left w:val="nil"/>
              <w:bottom w:val="nil"/>
              <w:right w:val="nil"/>
            </w:tcBorders>
            <w:shd w:val="clear" w:color="FFFFFF" w:fill="FFFFFF"/>
            <w:noWrap/>
            <w:vAlign w:val="bottom"/>
            <w:hideMark/>
          </w:tcPr>
          <w:p w14:paraId="429DF6E2"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259,802</w:t>
            </w:r>
          </w:p>
        </w:tc>
        <w:tc>
          <w:tcPr>
            <w:tcW w:w="236" w:type="dxa"/>
            <w:tcBorders>
              <w:top w:val="nil"/>
              <w:left w:val="nil"/>
              <w:bottom w:val="nil"/>
              <w:right w:val="nil"/>
            </w:tcBorders>
            <w:shd w:val="clear" w:color="FFFFFF" w:fill="FFFFFF"/>
            <w:noWrap/>
            <w:vAlign w:val="bottom"/>
            <w:hideMark/>
          </w:tcPr>
          <w:p w14:paraId="41151E1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6230E220"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17,475</w:t>
            </w:r>
          </w:p>
        </w:tc>
      </w:tr>
      <w:tr w:rsidR="00F2518A" w:rsidRPr="007C747A" w14:paraId="399CF9CB" w14:textId="77777777">
        <w:trPr>
          <w:trHeight w:val="250"/>
        </w:trPr>
        <w:tc>
          <w:tcPr>
            <w:tcW w:w="6357" w:type="dxa"/>
            <w:tcBorders>
              <w:top w:val="nil"/>
              <w:left w:val="nil"/>
              <w:bottom w:val="nil"/>
              <w:right w:val="nil"/>
            </w:tcBorders>
            <w:shd w:val="clear" w:color="FFFFFF" w:fill="FFFFFF"/>
            <w:vAlign w:val="bottom"/>
            <w:hideMark/>
          </w:tcPr>
          <w:p w14:paraId="5DDC176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 xml:space="preserve">Impairment loss on financial instruments </w:t>
            </w:r>
          </w:p>
        </w:tc>
        <w:tc>
          <w:tcPr>
            <w:tcW w:w="1251" w:type="dxa"/>
            <w:tcBorders>
              <w:top w:val="nil"/>
              <w:left w:val="nil"/>
              <w:bottom w:val="nil"/>
              <w:right w:val="nil"/>
            </w:tcBorders>
            <w:shd w:val="clear" w:color="FFFFFF" w:fill="FFFFFF"/>
            <w:noWrap/>
            <w:vAlign w:val="bottom"/>
            <w:hideMark/>
          </w:tcPr>
          <w:p w14:paraId="5F7AE2A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0856BDE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nil"/>
              <w:right w:val="nil"/>
            </w:tcBorders>
            <w:shd w:val="clear" w:color="FFFFFF" w:fill="FFFFFF"/>
            <w:noWrap/>
            <w:vAlign w:val="bottom"/>
            <w:hideMark/>
          </w:tcPr>
          <w:p w14:paraId="02C0CD9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135</w:t>
            </w:r>
          </w:p>
        </w:tc>
      </w:tr>
      <w:tr w:rsidR="00F2518A" w:rsidRPr="007C747A" w14:paraId="4881ADC6" w14:textId="77777777">
        <w:trPr>
          <w:trHeight w:val="250"/>
        </w:trPr>
        <w:tc>
          <w:tcPr>
            <w:tcW w:w="6357" w:type="dxa"/>
            <w:tcBorders>
              <w:top w:val="nil"/>
              <w:left w:val="nil"/>
              <w:bottom w:val="nil"/>
              <w:right w:val="nil"/>
            </w:tcBorders>
            <w:shd w:val="clear" w:color="FFFFFF" w:fill="FFFFFF"/>
            <w:vAlign w:val="bottom"/>
            <w:hideMark/>
          </w:tcPr>
          <w:p w14:paraId="5627C0F5"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gains/(losses) on financial assets at amortised cost</w:t>
            </w:r>
          </w:p>
        </w:tc>
        <w:tc>
          <w:tcPr>
            <w:tcW w:w="1251" w:type="dxa"/>
            <w:tcBorders>
              <w:top w:val="single" w:sz="4" w:space="0" w:color="auto"/>
              <w:left w:val="nil"/>
              <w:bottom w:val="single" w:sz="4" w:space="0" w:color="auto"/>
              <w:right w:val="nil"/>
            </w:tcBorders>
            <w:shd w:val="clear" w:color="FFFFFF" w:fill="FFFFFF"/>
            <w:noWrap/>
            <w:vAlign w:val="bottom"/>
            <w:hideMark/>
          </w:tcPr>
          <w:p w14:paraId="4E224A2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259,802</w:t>
            </w:r>
          </w:p>
        </w:tc>
        <w:tc>
          <w:tcPr>
            <w:tcW w:w="236" w:type="dxa"/>
            <w:tcBorders>
              <w:top w:val="nil"/>
              <w:left w:val="nil"/>
              <w:bottom w:val="nil"/>
              <w:right w:val="nil"/>
            </w:tcBorders>
            <w:shd w:val="clear" w:color="FFFFFF" w:fill="FFFFFF"/>
            <w:noWrap/>
            <w:vAlign w:val="bottom"/>
            <w:hideMark/>
          </w:tcPr>
          <w:p w14:paraId="14846BA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3722AE3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17,610</w:t>
            </w:r>
          </w:p>
        </w:tc>
      </w:tr>
      <w:tr w:rsidR="00F2518A" w:rsidRPr="007C747A" w14:paraId="50A1F843" w14:textId="77777777">
        <w:trPr>
          <w:trHeight w:val="260"/>
        </w:trPr>
        <w:tc>
          <w:tcPr>
            <w:tcW w:w="6357" w:type="dxa"/>
            <w:tcBorders>
              <w:top w:val="nil"/>
              <w:left w:val="nil"/>
              <w:bottom w:val="nil"/>
              <w:right w:val="nil"/>
            </w:tcBorders>
            <w:shd w:val="clear" w:color="FFFFFF" w:fill="FFFFFF"/>
            <w:vAlign w:val="bottom"/>
            <w:hideMark/>
          </w:tcPr>
          <w:p w14:paraId="31F4573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Net gains/(losses) on financial assets</w:t>
            </w:r>
          </w:p>
        </w:tc>
        <w:tc>
          <w:tcPr>
            <w:tcW w:w="1251" w:type="dxa"/>
            <w:tcBorders>
              <w:top w:val="nil"/>
              <w:left w:val="nil"/>
              <w:bottom w:val="single" w:sz="4" w:space="0" w:color="auto"/>
              <w:right w:val="nil"/>
            </w:tcBorders>
            <w:shd w:val="clear" w:color="FFFFFF" w:fill="FFFFFF"/>
            <w:noWrap/>
            <w:vAlign w:val="bottom"/>
            <w:hideMark/>
          </w:tcPr>
          <w:p w14:paraId="05C22A4E"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259,802</w:t>
            </w:r>
          </w:p>
        </w:tc>
        <w:tc>
          <w:tcPr>
            <w:tcW w:w="236" w:type="dxa"/>
            <w:tcBorders>
              <w:top w:val="nil"/>
              <w:left w:val="nil"/>
              <w:bottom w:val="nil"/>
              <w:right w:val="nil"/>
            </w:tcBorders>
            <w:shd w:val="clear" w:color="FFFFFF" w:fill="FFFFFF"/>
            <w:noWrap/>
            <w:vAlign w:val="bottom"/>
            <w:hideMark/>
          </w:tcPr>
          <w:p w14:paraId="04DD9F9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243" w:type="dxa"/>
            <w:tcBorders>
              <w:top w:val="nil"/>
              <w:left w:val="nil"/>
              <w:bottom w:val="single" w:sz="4" w:space="0" w:color="auto"/>
              <w:right w:val="nil"/>
            </w:tcBorders>
            <w:shd w:val="clear" w:color="FFFFFF" w:fill="FFFFFF"/>
            <w:noWrap/>
            <w:vAlign w:val="bottom"/>
            <w:hideMark/>
          </w:tcPr>
          <w:p w14:paraId="454058F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17,610</w:t>
            </w:r>
          </w:p>
        </w:tc>
      </w:tr>
      <w:bookmarkEnd w:id="454"/>
    </w:tbl>
    <w:p w14:paraId="70BDF7D5" w14:textId="77777777" w:rsidR="00F2518A" w:rsidRPr="007C747A" w:rsidRDefault="00F2518A" w:rsidP="00F2518A">
      <w:pPr>
        <w:spacing w:after="0" w:line="240" w:lineRule="auto"/>
        <w:rPr>
          <w:rFonts w:eastAsia="Times New Roman" w:cs="Arial"/>
          <w:b/>
          <w:bCs/>
          <w:sz w:val="18"/>
          <w:szCs w:val="18"/>
          <w:lang w:val="en-AU" w:eastAsia="en-US"/>
        </w:rPr>
      </w:pPr>
    </w:p>
    <w:p w14:paraId="42D989E2" w14:textId="77777777" w:rsidR="00F2518A" w:rsidRPr="007C747A" w:rsidRDefault="00F2518A" w:rsidP="00F2518A">
      <w:pPr>
        <w:spacing w:after="0" w:line="240" w:lineRule="auto"/>
        <w:rPr>
          <w:rFonts w:eastAsia="Times New Roman" w:cs="Arial"/>
          <w:b/>
          <w:bCs/>
          <w:sz w:val="18"/>
          <w:szCs w:val="18"/>
          <w:lang w:val="en-AU" w:eastAsia="en-US"/>
        </w:rPr>
      </w:pPr>
    </w:p>
    <w:p w14:paraId="2E8B855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val="en-AU" w:eastAsia="en-US"/>
        </w:rPr>
      </w:pPr>
      <w:r w:rsidRPr="007C747A">
        <w:rPr>
          <w:rFonts w:eastAsia="Times New Roman" w:cs="Arial"/>
          <w:b/>
          <w:bCs/>
          <w:sz w:val="18"/>
          <w:szCs w:val="18"/>
          <w:lang w:val="en-AU" w:eastAsia="en-US"/>
        </w:rPr>
        <w:t xml:space="preserve">Accounting Policy </w:t>
      </w:r>
    </w:p>
    <w:p w14:paraId="3986ECBD"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 xml:space="preserve">Financial Assets </w:t>
      </w:r>
    </w:p>
    <w:p w14:paraId="0834E6DB"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All of the Agency’s financial assets have been classified as financial assets measured at amortised cost. Financial assets at amortised costs must be:</w:t>
      </w:r>
    </w:p>
    <w:p w14:paraId="70890B0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1. held in order to collect the contractual cash flows; and</w:t>
      </w:r>
    </w:p>
    <w:p w14:paraId="54787FC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2. their cash flows must be solely payments of principal and interest (SPPI) on the principal outstanding amount.</w:t>
      </w:r>
    </w:p>
    <w:p w14:paraId="2DCAE1B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Amortised cost is determined using the effective interest method.</w:t>
      </w:r>
    </w:p>
    <w:p w14:paraId="5B41FCF3"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Financial assets are recognised when the entity becomes a party to the contract and, as a consequence, has a legal right to receive cash or a legal obligation to pay cash and derecognised when the contractual rights to the cash flows from the financial asset expire or are transferred upon trade date.</w:t>
      </w:r>
    </w:p>
    <w:p w14:paraId="0D91DD7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Trade receivables and other receivables are recognised at the nominal amounts due less any impairment allowance amount. The collectability is assessed periodically with impairment allowances made when there is evidence that the Agency will not be able to collect the debt.</w:t>
      </w:r>
    </w:p>
    <w:p w14:paraId="2FE9898D"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The accounting policy for financial assets is contained in Note 2.1 Financial Assets.</w:t>
      </w:r>
    </w:p>
    <w:p w14:paraId="2D4EBAF8"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AU"/>
        </w:rPr>
      </w:pPr>
      <w:r w:rsidRPr="007C747A">
        <w:rPr>
          <w:rFonts w:eastAsia="Times New Roman" w:cs="Arial"/>
          <w:bCs/>
          <w:i/>
          <w:sz w:val="18"/>
          <w:szCs w:val="18"/>
          <w:u w:val="single"/>
          <w:lang w:val="en-AU" w:eastAsia="en-AU"/>
        </w:rPr>
        <w:t>Effective Interest Method</w:t>
      </w:r>
    </w:p>
    <w:p w14:paraId="4067804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Income is recognised on an effective interest rate basis for financial assets that are recognised at amortised cost.</w:t>
      </w:r>
    </w:p>
    <w:p w14:paraId="5DB108DF"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lang w:val="en-AU" w:eastAsia="en-AU"/>
        </w:rPr>
      </w:pPr>
      <w:r w:rsidRPr="007C747A">
        <w:rPr>
          <w:rFonts w:eastAsia="Times New Roman" w:cs="Arial"/>
          <w:bCs/>
          <w:sz w:val="18"/>
          <w:szCs w:val="18"/>
          <w:lang w:val="en-AU" w:eastAsia="en-AU"/>
        </w:rPr>
        <w:t>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14:paraId="6BAE2E1F"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AU"/>
        </w:rPr>
      </w:pPr>
      <w:r w:rsidRPr="007C747A">
        <w:rPr>
          <w:rFonts w:eastAsia="Times New Roman" w:cs="Arial"/>
          <w:bCs/>
          <w:i/>
          <w:sz w:val="18"/>
          <w:szCs w:val="18"/>
          <w:u w:val="single"/>
          <w:lang w:val="en-AU" w:eastAsia="en-AU"/>
        </w:rPr>
        <w:t>Impairment of financial assets</w:t>
      </w:r>
    </w:p>
    <w:p w14:paraId="142C56AC"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Financial assets are assessed for impairment at the end of each reporting period based on expected credit losses, using the simplified approach for goods and services receivable and other receivables. Based on the Agency’s standard credit terms of 30 days, an impairment allowance is recognised for all goods and services and other receivables outstanding for more than 120 days. Consistent with this policy, an impairment allowance has been recognised for the disputed portion of a contribution from states &amp; territories. The Agency continues to pursue full recovery of this amount and all other impaired debts in accordance with the Agency’s debt recovery policy.</w:t>
      </w:r>
    </w:p>
    <w:p w14:paraId="0405BE42"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US"/>
        </w:rPr>
      </w:pPr>
      <w:r w:rsidRPr="007C747A">
        <w:rPr>
          <w:rFonts w:eastAsia="Times New Roman" w:cs="Arial"/>
          <w:bCs/>
          <w:sz w:val="18"/>
          <w:szCs w:val="18"/>
          <w:lang w:val="en-AU" w:eastAsia="en-AU"/>
        </w:rPr>
        <w:t xml:space="preserve">Due to their nature the Agency used the general approach to assess pandemic plan provider receivables for impairment. The Agency recognises an impairment allowance for the pandemic plan receivables where providers </w:t>
      </w:r>
    </w:p>
    <w:p w14:paraId="2DA2097B" w14:textId="376BD293" w:rsidR="00E41EEB" w:rsidRPr="007C747A" w:rsidRDefault="00E41EEB">
      <w:pPr>
        <w:spacing w:after="0" w:line="240" w:lineRule="auto"/>
        <w:rPr>
          <w:rFonts w:eastAsia="Times New Roman" w:cs="Arial"/>
          <w:b/>
          <w:bCs/>
          <w:sz w:val="18"/>
          <w:szCs w:val="18"/>
          <w:lang w:val="en-AU" w:eastAsia="en-US"/>
        </w:rPr>
      </w:pPr>
      <w:r w:rsidRPr="007C747A">
        <w:rPr>
          <w:rFonts w:eastAsia="Times New Roman" w:cs="Arial"/>
          <w:b/>
          <w:bCs/>
          <w:sz w:val="18"/>
          <w:szCs w:val="18"/>
          <w:lang w:val="en-AU" w:eastAsia="en-US"/>
        </w:rPr>
        <w:br w:type="page"/>
      </w:r>
    </w:p>
    <w:p w14:paraId="74C759D6"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had debts that had not been offset against claims at an agreed rate unless there was an agreed debt repayment plan in place.</w:t>
      </w:r>
    </w:p>
    <w:p w14:paraId="1ECE5484"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The simplified impairment approaches always measure the loss allowance as the amount equal to the lifetime expected credit losses. The general approach measures the loss allowance based on an amount equal to lifetime expected credit losses where risk has significantly increased, or an amount equal to 12</w:t>
      </w:r>
      <w:r w:rsidRPr="007C747A">
        <w:rPr>
          <w:rFonts w:ascii="Cambria Math" w:eastAsia="Times New Roman" w:hAnsi="Cambria Math" w:cs="Cambria Math"/>
          <w:bCs/>
          <w:sz w:val="18"/>
          <w:szCs w:val="18"/>
          <w:lang w:val="en-AU" w:eastAsia="en-AU"/>
        </w:rPr>
        <w:t>‐</w:t>
      </w:r>
      <w:r w:rsidRPr="007C747A">
        <w:rPr>
          <w:rFonts w:eastAsia="Times New Roman" w:cs="Arial"/>
          <w:bCs/>
          <w:sz w:val="18"/>
          <w:szCs w:val="18"/>
          <w:lang w:val="en-AU" w:eastAsia="en-AU"/>
        </w:rPr>
        <w:t>month expected credit losses if risk has not increased.</w:t>
      </w:r>
    </w:p>
    <w:p w14:paraId="6C8D0379"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Both the simplified and general impairment approaches always measure the loss allowance as the amount equal to the lifetime expected credit losses.</w:t>
      </w:r>
    </w:p>
    <w:p w14:paraId="78CB29A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p>
    <w:p w14:paraId="2509A657"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val="en-AU" w:eastAsia="en-US"/>
        </w:rPr>
      </w:pPr>
      <w:r w:rsidRPr="007C747A">
        <w:rPr>
          <w:rFonts w:eastAsia="Times New Roman" w:cs="Arial"/>
          <w:bCs/>
          <w:i/>
          <w:sz w:val="18"/>
          <w:szCs w:val="18"/>
          <w:u w:val="single"/>
          <w:lang w:val="en-AU" w:eastAsia="en-US"/>
        </w:rPr>
        <w:t xml:space="preserve">Financial Liabilities </w:t>
      </w:r>
    </w:p>
    <w:p w14:paraId="7E3F13C5"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r w:rsidRPr="007C747A">
        <w:rPr>
          <w:rFonts w:eastAsia="Times New Roman" w:cs="Arial"/>
          <w:bCs/>
          <w:sz w:val="18"/>
          <w:szCs w:val="18"/>
          <w:lang w:val="en-AU" w:eastAsia="en-AU"/>
        </w:rPr>
        <w:t>All of the Agency’s financial liabilities have been classified as financial liabilities measured at amortised cost. These liabilities are subsequently measured at amortised cost using the effective interest method, with interest expense recognised on an effective interest basis. Supplier and other payables are recognised at amortised cost. Liabilities are recognised to the extent that the goods or services have been received (and irrespective of having been invoiced).</w:t>
      </w:r>
    </w:p>
    <w:p w14:paraId="54E6674C" w14:textId="77777777" w:rsidR="00F2518A" w:rsidRPr="007C747A" w:rsidRDefault="00F2518A" w:rsidP="00F2518A">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val="en-AU" w:eastAsia="en-AU"/>
        </w:rPr>
      </w:pPr>
    </w:p>
    <w:p w14:paraId="0AF18676" w14:textId="77777777" w:rsidR="00F2518A" w:rsidRPr="007C747A" w:rsidRDefault="00F2518A" w:rsidP="00F2518A">
      <w:pPr>
        <w:spacing w:after="0" w:line="240" w:lineRule="auto"/>
        <w:rPr>
          <w:rFonts w:eastAsia="Times New Roman"/>
          <w:b/>
          <w:sz w:val="20"/>
          <w:szCs w:val="20"/>
          <w:lang w:val="en-AU" w:eastAsia="en-AU"/>
        </w:rPr>
      </w:pPr>
      <w:r w:rsidRPr="007C747A">
        <w:rPr>
          <w:rFonts w:ascii="Times New Roman" w:eastAsia="Times New Roman" w:hAnsi="Times New Roman"/>
          <w:sz w:val="22"/>
          <w:szCs w:val="20"/>
          <w:lang w:val="en-AU" w:eastAsia="en-AU"/>
        </w:rPr>
        <w:br w:type="page"/>
      </w:r>
    </w:p>
    <w:p w14:paraId="6EC00720" w14:textId="77777777" w:rsidR="00F2518A" w:rsidRPr="007C747A" w:rsidRDefault="00F2518A" w:rsidP="007E4E69">
      <w:pPr>
        <w:pStyle w:val="SectionHeading"/>
        <w:outlineLvl w:val="2"/>
      </w:pPr>
      <w:bookmarkStart w:id="478" w:name="_Toc65742860"/>
      <w:bookmarkStart w:id="479" w:name="_Toc145583286"/>
      <w:bookmarkStart w:id="480" w:name="_Toc145949766"/>
      <w:bookmarkStart w:id="481" w:name="_Toc146022848"/>
      <w:bookmarkStart w:id="482" w:name="_Toc146191229"/>
      <w:bookmarkStart w:id="483" w:name="_Toc146195329"/>
      <w:bookmarkStart w:id="484" w:name="_Toc146200298"/>
      <w:bookmarkStart w:id="485" w:name="_Toc146203453"/>
      <w:bookmarkStart w:id="486" w:name="_Toc146289449"/>
      <w:bookmarkStart w:id="487" w:name="_Toc146538810"/>
      <w:bookmarkStart w:id="488" w:name="_Toc146545547"/>
      <w:bookmarkStart w:id="489" w:name="_Toc147769245"/>
      <w:bookmarkStart w:id="490" w:name="_Toc147834892"/>
      <w:bookmarkStart w:id="491" w:name="_Toc147992033"/>
      <w:bookmarkStart w:id="492" w:name="_Toc148020794"/>
      <w:bookmarkStart w:id="493" w:name="_Toc148108413"/>
      <w:r w:rsidRPr="007C747A">
        <w:t>Other Information</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57DE418C" w14:textId="0A93096C" w:rsidR="00F2518A" w:rsidRPr="007C747A" w:rsidRDefault="001E2D18" w:rsidP="007E4E69">
      <w:pPr>
        <w:pStyle w:val="SubHeading"/>
        <w:numPr>
          <w:ilvl w:val="0"/>
          <w:numId w:val="0"/>
        </w:numPr>
        <w:outlineLvl w:val="3"/>
      </w:pPr>
      <w:bookmarkStart w:id="494" w:name="_Toc145583287"/>
      <w:bookmarkStart w:id="495" w:name="_Toc145949767"/>
      <w:bookmarkStart w:id="496" w:name="_Toc146022849"/>
      <w:bookmarkStart w:id="497" w:name="_Toc146191230"/>
      <w:bookmarkStart w:id="498" w:name="_Toc146195330"/>
      <w:bookmarkStart w:id="499" w:name="_Toc146200299"/>
      <w:bookmarkStart w:id="500" w:name="_Toc146203454"/>
      <w:bookmarkStart w:id="501" w:name="_Toc146538811"/>
      <w:bookmarkStart w:id="502" w:name="_Toc146545548"/>
      <w:bookmarkStart w:id="503" w:name="_Toc147769246"/>
      <w:bookmarkStart w:id="504" w:name="_Toc147834893"/>
      <w:bookmarkStart w:id="505" w:name="_Toc147992034"/>
      <w:bookmarkStart w:id="506" w:name="_Toc148020795"/>
      <w:bookmarkStart w:id="507" w:name="_Toc148108414"/>
      <w:r w:rsidRPr="007C747A">
        <w:t>5.1</w:t>
      </w:r>
      <w:r w:rsidRPr="007C747A">
        <w:tab/>
      </w:r>
      <w:r w:rsidR="00F2518A" w:rsidRPr="007C747A">
        <w:t>Current/Non-current Distinction for Assets and Liabilities</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0485797F" w14:textId="77777777" w:rsidR="00F2518A" w:rsidRPr="007C747A" w:rsidRDefault="00F2518A" w:rsidP="00F2518A">
      <w:pPr>
        <w:spacing w:after="0" w:line="240" w:lineRule="auto"/>
        <w:ind w:right="607"/>
        <w:rPr>
          <w:rFonts w:eastAsia="Times New Roman"/>
          <w:b/>
          <w:sz w:val="20"/>
          <w:szCs w:val="20"/>
          <w:lang w:val="en-AU" w:eastAsia="en-US"/>
        </w:rPr>
      </w:pPr>
    </w:p>
    <w:tbl>
      <w:tblPr>
        <w:tblW w:w="9087" w:type="dxa"/>
        <w:tblLayout w:type="fixed"/>
        <w:tblLook w:val="04A0" w:firstRow="1" w:lastRow="0" w:firstColumn="1" w:lastColumn="0" w:noHBand="0" w:noVBand="1"/>
      </w:tblPr>
      <w:tblGrid>
        <w:gridCol w:w="6339"/>
        <w:gridCol w:w="1388"/>
        <w:gridCol w:w="236"/>
        <w:gridCol w:w="1124"/>
      </w:tblGrid>
      <w:tr w:rsidR="00F2518A" w:rsidRPr="007C747A" w14:paraId="466FFF0B" w14:textId="77777777">
        <w:trPr>
          <w:trHeight w:val="253"/>
        </w:trPr>
        <w:tc>
          <w:tcPr>
            <w:tcW w:w="6339" w:type="dxa"/>
            <w:tcBorders>
              <w:top w:val="nil"/>
              <w:left w:val="nil"/>
              <w:bottom w:val="nil"/>
              <w:right w:val="nil"/>
            </w:tcBorders>
            <w:shd w:val="clear" w:color="FFFFFF" w:fill="FFFFFF"/>
            <w:noWrap/>
            <w:vAlign w:val="bottom"/>
            <w:hideMark/>
          </w:tcPr>
          <w:p w14:paraId="3FA9A2C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88" w:type="dxa"/>
            <w:tcBorders>
              <w:top w:val="nil"/>
              <w:left w:val="nil"/>
              <w:bottom w:val="nil"/>
              <w:right w:val="nil"/>
            </w:tcBorders>
            <w:shd w:val="clear" w:color="FFFFFF" w:fill="FFFFFF"/>
            <w:noWrap/>
            <w:vAlign w:val="bottom"/>
            <w:hideMark/>
          </w:tcPr>
          <w:p w14:paraId="69D6FE17" w14:textId="4CB92208" w:rsidR="00F2518A" w:rsidRPr="007C747A" w:rsidRDefault="00E41EEB"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2023</w:t>
            </w:r>
            <w:r w:rsidRPr="007C747A">
              <w:rPr>
                <w:rFonts w:eastAsia="Times New Roman" w:cs="Arial"/>
                <w:b/>
                <w:bCs/>
                <w:sz w:val="18"/>
                <w:szCs w:val="18"/>
                <w:lang w:val="en-AU" w:eastAsia="en-US"/>
              </w:rPr>
              <w:br/>
            </w:r>
            <w:r w:rsidR="00F2518A" w:rsidRPr="007C747A">
              <w:rPr>
                <w:rFonts w:eastAsia="Times New Roman" w:cs="Arial"/>
                <w:b/>
                <w:bCs/>
                <w:sz w:val="18"/>
                <w:szCs w:val="18"/>
                <w:lang w:val="en-AU" w:eastAsia="en-US"/>
              </w:rPr>
              <w:t>$'000</w:t>
            </w:r>
          </w:p>
        </w:tc>
        <w:tc>
          <w:tcPr>
            <w:tcW w:w="236" w:type="dxa"/>
            <w:tcBorders>
              <w:top w:val="nil"/>
              <w:left w:val="nil"/>
              <w:bottom w:val="nil"/>
              <w:right w:val="nil"/>
            </w:tcBorders>
            <w:shd w:val="clear" w:color="FFFFFF" w:fill="FFFFFF"/>
            <w:noWrap/>
            <w:vAlign w:val="bottom"/>
            <w:hideMark/>
          </w:tcPr>
          <w:p w14:paraId="77DEA8F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34053286" w14:textId="6FACD9AB" w:rsidR="00F2518A" w:rsidRPr="007C747A" w:rsidRDefault="00E41EEB"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2022</w:t>
            </w:r>
            <w:r w:rsidRPr="007C747A">
              <w:rPr>
                <w:rFonts w:eastAsia="Times New Roman" w:cs="Arial"/>
                <w:sz w:val="18"/>
                <w:szCs w:val="18"/>
                <w:lang w:val="en-AU" w:eastAsia="en-US"/>
              </w:rPr>
              <w:br/>
            </w:r>
            <w:r w:rsidR="00F2518A" w:rsidRPr="007C747A">
              <w:rPr>
                <w:rFonts w:eastAsia="Times New Roman" w:cs="Arial"/>
                <w:sz w:val="18"/>
                <w:szCs w:val="18"/>
                <w:lang w:val="en-AU" w:eastAsia="en-US"/>
              </w:rPr>
              <w:t>$'000</w:t>
            </w:r>
          </w:p>
        </w:tc>
      </w:tr>
      <w:tr w:rsidR="00F2518A" w:rsidRPr="007C747A" w14:paraId="2CB977F2" w14:textId="77777777">
        <w:trPr>
          <w:trHeight w:val="253"/>
        </w:trPr>
        <w:tc>
          <w:tcPr>
            <w:tcW w:w="6339" w:type="dxa"/>
            <w:tcBorders>
              <w:top w:val="nil"/>
              <w:left w:val="nil"/>
              <w:bottom w:val="nil"/>
              <w:right w:val="nil"/>
            </w:tcBorders>
            <w:shd w:val="clear" w:color="FFFFFF" w:fill="FFFFFF"/>
            <w:noWrap/>
            <w:vAlign w:val="bottom"/>
            <w:hideMark/>
          </w:tcPr>
          <w:p w14:paraId="519823F5" w14:textId="77777777" w:rsidR="00F2518A" w:rsidRPr="007C747A" w:rsidRDefault="00F2518A" w:rsidP="00F2518A">
            <w:pPr>
              <w:spacing w:after="0" w:line="260" w:lineRule="atLeast"/>
              <w:rPr>
                <w:rFonts w:eastAsia="Times New Roman" w:cs="Arial"/>
                <w:b/>
                <w:bCs/>
                <w:sz w:val="18"/>
                <w:szCs w:val="18"/>
                <w:u w:val="single"/>
                <w:lang w:val="en-AU" w:eastAsia="en-US"/>
              </w:rPr>
            </w:pPr>
            <w:r w:rsidRPr="007C747A">
              <w:rPr>
                <w:rFonts w:eastAsia="Times New Roman" w:cs="Arial"/>
                <w:b/>
                <w:bCs/>
                <w:sz w:val="18"/>
                <w:szCs w:val="18"/>
                <w:u w:val="single"/>
                <w:lang w:val="en-AU" w:eastAsia="en-US"/>
              </w:rPr>
              <w:t>Note 5.1: Current/non-current distinction for assets and liabilities</w:t>
            </w:r>
          </w:p>
        </w:tc>
        <w:tc>
          <w:tcPr>
            <w:tcW w:w="1388" w:type="dxa"/>
            <w:tcBorders>
              <w:top w:val="nil"/>
              <w:left w:val="nil"/>
              <w:bottom w:val="nil"/>
              <w:right w:val="nil"/>
            </w:tcBorders>
            <w:shd w:val="clear" w:color="FFFFFF" w:fill="FFFFFF"/>
            <w:noWrap/>
            <w:vAlign w:val="bottom"/>
            <w:hideMark/>
          </w:tcPr>
          <w:p w14:paraId="54A85B7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9CA194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3937CCD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39A9624D" w14:textId="77777777">
        <w:trPr>
          <w:trHeight w:val="253"/>
        </w:trPr>
        <w:tc>
          <w:tcPr>
            <w:tcW w:w="6339" w:type="dxa"/>
            <w:tcBorders>
              <w:top w:val="nil"/>
              <w:left w:val="nil"/>
              <w:bottom w:val="nil"/>
              <w:right w:val="nil"/>
            </w:tcBorders>
            <w:shd w:val="clear" w:color="FFFFFF" w:fill="FFFFFF"/>
            <w:vAlign w:val="bottom"/>
            <w:hideMark/>
          </w:tcPr>
          <w:p w14:paraId="623B48B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88" w:type="dxa"/>
            <w:tcBorders>
              <w:top w:val="nil"/>
              <w:left w:val="nil"/>
              <w:bottom w:val="nil"/>
              <w:right w:val="nil"/>
            </w:tcBorders>
            <w:shd w:val="clear" w:color="FFFFFF" w:fill="FFFFFF"/>
            <w:noWrap/>
            <w:vAlign w:val="bottom"/>
            <w:hideMark/>
          </w:tcPr>
          <w:p w14:paraId="1761917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151634C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0FF4B3F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421960A4" w14:textId="77777777">
        <w:trPr>
          <w:trHeight w:val="253"/>
        </w:trPr>
        <w:tc>
          <w:tcPr>
            <w:tcW w:w="6339" w:type="dxa"/>
            <w:tcBorders>
              <w:top w:val="nil"/>
              <w:left w:val="nil"/>
              <w:bottom w:val="nil"/>
              <w:right w:val="nil"/>
            </w:tcBorders>
            <w:shd w:val="clear" w:color="FFFFFF" w:fill="FFFFFF"/>
            <w:vAlign w:val="bottom"/>
            <w:hideMark/>
          </w:tcPr>
          <w:p w14:paraId="322CEDB4"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Assets expected to be recovered in:</w:t>
            </w:r>
          </w:p>
        </w:tc>
        <w:tc>
          <w:tcPr>
            <w:tcW w:w="1388" w:type="dxa"/>
            <w:tcBorders>
              <w:top w:val="nil"/>
              <w:left w:val="nil"/>
              <w:bottom w:val="nil"/>
              <w:right w:val="nil"/>
            </w:tcBorders>
            <w:shd w:val="clear" w:color="FFFFFF" w:fill="FFFFFF"/>
            <w:noWrap/>
            <w:vAlign w:val="bottom"/>
            <w:hideMark/>
          </w:tcPr>
          <w:p w14:paraId="00A7E20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439776B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24B1551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03F05B7" w14:textId="77777777">
        <w:trPr>
          <w:trHeight w:val="253"/>
        </w:trPr>
        <w:tc>
          <w:tcPr>
            <w:tcW w:w="6339" w:type="dxa"/>
            <w:tcBorders>
              <w:top w:val="nil"/>
              <w:left w:val="nil"/>
              <w:bottom w:val="nil"/>
              <w:right w:val="nil"/>
            </w:tcBorders>
            <w:shd w:val="clear" w:color="FFFFFF" w:fill="FFFFFF"/>
            <w:vAlign w:val="bottom"/>
            <w:hideMark/>
          </w:tcPr>
          <w:p w14:paraId="629D49E5"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No more than 12 months</w:t>
            </w:r>
          </w:p>
        </w:tc>
        <w:tc>
          <w:tcPr>
            <w:tcW w:w="1388" w:type="dxa"/>
            <w:tcBorders>
              <w:top w:val="nil"/>
              <w:left w:val="nil"/>
              <w:bottom w:val="nil"/>
              <w:right w:val="nil"/>
            </w:tcBorders>
            <w:shd w:val="clear" w:color="FFFFFF" w:fill="FFFFFF"/>
            <w:noWrap/>
            <w:vAlign w:val="bottom"/>
            <w:hideMark/>
          </w:tcPr>
          <w:p w14:paraId="4728B99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065E40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5FE99D2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504BD6D" w14:textId="77777777">
        <w:trPr>
          <w:trHeight w:val="253"/>
        </w:trPr>
        <w:tc>
          <w:tcPr>
            <w:tcW w:w="6339" w:type="dxa"/>
            <w:tcBorders>
              <w:top w:val="nil"/>
              <w:left w:val="nil"/>
              <w:bottom w:val="nil"/>
              <w:right w:val="nil"/>
            </w:tcBorders>
            <w:shd w:val="clear" w:color="FFFFFF" w:fill="FFFFFF"/>
            <w:noWrap/>
            <w:vAlign w:val="bottom"/>
            <w:hideMark/>
          </w:tcPr>
          <w:p w14:paraId="2CCAFAD9"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Cash and cash equivalents</w:t>
            </w:r>
          </w:p>
        </w:tc>
        <w:tc>
          <w:tcPr>
            <w:tcW w:w="1388" w:type="dxa"/>
            <w:tcBorders>
              <w:top w:val="nil"/>
              <w:left w:val="nil"/>
              <w:bottom w:val="nil"/>
              <w:right w:val="nil"/>
            </w:tcBorders>
            <w:shd w:val="clear" w:color="FFFFFF" w:fill="FFFFFF"/>
            <w:noWrap/>
            <w:vAlign w:val="bottom"/>
            <w:hideMark/>
          </w:tcPr>
          <w:p w14:paraId="0206279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2,729,779</w:t>
            </w:r>
          </w:p>
        </w:tc>
        <w:tc>
          <w:tcPr>
            <w:tcW w:w="236" w:type="dxa"/>
            <w:tcBorders>
              <w:top w:val="nil"/>
              <w:left w:val="nil"/>
              <w:bottom w:val="nil"/>
              <w:right w:val="nil"/>
            </w:tcBorders>
            <w:shd w:val="clear" w:color="FFFFFF" w:fill="FFFFFF"/>
            <w:noWrap/>
            <w:vAlign w:val="bottom"/>
            <w:hideMark/>
          </w:tcPr>
          <w:p w14:paraId="412A37CE"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0BABB328"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1,918,956</w:t>
            </w:r>
          </w:p>
        </w:tc>
      </w:tr>
      <w:tr w:rsidR="00F2518A" w:rsidRPr="007C747A" w14:paraId="7B861F55" w14:textId="77777777">
        <w:trPr>
          <w:trHeight w:val="253"/>
        </w:trPr>
        <w:tc>
          <w:tcPr>
            <w:tcW w:w="6339" w:type="dxa"/>
            <w:tcBorders>
              <w:top w:val="nil"/>
              <w:left w:val="nil"/>
              <w:bottom w:val="nil"/>
              <w:right w:val="nil"/>
            </w:tcBorders>
            <w:shd w:val="clear" w:color="FFFFFF" w:fill="FFFFFF"/>
            <w:noWrap/>
            <w:vAlign w:val="bottom"/>
            <w:hideMark/>
          </w:tcPr>
          <w:p w14:paraId="31E3EBC5"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Trade and other receivables</w:t>
            </w:r>
          </w:p>
        </w:tc>
        <w:tc>
          <w:tcPr>
            <w:tcW w:w="1388" w:type="dxa"/>
            <w:tcBorders>
              <w:top w:val="nil"/>
              <w:left w:val="nil"/>
              <w:bottom w:val="nil"/>
              <w:right w:val="nil"/>
            </w:tcBorders>
            <w:shd w:val="clear" w:color="FFFFFF" w:fill="FFFFFF"/>
            <w:noWrap/>
            <w:vAlign w:val="bottom"/>
            <w:hideMark/>
          </w:tcPr>
          <w:p w14:paraId="0FD8B0F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113,659</w:t>
            </w:r>
          </w:p>
        </w:tc>
        <w:tc>
          <w:tcPr>
            <w:tcW w:w="236" w:type="dxa"/>
            <w:tcBorders>
              <w:top w:val="nil"/>
              <w:left w:val="nil"/>
              <w:bottom w:val="nil"/>
              <w:right w:val="nil"/>
            </w:tcBorders>
            <w:shd w:val="clear" w:color="FFFFFF" w:fill="FFFFFF"/>
            <w:noWrap/>
            <w:vAlign w:val="bottom"/>
            <w:hideMark/>
          </w:tcPr>
          <w:p w14:paraId="070AE49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47F0CA1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48,920</w:t>
            </w:r>
          </w:p>
        </w:tc>
      </w:tr>
      <w:tr w:rsidR="00F2518A" w:rsidRPr="007C747A" w14:paraId="07359606" w14:textId="77777777">
        <w:trPr>
          <w:trHeight w:val="253"/>
        </w:trPr>
        <w:tc>
          <w:tcPr>
            <w:tcW w:w="6339" w:type="dxa"/>
            <w:tcBorders>
              <w:top w:val="nil"/>
              <w:left w:val="nil"/>
              <w:bottom w:val="nil"/>
              <w:right w:val="nil"/>
            </w:tcBorders>
            <w:shd w:val="clear" w:color="FFFFFF" w:fill="FFFFFF"/>
            <w:noWrap/>
            <w:vAlign w:val="bottom"/>
            <w:hideMark/>
          </w:tcPr>
          <w:p w14:paraId="636D028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financial assets</w:t>
            </w:r>
          </w:p>
        </w:tc>
        <w:tc>
          <w:tcPr>
            <w:tcW w:w="1388" w:type="dxa"/>
            <w:tcBorders>
              <w:top w:val="nil"/>
              <w:left w:val="nil"/>
              <w:bottom w:val="nil"/>
              <w:right w:val="nil"/>
            </w:tcBorders>
            <w:shd w:val="clear" w:color="FFFFFF" w:fill="FFFFFF"/>
            <w:noWrap/>
            <w:vAlign w:val="bottom"/>
            <w:hideMark/>
          </w:tcPr>
          <w:p w14:paraId="6807D308"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1,500,000</w:t>
            </w:r>
          </w:p>
        </w:tc>
        <w:tc>
          <w:tcPr>
            <w:tcW w:w="236" w:type="dxa"/>
            <w:tcBorders>
              <w:top w:val="nil"/>
              <w:left w:val="nil"/>
              <w:bottom w:val="nil"/>
              <w:right w:val="nil"/>
            </w:tcBorders>
            <w:shd w:val="clear" w:color="FFFFFF" w:fill="FFFFFF"/>
            <w:noWrap/>
            <w:vAlign w:val="bottom"/>
            <w:hideMark/>
          </w:tcPr>
          <w:p w14:paraId="0F37C4C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6983FAB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2,465,000</w:t>
            </w:r>
          </w:p>
        </w:tc>
      </w:tr>
      <w:tr w:rsidR="00F2518A" w:rsidRPr="007C747A" w14:paraId="4F60329E" w14:textId="77777777">
        <w:trPr>
          <w:trHeight w:val="253"/>
        </w:trPr>
        <w:tc>
          <w:tcPr>
            <w:tcW w:w="6339" w:type="dxa"/>
            <w:tcBorders>
              <w:top w:val="nil"/>
              <w:left w:val="nil"/>
              <w:bottom w:val="nil"/>
              <w:right w:val="nil"/>
            </w:tcBorders>
            <w:shd w:val="clear" w:color="FFFFFF" w:fill="FFFFFF"/>
            <w:noWrap/>
            <w:vAlign w:val="bottom"/>
            <w:hideMark/>
          </w:tcPr>
          <w:p w14:paraId="2DC9145C"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non-financial assets</w:t>
            </w:r>
          </w:p>
        </w:tc>
        <w:tc>
          <w:tcPr>
            <w:tcW w:w="1388" w:type="dxa"/>
            <w:tcBorders>
              <w:top w:val="nil"/>
              <w:left w:val="nil"/>
              <w:bottom w:val="nil"/>
              <w:right w:val="nil"/>
            </w:tcBorders>
            <w:shd w:val="clear" w:color="FFFFFF" w:fill="FFFFFF"/>
            <w:noWrap/>
            <w:vAlign w:val="bottom"/>
            <w:hideMark/>
          </w:tcPr>
          <w:p w14:paraId="161EDF6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26,619</w:t>
            </w:r>
          </w:p>
        </w:tc>
        <w:tc>
          <w:tcPr>
            <w:tcW w:w="236" w:type="dxa"/>
            <w:tcBorders>
              <w:top w:val="nil"/>
              <w:left w:val="nil"/>
              <w:bottom w:val="nil"/>
              <w:right w:val="nil"/>
            </w:tcBorders>
            <w:shd w:val="clear" w:color="FFFFFF" w:fill="FFFFFF"/>
            <w:noWrap/>
            <w:vAlign w:val="bottom"/>
            <w:hideMark/>
          </w:tcPr>
          <w:p w14:paraId="396CF49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23F028F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23,353</w:t>
            </w:r>
          </w:p>
        </w:tc>
      </w:tr>
      <w:tr w:rsidR="00F2518A" w:rsidRPr="007C747A" w14:paraId="6FCB7CDD" w14:textId="77777777">
        <w:trPr>
          <w:trHeight w:val="253"/>
        </w:trPr>
        <w:tc>
          <w:tcPr>
            <w:tcW w:w="6339" w:type="dxa"/>
            <w:tcBorders>
              <w:top w:val="nil"/>
              <w:left w:val="nil"/>
              <w:bottom w:val="nil"/>
              <w:right w:val="nil"/>
            </w:tcBorders>
            <w:shd w:val="clear" w:color="FFFFFF" w:fill="FFFFFF"/>
            <w:vAlign w:val="bottom"/>
            <w:hideMark/>
          </w:tcPr>
          <w:p w14:paraId="3882BBA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no more than 12 months</w:t>
            </w:r>
          </w:p>
        </w:tc>
        <w:tc>
          <w:tcPr>
            <w:tcW w:w="1388" w:type="dxa"/>
            <w:tcBorders>
              <w:top w:val="single" w:sz="4" w:space="0" w:color="auto"/>
              <w:left w:val="nil"/>
              <w:bottom w:val="single" w:sz="4" w:space="0" w:color="auto"/>
              <w:right w:val="nil"/>
            </w:tcBorders>
            <w:shd w:val="clear" w:color="FFFFFF" w:fill="FFFFFF"/>
            <w:noWrap/>
            <w:vAlign w:val="bottom"/>
            <w:hideMark/>
          </w:tcPr>
          <w:p w14:paraId="0A65D0DC"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4,370,057</w:t>
            </w:r>
          </w:p>
        </w:tc>
        <w:tc>
          <w:tcPr>
            <w:tcW w:w="236" w:type="dxa"/>
            <w:tcBorders>
              <w:top w:val="nil"/>
              <w:left w:val="nil"/>
              <w:bottom w:val="nil"/>
              <w:right w:val="nil"/>
            </w:tcBorders>
            <w:shd w:val="clear" w:color="FFFFFF" w:fill="FFFFFF"/>
            <w:noWrap/>
            <w:vAlign w:val="bottom"/>
            <w:hideMark/>
          </w:tcPr>
          <w:p w14:paraId="7F0A3D9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46E8E5FA"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4,456,229</w:t>
            </w:r>
          </w:p>
        </w:tc>
      </w:tr>
      <w:tr w:rsidR="00F2518A" w:rsidRPr="007C747A" w14:paraId="35276AE6" w14:textId="77777777">
        <w:trPr>
          <w:trHeight w:val="253"/>
        </w:trPr>
        <w:tc>
          <w:tcPr>
            <w:tcW w:w="6339" w:type="dxa"/>
            <w:tcBorders>
              <w:top w:val="nil"/>
              <w:left w:val="nil"/>
              <w:bottom w:val="nil"/>
              <w:right w:val="nil"/>
            </w:tcBorders>
            <w:shd w:val="clear" w:color="FFFFFF" w:fill="FFFFFF"/>
            <w:vAlign w:val="bottom"/>
            <w:hideMark/>
          </w:tcPr>
          <w:p w14:paraId="6C820A57"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88" w:type="dxa"/>
            <w:tcBorders>
              <w:top w:val="nil"/>
              <w:left w:val="nil"/>
              <w:bottom w:val="nil"/>
              <w:right w:val="nil"/>
            </w:tcBorders>
            <w:shd w:val="clear" w:color="FFFFFF" w:fill="FFFFFF"/>
            <w:noWrap/>
            <w:vAlign w:val="bottom"/>
            <w:hideMark/>
          </w:tcPr>
          <w:p w14:paraId="53D3A6B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9AF7EB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5C9E04B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E46A217" w14:textId="77777777">
        <w:trPr>
          <w:trHeight w:val="253"/>
        </w:trPr>
        <w:tc>
          <w:tcPr>
            <w:tcW w:w="6339" w:type="dxa"/>
            <w:tcBorders>
              <w:top w:val="nil"/>
              <w:left w:val="nil"/>
              <w:bottom w:val="nil"/>
              <w:right w:val="nil"/>
            </w:tcBorders>
            <w:shd w:val="clear" w:color="FFFFFF" w:fill="FFFFFF"/>
            <w:vAlign w:val="bottom"/>
            <w:hideMark/>
          </w:tcPr>
          <w:p w14:paraId="443CB68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More than 12 months</w:t>
            </w:r>
          </w:p>
        </w:tc>
        <w:tc>
          <w:tcPr>
            <w:tcW w:w="1388" w:type="dxa"/>
            <w:tcBorders>
              <w:top w:val="nil"/>
              <w:left w:val="nil"/>
              <w:bottom w:val="nil"/>
              <w:right w:val="nil"/>
            </w:tcBorders>
            <w:shd w:val="clear" w:color="FFFFFF" w:fill="FFFFFF"/>
            <w:noWrap/>
            <w:vAlign w:val="bottom"/>
            <w:hideMark/>
          </w:tcPr>
          <w:p w14:paraId="6833ED2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B1DD84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32FEA682"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512A5229" w14:textId="77777777">
        <w:trPr>
          <w:trHeight w:val="253"/>
        </w:trPr>
        <w:tc>
          <w:tcPr>
            <w:tcW w:w="6339" w:type="dxa"/>
            <w:tcBorders>
              <w:top w:val="nil"/>
              <w:left w:val="nil"/>
              <w:bottom w:val="nil"/>
              <w:right w:val="nil"/>
            </w:tcBorders>
            <w:shd w:val="clear" w:color="FFFFFF" w:fill="FFFFFF"/>
            <w:noWrap/>
            <w:vAlign w:val="bottom"/>
            <w:hideMark/>
          </w:tcPr>
          <w:p w14:paraId="26C5368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Buildings</w:t>
            </w:r>
          </w:p>
        </w:tc>
        <w:tc>
          <w:tcPr>
            <w:tcW w:w="1388" w:type="dxa"/>
            <w:tcBorders>
              <w:top w:val="nil"/>
              <w:left w:val="nil"/>
              <w:bottom w:val="nil"/>
              <w:right w:val="nil"/>
            </w:tcBorders>
            <w:shd w:val="clear" w:color="FFFFFF" w:fill="FFFFFF"/>
            <w:noWrap/>
            <w:vAlign w:val="bottom"/>
            <w:hideMark/>
          </w:tcPr>
          <w:p w14:paraId="76C9C1B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223,813</w:t>
            </w:r>
          </w:p>
        </w:tc>
        <w:tc>
          <w:tcPr>
            <w:tcW w:w="236" w:type="dxa"/>
            <w:tcBorders>
              <w:top w:val="nil"/>
              <w:left w:val="nil"/>
              <w:bottom w:val="nil"/>
              <w:right w:val="nil"/>
            </w:tcBorders>
            <w:shd w:val="clear" w:color="FFFFFF" w:fill="FFFFFF"/>
            <w:noWrap/>
            <w:vAlign w:val="bottom"/>
            <w:hideMark/>
          </w:tcPr>
          <w:p w14:paraId="3519802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2E56C0A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217,416</w:t>
            </w:r>
          </w:p>
        </w:tc>
      </w:tr>
      <w:tr w:rsidR="00F2518A" w:rsidRPr="007C747A" w14:paraId="38419066" w14:textId="77777777">
        <w:trPr>
          <w:trHeight w:val="253"/>
        </w:trPr>
        <w:tc>
          <w:tcPr>
            <w:tcW w:w="6339" w:type="dxa"/>
            <w:tcBorders>
              <w:top w:val="nil"/>
              <w:left w:val="nil"/>
              <w:bottom w:val="nil"/>
              <w:right w:val="nil"/>
            </w:tcBorders>
            <w:shd w:val="clear" w:color="FFFFFF" w:fill="FFFFFF"/>
            <w:noWrap/>
            <w:vAlign w:val="bottom"/>
            <w:hideMark/>
          </w:tcPr>
          <w:p w14:paraId="5F9EDA4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Plant and equipment</w:t>
            </w:r>
          </w:p>
        </w:tc>
        <w:tc>
          <w:tcPr>
            <w:tcW w:w="1388" w:type="dxa"/>
            <w:tcBorders>
              <w:top w:val="nil"/>
              <w:left w:val="nil"/>
              <w:bottom w:val="nil"/>
              <w:right w:val="nil"/>
            </w:tcBorders>
            <w:shd w:val="clear" w:color="FFFFFF" w:fill="FFFFFF"/>
            <w:noWrap/>
            <w:vAlign w:val="bottom"/>
            <w:hideMark/>
          </w:tcPr>
          <w:p w14:paraId="6C2847B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9,048</w:t>
            </w:r>
          </w:p>
        </w:tc>
        <w:tc>
          <w:tcPr>
            <w:tcW w:w="236" w:type="dxa"/>
            <w:tcBorders>
              <w:top w:val="nil"/>
              <w:left w:val="nil"/>
              <w:bottom w:val="nil"/>
              <w:right w:val="nil"/>
            </w:tcBorders>
            <w:shd w:val="clear" w:color="FFFFFF" w:fill="FFFFFF"/>
            <w:noWrap/>
            <w:vAlign w:val="bottom"/>
            <w:hideMark/>
          </w:tcPr>
          <w:p w14:paraId="6053BEE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07CF56CC"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10,373</w:t>
            </w:r>
          </w:p>
        </w:tc>
      </w:tr>
      <w:tr w:rsidR="00F2518A" w:rsidRPr="007C747A" w14:paraId="70E79FDF" w14:textId="77777777">
        <w:trPr>
          <w:trHeight w:val="253"/>
        </w:trPr>
        <w:tc>
          <w:tcPr>
            <w:tcW w:w="6339" w:type="dxa"/>
            <w:tcBorders>
              <w:top w:val="nil"/>
              <w:left w:val="nil"/>
              <w:bottom w:val="nil"/>
              <w:right w:val="nil"/>
            </w:tcBorders>
            <w:shd w:val="clear" w:color="FFFFFF" w:fill="FFFFFF"/>
            <w:noWrap/>
            <w:vAlign w:val="bottom"/>
            <w:hideMark/>
          </w:tcPr>
          <w:p w14:paraId="464D6D0D"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non-financial assets</w:t>
            </w:r>
          </w:p>
        </w:tc>
        <w:tc>
          <w:tcPr>
            <w:tcW w:w="1388" w:type="dxa"/>
            <w:tcBorders>
              <w:top w:val="nil"/>
              <w:left w:val="nil"/>
              <w:bottom w:val="nil"/>
              <w:right w:val="nil"/>
            </w:tcBorders>
            <w:shd w:val="clear" w:color="FFFFFF" w:fill="FFFFFF"/>
            <w:noWrap/>
            <w:vAlign w:val="bottom"/>
            <w:hideMark/>
          </w:tcPr>
          <w:p w14:paraId="235D56F4"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4EDD903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24F1F24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327</w:t>
            </w:r>
          </w:p>
        </w:tc>
      </w:tr>
      <w:tr w:rsidR="00F2518A" w:rsidRPr="007C747A" w14:paraId="2B7F5599" w14:textId="77777777">
        <w:trPr>
          <w:trHeight w:val="253"/>
        </w:trPr>
        <w:tc>
          <w:tcPr>
            <w:tcW w:w="6339" w:type="dxa"/>
            <w:tcBorders>
              <w:top w:val="nil"/>
              <w:left w:val="nil"/>
              <w:bottom w:val="nil"/>
              <w:right w:val="nil"/>
            </w:tcBorders>
            <w:shd w:val="clear" w:color="FFFFFF" w:fill="FFFFFF"/>
            <w:vAlign w:val="bottom"/>
            <w:hideMark/>
          </w:tcPr>
          <w:p w14:paraId="00ED1C4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more than 12 months</w:t>
            </w:r>
          </w:p>
        </w:tc>
        <w:tc>
          <w:tcPr>
            <w:tcW w:w="1388" w:type="dxa"/>
            <w:tcBorders>
              <w:top w:val="single" w:sz="4" w:space="0" w:color="auto"/>
              <w:left w:val="nil"/>
              <w:bottom w:val="single" w:sz="4" w:space="0" w:color="auto"/>
              <w:right w:val="nil"/>
            </w:tcBorders>
            <w:shd w:val="clear" w:color="FFFFFF" w:fill="FFFFFF"/>
            <w:noWrap/>
            <w:vAlign w:val="bottom"/>
            <w:hideMark/>
          </w:tcPr>
          <w:p w14:paraId="2363C49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232,861</w:t>
            </w:r>
          </w:p>
        </w:tc>
        <w:tc>
          <w:tcPr>
            <w:tcW w:w="236" w:type="dxa"/>
            <w:tcBorders>
              <w:top w:val="nil"/>
              <w:left w:val="nil"/>
              <w:bottom w:val="nil"/>
              <w:right w:val="nil"/>
            </w:tcBorders>
            <w:shd w:val="clear" w:color="FFFFFF" w:fill="FFFFFF"/>
            <w:noWrap/>
            <w:vAlign w:val="bottom"/>
            <w:hideMark/>
          </w:tcPr>
          <w:p w14:paraId="45789531"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3E0045B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228,116</w:t>
            </w:r>
          </w:p>
        </w:tc>
      </w:tr>
      <w:tr w:rsidR="00F2518A" w:rsidRPr="007C747A" w14:paraId="50EC0112" w14:textId="77777777">
        <w:trPr>
          <w:trHeight w:val="253"/>
        </w:trPr>
        <w:tc>
          <w:tcPr>
            <w:tcW w:w="6339" w:type="dxa"/>
            <w:tcBorders>
              <w:top w:val="nil"/>
              <w:left w:val="nil"/>
              <w:bottom w:val="nil"/>
              <w:right w:val="nil"/>
            </w:tcBorders>
            <w:shd w:val="clear" w:color="FFFFFF" w:fill="FFFFFF"/>
            <w:vAlign w:val="bottom"/>
            <w:hideMark/>
          </w:tcPr>
          <w:p w14:paraId="4F03996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assets</w:t>
            </w:r>
          </w:p>
        </w:tc>
        <w:tc>
          <w:tcPr>
            <w:tcW w:w="1388" w:type="dxa"/>
            <w:tcBorders>
              <w:top w:val="nil"/>
              <w:left w:val="nil"/>
              <w:bottom w:val="single" w:sz="4" w:space="0" w:color="auto"/>
              <w:right w:val="nil"/>
            </w:tcBorders>
            <w:shd w:val="clear" w:color="FFFFFF" w:fill="FFFFFF"/>
            <w:noWrap/>
            <w:vAlign w:val="bottom"/>
            <w:hideMark/>
          </w:tcPr>
          <w:p w14:paraId="582222C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4,602,918</w:t>
            </w:r>
          </w:p>
        </w:tc>
        <w:tc>
          <w:tcPr>
            <w:tcW w:w="236" w:type="dxa"/>
            <w:tcBorders>
              <w:top w:val="nil"/>
              <w:left w:val="nil"/>
              <w:bottom w:val="nil"/>
              <w:right w:val="nil"/>
            </w:tcBorders>
            <w:shd w:val="clear" w:color="FFFFFF" w:fill="FFFFFF"/>
            <w:noWrap/>
            <w:vAlign w:val="bottom"/>
            <w:hideMark/>
          </w:tcPr>
          <w:p w14:paraId="309CCB8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single" w:sz="4" w:space="0" w:color="auto"/>
              <w:right w:val="nil"/>
            </w:tcBorders>
            <w:shd w:val="clear" w:color="FFFFFF" w:fill="FFFFFF"/>
            <w:noWrap/>
            <w:vAlign w:val="bottom"/>
            <w:hideMark/>
          </w:tcPr>
          <w:p w14:paraId="0A393D2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4,684,345</w:t>
            </w:r>
          </w:p>
        </w:tc>
      </w:tr>
      <w:tr w:rsidR="00F2518A" w:rsidRPr="007C747A" w14:paraId="04D3F255" w14:textId="77777777">
        <w:trPr>
          <w:trHeight w:val="240"/>
        </w:trPr>
        <w:tc>
          <w:tcPr>
            <w:tcW w:w="6339" w:type="dxa"/>
            <w:tcBorders>
              <w:top w:val="nil"/>
              <w:left w:val="nil"/>
              <w:bottom w:val="nil"/>
              <w:right w:val="nil"/>
            </w:tcBorders>
            <w:shd w:val="clear" w:color="FFFFFF" w:fill="FFFFFF"/>
            <w:vAlign w:val="bottom"/>
            <w:hideMark/>
          </w:tcPr>
          <w:p w14:paraId="08F1EBB4"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388" w:type="dxa"/>
            <w:tcBorders>
              <w:top w:val="nil"/>
              <w:left w:val="nil"/>
              <w:bottom w:val="nil"/>
              <w:right w:val="nil"/>
            </w:tcBorders>
            <w:shd w:val="clear" w:color="FFFFFF" w:fill="FFFFFF"/>
            <w:noWrap/>
            <w:vAlign w:val="bottom"/>
            <w:hideMark/>
          </w:tcPr>
          <w:p w14:paraId="43EC1BE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53F739A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4E6B48C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2F57A3C7" w14:textId="77777777">
        <w:trPr>
          <w:trHeight w:val="253"/>
        </w:trPr>
        <w:tc>
          <w:tcPr>
            <w:tcW w:w="6339" w:type="dxa"/>
            <w:tcBorders>
              <w:top w:val="nil"/>
              <w:left w:val="nil"/>
              <w:bottom w:val="nil"/>
              <w:right w:val="nil"/>
            </w:tcBorders>
            <w:shd w:val="clear" w:color="FFFFFF" w:fill="FFFFFF"/>
            <w:vAlign w:val="bottom"/>
            <w:hideMark/>
          </w:tcPr>
          <w:p w14:paraId="520459E8"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Liabilities expected to be settled in:</w:t>
            </w:r>
          </w:p>
        </w:tc>
        <w:tc>
          <w:tcPr>
            <w:tcW w:w="1388" w:type="dxa"/>
            <w:tcBorders>
              <w:top w:val="nil"/>
              <w:left w:val="nil"/>
              <w:bottom w:val="nil"/>
              <w:right w:val="nil"/>
            </w:tcBorders>
            <w:shd w:val="clear" w:color="FFFFFF" w:fill="FFFFFF"/>
            <w:noWrap/>
            <w:vAlign w:val="bottom"/>
            <w:hideMark/>
          </w:tcPr>
          <w:p w14:paraId="0BF9E78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0D3331F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0011362A"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3A27B53C" w14:textId="77777777">
        <w:trPr>
          <w:trHeight w:val="253"/>
        </w:trPr>
        <w:tc>
          <w:tcPr>
            <w:tcW w:w="6339" w:type="dxa"/>
            <w:tcBorders>
              <w:top w:val="nil"/>
              <w:left w:val="nil"/>
              <w:bottom w:val="nil"/>
              <w:right w:val="nil"/>
            </w:tcBorders>
            <w:shd w:val="clear" w:color="FFFFFF" w:fill="FFFFFF"/>
            <w:vAlign w:val="bottom"/>
            <w:hideMark/>
          </w:tcPr>
          <w:p w14:paraId="5032DDD0"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No more than 12 months</w:t>
            </w:r>
          </w:p>
        </w:tc>
        <w:tc>
          <w:tcPr>
            <w:tcW w:w="1388" w:type="dxa"/>
            <w:tcBorders>
              <w:top w:val="nil"/>
              <w:left w:val="nil"/>
              <w:bottom w:val="nil"/>
              <w:right w:val="nil"/>
            </w:tcBorders>
            <w:shd w:val="clear" w:color="FFFFFF" w:fill="FFFFFF"/>
            <w:noWrap/>
            <w:vAlign w:val="bottom"/>
            <w:hideMark/>
          </w:tcPr>
          <w:p w14:paraId="4A7457D8"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6C5AC6C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718944F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r>
      <w:tr w:rsidR="00F2518A" w:rsidRPr="007C747A" w14:paraId="6AE63000" w14:textId="77777777">
        <w:trPr>
          <w:trHeight w:val="253"/>
        </w:trPr>
        <w:tc>
          <w:tcPr>
            <w:tcW w:w="6339" w:type="dxa"/>
            <w:tcBorders>
              <w:top w:val="nil"/>
              <w:left w:val="nil"/>
              <w:bottom w:val="nil"/>
              <w:right w:val="nil"/>
            </w:tcBorders>
            <w:shd w:val="clear" w:color="FFFFFF" w:fill="FFFFFF"/>
            <w:noWrap/>
            <w:vAlign w:val="bottom"/>
            <w:hideMark/>
          </w:tcPr>
          <w:p w14:paraId="2060A23B"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Suppliers</w:t>
            </w:r>
          </w:p>
        </w:tc>
        <w:tc>
          <w:tcPr>
            <w:tcW w:w="1388" w:type="dxa"/>
            <w:tcBorders>
              <w:top w:val="nil"/>
              <w:left w:val="nil"/>
              <w:bottom w:val="nil"/>
              <w:right w:val="nil"/>
            </w:tcBorders>
            <w:shd w:val="clear" w:color="FFFFFF" w:fill="FFFFFF"/>
            <w:noWrap/>
            <w:vAlign w:val="bottom"/>
            <w:hideMark/>
          </w:tcPr>
          <w:p w14:paraId="363C665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594,071</w:t>
            </w:r>
          </w:p>
        </w:tc>
        <w:tc>
          <w:tcPr>
            <w:tcW w:w="236" w:type="dxa"/>
            <w:tcBorders>
              <w:top w:val="nil"/>
              <w:left w:val="nil"/>
              <w:bottom w:val="nil"/>
              <w:right w:val="nil"/>
            </w:tcBorders>
            <w:shd w:val="clear" w:color="FFFFFF" w:fill="FFFFFF"/>
            <w:noWrap/>
            <w:vAlign w:val="bottom"/>
            <w:hideMark/>
          </w:tcPr>
          <w:p w14:paraId="462EADD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07D0A8BE"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250,705</w:t>
            </w:r>
          </w:p>
        </w:tc>
      </w:tr>
      <w:tr w:rsidR="00F2518A" w:rsidRPr="007C747A" w14:paraId="20A98187" w14:textId="77777777">
        <w:trPr>
          <w:trHeight w:val="253"/>
        </w:trPr>
        <w:tc>
          <w:tcPr>
            <w:tcW w:w="6339" w:type="dxa"/>
            <w:tcBorders>
              <w:top w:val="nil"/>
              <w:left w:val="nil"/>
              <w:bottom w:val="nil"/>
              <w:right w:val="nil"/>
            </w:tcBorders>
            <w:shd w:val="clear" w:color="FFFFFF" w:fill="FFFFFF"/>
            <w:noWrap/>
            <w:vAlign w:val="bottom"/>
            <w:hideMark/>
          </w:tcPr>
          <w:p w14:paraId="1BCC6BEF"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Other payables</w:t>
            </w:r>
          </w:p>
        </w:tc>
        <w:tc>
          <w:tcPr>
            <w:tcW w:w="1388" w:type="dxa"/>
            <w:tcBorders>
              <w:top w:val="nil"/>
              <w:left w:val="nil"/>
              <w:bottom w:val="nil"/>
              <w:right w:val="nil"/>
            </w:tcBorders>
            <w:shd w:val="clear" w:color="FFFFFF" w:fill="FFFFFF"/>
            <w:noWrap/>
            <w:vAlign w:val="bottom"/>
            <w:hideMark/>
          </w:tcPr>
          <w:p w14:paraId="0C55741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14,410</w:t>
            </w:r>
          </w:p>
        </w:tc>
        <w:tc>
          <w:tcPr>
            <w:tcW w:w="236" w:type="dxa"/>
            <w:tcBorders>
              <w:top w:val="nil"/>
              <w:left w:val="nil"/>
              <w:bottom w:val="nil"/>
              <w:right w:val="nil"/>
            </w:tcBorders>
            <w:shd w:val="clear" w:color="FFFFFF" w:fill="FFFFFF"/>
            <w:noWrap/>
            <w:vAlign w:val="bottom"/>
            <w:hideMark/>
          </w:tcPr>
          <w:p w14:paraId="455335A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243F04D7"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10,984</w:t>
            </w:r>
          </w:p>
        </w:tc>
      </w:tr>
      <w:tr w:rsidR="00F2518A" w:rsidRPr="007C747A" w14:paraId="65954290" w14:textId="77777777">
        <w:trPr>
          <w:trHeight w:val="253"/>
        </w:trPr>
        <w:tc>
          <w:tcPr>
            <w:tcW w:w="6339" w:type="dxa"/>
            <w:tcBorders>
              <w:top w:val="nil"/>
              <w:left w:val="nil"/>
              <w:bottom w:val="nil"/>
              <w:right w:val="nil"/>
            </w:tcBorders>
            <w:shd w:val="clear" w:color="FFFFFF" w:fill="FFFFFF"/>
            <w:noWrap/>
            <w:vAlign w:val="bottom"/>
            <w:hideMark/>
          </w:tcPr>
          <w:p w14:paraId="21DACE38"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Unearned revenue</w:t>
            </w:r>
          </w:p>
        </w:tc>
        <w:tc>
          <w:tcPr>
            <w:tcW w:w="1388" w:type="dxa"/>
            <w:tcBorders>
              <w:top w:val="nil"/>
              <w:left w:val="nil"/>
              <w:bottom w:val="nil"/>
              <w:right w:val="nil"/>
            </w:tcBorders>
            <w:shd w:val="clear" w:color="FFFFFF" w:fill="FFFFFF"/>
            <w:noWrap/>
            <w:vAlign w:val="bottom"/>
            <w:hideMark/>
          </w:tcPr>
          <w:p w14:paraId="6225FA55"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506,442</w:t>
            </w:r>
          </w:p>
        </w:tc>
        <w:tc>
          <w:tcPr>
            <w:tcW w:w="236" w:type="dxa"/>
            <w:tcBorders>
              <w:top w:val="nil"/>
              <w:left w:val="nil"/>
              <w:bottom w:val="nil"/>
              <w:right w:val="nil"/>
            </w:tcBorders>
            <w:shd w:val="clear" w:color="FFFFFF" w:fill="FFFFFF"/>
            <w:noWrap/>
            <w:vAlign w:val="bottom"/>
            <w:hideMark/>
          </w:tcPr>
          <w:p w14:paraId="66016D5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5FCD647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477,070</w:t>
            </w:r>
          </w:p>
        </w:tc>
      </w:tr>
      <w:tr w:rsidR="00F2518A" w:rsidRPr="007C747A" w14:paraId="292A6DBC" w14:textId="77777777">
        <w:trPr>
          <w:trHeight w:val="253"/>
        </w:trPr>
        <w:tc>
          <w:tcPr>
            <w:tcW w:w="6339" w:type="dxa"/>
            <w:tcBorders>
              <w:top w:val="nil"/>
              <w:left w:val="nil"/>
              <w:bottom w:val="nil"/>
              <w:right w:val="nil"/>
            </w:tcBorders>
            <w:shd w:val="clear" w:color="FFFFFF" w:fill="FFFFFF"/>
            <w:noWrap/>
            <w:vAlign w:val="bottom"/>
            <w:hideMark/>
          </w:tcPr>
          <w:p w14:paraId="2A2773C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Leases</w:t>
            </w:r>
          </w:p>
        </w:tc>
        <w:tc>
          <w:tcPr>
            <w:tcW w:w="1388" w:type="dxa"/>
            <w:tcBorders>
              <w:top w:val="nil"/>
              <w:left w:val="nil"/>
              <w:bottom w:val="nil"/>
              <w:right w:val="nil"/>
            </w:tcBorders>
            <w:shd w:val="clear" w:color="FFFFFF" w:fill="FFFFFF"/>
            <w:noWrap/>
            <w:vAlign w:val="bottom"/>
            <w:hideMark/>
          </w:tcPr>
          <w:p w14:paraId="4690FDC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30,048</w:t>
            </w:r>
          </w:p>
        </w:tc>
        <w:tc>
          <w:tcPr>
            <w:tcW w:w="236" w:type="dxa"/>
            <w:tcBorders>
              <w:top w:val="nil"/>
              <w:left w:val="nil"/>
              <w:bottom w:val="nil"/>
              <w:right w:val="nil"/>
            </w:tcBorders>
            <w:shd w:val="clear" w:color="FFFFFF" w:fill="FFFFFF"/>
            <w:noWrap/>
            <w:vAlign w:val="bottom"/>
            <w:hideMark/>
          </w:tcPr>
          <w:p w14:paraId="43653B8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1DAA4BC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33,424</w:t>
            </w:r>
          </w:p>
        </w:tc>
      </w:tr>
      <w:tr w:rsidR="00F2518A" w:rsidRPr="007C747A" w14:paraId="25352569" w14:textId="77777777">
        <w:trPr>
          <w:trHeight w:val="253"/>
        </w:trPr>
        <w:tc>
          <w:tcPr>
            <w:tcW w:w="6339" w:type="dxa"/>
            <w:tcBorders>
              <w:top w:val="nil"/>
              <w:left w:val="nil"/>
              <w:bottom w:val="nil"/>
              <w:right w:val="nil"/>
            </w:tcBorders>
            <w:shd w:val="clear" w:color="FFFFFF" w:fill="FFFFFF"/>
            <w:noWrap/>
            <w:vAlign w:val="bottom"/>
            <w:hideMark/>
          </w:tcPr>
          <w:p w14:paraId="5BC0879B"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Employee provisions</w:t>
            </w:r>
          </w:p>
        </w:tc>
        <w:tc>
          <w:tcPr>
            <w:tcW w:w="1388" w:type="dxa"/>
            <w:tcBorders>
              <w:top w:val="nil"/>
              <w:left w:val="nil"/>
              <w:bottom w:val="nil"/>
              <w:right w:val="nil"/>
            </w:tcBorders>
            <w:shd w:val="clear" w:color="FFFFFF" w:fill="FFFFFF"/>
            <w:noWrap/>
            <w:vAlign w:val="bottom"/>
            <w:hideMark/>
          </w:tcPr>
          <w:p w14:paraId="041F3C00"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31,553</w:t>
            </w:r>
          </w:p>
        </w:tc>
        <w:tc>
          <w:tcPr>
            <w:tcW w:w="236" w:type="dxa"/>
            <w:tcBorders>
              <w:top w:val="nil"/>
              <w:left w:val="nil"/>
              <w:bottom w:val="nil"/>
              <w:right w:val="nil"/>
            </w:tcBorders>
            <w:shd w:val="clear" w:color="FFFFFF" w:fill="FFFFFF"/>
            <w:noWrap/>
            <w:vAlign w:val="bottom"/>
            <w:hideMark/>
          </w:tcPr>
          <w:p w14:paraId="3D4D74B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5F824F9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28,695</w:t>
            </w:r>
          </w:p>
        </w:tc>
      </w:tr>
      <w:tr w:rsidR="00F2518A" w:rsidRPr="007C747A" w14:paraId="5D437BC8" w14:textId="77777777">
        <w:trPr>
          <w:trHeight w:val="253"/>
        </w:trPr>
        <w:tc>
          <w:tcPr>
            <w:tcW w:w="6339" w:type="dxa"/>
            <w:tcBorders>
              <w:top w:val="nil"/>
              <w:left w:val="nil"/>
              <w:bottom w:val="nil"/>
              <w:right w:val="nil"/>
            </w:tcBorders>
            <w:shd w:val="clear" w:color="FFFFFF" w:fill="FFFFFF"/>
            <w:noWrap/>
            <w:vAlign w:val="bottom"/>
            <w:hideMark/>
          </w:tcPr>
          <w:p w14:paraId="02E8EBCA"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Participant plan provisions</w:t>
            </w:r>
          </w:p>
        </w:tc>
        <w:tc>
          <w:tcPr>
            <w:tcW w:w="1388" w:type="dxa"/>
            <w:tcBorders>
              <w:top w:val="nil"/>
              <w:left w:val="nil"/>
              <w:bottom w:val="nil"/>
              <w:right w:val="nil"/>
            </w:tcBorders>
            <w:shd w:val="clear" w:color="FFFFFF" w:fill="FFFFFF"/>
            <w:noWrap/>
            <w:vAlign w:val="bottom"/>
            <w:hideMark/>
          </w:tcPr>
          <w:p w14:paraId="3CAA522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1,880,519</w:t>
            </w:r>
          </w:p>
        </w:tc>
        <w:tc>
          <w:tcPr>
            <w:tcW w:w="236" w:type="dxa"/>
            <w:tcBorders>
              <w:top w:val="nil"/>
              <w:left w:val="nil"/>
              <w:bottom w:val="nil"/>
              <w:right w:val="nil"/>
            </w:tcBorders>
            <w:shd w:val="clear" w:color="FFFFFF" w:fill="FFFFFF"/>
            <w:noWrap/>
            <w:vAlign w:val="bottom"/>
            <w:hideMark/>
          </w:tcPr>
          <w:p w14:paraId="6D1EEE6C"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56AD9BE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1,874,364</w:t>
            </w:r>
          </w:p>
        </w:tc>
      </w:tr>
      <w:tr w:rsidR="00F2518A" w:rsidRPr="007C747A" w14:paraId="5ED118C0" w14:textId="77777777">
        <w:trPr>
          <w:trHeight w:val="253"/>
        </w:trPr>
        <w:tc>
          <w:tcPr>
            <w:tcW w:w="6339" w:type="dxa"/>
            <w:tcBorders>
              <w:top w:val="nil"/>
              <w:left w:val="nil"/>
              <w:bottom w:val="nil"/>
              <w:right w:val="nil"/>
            </w:tcBorders>
            <w:shd w:val="clear" w:color="FFFFFF" w:fill="FFFFFF"/>
            <w:noWrap/>
            <w:vAlign w:val="bottom"/>
            <w:hideMark/>
          </w:tcPr>
          <w:p w14:paraId="00F099B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Provision for provider additional costs</w:t>
            </w:r>
          </w:p>
        </w:tc>
        <w:tc>
          <w:tcPr>
            <w:tcW w:w="1388" w:type="dxa"/>
            <w:tcBorders>
              <w:top w:val="nil"/>
              <w:left w:val="nil"/>
              <w:bottom w:val="nil"/>
              <w:right w:val="nil"/>
            </w:tcBorders>
            <w:shd w:val="clear" w:color="FFFFFF" w:fill="FFFFFF"/>
            <w:noWrap/>
            <w:vAlign w:val="bottom"/>
            <w:hideMark/>
          </w:tcPr>
          <w:p w14:paraId="29452D0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w:t>
            </w:r>
          </w:p>
        </w:tc>
        <w:tc>
          <w:tcPr>
            <w:tcW w:w="236" w:type="dxa"/>
            <w:tcBorders>
              <w:top w:val="nil"/>
              <w:left w:val="nil"/>
              <w:bottom w:val="nil"/>
              <w:right w:val="nil"/>
            </w:tcBorders>
            <w:shd w:val="clear" w:color="FFFFFF" w:fill="FFFFFF"/>
            <w:noWrap/>
            <w:vAlign w:val="bottom"/>
            <w:hideMark/>
          </w:tcPr>
          <w:p w14:paraId="5DDD9746"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19013814"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475,644</w:t>
            </w:r>
          </w:p>
        </w:tc>
      </w:tr>
      <w:tr w:rsidR="00F2518A" w:rsidRPr="007C747A" w14:paraId="169D4E69" w14:textId="77777777">
        <w:trPr>
          <w:trHeight w:val="253"/>
        </w:trPr>
        <w:tc>
          <w:tcPr>
            <w:tcW w:w="6339" w:type="dxa"/>
            <w:tcBorders>
              <w:top w:val="nil"/>
              <w:left w:val="nil"/>
              <w:bottom w:val="nil"/>
              <w:right w:val="nil"/>
            </w:tcBorders>
            <w:shd w:val="clear" w:color="FFFFFF" w:fill="FFFFFF"/>
            <w:noWrap/>
            <w:vAlign w:val="bottom"/>
            <w:hideMark/>
          </w:tcPr>
          <w:p w14:paraId="16AF748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Provision for restoration obligations</w:t>
            </w:r>
          </w:p>
        </w:tc>
        <w:tc>
          <w:tcPr>
            <w:tcW w:w="1388" w:type="dxa"/>
            <w:tcBorders>
              <w:top w:val="nil"/>
              <w:left w:val="nil"/>
              <w:bottom w:val="nil"/>
              <w:right w:val="nil"/>
            </w:tcBorders>
            <w:shd w:val="clear" w:color="FFFFFF" w:fill="FFFFFF"/>
            <w:noWrap/>
            <w:vAlign w:val="bottom"/>
            <w:hideMark/>
          </w:tcPr>
          <w:p w14:paraId="64159B9B"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1,607</w:t>
            </w:r>
          </w:p>
        </w:tc>
        <w:tc>
          <w:tcPr>
            <w:tcW w:w="236" w:type="dxa"/>
            <w:tcBorders>
              <w:top w:val="nil"/>
              <w:left w:val="nil"/>
              <w:bottom w:val="nil"/>
              <w:right w:val="nil"/>
            </w:tcBorders>
            <w:shd w:val="clear" w:color="FFFFFF" w:fill="FFFFFF"/>
            <w:noWrap/>
            <w:vAlign w:val="bottom"/>
            <w:hideMark/>
          </w:tcPr>
          <w:p w14:paraId="2BFF773B"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028DD7D2"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2,788</w:t>
            </w:r>
          </w:p>
        </w:tc>
      </w:tr>
      <w:tr w:rsidR="00F2518A" w:rsidRPr="007C747A" w14:paraId="77693F29" w14:textId="77777777">
        <w:trPr>
          <w:trHeight w:val="253"/>
        </w:trPr>
        <w:tc>
          <w:tcPr>
            <w:tcW w:w="6339" w:type="dxa"/>
            <w:tcBorders>
              <w:top w:val="nil"/>
              <w:left w:val="nil"/>
              <w:bottom w:val="nil"/>
              <w:right w:val="nil"/>
            </w:tcBorders>
            <w:shd w:val="clear" w:color="FFFFFF" w:fill="FFFFFF"/>
            <w:vAlign w:val="bottom"/>
            <w:hideMark/>
          </w:tcPr>
          <w:p w14:paraId="2BD5D1B0"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no more than 12 months</w:t>
            </w:r>
          </w:p>
        </w:tc>
        <w:tc>
          <w:tcPr>
            <w:tcW w:w="1388" w:type="dxa"/>
            <w:tcBorders>
              <w:top w:val="single" w:sz="4" w:space="0" w:color="auto"/>
              <w:left w:val="nil"/>
              <w:bottom w:val="single" w:sz="4" w:space="0" w:color="auto"/>
              <w:right w:val="nil"/>
            </w:tcBorders>
            <w:shd w:val="clear" w:color="FFFFFF" w:fill="FFFFFF"/>
            <w:noWrap/>
            <w:vAlign w:val="bottom"/>
            <w:hideMark/>
          </w:tcPr>
          <w:p w14:paraId="44DA189D"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3,058,650</w:t>
            </w:r>
          </w:p>
        </w:tc>
        <w:tc>
          <w:tcPr>
            <w:tcW w:w="236" w:type="dxa"/>
            <w:tcBorders>
              <w:top w:val="nil"/>
              <w:left w:val="nil"/>
              <w:bottom w:val="nil"/>
              <w:right w:val="nil"/>
            </w:tcBorders>
            <w:shd w:val="clear" w:color="FFFFFF" w:fill="FFFFFF"/>
            <w:noWrap/>
            <w:vAlign w:val="bottom"/>
            <w:hideMark/>
          </w:tcPr>
          <w:p w14:paraId="7DEF2A67"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5B3ABCC9"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3,153,674</w:t>
            </w:r>
          </w:p>
        </w:tc>
      </w:tr>
      <w:tr w:rsidR="00F2518A" w:rsidRPr="007C747A" w14:paraId="6A270844" w14:textId="77777777">
        <w:trPr>
          <w:trHeight w:val="253"/>
        </w:trPr>
        <w:tc>
          <w:tcPr>
            <w:tcW w:w="6339" w:type="dxa"/>
            <w:tcBorders>
              <w:top w:val="nil"/>
              <w:left w:val="nil"/>
              <w:bottom w:val="nil"/>
              <w:right w:val="nil"/>
            </w:tcBorders>
            <w:shd w:val="clear" w:color="FFFFFF" w:fill="FFFFFF"/>
            <w:vAlign w:val="bottom"/>
            <w:hideMark/>
          </w:tcPr>
          <w:p w14:paraId="1BA9076D"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1388" w:type="dxa"/>
            <w:tcBorders>
              <w:top w:val="nil"/>
              <w:left w:val="nil"/>
              <w:bottom w:val="nil"/>
              <w:right w:val="nil"/>
            </w:tcBorders>
            <w:shd w:val="clear" w:color="FFFFFF" w:fill="FFFFFF"/>
            <w:vAlign w:val="bottom"/>
            <w:hideMark/>
          </w:tcPr>
          <w:p w14:paraId="3E8E9A1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7FB9643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vAlign w:val="bottom"/>
            <w:hideMark/>
          </w:tcPr>
          <w:p w14:paraId="0646EE0C"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2DF58000" w14:textId="77777777">
        <w:trPr>
          <w:trHeight w:val="253"/>
        </w:trPr>
        <w:tc>
          <w:tcPr>
            <w:tcW w:w="6339" w:type="dxa"/>
            <w:tcBorders>
              <w:top w:val="nil"/>
              <w:left w:val="nil"/>
              <w:bottom w:val="nil"/>
              <w:right w:val="nil"/>
            </w:tcBorders>
            <w:shd w:val="clear" w:color="FFFFFF" w:fill="FFFFFF"/>
            <w:vAlign w:val="bottom"/>
            <w:hideMark/>
          </w:tcPr>
          <w:p w14:paraId="76750499"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More than 12 months</w:t>
            </w:r>
          </w:p>
        </w:tc>
        <w:tc>
          <w:tcPr>
            <w:tcW w:w="1388" w:type="dxa"/>
            <w:tcBorders>
              <w:top w:val="nil"/>
              <w:left w:val="nil"/>
              <w:bottom w:val="nil"/>
              <w:right w:val="nil"/>
            </w:tcBorders>
            <w:shd w:val="clear" w:color="FFFFFF" w:fill="FFFFFF"/>
            <w:vAlign w:val="bottom"/>
            <w:hideMark/>
          </w:tcPr>
          <w:p w14:paraId="023E5101"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c>
          <w:tcPr>
            <w:tcW w:w="236" w:type="dxa"/>
            <w:tcBorders>
              <w:top w:val="nil"/>
              <w:left w:val="nil"/>
              <w:bottom w:val="nil"/>
              <w:right w:val="nil"/>
            </w:tcBorders>
            <w:shd w:val="clear" w:color="FFFFFF" w:fill="FFFFFF"/>
            <w:noWrap/>
            <w:vAlign w:val="bottom"/>
            <w:hideMark/>
          </w:tcPr>
          <w:p w14:paraId="2BB64ABD"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vAlign w:val="bottom"/>
            <w:hideMark/>
          </w:tcPr>
          <w:p w14:paraId="0B5DF10F"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 </w:t>
            </w:r>
          </w:p>
        </w:tc>
      </w:tr>
      <w:tr w:rsidR="00F2518A" w:rsidRPr="007C747A" w14:paraId="1C11B253" w14:textId="77777777">
        <w:trPr>
          <w:trHeight w:val="253"/>
        </w:trPr>
        <w:tc>
          <w:tcPr>
            <w:tcW w:w="6339" w:type="dxa"/>
            <w:tcBorders>
              <w:top w:val="nil"/>
              <w:left w:val="nil"/>
              <w:bottom w:val="nil"/>
              <w:right w:val="nil"/>
            </w:tcBorders>
            <w:shd w:val="clear" w:color="FFFFFF" w:fill="FFFFFF"/>
            <w:noWrap/>
            <w:vAlign w:val="bottom"/>
            <w:hideMark/>
          </w:tcPr>
          <w:p w14:paraId="3E3C58A4"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Leases</w:t>
            </w:r>
          </w:p>
        </w:tc>
        <w:tc>
          <w:tcPr>
            <w:tcW w:w="1388" w:type="dxa"/>
            <w:tcBorders>
              <w:top w:val="nil"/>
              <w:left w:val="nil"/>
              <w:bottom w:val="nil"/>
              <w:right w:val="nil"/>
            </w:tcBorders>
            <w:shd w:val="clear" w:color="FFFFFF" w:fill="FFFFFF"/>
            <w:noWrap/>
            <w:vAlign w:val="bottom"/>
            <w:hideMark/>
          </w:tcPr>
          <w:p w14:paraId="2C2160D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117,906</w:t>
            </w:r>
          </w:p>
        </w:tc>
        <w:tc>
          <w:tcPr>
            <w:tcW w:w="236" w:type="dxa"/>
            <w:tcBorders>
              <w:top w:val="nil"/>
              <w:left w:val="nil"/>
              <w:bottom w:val="nil"/>
              <w:right w:val="nil"/>
            </w:tcBorders>
            <w:shd w:val="clear" w:color="FFFFFF" w:fill="FFFFFF"/>
            <w:noWrap/>
            <w:vAlign w:val="bottom"/>
            <w:hideMark/>
          </w:tcPr>
          <w:p w14:paraId="178D336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1EFAF18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123,473</w:t>
            </w:r>
          </w:p>
        </w:tc>
      </w:tr>
      <w:tr w:rsidR="00F2518A" w:rsidRPr="007C747A" w14:paraId="33F47CF1" w14:textId="77777777">
        <w:trPr>
          <w:trHeight w:val="253"/>
        </w:trPr>
        <w:tc>
          <w:tcPr>
            <w:tcW w:w="6339" w:type="dxa"/>
            <w:tcBorders>
              <w:top w:val="nil"/>
              <w:left w:val="nil"/>
              <w:bottom w:val="nil"/>
              <w:right w:val="nil"/>
            </w:tcBorders>
            <w:shd w:val="clear" w:color="FFFFFF" w:fill="FFFFFF"/>
            <w:noWrap/>
            <w:vAlign w:val="bottom"/>
            <w:hideMark/>
          </w:tcPr>
          <w:p w14:paraId="6DF2D68B"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Employee provisions</w:t>
            </w:r>
          </w:p>
        </w:tc>
        <w:tc>
          <w:tcPr>
            <w:tcW w:w="1388" w:type="dxa"/>
            <w:tcBorders>
              <w:top w:val="nil"/>
              <w:left w:val="nil"/>
              <w:bottom w:val="nil"/>
              <w:right w:val="nil"/>
            </w:tcBorders>
            <w:shd w:val="clear" w:color="FFFFFF" w:fill="FFFFFF"/>
            <w:noWrap/>
            <w:vAlign w:val="bottom"/>
            <w:hideMark/>
          </w:tcPr>
          <w:p w14:paraId="181D7BC6"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77,657</w:t>
            </w:r>
          </w:p>
        </w:tc>
        <w:tc>
          <w:tcPr>
            <w:tcW w:w="236" w:type="dxa"/>
            <w:tcBorders>
              <w:top w:val="nil"/>
              <w:left w:val="nil"/>
              <w:bottom w:val="nil"/>
              <w:right w:val="nil"/>
            </w:tcBorders>
            <w:shd w:val="clear" w:color="FFFFFF" w:fill="FFFFFF"/>
            <w:noWrap/>
            <w:vAlign w:val="bottom"/>
            <w:hideMark/>
          </w:tcPr>
          <w:p w14:paraId="3E221659"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3CC02FBF"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69,248</w:t>
            </w:r>
          </w:p>
        </w:tc>
      </w:tr>
      <w:tr w:rsidR="00F2518A" w:rsidRPr="007C747A" w14:paraId="65AB0DC9" w14:textId="77777777">
        <w:trPr>
          <w:trHeight w:val="253"/>
        </w:trPr>
        <w:tc>
          <w:tcPr>
            <w:tcW w:w="6339" w:type="dxa"/>
            <w:tcBorders>
              <w:top w:val="nil"/>
              <w:left w:val="nil"/>
              <w:bottom w:val="nil"/>
              <w:right w:val="nil"/>
            </w:tcBorders>
            <w:shd w:val="clear" w:color="FFFFFF" w:fill="FFFFFF"/>
            <w:noWrap/>
            <w:vAlign w:val="bottom"/>
            <w:hideMark/>
          </w:tcPr>
          <w:p w14:paraId="4569F920"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Participant plan provisions</w:t>
            </w:r>
          </w:p>
        </w:tc>
        <w:tc>
          <w:tcPr>
            <w:tcW w:w="1388" w:type="dxa"/>
            <w:tcBorders>
              <w:top w:val="nil"/>
              <w:left w:val="nil"/>
              <w:bottom w:val="nil"/>
              <w:right w:val="nil"/>
            </w:tcBorders>
            <w:shd w:val="clear" w:color="FFFFFF" w:fill="FFFFFF"/>
            <w:noWrap/>
            <w:vAlign w:val="bottom"/>
            <w:hideMark/>
          </w:tcPr>
          <w:p w14:paraId="0D8716B9"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68,119</w:t>
            </w:r>
          </w:p>
        </w:tc>
        <w:tc>
          <w:tcPr>
            <w:tcW w:w="236" w:type="dxa"/>
            <w:tcBorders>
              <w:top w:val="nil"/>
              <w:left w:val="nil"/>
              <w:bottom w:val="nil"/>
              <w:right w:val="nil"/>
            </w:tcBorders>
            <w:shd w:val="clear" w:color="FFFFFF" w:fill="FFFFFF"/>
            <w:noWrap/>
            <w:vAlign w:val="bottom"/>
            <w:hideMark/>
          </w:tcPr>
          <w:p w14:paraId="127F5F5F"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3B7A80C6"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89,348</w:t>
            </w:r>
          </w:p>
        </w:tc>
      </w:tr>
      <w:tr w:rsidR="00F2518A" w:rsidRPr="007C747A" w14:paraId="4890EF5F" w14:textId="77777777">
        <w:trPr>
          <w:trHeight w:val="253"/>
        </w:trPr>
        <w:tc>
          <w:tcPr>
            <w:tcW w:w="6339" w:type="dxa"/>
            <w:tcBorders>
              <w:top w:val="nil"/>
              <w:left w:val="nil"/>
              <w:bottom w:val="nil"/>
              <w:right w:val="nil"/>
            </w:tcBorders>
            <w:shd w:val="clear" w:color="FFFFFF" w:fill="FFFFFF"/>
            <w:noWrap/>
            <w:vAlign w:val="bottom"/>
            <w:hideMark/>
          </w:tcPr>
          <w:p w14:paraId="6E3CBA66" w14:textId="77777777" w:rsidR="00F2518A" w:rsidRPr="007C747A" w:rsidRDefault="00F2518A" w:rsidP="00F2518A">
            <w:pPr>
              <w:spacing w:after="0" w:line="260" w:lineRule="atLeast"/>
              <w:ind w:firstLineChars="100" w:firstLine="180"/>
              <w:rPr>
                <w:rFonts w:eastAsia="Times New Roman" w:cs="Arial"/>
                <w:sz w:val="18"/>
                <w:szCs w:val="18"/>
                <w:lang w:val="en-AU" w:eastAsia="en-US"/>
              </w:rPr>
            </w:pPr>
            <w:r w:rsidRPr="007C747A">
              <w:rPr>
                <w:rFonts w:eastAsia="Times New Roman" w:cs="Arial"/>
                <w:sz w:val="18"/>
                <w:szCs w:val="18"/>
                <w:lang w:val="en-AU" w:eastAsia="en-US"/>
              </w:rPr>
              <w:t>Provision for restoration obligations</w:t>
            </w:r>
          </w:p>
        </w:tc>
        <w:tc>
          <w:tcPr>
            <w:tcW w:w="1388" w:type="dxa"/>
            <w:tcBorders>
              <w:top w:val="nil"/>
              <w:left w:val="nil"/>
              <w:bottom w:val="nil"/>
              <w:right w:val="nil"/>
            </w:tcBorders>
            <w:shd w:val="clear" w:color="FFFFFF" w:fill="FFFFFF"/>
            <w:noWrap/>
            <w:vAlign w:val="bottom"/>
            <w:hideMark/>
          </w:tcPr>
          <w:p w14:paraId="2AC7C7DA"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4,329</w:t>
            </w:r>
          </w:p>
        </w:tc>
        <w:tc>
          <w:tcPr>
            <w:tcW w:w="236" w:type="dxa"/>
            <w:tcBorders>
              <w:top w:val="nil"/>
              <w:left w:val="nil"/>
              <w:bottom w:val="nil"/>
              <w:right w:val="nil"/>
            </w:tcBorders>
            <w:shd w:val="clear" w:color="FFFFFF" w:fill="FFFFFF"/>
            <w:noWrap/>
            <w:vAlign w:val="bottom"/>
            <w:hideMark/>
          </w:tcPr>
          <w:p w14:paraId="4D4AC625"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nil"/>
              <w:right w:val="nil"/>
            </w:tcBorders>
            <w:shd w:val="clear" w:color="FFFFFF" w:fill="FFFFFF"/>
            <w:noWrap/>
            <w:vAlign w:val="bottom"/>
            <w:hideMark/>
          </w:tcPr>
          <w:p w14:paraId="48A04C03"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4,513</w:t>
            </w:r>
          </w:p>
        </w:tc>
      </w:tr>
      <w:tr w:rsidR="00F2518A" w:rsidRPr="007C747A" w14:paraId="76F7452F" w14:textId="77777777">
        <w:trPr>
          <w:trHeight w:val="253"/>
        </w:trPr>
        <w:tc>
          <w:tcPr>
            <w:tcW w:w="6339" w:type="dxa"/>
            <w:tcBorders>
              <w:top w:val="nil"/>
              <w:left w:val="nil"/>
              <w:bottom w:val="nil"/>
              <w:right w:val="nil"/>
            </w:tcBorders>
            <w:shd w:val="clear" w:color="FFFFFF" w:fill="FFFFFF"/>
            <w:vAlign w:val="bottom"/>
            <w:hideMark/>
          </w:tcPr>
          <w:p w14:paraId="7B3BF902"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more than 12 months</w:t>
            </w:r>
          </w:p>
        </w:tc>
        <w:tc>
          <w:tcPr>
            <w:tcW w:w="1388" w:type="dxa"/>
            <w:tcBorders>
              <w:top w:val="single" w:sz="4" w:space="0" w:color="auto"/>
              <w:left w:val="nil"/>
              <w:bottom w:val="single" w:sz="4" w:space="0" w:color="auto"/>
              <w:right w:val="nil"/>
            </w:tcBorders>
            <w:shd w:val="clear" w:color="FFFFFF" w:fill="FFFFFF"/>
            <w:noWrap/>
            <w:vAlign w:val="bottom"/>
            <w:hideMark/>
          </w:tcPr>
          <w:p w14:paraId="46CCB857"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268,011</w:t>
            </w:r>
          </w:p>
        </w:tc>
        <w:tc>
          <w:tcPr>
            <w:tcW w:w="236" w:type="dxa"/>
            <w:tcBorders>
              <w:top w:val="nil"/>
              <w:left w:val="nil"/>
              <w:bottom w:val="nil"/>
              <w:right w:val="nil"/>
            </w:tcBorders>
            <w:shd w:val="clear" w:color="FFFFFF" w:fill="FFFFFF"/>
            <w:noWrap/>
            <w:vAlign w:val="bottom"/>
            <w:hideMark/>
          </w:tcPr>
          <w:p w14:paraId="36C8A9C3"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single" w:sz="4" w:space="0" w:color="auto"/>
              <w:left w:val="nil"/>
              <w:bottom w:val="single" w:sz="4" w:space="0" w:color="auto"/>
              <w:right w:val="nil"/>
            </w:tcBorders>
            <w:shd w:val="clear" w:color="FFFFFF" w:fill="FFFFFF"/>
            <w:noWrap/>
            <w:vAlign w:val="bottom"/>
            <w:hideMark/>
          </w:tcPr>
          <w:p w14:paraId="4B25749B"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286,582</w:t>
            </w:r>
          </w:p>
        </w:tc>
      </w:tr>
      <w:tr w:rsidR="00F2518A" w:rsidRPr="007C747A" w14:paraId="12CC51E8" w14:textId="77777777">
        <w:trPr>
          <w:trHeight w:val="253"/>
        </w:trPr>
        <w:tc>
          <w:tcPr>
            <w:tcW w:w="6339" w:type="dxa"/>
            <w:tcBorders>
              <w:top w:val="nil"/>
              <w:left w:val="nil"/>
              <w:bottom w:val="nil"/>
              <w:right w:val="nil"/>
            </w:tcBorders>
            <w:shd w:val="clear" w:color="FFFFFF" w:fill="FFFFFF"/>
            <w:vAlign w:val="bottom"/>
            <w:hideMark/>
          </w:tcPr>
          <w:p w14:paraId="072604FA" w14:textId="77777777" w:rsidR="00F2518A" w:rsidRPr="007C747A" w:rsidRDefault="00F2518A" w:rsidP="00F2518A">
            <w:pPr>
              <w:spacing w:after="0" w:line="260" w:lineRule="atLeast"/>
              <w:rPr>
                <w:rFonts w:eastAsia="Times New Roman" w:cs="Arial"/>
                <w:b/>
                <w:bCs/>
                <w:sz w:val="18"/>
                <w:szCs w:val="18"/>
                <w:lang w:val="en-AU" w:eastAsia="en-US"/>
              </w:rPr>
            </w:pPr>
            <w:r w:rsidRPr="007C747A">
              <w:rPr>
                <w:rFonts w:eastAsia="Times New Roman" w:cs="Arial"/>
                <w:b/>
                <w:bCs/>
                <w:sz w:val="18"/>
                <w:szCs w:val="18"/>
                <w:lang w:val="en-AU" w:eastAsia="en-US"/>
              </w:rPr>
              <w:t>Total liabilities</w:t>
            </w:r>
          </w:p>
        </w:tc>
        <w:tc>
          <w:tcPr>
            <w:tcW w:w="1388" w:type="dxa"/>
            <w:tcBorders>
              <w:top w:val="nil"/>
              <w:left w:val="nil"/>
              <w:bottom w:val="single" w:sz="4" w:space="0" w:color="auto"/>
              <w:right w:val="nil"/>
            </w:tcBorders>
            <w:shd w:val="clear" w:color="FFFFFF" w:fill="FFFFFF"/>
            <w:noWrap/>
            <w:vAlign w:val="bottom"/>
            <w:hideMark/>
          </w:tcPr>
          <w:p w14:paraId="5899A9AF" w14:textId="77777777" w:rsidR="00F2518A" w:rsidRPr="007C747A" w:rsidRDefault="00F2518A" w:rsidP="00F2518A">
            <w:pPr>
              <w:spacing w:after="0" w:line="260" w:lineRule="atLeast"/>
              <w:jc w:val="right"/>
              <w:rPr>
                <w:rFonts w:eastAsia="Times New Roman" w:cs="Arial"/>
                <w:b/>
                <w:bCs/>
                <w:sz w:val="18"/>
                <w:szCs w:val="18"/>
                <w:lang w:val="en-AU" w:eastAsia="en-US"/>
              </w:rPr>
            </w:pPr>
            <w:r w:rsidRPr="007C747A">
              <w:rPr>
                <w:rFonts w:eastAsia="Times New Roman" w:cs="Arial"/>
                <w:b/>
                <w:bCs/>
                <w:sz w:val="18"/>
                <w:szCs w:val="18"/>
                <w:lang w:val="en-AU" w:eastAsia="en-US"/>
              </w:rPr>
              <w:t>3,326,661</w:t>
            </w:r>
          </w:p>
        </w:tc>
        <w:tc>
          <w:tcPr>
            <w:tcW w:w="236" w:type="dxa"/>
            <w:tcBorders>
              <w:top w:val="nil"/>
              <w:left w:val="nil"/>
              <w:bottom w:val="nil"/>
              <w:right w:val="nil"/>
            </w:tcBorders>
            <w:shd w:val="clear" w:color="FFFFFF" w:fill="FFFFFF"/>
            <w:noWrap/>
            <w:vAlign w:val="bottom"/>
            <w:hideMark/>
          </w:tcPr>
          <w:p w14:paraId="1A0F87A0" w14:textId="77777777" w:rsidR="00F2518A" w:rsidRPr="007C747A" w:rsidRDefault="00F2518A" w:rsidP="00F2518A">
            <w:pPr>
              <w:spacing w:after="0" w:line="260" w:lineRule="atLeast"/>
              <w:rPr>
                <w:rFonts w:eastAsia="Times New Roman" w:cs="Arial"/>
                <w:sz w:val="18"/>
                <w:szCs w:val="18"/>
                <w:lang w:val="en-AU" w:eastAsia="en-US"/>
              </w:rPr>
            </w:pPr>
            <w:r w:rsidRPr="007C747A">
              <w:rPr>
                <w:rFonts w:eastAsia="Times New Roman" w:cs="Arial"/>
                <w:sz w:val="18"/>
                <w:szCs w:val="18"/>
                <w:lang w:val="en-AU" w:eastAsia="en-US"/>
              </w:rPr>
              <w:t> </w:t>
            </w:r>
          </w:p>
        </w:tc>
        <w:tc>
          <w:tcPr>
            <w:tcW w:w="1124" w:type="dxa"/>
            <w:tcBorders>
              <w:top w:val="nil"/>
              <w:left w:val="nil"/>
              <w:bottom w:val="single" w:sz="4" w:space="0" w:color="auto"/>
              <w:right w:val="nil"/>
            </w:tcBorders>
            <w:shd w:val="clear" w:color="FFFFFF" w:fill="FFFFFF"/>
            <w:noWrap/>
            <w:vAlign w:val="bottom"/>
            <w:hideMark/>
          </w:tcPr>
          <w:p w14:paraId="60D2D1ED" w14:textId="77777777" w:rsidR="00F2518A" w:rsidRPr="007C747A" w:rsidRDefault="00F2518A" w:rsidP="00F2518A">
            <w:pPr>
              <w:spacing w:after="0" w:line="260" w:lineRule="atLeast"/>
              <w:jc w:val="right"/>
              <w:rPr>
                <w:rFonts w:eastAsia="Times New Roman" w:cs="Arial"/>
                <w:sz w:val="18"/>
                <w:szCs w:val="18"/>
                <w:lang w:val="en-AU" w:eastAsia="en-US"/>
              </w:rPr>
            </w:pPr>
            <w:r w:rsidRPr="007C747A">
              <w:rPr>
                <w:rFonts w:eastAsia="Times New Roman" w:cs="Arial"/>
                <w:sz w:val="18"/>
                <w:szCs w:val="18"/>
                <w:lang w:val="en-AU" w:eastAsia="en-US"/>
              </w:rPr>
              <w:t>3,440,256</w:t>
            </w:r>
          </w:p>
        </w:tc>
      </w:tr>
    </w:tbl>
    <w:p w14:paraId="434CB1A7" w14:textId="77777777" w:rsidR="00F2518A" w:rsidRPr="007C747A" w:rsidRDefault="00F2518A" w:rsidP="00463D81">
      <w:pPr>
        <w:spacing w:after="0" w:line="240" w:lineRule="auto"/>
        <w:rPr>
          <w:rFonts w:eastAsia="Times New Roman"/>
          <w:sz w:val="18"/>
          <w:szCs w:val="20"/>
          <w:lang w:val="en-AU" w:eastAsia="en-AU"/>
        </w:rPr>
      </w:pPr>
    </w:p>
    <w:bookmarkEnd w:id="129"/>
    <w:p w14:paraId="24CDA0BE" w14:textId="0EA2FD50" w:rsidR="00772471" w:rsidRPr="007C747A" w:rsidRDefault="00772471" w:rsidP="00B11B64">
      <w:pPr>
        <w:ind w:left="652"/>
        <w:rPr>
          <w:i/>
          <w:iCs/>
          <w:lang w:val="en-AU"/>
        </w:rPr>
        <w:sectPr w:rsidR="00772471" w:rsidRPr="007C747A" w:rsidSect="00DB1E26">
          <w:headerReference w:type="first" r:id="rId43"/>
          <w:pgSz w:w="11907" w:h="16840" w:code="9"/>
          <w:pgMar w:top="1021" w:right="1440" w:bottom="567" w:left="964" w:header="510" w:footer="0" w:gutter="0"/>
          <w:cols w:space="708"/>
          <w:titlePg/>
          <w:docGrid w:linePitch="360"/>
        </w:sectPr>
      </w:pPr>
    </w:p>
    <w:p w14:paraId="223849AF" w14:textId="1FCD024D" w:rsidR="00906D93" w:rsidRPr="007C747A" w:rsidRDefault="00CE76B9" w:rsidP="004168E7">
      <w:pPr>
        <w:pStyle w:val="FGCHEADING1"/>
      </w:pPr>
      <w:bookmarkStart w:id="508" w:name="_Toc146200300"/>
      <w:bookmarkStart w:id="509" w:name="_Toc146289450"/>
      <w:bookmarkStart w:id="510" w:name="_Toc148108415"/>
      <w:r w:rsidRPr="007C747A">
        <w:t xml:space="preserve">Financial </w:t>
      </w:r>
      <w:r w:rsidR="00D70A79" w:rsidRPr="007C747A">
        <w:t>s</w:t>
      </w:r>
      <w:r w:rsidRPr="007C747A">
        <w:t>ustainability</w:t>
      </w:r>
      <w:bookmarkStart w:id="511" w:name="_Toc141710354"/>
      <w:bookmarkStart w:id="512" w:name="_Toc141712645"/>
      <w:bookmarkStart w:id="513" w:name="_Toc141712722"/>
      <w:bookmarkStart w:id="514" w:name="_Toc141782360"/>
      <w:bookmarkStart w:id="515" w:name="_Toc141799859"/>
      <w:bookmarkStart w:id="516" w:name="_Toc141879041"/>
      <w:bookmarkStart w:id="517" w:name="_Toc141879995"/>
      <w:bookmarkStart w:id="518" w:name="_Toc142030595"/>
      <w:bookmarkStart w:id="519" w:name="_Toc142031048"/>
      <w:bookmarkStart w:id="520" w:name="_Toc142031287"/>
      <w:bookmarkStart w:id="521" w:name="_Toc142031973"/>
      <w:bookmarkStart w:id="522" w:name="_Toc142032186"/>
      <w:bookmarkStart w:id="523" w:name="_Toc142032269"/>
      <w:bookmarkStart w:id="524" w:name="_Toc142032534"/>
      <w:bookmarkStart w:id="525" w:name="_Toc142032624"/>
      <w:bookmarkStart w:id="526" w:name="_Toc142032708"/>
      <w:bookmarkStart w:id="527" w:name="_Toc142032986"/>
      <w:bookmarkStart w:id="528" w:name="_Toc142033197"/>
      <w:bookmarkStart w:id="529" w:name="_Toc142039626"/>
      <w:bookmarkStart w:id="530" w:name="_Toc142047733"/>
      <w:bookmarkStart w:id="531" w:name="_Toc142047825"/>
      <w:bookmarkStart w:id="532" w:name="_Toc142047912"/>
      <w:bookmarkStart w:id="533" w:name="_Toc142047999"/>
      <w:bookmarkStart w:id="534" w:name="_Toc142056860"/>
      <w:bookmarkStart w:id="535" w:name="_Toc142056957"/>
      <w:bookmarkStart w:id="536" w:name="_Toc142057055"/>
      <w:bookmarkStart w:id="537" w:name="_Toc142057157"/>
      <w:bookmarkStart w:id="538" w:name="_Toc142057253"/>
      <w:bookmarkStart w:id="539" w:name="_Toc142057448"/>
      <w:bookmarkStart w:id="540" w:name="_Toc142057545"/>
      <w:bookmarkStart w:id="541" w:name="_Toc142057642"/>
      <w:bookmarkStart w:id="542" w:name="_Toc142057761"/>
      <w:bookmarkStart w:id="543" w:name="_Toc142057944"/>
      <w:bookmarkStart w:id="544" w:name="_Toc142060313"/>
      <w:bookmarkStart w:id="545" w:name="_Toc142060420"/>
      <w:bookmarkStart w:id="546" w:name="_Toc142060533"/>
      <w:bookmarkStart w:id="547" w:name="_Toc142060640"/>
      <w:bookmarkStart w:id="548" w:name="_Toc142298205"/>
      <w:bookmarkStart w:id="549" w:name="_Toc142306139"/>
      <w:bookmarkStart w:id="550" w:name="_Toc142312806"/>
      <w:bookmarkStart w:id="551" w:name="_Toc142316928"/>
      <w:bookmarkStart w:id="552" w:name="_Toc142317177"/>
      <w:bookmarkStart w:id="553" w:name="_Toc142317422"/>
      <w:bookmarkStart w:id="554" w:name="_Toc142318357"/>
      <w:bookmarkStart w:id="555" w:name="_Toc142390294"/>
      <w:bookmarkStart w:id="556" w:name="_Toc142390469"/>
      <w:bookmarkStart w:id="557" w:name="_Toc142390774"/>
      <w:bookmarkStart w:id="558" w:name="_Toc142390888"/>
      <w:bookmarkStart w:id="559" w:name="_Toc142391002"/>
      <w:bookmarkStart w:id="560" w:name="_Toc142391122"/>
      <w:bookmarkStart w:id="561" w:name="_Toc142391628"/>
      <w:bookmarkStart w:id="562" w:name="_Toc142394584"/>
      <w:bookmarkStart w:id="563" w:name="_Toc142394822"/>
      <w:bookmarkStart w:id="564" w:name="_Toc142400019"/>
      <w:bookmarkStart w:id="565" w:name="_Toc142400150"/>
      <w:bookmarkStart w:id="566" w:name="_Toc142401613"/>
      <w:bookmarkStart w:id="567" w:name="_Toc142401733"/>
      <w:bookmarkStart w:id="568" w:name="_Toc142476566"/>
      <w:bookmarkStart w:id="569" w:name="_Toc142476680"/>
      <w:bookmarkStart w:id="570" w:name="_Toc142477559"/>
      <w:bookmarkStart w:id="571" w:name="_Toc142477673"/>
      <w:bookmarkStart w:id="572" w:name="_Toc142478155"/>
      <w:bookmarkStart w:id="573" w:name="_Toc142478269"/>
      <w:bookmarkStart w:id="574" w:name="_Toc142478383"/>
      <w:bookmarkStart w:id="575" w:name="_Toc142573589"/>
      <w:bookmarkStart w:id="576" w:name="_Toc142573712"/>
      <w:bookmarkStart w:id="577" w:name="_Toc142573815"/>
      <w:bookmarkStart w:id="578" w:name="_Toc142998960"/>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14:paraId="25C9D4A6" w14:textId="1C19C256" w:rsidR="000403D2" w:rsidRPr="007C747A" w:rsidRDefault="001B2DEF" w:rsidP="004168E7">
      <w:pPr>
        <w:pStyle w:val="FGCHEADING2"/>
      </w:pPr>
      <w:bookmarkStart w:id="579" w:name="_Toc142039627"/>
      <w:bookmarkStart w:id="580" w:name="_Toc142047734"/>
      <w:bookmarkStart w:id="581" w:name="_Toc142478384"/>
      <w:bookmarkStart w:id="582" w:name="_Toc142573713"/>
      <w:bookmarkStart w:id="583" w:name="_Toc146200301"/>
      <w:bookmarkStart w:id="584" w:name="_Toc146289451"/>
      <w:bookmarkStart w:id="585" w:name="_Toc148108416"/>
      <w:r w:rsidRPr="007C747A">
        <w:t xml:space="preserve">Executive </w:t>
      </w:r>
      <w:bookmarkEnd w:id="579"/>
      <w:bookmarkEnd w:id="580"/>
      <w:bookmarkEnd w:id="581"/>
      <w:bookmarkEnd w:id="582"/>
      <w:bookmarkEnd w:id="583"/>
      <w:bookmarkEnd w:id="584"/>
      <w:r w:rsidR="00712866" w:rsidRPr="007C747A">
        <w:t>summary</w:t>
      </w:r>
      <w:bookmarkEnd w:id="585"/>
    </w:p>
    <w:p w14:paraId="01765933" w14:textId="05790782" w:rsidR="00E11341" w:rsidRPr="007C747A" w:rsidRDefault="00E11341" w:rsidP="001827B6">
      <w:pPr>
        <w:pStyle w:val="FGCNORMAL"/>
        <w:spacing w:line="276" w:lineRule="auto"/>
      </w:pPr>
      <w:bookmarkStart w:id="586" w:name="_Hlk145082388"/>
      <w:r w:rsidRPr="007C747A">
        <w:t>An annual financial sustainability report (AFSR) is required under section 180B of the NDIS Act and provides an assessment of the financial sustainability of the National Disability Insurance Scheme (“the Scheme”, or NDIS). The AFSR is produced using data at 30 June each year and a summary of each year’s AFSR has been included in the NDIA annual report. This 2022-23 AFSR uses data to 30 June 2023 to project future Scheme expenses and these results are referred to as the “June 2023 projections”.</w:t>
      </w:r>
    </w:p>
    <w:p w14:paraId="3448A151" w14:textId="1A29EF37" w:rsidR="00E11341" w:rsidRPr="007C747A" w:rsidRDefault="00E11341" w:rsidP="001827B6">
      <w:pPr>
        <w:pStyle w:val="FGCNORMAL"/>
        <w:spacing w:line="276" w:lineRule="auto"/>
      </w:pPr>
      <w:r w:rsidRPr="007C747A">
        <w:t>The previous report was the AFSR released on 7 November 2022 (the “2021-22 AFSR”).</w:t>
      </w:r>
      <w:r w:rsidRPr="007C747A">
        <w:rPr>
          <w:rStyle w:val="FootnoteReference"/>
        </w:rPr>
        <w:footnoteReference w:id="2"/>
      </w:r>
      <w:r w:rsidRPr="007C747A">
        <w:t xml:space="preserve"> It was based on data to 30 June 2022, with commentary about experience to 30 June 2022 (the “previous review”). References to the “previous review” refer to results contained within that report, referred to as the “June 2022 projections”.</w:t>
      </w:r>
    </w:p>
    <w:p w14:paraId="41158ED5" w14:textId="28BD40D4" w:rsidR="002B25D7" w:rsidRPr="007C747A" w:rsidRDefault="002B25D7" w:rsidP="00ED025B">
      <w:pPr>
        <w:pStyle w:val="FGCHEADING2"/>
      </w:pPr>
      <w:bookmarkStart w:id="587" w:name="_Toc148108417"/>
      <w:r w:rsidRPr="007C747A">
        <w:t>Context for 2022-23 AFSR</w:t>
      </w:r>
      <w:bookmarkEnd w:id="587"/>
    </w:p>
    <w:p w14:paraId="1278E1A5" w14:textId="076A4914" w:rsidR="00B46740" w:rsidRPr="007C747A" w:rsidRDefault="00B46740" w:rsidP="001827B6">
      <w:pPr>
        <w:pStyle w:val="FGCNORMAL"/>
        <w:spacing w:line="276" w:lineRule="auto"/>
      </w:pPr>
      <w:r w:rsidRPr="007C747A">
        <w:t>Since the previous review, mid-year Scheme projections were undertaken, referred to as the “December 2022 projections”. These were used as the basis for the 2023-24 Budget and included allowances for the expected impact of the decisions taken to lift the NDIA’s capability, capacity, and systems to better support participants (“Budget measures”)</w:t>
      </w:r>
      <w:r w:rsidRPr="007C747A">
        <w:rPr>
          <w:rStyle w:val="FootnoteReference"/>
        </w:rPr>
        <w:footnoteReference w:id="3"/>
      </w:r>
      <w:r w:rsidRPr="007C747A">
        <w:t>. The 2023-24 Budget also assumes growth in Scheme expenses from 2025-26 to 2026-27 of 8%, moderating thereafter including allowance for the NDIS Financial Sustainability Framework</w:t>
      </w:r>
      <w:r w:rsidRPr="007C747A">
        <w:rPr>
          <w:rStyle w:val="FootnoteReference"/>
        </w:rPr>
        <w:footnoteReference w:id="4"/>
      </w:r>
      <w:r w:rsidRPr="007C747A">
        <w:t>, which was agreed by National Cabinet as part of the 2023-24 Budget, to achieve this 8% growth target.</w:t>
      </w:r>
    </w:p>
    <w:p w14:paraId="42752C37" w14:textId="77777777" w:rsidR="00B46740" w:rsidRPr="007C747A" w:rsidRDefault="00B46740" w:rsidP="001827B6">
      <w:pPr>
        <w:pStyle w:val="FGCNORMAL"/>
        <w:spacing w:line="276" w:lineRule="auto"/>
        <w:rPr>
          <w:rFonts w:ascii="Calibri" w:eastAsia="Times New Roman" w:hAnsi="Calibri"/>
          <w:lang w:eastAsia="en-AU"/>
        </w:rPr>
      </w:pPr>
      <w:r w:rsidRPr="007C747A">
        <w:rPr>
          <w:rFonts w:eastAsia="Times New Roman"/>
          <w:color w:val="212121"/>
        </w:rPr>
        <w:t>The Board acknowledges that the NDIS aims for 8% growth in total costs by July 2026. To achieve this, the Commonwealth has started the work by investing $720 million from 2023-24 to enhance NDIA's support capabilities. We aim to ensure that funds directly benefit people with disabilities and are working closely with the disability community and sector to make necessary improvements. The implementation of the independent NDIS Review's final report will be vital in reaching the 8% growth target.</w:t>
      </w:r>
    </w:p>
    <w:p w14:paraId="242E1971" w14:textId="1FA3D3BB" w:rsidR="00B46740" w:rsidRPr="007C747A" w:rsidRDefault="00B46740" w:rsidP="001827B6">
      <w:pPr>
        <w:pStyle w:val="FGCNORMAL"/>
        <w:spacing w:line="276" w:lineRule="auto"/>
      </w:pPr>
      <w:r w:rsidRPr="007C747A">
        <w:t xml:space="preserve">The Budget measures support participant outcomes and the effective and sustainable operation of the Scheme, through NDIA to implementation of a program of initiatives (“Budget initiatives”) designed to: improve early intervention outcomes for children in the Scheme, improve participant planning processes, and consistency in Home and Living eligibility decisions for participants with complex and high support needs. The NDIA is using a co-design approach to develop and implement the initiatives, working closely with participants, the Independent Advisory Council, Disability Representative and Carer Organisations and the disability sector more broadly. The initiatives are expected to build a genuine commitment to lifetime care and support and greater participant trust in the NDIS supporting them over time, in turn leading to a moderation of future growth in participant plans, and stabilisation of numbers of participants with Supported Independent Living arrangements. </w:t>
      </w:r>
    </w:p>
    <w:p w14:paraId="1792C744" w14:textId="688EBE3A" w:rsidR="00B46740" w:rsidRPr="007C747A" w:rsidRDefault="00B46740" w:rsidP="001827B6">
      <w:pPr>
        <w:pStyle w:val="FGCNORMAL"/>
        <w:spacing w:line="276" w:lineRule="auto"/>
      </w:pPr>
      <w:r w:rsidRPr="007C747A">
        <w:t>Separately, the 2023 Intergenerational Report</w:t>
      </w:r>
      <w:r w:rsidRPr="007C747A">
        <w:rPr>
          <w:rStyle w:val="FootnoteReference"/>
        </w:rPr>
        <w:footnoteReference w:id="5"/>
      </w:r>
      <w:r w:rsidRPr="007C747A">
        <w:t xml:space="preserve"> (IGR) was published in August 2023, which is based on the 2023-24 Budget projections, allowing for the growth target of 8% in 2026-27, moderating thereafter. </w:t>
      </w:r>
    </w:p>
    <w:p w14:paraId="13CB46D6" w14:textId="41E131B9" w:rsidR="00874B63" w:rsidRPr="007C747A" w:rsidRDefault="00B46740" w:rsidP="001827B6">
      <w:pPr>
        <w:pStyle w:val="FGCNORMAL"/>
        <w:spacing w:line="276" w:lineRule="auto"/>
      </w:pPr>
      <w:r w:rsidRPr="007C747A">
        <w:t>In October 2022, the Minister for the NDIS announced a review of the Scheme to be conducted by an Independent Review Panel</w:t>
      </w:r>
      <w:r w:rsidRPr="007C747A">
        <w:rPr>
          <w:rStyle w:val="FootnoteReference"/>
        </w:rPr>
        <w:footnoteReference w:id="6"/>
      </w:r>
      <w:r w:rsidRPr="007C747A">
        <w:t>. The scope of the review includes the design, operations, and sustainability of the NDIS as well as ways to build a more responsive, supportive, and sustainable market and workforce. The Independent Review Panel is due to provide a final report to the Disability Reform Ministers' Meeting in October 2023. Changes in legislative and policy settings arising from NDIS Review recommendations are anticipated to lead to moderation in Scheme growth, to achieve the target set by National Cabinet which is consistent with the 2023 IGR. As these changes remain uncertain and may materially impact Scheme expenses in the medium term, this summary only shows projected Scheme expenses for three years</w:t>
      </w:r>
      <w:r w:rsidR="00D03396" w:rsidRPr="007C747A">
        <w:t>.</w:t>
      </w:r>
    </w:p>
    <w:p w14:paraId="5272A0A0" w14:textId="77777777" w:rsidR="004C0152" w:rsidRPr="007C747A" w:rsidRDefault="004C0152" w:rsidP="001827B6">
      <w:pPr>
        <w:pStyle w:val="FGCNORMAL"/>
        <w:spacing w:line="276" w:lineRule="auto"/>
      </w:pPr>
    </w:p>
    <w:p w14:paraId="7AF5D08B" w14:textId="77777777" w:rsidR="002B25D7" w:rsidRPr="007C747A" w:rsidRDefault="002B25D7" w:rsidP="00536805">
      <w:pPr>
        <w:pStyle w:val="FGCHEADING2"/>
      </w:pPr>
      <w:bookmarkStart w:id="588" w:name="_Toc148108418"/>
      <w:r w:rsidRPr="007C747A">
        <w:t>June 2023 projection of Scheme expenses</w:t>
      </w:r>
      <w:bookmarkEnd w:id="588"/>
    </w:p>
    <w:p w14:paraId="7FD5014D" w14:textId="77777777" w:rsidR="00B37019" w:rsidRPr="007C747A" w:rsidRDefault="00B37019" w:rsidP="00B37019">
      <w:pPr>
        <w:pStyle w:val="FGCNORMAL"/>
        <w:spacing w:line="276" w:lineRule="auto"/>
      </w:pPr>
      <w:bookmarkStart w:id="589" w:name="_Hlk147833099"/>
      <w:r w:rsidRPr="007C747A">
        <w:t>Projected total Scheme expenses on an accrual basis are $41.4 billion in 2023-24, increasing to $50.8 billion in 2025-26</w:t>
      </w:r>
      <w:r w:rsidRPr="007C747A">
        <w:rPr>
          <w:rStyle w:val="FootnoteReference"/>
        </w:rPr>
        <w:footnoteReference w:id="7"/>
      </w:r>
      <w:r w:rsidRPr="007C747A">
        <w:t xml:space="preserve">. The June 2023 projection of Scheme expenses incorporates revisions to assumptions and changes in future expectations since the previous review, and the December 2022 projections. These updated projections allow for the expected impact of the Budget initiatives, aimed to improve participant outcomes, and overall effectiveness and sustainability of the Scheme. </w:t>
      </w:r>
    </w:p>
    <w:p w14:paraId="299FD2C2" w14:textId="77777777" w:rsidR="00B37019" w:rsidRPr="007C747A" w:rsidRDefault="00B37019" w:rsidP="00B37019">
      <w:pPr>
        <w:pStyle w:val="FGCNORMAL"/>
        <w:spacing w:line="276" w:lineRule="auto"/>
      </w:pPr>
      <w:r w:rsidRPr="007C747A">
        <w:t>Scheme expenses are estimated to be 1.6% of GDP in 2023-24, increasing to 1.8% in 2025-26.</w:t>
      </w:r>
      <w:r w:rsidRPr="007C747A" w:rsidDel="00AC58D6">
        <w:t xml:space="preserve"> </w:t>
      </w:r>
      <w:r w:rsidRPr="007C747A">
        <w:t>Table 1 shows that projected Scheme expenses are approximately $2.9 billion higher in the three years to June 2026 compared to the December 2022 projections. They are $5.9 billion higher in the three years to June 2026 compared to the previous review.</w:t>
      </w:r>
    </w:p>
    <w:p w14:paraId="73652E5F" w14:textId="0E3A00F4" w:rsidR="00B37019" w:rsidRPr="007C747A" w:rsidRDefault="00B37019" w:rsidP="00B37019">
      <w:pPr>
        <w:pStyle w:val="FGCNORMAL"/>
        <w:spacing w:line="276" w:lineRule="auto"/>
      </w:pPr>
      <w:r w:rsidRPr="007C747A">
        <w:t>The June 2023 projections are $2.9 billion higher than the December 2022 projections in the three years to June 2026 due to the price increases in 2023 (reflecting the Fair Work Commission’s decision on the National Minimum Wage</w:t>
      </w:r>
      <w:r w:rsidR="00FE349A" w:rsidRPr="007C747A">
        <w:t>) and</w:t>
      </w:r>
      <w:r w:rsidRPr="007C747A">
        <w:t xml:space="preserve"> increases to normal inflation assumptions.</w:t>
      </w:r>
    </w:p>
    <w:p w14:paraId="44C67A0F" w14:textId="77777777" w:rsidR="00E25D92" w:rsidRPr="007C747A" w:rsidRDefault="00E25D92" w:rsidP="00B37019">
      <w:pPr>
        <w:pStyle w:val="FGCNORMAL"/>
        <w:spacing w:line="276" w:lineRule="auto"/>
      </w:pPr>
    </w:p>
    <w:p w14:paraId="1FCD3A6B" w14:textId="77777777" w:rsidR="00E25D92" w:rsidRPr="007C747A" w:rsidRDefault="00E25D92" w:rsidP="00B37019">
      <w:pPr>
        <w:pStyle w:val="FGCNORMAL"/>
        <w:spacing w:line="276" w:lineRule="auto"/>
      </w:pPr>
    </w:p>
    <w:p w14:paraId="6762DBD7" w14:textId="77777777" w:rsidR="00E25D92" w:rsidRPr="007C747A" w:rsidRDefault="00E25D92" w:rsidP="00B37019">
      <w:pPr>
        <w:pStyle w:val="FGCNORMAL"/>
        <w:spacing w:line="276" w:lineRule="auto"/>
      </w:pPr>
    </w:p>
    <w:p w14:paraId="20C3C763" w14:textId="7ED309B3" w:rsidR="00404D88" w:rsidRDefault="00404D88">
      <w:pPr>
        <w:spacing w:after="0" w:line="240" w:lineRule="auto"/>
        <w:rPr>
          <w:rFonts w:eastAsiaTheme="minorEastAsia" w:cs="Arial"/>
          <w:sz w:val="22"/>
          <w:szCs w:val="22"/>
          <w:lang w:val="en-AU"/>
        </w:rPr>
      </w:pPr>
      <w:r>
        <w:br w:type="page"/>
      </w:r>
    </w:p>
    <w:bookmarkEnd w:id="589"/>
    <w:p w14:paraId="6E71ED24" w14:textId="4FBD4C66" w:rsidR="002B25D7" w:rsidRPr="007C747A" w:rsidRDefault="002B25D7" w:rsidP="00126EFC">
      <w:pPr>
        <w:pStyle w:val="Heading43"/>
      </w:pPr>
      <w:r w:rsidRPr="007C747A">
        <w:t xml:space="preserve">Table </w:t>
      </w:r>
      <w:r w:rsidR="007E3582" w:rsidRPr="007C747A">
        <w:t>4.3A</w:t>
      </w:r>
      <w:r w:rsidRPr="007C747A">
        <w:t>: Comparison of 2022-23 AFSR with previous projections</w:t>
      </w:r>
    </w:p>
    <w:tbl>
      <w:tblPr>
        <w:tblStyle w:val="FSRtable"/>
        <w:tblW w:w="3785" w:type="pct"/>
        <w:tblInd w:w="709" w:type="dxa"/>
        <w:tblLayout w:type="fixed"/>
        <w:tblLook w:val="04A0" w:firstRow="1" w:lastRow="0" w:firstColumn="1" w:lastColumn="0" w:noHBand="0" w:noVBand="1"/>
      </w:tblPr>
      <w:tblGrid>
        <w:gridCol w:w="2967"/>
        <w:gridCol w:w="1155"/>
        <w:gridCol w:w="1106"/>
        <w:gridCol w:w="1106"/>
        <w:gridCol w:w="1263"/>
      </w:tblGrid>
      <w:tr w:rsidR="002B25D7" w:rsidRPr="007C747A" w14:paraId="418272CD" w14:textId="77777777" w:rsidTr="00126EF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1953" w:type="pct"/>
            <w:tcBorders>
              <w:top w:val="single" w:sz="4" w:space="0" w:color="auto"/>
              <w:bottom w:val="nil"/>
            </w:tcBorders>
          </w:tcPr>
          <w:p w14:paraId="23A369AD" w14:textId="77777777" w:rsidR="002B25D7" w:rsidRPr="007C747A" w:rsidRDefault="002B25D7">
            <w:pPr>
              <w:spacing w:after="0"/>
              <w:rPr>
                <w:rFonts w:eastAsia="Times New Roman"/>
                <w:b w:val="0"/>
                <w:bCs/>
                <w:color w:val="FFFFFF"/>
                <w:sz w:val="20"/>
                <w:szCs w:val="20"/>
                <w:lang w:val="en-AU" w:eastAsia="en-AU"/>
              </w:rPr>
            </w:pPr>
            <w:r w:rsidRPr="007C747A">
              <w:rPr>
                <w:rFonts w:eastAsia="Times New Roman"/>
                <w:bCs/>
                <w:color w:val="FFFFFF"/>
                <w:sz w:val="20"/>
                <w:szCs w:val="20"/>
                <w:lang w:val="en-AU" w:eastAsia="en-AU"/>
              </w:rPr>
              <w:t>Scheme Expenses ($m)</w:t>
            </w:r>
          </w:p>
          <w:p w14:paraId="4F19E564" w14:textId="77777777" w:rsidR="002B25D7" w:rsidRPr="007C747A" w:rsidRDefault="002B25D7">
            <w:pPr>
              <w:spacing w:after="0"/>
              <w:rPr>
                <w:rFonts w:eastAsia="Times New Roman"/>
                <w:b w:val="0"/>
                <w:bCs/>
                <w:color w:val="FFFFFF"/>
                <w:sz w:val="20"/>
                <w:szCs w:val="20"/>
                <w:lang w:val="en-AU" w:eastAsia="en-AU"/>
              </w:rPr>
            </w:pPr>
            <w:r w:rsidRPr="007C747A">
              <w:rPr>
                <w:rFonts w:eastAsia="Times New Roman"/>
                <w:bCs/>
                <w:color w:val="FFFFFF"/>
                <w:sz w:val="20"/>
                <w:szCs w:val="20"/>
                <w:lang w:val="en-AU" w:eastAsia="en-AU"/>
              </w:rPr>
              <w:t xml:space="preserve">(accrual basis) </w:t>
            </w:r>
          </w:p>
        </w:tc>
        <w:tc>
          <w:tcPr>
            <w:tcW w:w="760" w:type="pct"/>
            <w:tcBorders>
              <w:top w:val="single" w:sz="4" w:space="0" w:color="auto"/>
              <w:bottom w:val="nil"/>
            </w:tcBorders>
            <w:noWrap/>
          </w:tcPr>
          <w:p w14:paraId="2F821B79" w14:textId="77777777" w:rsidR="002B25D7" w:rsidRPr="007C747A" w:rsidRDefault="002B25D7">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val="en-AU" w:eastAsia="en-AU"/>
              </w:rPr>
            </w:pPr>
            <w:r w:rsidRPr="007C747A">
              <w:rPr>
                <w:rFonts w:eastAsia="Times New Roman"/>
                <w:bCs/>
                <w:color w:val="FFFFFF"/>
                <w:sz w:val="20"/>
                <w:szCs w:val="20"/>
                <w:lang w:val="en-AU" w:eastAsia="en-AU"/>
              </w:rPr>
              <w:t>2023-24</w:t>
            </w:r>
          </w:p>
        </w:tc>
        <w:tc>
          <w:tcPr>
            <w:tcW w:w="728" w:type="pct"/>
            <w:tcBorders>
              <w:top w:val="single" w:sz="4" w:space="0" w:color="auto"/>
              <w:bottom w:val="nil"/>
            </w:tcBorders>
            <w:noWrap/>
          </w:tcPr>
          <w:p w14:paraId="2D64CB3F" w14:textId="77777777" w:rsidR="002B25D7" w:rsidRPr="007C747A" w:rsidRDefault="002B25D7">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val="en-AU" w:eastAsia="en-AU"/>
              </w:rPr>
            </w:pPr>
            <w:r w:rsidRPr="007C747A">
              <w:rPr>
                <w:rFonts w:eastAsia="Times New Roman"/>
                <w:bCs/>
                <w:color w:val="FFFFFF"/>
                <w:sz w:val="20"/>
                <w:szCs w:val="20"/>
                <w:lang w:val="en-AU" w:eastAsia="en-AU"/>
              </w:rPr>
              <w:t>2024-25</w:t>
            </w:r>
          </w:p>
        </w:tc>
        <w:tc>
          <w:tcPr>
            <w:tcW w:w="728" w:type="pct"/>
            <w:tcBorders>
              <w:top w:val="single" w:sz="4" w:space="0" w:color="auto"/>
              <w:bottom w:val="nil"/>
            </w:tcBorders>
            <w:noWrap/>
          </w:tcPr>
          <w:p w14:paraId="0ED60502" w14:textId="77777777" w:rsidR="002B25D7" w:rsidRPr="007C747A" w:rsidRDefault="002B25D7">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color w:val="FFFFFF"/>
                <w:sz w:val="20"/>
                <w:szCs w:val="20"/>
                <w:lang w:val="en-AU" w:eastAsia="en-AU"/>
              </w:rPr>
            </w:pPr>
            <w:r w:rsidRPr="007C747A">
              <w:rPr>
                <w:rFonts w:eastAsia="Times New Roman"/>
                <w:bCs/>
                <w:color w:val="FFFFFF"/>
                <w:sz w:val="20"/>
                <w:szCs w:val="20"/>
                <w:lang w:val="en-AU" w:eastAsia="en-AU"/>
              </w:rPr>
              <w:t>2025-26</w:t>
            </w:r>
          </w:p>
        </w:tc>
        <w:tc>
          <w:tcPr>
            <w:tcW w:w="832" w:type="pct"/>
            <w:tcBorders>
              <w:top w:val="single" w:sz="4" w:space="0" w:color="auto"/>
              <w:left w:val="single" w:sz="4" w:space="0" w:color="auto"/>
              <w:bottom w:val="nil"/>
            </w:tcBorders>
          </w:tcPr>
          <w:p w14:paraId="438ADE64" w14:textId="77777777" w:rsidR="002B25D7" w:rsidRPr="007C747A" w:rsidRDefault="002B25D7">
            <w:pPr>
              <w:spacing w:after="0"/>
              <w:cnfStyle w:val="100000000000" w:firstRow="1" w:lastRow="0" w:firstColumn="0" w:lastColumn="0" w:oddVBand="0" w:evenVBand="0" w:oddHBand="0" w:evenHBand="0" w:firstRowFirstColumn="0" w:firstRowLastColumn="0" w:lastRowFirstColumn="0" w:lastRowLastColumn="0"/>
              <w:rPr>
                <w:rFonts w:eastAsia="Times New Roman"/>
                <w:bCs/>
                <w:color w:val="FFFFFF"/>
                <w:sz w:val="20"/>
                <w:szCs w:val="20"/>
                <w:lang w:val="en-AU" w:eastAsia="en-AU"/>
              </w:rPr>
            </w:pPr>
            <w:r w:rsidRPr="007C747A">
              <w:rPr>
                <w:rFonts w:eastAsia="Times New Roman"/>
                <w:bCs/>
                <w:color w:val="FFFFFF"/>
                <w:sz w:val="20"/>
                <w:szCs w:val="20"/>
                <w:lang w:val="en-AU" w:eastAsia="en-AU"/>
              </w:rPr>
              <w:t>Total 2023-26</w:t>
            </w:r>
          </w:p>
        </w:tc>
      </w:tr>
      <w:tr w:rsidR="002B25D7" w:rsidRPr="007C747A" w14:paraId="43A94524" w14:textId="77777777" w:rsidTr="00126EFC">
        <w:trPr>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nil"/>
            </w:tcBorders>
            <w:shd w:val="clear" w:color="auto" w:fill="A7A9AC"/>
            <w:noWrap/>
          </w:tcPr>
          <w:p w14:paraId="447AFF75" w14:textId="77777777" w:rsidR="002B25D7" w:rsidRPr="007C747A" w:rsidRDefault="002B25D7">
            <w:pPr>
              <w:spacing w:after="0"/>
              <w:rPr>
                <w:rFonts w:eastAsia="Times New Roman" w:cs="Arial"/>
                <w:color w:val="000000"/>
                <w:sz w:val="20"/>
                <w:szCs w:val="20"/>
                <w:lang w:val="en-AU" w:eastAsia="en-AU"/>
              </w:rPr>
            </w:pPr>
            <w:r w:rsidRPr="007C747A">
              <w:rPr>
                <w:rFonts w:eastAsia="Times New Roman" w:cs="Arial"/>
                <w:color w:val="000000"/>
                <w:sz w:val="20"/>
                <w:szCs w:val="20"/>
                <w:lang w:val="en-AU" w:eastAsia="en-AU"/>
              </w:rPr>
              <w:t>June 2023 projections (a)</w:t>
            </w:r>
          </w:p>
        </w:tc>
        <w:tc>
          <w:tcPr>
            <w:tcW w:w="760" w:type="pct"/>
            <w:tcBorders>
              <w:top w:val="nil"/>
              <w:bottom w:val="nil"/>
            </w:tcBorders>
            <w:shd w:val="clear" w:color="auto" w:fill="A7A9AC"/>
            <w:noWrap/>
          </w:tcPr>
          <w:p w14:paraId="3DA7154E"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color w:val="000000"/>
                <w:sz w:val="20"/>
                <w:szCs w:val="20"/>
                <w:lang w:val="en-AU"/>
              </w:rPr>
              <w:t>41,360</w:t>
            </w:r>
          </w:p>
        </w:tc>
        <w:tc>
          <w:tcPr>
            <w:tcW w:w="728" w:type="pct"/>
            <w:tcBorders>
              <w:top w:val="nil"/>
              <w:bottom w:val="nil"/>
            </w:tcBorders>
            <w:shd w:val="clear" w:color="auto" w:fill="A7A9AC"/>
            <w:noWrap/>
          </w:tcPr>
          <w:p w14:paraId="4DE91718"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color w:val="000000"/>
                <w:sz w:val="20"/>
                <w:szCs w:val="20"/>
                <w:lang w:val="en-AU"/>
              </w:rPr>
              <w:t>46,376</w:t>
            </w:r>
          </w:p>
        </w:tc>
        <w:tc>
          <w:tcPr>
            <w:tcW w:w="728" w:type="pct"/>
            <w:tcBorders>
              <w:top w:val="nil"/>
              <w:bottom w:val="nil"/>
            </w:tcBorders>
            <w:shd w:val="clear" w:color="auto" w:fill="A7A9AC"/>
            <w:noWrap/>
          </w:tcPr>
          <w:p w14:paraId="0227D1AF"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color w:val="000000"/>
                <w:sz w:val="20"/>
                <w:szCs w:val="20"/>
                <w:lang w:val="en-AU"/>
              </w:rPr>
              <w:t>50,788</w:t>
            </w:r>
          </w:p>
        </w:tc>
        <w:tc>
          <w:tcPr>
            <w:tcW w:w="832" w:type="pct"/>
            <w:tcBorders>
              <w:top w:val="nil"/>
              <w:left w:val="single" w:sz="4" w:space="0" w:color="auto"/>
              <w:bottom w:val="nil"/>
            </w:tcBorders>
            <w:shd w:val="clear" w:color="auto" w:fill="A7A9AC"/>
          </w:tcPr>
          <w:p w14:paraId="4CA3D182"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rPr>
            </w:pPr>
            <w:r w:rsidRPr="007C747A">
              <w:rPr>
                <w:rFonts w:cs="Arial"/>
                <w:color w:val="000000"/>
                <w:sz w:val="20"/>
                <w:szCs w:val="20"/>
                <w:lang w:val="en-AU"/>
              </w:rPr>
              <w:t>138,524</w:t>
            </w:r>
          </w:p>
        </w:tc>
      </w:tr>
      <w:tr w:rsidR="002B25D7" w:rsidRPr="007C747A" w14:paraId="34D24E84" w14:textId="77777777" w:rsidTr="00126EF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nil"/>
              <w:right w:val="nil"/>
            </w:tcBorders>
            <w:shd w:val="clear" w:color="auto" w:fill="auto"/>
            <w:noWrap/>
          </w:tcPr>
          <w:p w14:paraId="4FCE498C" w14:textId="77777777" w:rsidR="002B25D7" w:rsidRPr="007C747A" w:rsidRDefault="002B25D7">
            <w:pPr>
              <w:spacing w:after="0"/>
              <w:rPr>
                <w:rFonts w:eastAsia="Times New Roman" w:cs="Arial"/>
                <w:color w:val="000000"/>
                <w:sz w:val="20"/>
                <w:szCs w:val="20"/>
                <w:lang w:val="en-AU" w:eastAsia="en-AU"/>
              </w:rPr>
            </w:pPr>
            <w:r w:rsidRPr="007C747A">
              <w:rPr>
                <w:rFonts w:eastAsia="Times New Roman" w:cs="Arial"/>
                <w:color w:val="000000"/>
                <w:sz w:val="20"/>
                <w:szCs w:val="20"/>
                <w:lang w:val="en-AU" w:eastAsia="en-AU"/>
              </w:rPr>
              <w:t>December 2022 projections (b)</w:t>
            </w:r>
          </w:p>
        </w:tc>
        <w:tc>
          <w:tcPr>
            <w:tcW w:w="760" w:type="pct"/>
            <w:tcBorders>
              <w:top w:val="nil"/>
              <w:left w:val="nil"/>
              <w:bottom w:val="nil"/>
              <w:right w:val="nil"/>
            </w:tcBorders>
            <w:shd w:val="clear" w:color="auto" w:fill="auto"/>
            <w:noWrap/>
          </w:tcPr>
          <w:p w14:paraId="37E86709"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39,977</w:t>
            </w:r>
          </w:p>
        </w:tc>
        <w:tc>
          <w:tcPr>
            <w:tcW w:w="728" w:type="pct"/>
            <w:tcBorders>
              <w:top w:val="nil"/>
              <w:left w:val="nil"/>
              <w:bottom w:val="nil"/>
              <w:right w:val="nil"/>
            </w:tcBorders>
            <w:shd w:val="clear" w:color="auto" w:fill="auto"/>
            <w:noWrap/>
          </w:tcPr>
          <w:p w14:paraId="69C5A2AD"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45,315</w:t>
            </w:r>
          </w:p>
        </w:tc>
        <w:tc>
          <w:tcPr>
            <w:tcW w:w="728" w:type="pct"/>
            <w:tcBorders>
              <w:top w:val="nil"/>
              <w:left w:val="nil"/>
              <w:bottom w:val="nil"/>
              <w:right w:val="nil"/>
            </w:tcBorders>
            <w:shd w:val="clear" w:color="auto" w:fill="auto"/>
            <w:noWrap/>
          </w:tcPr>
          <w:p w14:paraId="5DFEC1F4"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50,348</w:t>
            </w:r>
          </w:p>
        </w:tc>
        <w:tc>
          <w:tcPr>
            <w:tcW w:w="832" w:type="pct"/>
            <w:tcBorders>
              <w:top w:val="nil"/>
              <w:left w:val="single" w:sz="4" w:space="0" w:color="auto"/>
              <w:bottom w:val="nil"/>
            </w:tcBorders>
            <w:shd w:val="clear" w:color="auto" w:fill="auto"/>
          </w:tcPr>
          <w:p w14:paraId="11639831"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135,640</w:t>
            </w:r>
          </w:p>
        </w:tc>
      </w:tr>
      <w:tr w:rsidR="002B25D7" w:rsidRPr="007C747A" w14:paraId="0F81DDDC" w14:textId="77777777" w:rsidTr="00126EFC">
        <w:trPr>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nil"/>
            </w:tcBorders>
            <w:shd w:val="clear" w:color="auto" w:fill="A7A9AC"/>
            <w:noWrap/>
          </w:tcPr>
          <w:p w14:paraId="031AF912" w14:textId="77777777" w:rsidR="002B25D7" w:rsidRPr="007C747A" w:rsidRDefault="002B25D7">
            <w:pPr>
              <w:spacing w:after="0"/>
              <w:rPr>
                <w:rFonts w:eastAsia="Times New Roman" w:cs="Arial"/>
                <w:color w:val="000000"/>
                <w:sz w:val="20"/>
                <w:szCs w:val="20"/>
                <w:lang w:val="en-AU" w:eastAsia="en-AU"/>
              </w:rPr>
            </w:pPr>
            <w:r w:rsidRPr="007C747A">
              <w:rPr>
                <w:rFonts w:eastAsia="Times New Roman" w:cs="Arial"/>
                <w:color w:val="000000"/>
                <w:sz w:val="20"/>
                <w:szCs w:val="20"/>
                <w:lang w:val="en-AU" w:eastAsia="en-AU"/>
              </w:rPr>
              <w:t>June 2022 projections (c)</w:t>
            </w:r>
          </w:p>
        </w:tc>
        <w:tc>
          <w:tcPr>
            <w:tcW w:w="760" w:type="pct"/>
            <w:tcBorders>
              <w:top w:val="nil"/>
              <w:bottom w:val="nil"/>
            </w:tcBorders>
            <w:shd w:val="clear" w:color="auto" w:fill="A7A9AC"/>
            <w:noWrap/>
          </w:tcPr>
          <w:p w14:paraId="3CD1D638"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color w:val="000000"/>
                <w:sz w:val="20"/>
                <w:szCs w:val="20"/>
                <w:lang w:val="en-AU"/>
              </w:rPr>
              <w:t>38,133</w:t>
            </w:r>
          </w:p>
        </w:tc>
        <w:tc>
          <w:tcPr>
            <w:tcW w:w="728" w:type="pct"/>
            <w:tcBorders>
              <w:top w:val="nil"/>
              <w:bottom w:val="nil"/>
            </w:tcBorders>
            <w:shd w:val="clear" w:color="auto" w:fill="A7A9AC"/>
            <w:noWrap/>
          </w:tcPr>
          <w:p w14:paraId="59140267"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color w:val="000000"/>
                <w:sz w:val="20"/>
                <w:szCs w:val="20"/>
                <w:lang w:val="en-AU"/>
              </w:rPr>
              <w:t>44,116</w:t>
            </w:r>
          </w:p>
        </w:tc>
        <w:tc>
          <w:tcPr>
            <w:tcW w:w="728" w:type="pct"/>
            <w:tcBorders>
              <w:top w:val="nil"/>
              <w:bottom w:val="nil"/>
            </w:tcBorders>
            <w:shd w:val="clear" w:color="auto" w:fill="A7A9AC"/>
            <w:noWrap/>
          </w:tcPr>
          <w:p w14:paraId="6FAD1503"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color w:val="000000"/>
                <w:sz w:val="20"/>
                <w:szCs w:val="20"/>
                <w:lang w:val="en-AU"/>
              </w:rPr>
              <w:t>50,344</w:t>
            </w:r>
          </w:p>
        </w:tc>
        <w:tc>
          <w:tcPr>
            <w:tcW w:w="832" w:type="pct"/>
            <w:tcBorders>
              <w:top w:val="nil"/>
              <w:left w:val="single" w:sz="4" w:space="0" w:color="auto"/>
              <w:bottom w:val="nil"/>
            </w:tcBorders>
            <w:shd w:val="clear" w:color="auto" w:fill="A7A9AC"/>
          </w:tcPr>
          <w:p w14:paraId="5E0C0DFF"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cs="Arial"/>
                <w:color w:val="000000"/>
                <w:sz w:val="20"/>
                <w:szCs w:val="20"/>
                <w:lang w:val="en-AU"/>
              </w:rPr>
            </w:pPr>
            <w:r w:rsidRPr="007C747A">
              <w:rPr>
                <w:rFonts w:cs="Arial"/>
                <w:color w:val="000000"/>
                <w:sz w:val="20"/>
                <w:szCs w:val="20"/>
                <w:lang w:val="en-AU"/>
              </w:rPr>
              <w:t>132,593</w:t>
            </w:r>
          </w:p>
        </w:tc>
      </w:tr>
      <w:tr w:rsidR="002B25D7" w:rsidRPr="007C747A" w14:paraId="4DA0FF2C" w14:textId="77777777" w:rsidTr="00126EF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nil"/>
              <w:right w:val="nil"/>
            </w:tcBorders>
            <w:shd w:val="clear" w:color="auto" w:fill="auto"/>
            <w:noWrap/>
          </w:tcPr>
          <w:p w14:paraId="0428FBD2" w14:textId="77777777" w:rsidR="002B25D7" w:rsidRPr="007C747A" w:rsidRDefault="002B25D7">
            <w:pPr>
              <w:spacing w:after="0"/>
              <w:rPr>
                <w:rFonts w:eastAsia="Times New Roman" w:cs="Arial"/>
                <w:color w:val="000000"/>
                <w:sz w:val="20"/>
                <w:szCs w:val="20"/>
                <w:lang w:val="en-AU" w:eastAsia="en-AU"/>
              </w:rPr>
            </w:pPr>
            <w:r w:rsidRPr="007C747A">
              <w:rPr>
                <w:rFonts w:eastAsia="Times New Roman" w:cs="Arial"/>
                <w:sz w:val="20"/>
                <w:szCs w:val="20"/>
                <w:lang w:val="en-AU" w:eastAsia="en-AU"/>
              </w:rPr>
              <w:t>Difference ($) (a – b)</w:t>
            </w:r>
          </w:p>
        </w:tc>
        <w:tc>
          <w:tcPr>
            <w:tcW w:w="760" w:type="pct"/>
            <w:tcBorders>
              <w:top w:val="nil"/>
              <w:left w:val="nil"/>
              <w:bottom w:val="nil"/>
              <w:right w:val="nil"/>
            </w:tcBorders>
            <w:shd w:val="clear" w:color="auto" w:fill="auto"/>
            <w:noWrap/>
          </w:tcPr>
          <w:p w14:paraId="335151ED"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7C747A">
              <w:rPr>
                <w:sz w:val="20"/>
                <w:szCs w:val="20"/>
                <w:lang w:val="en-AU"/>
              </w:rPr>
              <w:t>1,383</w:t>
            </w:r>
          </w:p>
        </w:tc>
        <w:tc>
          <w:tcPr>
            <w:tcW w:w="728" w:type="pct"/>
            <w:tcBorders>
              <w:top w:val="nil"/>
              <w:left w:val="nil"/>
              <w:bottom w:val="nil"/>
              <w:right w:val="nil"/>
            </w:tcBorders>
            <w:shd w:val="clear" w:color="auto" w:fill="auto"/>
            <w:noWrap/>
          </w:tcPr>
          <w:p w14:paraId="51C0B222"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7C747A">
              <w:rPr>
                <w:sz w:val="20"/>
                <w:szCs w:val="20"/>
                <w:lang w:val="en-AU"/>
              </w:rPr>
              <w:t>1,060</w:t>
            </w:r>
          </w:p>
        </w:tc>
        <w:tc>
          <w:tcPr>
            <w:tcW w:w="728" w:type="pct"/>
            <w:tcBorders>
              <w:top w:val="nil"/>
              <w:left w:val="nil"/>
              <w:bottom w:val="nil"/>
              <w:right w:val="nil"/>
            </w:tcBorders>
            <w:shd w:val="clear" w:color="auto" w:fill="auto"/>
            <w:noWrap/>
          </w:tcPr>
          <w:p w14:paraId="687EB5AA"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 w:val="20"/>
                <w:szCs w:val="20"/>
                <w:lang w:val="en-AU" w:eastAsia="en-AU"/>
              </w:rPr>
            </w:pPr>
            <w:r w:rsidRPr="007C747A">
              <w:rPr>
                <w:sz w:val="20"/>
                <w:szCs w:val="20"/>
                <w:lang w:val="en-AU"/>
              </w:rPr>
              <w:t>440</w:t>
            </w:r>
          </w:p>
        </w:tc>
        <w:tc>
          <w:tcPr>
            <w:tcW w:w="832" w:type="pct"/>
            <w:tcBorders>
              <w:top w:val="nil"/>
              <w:left w:val="single" w:sz="4" w:space="0" w:color="auto"/>
              <w:bottom w:val="nil"/>
            </w:tcBorders>
            <w:shd w:val="clear" w:color="auto" w:fill="auto"/>
          </w:tcPr>
          <w:p w14:paraId="600C2980"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rFonts w:cs="Arial"/>
                <w:color w:val="000000"/>
                <w:sz w:val="20"/>
                <w:szCs w:val="20"/>
                <w:lang w:val="en-AU"/>
              </w:rPr>
            </w:pPr>
            <w:r w:rsidRPr="007C747A">
              <w:rPr>
                <w:rFonts w:cs="Arial"/>
                <w:color w:val="000000"/>
                <w:sz w:val="20"/>
                <w:szCs w:val="20"/>
                <w:lang w:val="en-AU"/>
              </w:rPr>
              <w:t>2,883</w:t>
            </w:r>
          </w:p>
        </w:tc>
      </w:tr>
      <w:tr w:rsidR="008345AC" w:rsidRPr="007C747A" w14:paraId="10DE8A81" w14:textId="77777777" w:rsidTr="008345AC">
        <w:trPr>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nil"/>
              <w:right w:val="nil"/>
            </w:tcBorders>
            <w:shd w:val="clear" w:color="auto" w:fill="A7A9AC"/>
            <w:noWrap/>
          </w:tcPr>
          <w:p w14:paraId="346A1580" w14:textId="77777777" w:rsidR="002B25D7" w:rsidRPr="007C747A" w:rsidRDefault="002B25D7">
            <w:pPr>
              <w:spacing w:after="0"/>
              <w:rPr>
                <w:rFonts w:eastAsia="DengXian" w:cs="Cordia New"/>
                <w:color w:val="000000"/>
                <w:sz w:val="20"/>
                <w:szCs w:val="20"/>
                <w:lang w:val="en-AU" w:eastAsia="en-AU"/>
              </w:rPr>
            </w:pPr>
            <w:r w:rsidRPr="007C747A">
              <w:rPr>
                <w:rFonts w:eastAsia="DengXian" w:cs="Cordia New"/>
                <w:color w:val="000000"/>
                <w:sz w:val="20"/>
                <w:szCs w:val="20"/>
                <w:lang w:val="en-AU" w:eastAsia="en-AU"/>
              </w:rPr>
              <w:t>Difference (%) (a/b -1)</w:t>
            </w:r>
          </w:p>
        </w:tc>
        <w:tc>
          <w:tcPr>
            <w:tcW w:w="760" w:type="pct"/>
            <w:tcBorders>
              <w:top w:val="nil"/>
              <w:left w:val="nil"/>
              <w:bottom w:val="nil"/>
              <w:right w:val="nil"/>
            </w:tcBorders>
            <w:shd w:val="clear" w:color="auto" w:fill="A7A9AC"/>
            <w:noWrap/>
          </w:tcPr>
          <w:p w14:paraId="64C79329"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DengXian" w:cs="Cordia New"/>
                <w:color w:val="000000"/>
                <w:sz w:val="20"/>
                <w:szCs w:val="20"/>
                <w:lang w:val="en-AU"/>
              </w:rPr>
            </w:pPr>
            <w:r w:rsidRPr="007C747A">
              <w:rPr>
                <w:color w:val="000000"/>
                <w:sz w:val="20"/>
                <w:szCs w:val="20"/>
                <w:lang w:val="en-AU"/>
              </w:rPr>
              <w:t>3%</w:t>
            </w:r>
          </w:p>
        </w:tc>
        <w:tc>
          <w:tcPr>
            <w:tcW w:w="728" w:type="pct"/>
            <w:tcBorders>
              <w:top w:val="nil"/>
              <w:left w:val="nil"/>
              <w:bottom w:val="nil"/>
              <w:right w:val="nil"/>
            </w:tcBorders>
            <w:shd w:val="clear" w:color="auto" w:fill="A7A9AC"/>
            <w:noWrap/>
          </w:tcPr>
          <w:p w14:paraId="5765668F"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DengXian" w:cs="Cordia New"/>
                <w:color w:val="000000"/>
                <w:sz w:val="20"/>
                <w:szCs w:val="20"/>
                <w:lang w:val="en-AU"/>
              </w:rPr>
            </w:pPr>
            <w:r w:rsidRPr="007C747A">
              <w:rPr>
                <w:color w:val="000000"/>
                <w:sz w:val="20"/>
                <w:szCs w:val="20"/>
                <w:lang w:val="en-AU"/>
              </w:rPr>
              <w:t>2%</w:t>
            </w:r>
          </w:p>
        </w:tc>
        <w:tc>
          <w:tcPr>
            <w:tcW w:w="728" w:type="pct"/>
            <w:tcBorders>
              <w:top w:val="nil"/>
              <w:left w:val="nil"/>
              <w:bottom w:val="nil"/>
              <w:right w:val="nil"/>
            </w:tcBorders>
            <w:shd w:val="clear" w:color="auto" w:fill="A7A9AC"/>
            <w:noWrap/>
          </w:tcPr>
          <w:p w14:paraId="681C4D8B"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DengXian" w:cs="Cordia New"/>
                <w:color w:val="000000"/>
                <w:sz w:val="20"/>
                <w:szCs w:val="20"/>
                <w:lang w:val="en-AU"/>
              </w:rPr>
            </w:pPr>
            <w:r w:rsidRPr="007C747A">
              <w:rPr>
                <w:color w:val="000000"/>
                <w:sz w:val="20"/>
                <w:szCs w:val="20"/>
                <w:lang w:val="en-AU"/>
              </w:rPr>
              <w:t>1%</w:t>
            </w:r>
          </w:p>
        </w:tc>
        <w:tc>
          <w:tcPr>
            <w:tcW w:w="832" w:type="pct"/>
            <w:tcBorders>
              <w:top w:val="nil"/>
              <w:left w:val="single" w:sz="4" w:space="0" w:color="auto"/>
              <w:bottom w:val="nil"/>
            </w:tcBorders>
            <w:shd w:val="clear" w:color="auto" w:fill="A7A9AC"/>
          </w:tcPr>
          <w:p w14:paraId="20D7C648"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rFonts w:eastAsia="DengXian" w:cs="Cordia New"/>
                <w:color w:val="000000"/>
                <w:sz w:val="20"/>
                <w:szCs w:val="20"/>
                <w:lang w:val="en-AU"/>
              </w:rPr>
            </w:pPr>
            <w:r w:rsidRPr="007C747A">
              <w:rPr>
                <w:rFonts w:eastAsia="DengXian" w:cs="Cordia New"/>
                <w:color w:val="000000"/>
                <w:sz w:val="20"/>
                <w:szCs w:val="20"/>
                <w:lang w:val="en-AU"/>
              </w:rPr>
              <w:t>2%</w:t>
            </w:r>
          </w:p>
        </w:tc>
      </w:tr>
      <w:tr w:rsidR="002B25D7" w:rsidRPr="007C747A" w14:paraId="218E6AB5" w14:textId="77777777" w:rsidTr="00126EFC">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nil"/>
              <w:right w:val="nil"/>
            </w:tcBorders>
            <w:shd w:val="clear" w:color="auto" w:fill="auto"/>
            <w:noWrap/>
          </w:tcPr>
          <w:p w14:paraId="4474423E" w14:textId="77777777" w:rsidR="002B25D7" w:rsidRPr="007C747A" w:rsidRDefault="002B25D7">
            <w:pPr>
              <w:spacing w:after="0"/>
              <w:rPr>
                <w:rFonts w:eastAsia="DengXian" w:cs="Cordia New"/>
                <w:sz w:val="20"/>
                <w:szCs w:val="20"/>
                <w:lang w:val="en-AU" w:eastAsia="en-AU"/>
              </w:rPr>
            </w:pPr>
            <w:r w:rsidRPr="007C747A">
              <w:rPr>
                <w:rFonts w:eastAsia="Times New Roman" w:cs="Arial"/>
                <w:sz w:val="20"/>
                <w:szCs w:val="20"/>
                <w:lang w:val="en-AU" w:eastAsia="en-AU"/>
              </w:rPr>
              <w:t>Difference ($) (a – c)</w:t>
            </w:r>
          </w:p>
        </w:tc>
        <w:tc>
          <w:tcPr>
            <w:tcW w:w="760" w:type="pct"/>
            <w:tcBorders>
              <w:top w:val="nil"/>
              <w:left w:val="nil"/>
              <w:bottom w:val="nil"/>
              <w:right w:val="nil"/>
            </w:tcBorders>
            <w:shd w:val="clear" w:color="auto" w:fill="auto"/>
            <w:noWrap/>
          </w:tcPr>
          <w:p w14:paraId="3B1E1406"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3,227</w:t>
            </w:r>
          </w:p>
        </w:tc>
        <w:tc>
          <w:tcPr>
            <w:tcW w:w="728" w:type="pct"/>
            <w:tcBorders>
              <w:top w:val="nil"/>
              <w:left w:val="nil"/>
              <w:bottom w:val="nil"/>
              <w:right w:val="nil"/>
            </w:tcBorders>
            <w:shd w:val="clear" w:color="auto" w:fill="auto"/>
            <w:noWrap/>
          </w:tcPr>
          <w:p w14:paraId="0BF2F94F"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2,260</w:t>
            </w:r>
          </w:p>
        </w:tc>
        <w:tc>
          <w:tcPr>
            <w:tcW w:w="728" w:type="pct"/>
            <w:tcBorders>
              <w:top w:val="nil"/>
              <w:left w:val="nil"/>
              <w:bottom w:val="nil"/>
              <w:right w:val="nil"/>
            </w:tcBorders>
            <w:shd w:val="clear" w:color="auto" w:fill="auto"/>
            <w:noWrap/>
          </w:tcPr>
          <w:p w14:paraId="0352F7FC"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444</w:t>
            </w:r>
          </w:p>
        </w:tc>
        <w:tc>
          <w:tcPr>
            <w:tcW w:w="832" w:type="pct"/>
            <w:tcBorders>
              <w:top w:val="nil"/>
              <w:left w:val="single" w:sz="4" w:space="0" w:color="auto"/>
              <w:bottom w:val="nil"/>
            </w:tcBorders>
            <w:shd w:val="clear" w:color="auto" w:fill="auto"/>
          </w:tcPr>
          <w:p w14:paraId="21003F70" w14:textId="77777777" w:rsidR="002B25D7" w:rsidRPr="007C747A" w:rsidRDefault="002B25D7">
            <w:pPr>
              <w:spacing w:after="0"/>
              <w:cnfStyle w:val="000000010000" w:firstRow="0" w:lastRow="0" w:firstColumn="0" w:lastColumn="0" w:oddVBand="0" w:evenVBand="0" w:oddHBand="0" w:evenHBand="1" w:firstRowFirstColumn="0" w:firstRowLastColumn="0" w:lastRowFirstColumn="0" w:lastRowLastColumn="0"/>
              <w:rPr>
                <w:sz w:val="20"/>
                <w:szCs w:val="20"/>
                <w:lang w:val="en-AU"/>
              </w:rPr>
            </w:pPr>
            <w:r w:rsidRPr="007C747A">
              <w:rPr>
                <w:sz w:val="20"/>
                <w:szCs w:val="20"/>
                <w:lang w:val="en-AU"/>
              </w:rPr>
              <w:t>5,931</w:t>
            </w:r>
          </w:p>
        </w:tc>
      </w:tr>
      <w:tr w:rsidR="002B25D7" w:rsidRPr="007C747A" w14:paraId="5ADB51B5" w14:textId="77777777" w:rsidTr="00126EFC">
        <w:trPr>
          <w:trHeight w:val="397"/>
        </w:trPr>
        <w:tc>
          <w:tcPr>
            <w:cnfStyle w:val="001000000000" w:firstRow="0" w:lastRow="0" w:firstColumn="1" w:lastColumn="0" w:oddVBand="0" w:evenVBand="0" w:oddHBand="0" w:evenHBand="0" w:firstRowFirstColumn="0" w:firstRowLastColumn="0" w:lastRowFirstColumn="0" w:lastRowLastColumn="0"/>
            <w:tcW w:w="1953" w:type="pct"/>
            <w:tcBorders>
              <w:top w:val="nil"/>
              <w:bottom w:val="single" w:sz="4" w:space="0" w:color="auto"/>
            </w:tcBorders>
            <w:shd w:val="clear" w:color="auto" w:fill="A7A9AC"/>
            <w:noWrap/>
          </w:tcPr>
          <w:p w14:paraId="6FA06304" w14:textId="77777777" w:rsidR="002B25D7" w:rsidRPr="007C747A" w:rsidRDefault="002B25D7">
            <w:pPr>
              <w:spacing w:after="0"/>
              <w:rPr>
                <w:rFonts w:eastAsia="DengXian" w:cs="Cordia New"/>
                <w:color w:val="000000"/>
                <w:sz w:val="20"/>
                <w:szCs w:val="20"/>
                <w:lang w:val="en-AU" w:eastAsia="en-AU"/>
              </w:rPr>
            </w:pPr>
            <w:r w:rsidRPr="007C747A">
              <w:rPr>
                <w:rFonts w:eastAsia="DengXian" w:cs="Cordia New"/>
                <w:color w:val="000000"/>
                <w:sz w:val="20"/>
                <w:szCs w:val="20"/>
                <w:lang w:val="en-AU" w:eastAsia="en-AU"/>
              </w:rPr>
              <w:t>Difference (%) (a/c -1)</w:t>
            </w:r>
          </w:p>
        </w:tc>
        <w:tc>
          <w:tcPr>
            <w:tcW w:w="760" w:type="pct"/>
            <w:tcBorders>
              <w:top w:val="nil"/>
              <w:bottom w:val="single" w:sz="4" w:space="0" w:color="auto"/>
            </w:tcBorders>
            <w:shd w:val="clear" w:color="auto" w:fill="A7A9AC"/>
            <w:noWrap/>
          </w:tcPr>
          <w:p w14:paraId="7703724E"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AU"/>
              </w:rPr>
            </w:pPr>
            <w:r w:rsidRPr="007C747A">
              <w:rPr>
                <w:color w:val="000000"/>
                <w:sz w:val="20"/>
                <w:szCs w:val="20"/>
                <w:lang w:val="en-AU"/>
              </w:rPr>
              <w:t>8%</w:t>
            </w:r>
          </w:p>
        </w:tc>
        <w:tc>
          <w:tcPr>
            <w:tcW w:w="728" w:type="pct"/>
            <w:tcBorders>
              <w:top w:val="nil"/>
              <w:bottom w:val="single" w:sz="4" w:space="0" w:color="auto"/>
            </w:tcBorders>
            <w:shd w:val="clear" w:color="auto" w:fill="A7A9AC"/>
            <w:noWrap/>
          </w:tcPr>
          <w:p w14:paraId="5A45233B"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AU"/>
              </w:rPr>
            </w:pPr>
            <w:r w:rsidRPr="007C747A">
              <w:rPr>
                <w:color w:val="000000"/>
                <w:sz w:val="20"/>
                <w:szCs w:val="20"/>
                <w:lang w:val="en-AU"/>
              </w:rPr>
              <w:t>5%</w:t>
            </w:r>
          </w:p>
        </w:tc>
        <w:tc>
          <w:tcPr>
            <w:tcW w:w="728" w:type="pct"/>
            <w:tcBorders>
              <w:top w:val="nil"/>
              <w:bottom w:val="single" w:sz="4" w:space="0" w:color="auto"/>
            </w:tcBorders>
            <w:shd w:val="clear" w:color="auto" w:fill="A7A9AC"/>
            <w:noWrap/>
          </w:tcPr>
          <w:p w14:paraId="296562E1"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AU"/>
              </w:rPr>
            </w:pPr>
            <w:r w:rsidRPr="007C747A">
              <w:rPr>
                <w:color w:val="000000"/>
                <w:sz w:val="20"/>
                <w:szCs w:val="20"/>
                <w:lang w:val="en-AU"/>
              </w:rPr>
              <w:t>1%</w:t>
            </w:r>
          </w:p>
        </w:tc>
        <w:tc>
          <w:tcPr>
            <w:tcW w:w="832" w:type="pct"/>
            <w:tcBorders>
              <w:top w:val="nil"/>
              <w:left w:val="single" w:sz="4" w:space="0" w:color="auto"/>
              <w:bottom w:val="single" w:sz="4" w:space="0" w:color="auto"/>
            </w:tcBorders>
            <w:shd w:val="clear" w:color="auto" w:fill="A7A9AC"/>
          </w:tcPr>
          <w:p w14:paraId="318F206A" w14:textId="77777777" w:rsidR="002B25D7" w:rsidRPr="007C747A" w:rsidRDefault="002B25D7">
            <w:pPr>
              <w:spacing w:after="0"/>
              <w:cnfStyle w:val="000000000000" w:firstRow="0" w:lastRow="0" w:firstColumn="0" w:lastColumn="0" w:oddVBand="0" w:evenVBand="0" w:oddHBand="0" w:evenHBand="0" w:firstRowFirstColumn="0" w:firstRowLastColumn="0" w:lastRowFirstColumn="0" w:lastRowLastColumn="0"/>
              <w:rPr>
                <w:color w:val="000000"/>
                <w:sz w:val="20"/>
                <w:szCs w:val="20"/>
                <w:lang w:val="en-AU"/>
              </w:rPr>
            </w:pPr>
            <w:r w:rsidRPr="007C747A">
              <w:rPr>
                <w:color w:val="000000"/>
                <w:sz w:val="20"/>
                <w:szCs w:val="20"/>
                <w:lang w:val="en-AU"/>
              </w:rPr>
              <w:t>4%</w:t>
            </w:r>
          </w:p>
        </w:tc>
      </w:tr>
    </w:tbl>
    <w:p w14:paraId="5F75CA53" w14:textId="77777777" w:rsidR="00653F42" w:rsidRPr="007C747A" w:rsidRDefault="00653F42" w:rsidP="00653F42">
      <w:pPr>
        <w:pStyle w:val="FGCNORMAL"/>
      </w:pPr>
    </w:p>
    <w:p w14:paraId="71FB0BF5" w14:textId="6741B97C" w:rsidR="002B25D7" w:rsidRPr="007C747A" w:rsidRDefault="002B25D7" w:rsidP="00603890">
      <w:pPr>
        <w:pStyle w:val="Heading43"/>
      </w:pPr>
      <w:r w:rsidRPr="007C747A">
        <w:t xml:space="preserve">Table </w:t>
      </w:r>
      <w:r w:rsidR="00956A4F" w:rsidRPr="007C747A">
        <w:t>4.3B</w:t>
      </w:r>
      <w:r w:rsidRPr="007C747A">
        <w:t>: Movements in projected Scheme expenses since previous review</w:t>
      </w:r>
    </w:p>
    <w:tbl>
      <w:tblPr>
        <w:tblStyle w:val="FSRtable"/>
        <w:tblW w:w="9639" w:type="dxa"/>
        <w:tblInd w:w="709" w:type="dxa"/>
        <w:tblLayout w:type="fixed"/>
        <w:tblLook w:val="04A0" w:firstRow="1" w:lastRow="0" w:firstColumn="1" w:lastColumn="0" w:noHBand="0" w:noVBand="1"/>
      </w:tblPr>
      <w:tblGrid>
        <w:gridCol w:w="3686"/>
        <w:gridCol w:w="1134"/>
        <w:gridCol w:w="1417"/>
        <w:gridCol w:w="1701"/>
        <w:gridCol w:w="1701"/>
      </w:tblGrid>
      <w:tr w:rsidR="00914A17" w:rsidRPr="007C747A" w14:paraId="037F684E" w14:textId="77777777" w:rsidTr="006038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785E0E5" w14:textId="77777777" w:rsidR="00914A17" w:rsidRPr="007C747A" w:rsidRDefault="00914A17">
            <w:pPr>
              <w:pStyle w:val="FSRlist"/>
              <w:numPr>
                <w:ilvl w:val="0"/>
                <w:numId w:val="0"/>
              </w:numPr>
              <w:spacing w:after="0"/>
              <w:rPr>
                <w:rFonts w:eastAsia="Times New Roman"/>
                <w:b w:val="0"/>
                <w:bCs/>
                <w:szCs w:val="21"/>
                <w:lang w:eastAsia="en-AU"/>
              </w:rPr>
            </w:pPr>
            <w:r w:rsidRPr="007C747A">
              <w:rPr>
                <w:rFonts w:eastAsia="Times New Roman"/>
                <w:bCs/>
                <w:szCs w:val="21"/>
                <w:lang w:eastAsia="en-AU"/>
              </w:rPr>
              <w:t>Scheme Expenses ($m)</w:t>
            </w:r>
          </w:p>
          <w:p w14:paraId="261190BA" w14:textId="77777777" w:rsidR="00914A17" w:rsidRPr="007C747A" w:rsidRDefault="00914A17">
            <w:pPr>
              <w:pStyle w:val="FSRlist"/>
              <w:numPr>
                <w:ilvl w:val="0"/>
                <w:numId w:val="0"/>
              </w:numPr>
              <w:spacing w:after="0"/>
              <w:rPr>
                <w:rFonts w:eastAsia="Times New Roman"/>
                <w:bCs/>
                <w:szCs w:val="21"/>
                <w:lang w:eastAsia="en-AU"/>
              </w:rPr>
            </w:pPr>
            <w:r w:rsidRPr="007C747A">
              <w:rPr>
                <w:rFonts w:eastAsia="Times New Roman"/>
                <w:bCs/>
                <w:szCs w:val="21"/>
                <w:lang w:eastAsia="en-AU"/>
              </w:rPr>
              <w:t>(accrual basis)</w:t>
            </w:r>
          </w:p>
        </w:tc>
        <w:tc>
          <w:tcPr>
            <w:tcW w:w="1134" w:type="dxa"/>
          </w:tcPr>
          <w:p w14:paraId="0AE9F9C1" w14:textId="77777777" w:rsidR="00914A17" w:rsidRPr="007C747A" w:rsidRDefault="00914A17">
            <w:pPr>
              <w:pStyle w:val="FSRlist"/>
              <w:numPr>
                <w:ilvl w:val="0"/>
                <w:numId w:val="0"/>
              </w:numPr>
              <w:spacing w:after="0"/>
              <w:ind w:left="-109"/>
              <w:cnfStyle w:val="100000000000" w:firstRow="1" w:lastRow="0" w:firstColumn="0" w:lastColumn="0" w:oddVBand="0" w:evenVBand="0" w:oddHBand="0" w:evenHBand="0" w:firstRowFirstColumn="0" w:firstRowLastColumn="0" w:lastRowFirstColumn="0" w:lastRowLastColumn="0"/>
              <w:rPr>
                <w:rFonts w:eastAsia="Times New Roman"/>
                <w:bCs/>
                <w:szCs w:val="21"/>
                <w:lang w:eastAsia="en-AU"/>
              </w:rPr>
            </w:pPr>
            <w:r w:rsidRPr="007C747A">
              <w:rPr>
                <w:rFonts w:eastAsia="Times New Roman"/>
                <w:bCs/>
                <w:szCs w:val="21"/>
                <w:lang w:eastAsia="en-AU"/>
              </w:rPr>
              <w:t>2023-24</w:t>
            </w:r>
          </w:p>
        </w:tc>
        <w:tc>
          <w:tcPr>
            <w:tcW w:w="1417" w:type="dxa"/>
          </w:tcPr>
          <w:p w14:paraId="4D1F0DD8" w14:textId="77777777" w:rsidR="00914A17" w:rsidRPr="007C747A" w:rsidRDefault="00914A17">
            <w:pPr>
              <w:pStyle w:val="FSRlist"/>
              <w:numPr>
                <w:ilvl w:val="0"/>
                <w:numId w:val="0"/>
              </w:numPr>
              <w:spacing w:after="0"/>
              <w:ind w:left="-128"/>
              <w:cnfStyle w:val="100000000000" w:firstRow="1" w:lastRow="0" w:firstColumn="0" w:lastColumn="0" w:oddVBand="0" w:evenVBand="0" w:oddHBand="0" w:evenHBand="0" w:firstRowFirstColumn="0" w:firstRowLastColumn="0" w:lastRowFirstColumn="0" w:lastRowLastColumn="0"/>
              <w:rPr>
                <w:rFonts w:eastAsia="Times New Roman"/>
                <w:bCs/>
                <w:szCs w:val="21"/>
                <w:lang w:eastAsia="en-AU"/>
              </w:rPr>
            </w:pPr>
            <w:r w:rsidRPr="007C747A">
              <w:rPr>
                <w:rFonts w:eastAsia="Times New Roman"/>
                <w:bCs/>
                <w:szCs w:val="21"/>
                <w:lang w:eastAsia="en-AU"/>
              </w:rPr>
              <w:t>2024-25</w:t>
            </w:r>
          </w:p>
        </w:tc>
        <w:tc>
          <w:tcPr>
            <w:tcW w:w="1701" w:type="dxa"/>
          </w:tcPr>
          <w:p w14:paraId="3B63022B" w14:textId="77777777" w:rsidR="00914A17" w:rsidRPr="007C747A" w:rsidRDefault="00914A17">
            <w:pPr>
              <w:pStyle w:val="FSRlist"/>
              <w:numPr>
                <w:ilvl w:val="0"/>
                <w:numId w:val="0"/>
              </w:numPr>
              <w:spacing w:after="0"/>
              <w:ind w:left="-20"/>
              <w:cnfStyle w:val="100000000000" w:firstRow="1" w:lastRow="0" w:firstColumn="0" w:lastColumn="0" w:oddVBand="0" w:evenVBand="0" w:oddHBand="0" w:evenHBand="0" w:firstRowFirstColumn="0" w:firstRowLastColumn="0" w:lastRowFirstColumn="0" w:lastRowLastColumn="0"/>
              <w:rPr>
                <w:rFonts w:eastAsia="Times New Roman"/>
                <w:bCs/>
                <w:szCs w:val="21"/>
                <w:lang w:eastAsia="en-AU"/>
              </w:rPr>
            </w:pPr>
            <w:r w:rsidRPr="007C747A">
              <w:rPr>
                <w:rFonts w:eastAsia="Times New Roman"/>
                <w:bCs/>
                <w:szCs w:val="21"/>
                <w:lang w:eastAsia="en-AU"/>
              </w:rPr>
              <w:t>2025-26</w:t>
            </w:r>
          </w:p>
        </w:tc>
        <w:tc>
          <w:tcPr>
            <w:tcW w:w="1701" w:type="dxa"/>
          </w:tcPr>
          <w:p w14:paraId="6056F845" w14:textId="77777777" w:rsidR="00914A17" w:rsidRPr="007C747A" w:rsidRDefault="00914A17">
            <w:pPr>
              <w:pStyle w:val="FSRlist"/>
              <w:numPr>
                <w:ilvl w:val="0"/>
                <w:numId w:val="0"/>
              </w:numPr>
              <w:spacing w:after="0"/>
              <w:ind w:left="-91"/>
              <w:cnfStyle w:val="100000000000" w:firstRow="1" w:lastRow="0" w:firstColumn="0" w:lastColumn="0" w:oddVBand="0" w:evenVBand="0" w:oddHBand="0" w:evenHBand="0" w:firstRowFirstColumn="0" w:firstRowLastColumn="0" w:lastRowFirstColumn="0" w:lastRowLastColumn="0"/>
              <w:rPr>
                <w:rFonts w:eastAsia="Times New Roman"/>
                <w:bCs/>
                <w:szCs w:val="21"/>
                <w:lang w:eastAsia="en-AU"/>
              </w:rPr>
            </w:pPr>
            <w:r w:rsidRPr="007C747A">
              <w:rPr>
                <w:rFonts w:eastAsia="Times New Roman"/>
                <w:bCs/>
                <w:szCs w:val="21"/>
                <w:lang w:eastAsia="en-AU"/>
              </w:rPr>
              <w:t>Total 2023-26</w:t>
            </w:r>
          </w:p>
        </w:tc>
      </w:tr>
      <w:tr w:rsidR="00914A17" w:rsidRPr="007C747A" w14:paraId="10429183" w14:textId="77777777" w:rsidTr="00603890">
        <w:tc>
          <w:tcPr>
            <w:cnfStyle w:val="001000000000" w:firstRow="0" w:lastRow="0" w:firstColumn="1" w:lastColumn="0" w:oddVBand="0" w:evenVBand="0" w:oddHBand="0" w:evenHBand="0" w:firstRowFirstColumn="0" w:firstRowLastColumn="0" w:lastRowFirstColumn="0" w:lastRowLastColumn="0"/>
            <w:tcW w:w="3686" w:type="dxa"/>
          </w:tcPr>
          <w:p w14:paraId="49D127C4" w14:textId="77777777" w:rsidR="00914A17" w:rsidRPr="007C747A" w:rsidRDefault="00914A17">
            <w:pPr>
              <w:pStyle w:val="FSRlist"/>
              <w:numPr>
                <w:ilvl w:val="0"/>
                <w:numId w:val="0"/>
              </w:numPr>
              <w:spacing w:after="0" w:line="240" w:lineRule="auto"/>
              <w:rPr>
                <w:rFonts w:eastAsia="Times New Roman" w:cs="Arial"/>
                <w:b/>
                <w:bCs/>
                <w:szCs w:val="21"/>
                <w:lang w:eastAsia="en-AU"/>
              </w:rPr>
            </w:pPr>
            <w:r w:rsidRPr="007C747A">
              <w:rPr>
                <w:rFonts w:eastAsia="Times New Roman" w:cs="Arial"/>
                <w:b/>
                <w:bCs/>
                <w:szCs w:val="21"/>
                <w:lang w:eastAsia="en-AU"/>
              </w:rPr>
              <w:t>June 2022 projections</w:t>
            </w:r>
          </w:p>
        </w:tc>
        <w:tc>
          <w:tcPr>
            <w:tcW w:w="1134" w:type="dxa"/>
          </w:tcPr>
          <w:p w14:paraId="77EF6337"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38,133</w:t>
            </w:r>
          </w:p>
        </w:tc>
        <w:tc>
          <w:tcPr>
            <w:tcW w:w="1417" w:type="dxa"/>
          </w:tcPr>
          <w:p w14:paraId="35BE2D17"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44,116</w:t>
            </w:r>
          </w:p>
        </w:tc>
        <w:tc>
          <w:tcPr>
            <w:tcW w:w="1701" w:type="dxa"/>
          </w:tcPr>
          <w:p w14:paraId="5BD4ABC9"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50,344</w:t>
            </w:r>
          </w:p>
        </w:tc>
        <w:tc>
          <w:tcPr>
            <w:tcW w:w="1701" w:type="dxa"/>
          </w:tcPr>
          <w:p w14:paraId="08CF3575"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132,593</w:t>
            </w:r>
          </w:p>
        </w:tc>
      </w:tr>
      <w:tr w:rsidR="00914A17" w:rsidRPr="007C747A" w14:paraId="7679D713" w14:textId="77777777" w:rsidTr="00603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64D5176B" w14:textId="77777777" w:rsidR="00914A17" w:rsidRPr="007C747A" w:rsidRDefault="00914A17">
            <w:pPr>
              <w:pStyle w:val="FSRlist"/>
              <w:numPr>
                <w:ilvl w:val="0"/>
                <w:numId w:val="0"/>
              </w:numPr>
              <w:spacing w:after="0" w:line="240" w:lineRule="auto"/>
              <w:rPr>
                <w:rFonts w:eastAsia="Times New Roman" w:cs="Arial"/>
                <w:szCs w:val="21"/>
                <w:lang w:eastAsia="en-AU"/>
              </w:rPr>
            </w:pPr>
            <w:r w:rsidRPr="007C747A">
              <w:rPr>
                <w:rFonts w:eastAsia="Times New Roman" w:cs="Arial"/>
                <w:szCs w:val="21"/>
                <w:lang w:eastAsia="en-AU"/>
              </w:rPr>
              <w:t>Immigration changes</w:t>
            </w:r>
          </w:p>
        </w:tc>
        <w:tc>
          <w:tcPr>
            <w:tcW w:w="1134" w:type="dxa"/>
          </w:tcPr>
          <w:p w14:paraId="5DF052FD"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15</w:t>
            </w:r>
          </w:p>
        </w:tc>
        <w:tc>
          <w:tcPr>
            <w:tcW w:w="1417" w:type="dxa"/>
          </w:tcPr>
          <w:p w14:paraId="67AC9C0F"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69</w:t>
            </w:r>
          </w:p>
        </w:tc>
        <w:tc>
          <w:tcPr>
            <w:tcW w:w="1701" w:type="dxa"/>
          </w:tcPr>
          <w:p w14:paraId="63EBD7B8"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147</w:t>
            </w:r>
          </w:p>
        </w:tc>
        <w:tc>
          <w:tcPr>
            <w:tcW w:w="1701" w:type="dxa"/>
          </w:tcPr>
          <w:p w14:paraId="69BF99BD"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231</w:t>
            </w:r>
          </w:p>
        </w:tc>
      </w:tr>
      <w:tr w:rsidR="00914A17" w:rsidRPr="007C747A" w14:paraId="370BA8D7" w14:textId="77777777" w:rsidTr="00603890">
        <w:tc>
          <w:tcPr>
            <w:cnfStyle w:val="001000000000" w:firstRow="0" w:lastRow="0" w:firstColumn="1" w:lastColumn="0" w:oddVBand="0" w:evenVBand="0" w:oddHBand="0" w:evenHBand="0" w:firstRowFirstColumn="0" w:firstRowLastColumn="0" w:lastRowFirstColumn="0" w:lastRowLastColumn="0"/>
            <w:tcW w:w="3686" w:type="dxa"/>
          </w:tcPr>
          <w:p w14:paraId="3B3CF7ED" w14:textId="77777777" w:rsidR="00914A17" w:rsidRPr="007C747A" w:rsidRDefault="00914A17">
            <w:pPr>
              <w:pStyle w:val="FSRlist"/>
              <w:numPr>
                <w:ilvl w:val="0"/>
                <w:numId w:val="0"/>
              </w:numPr>
              <w:spacing w:after="0" w:line="240" w:lineRule="auto"/>
              <w:rPr>
                <w:rFonts w:eastAsia="Times New Roman" w:cs="Arial"/>
                <w:szCs w:val="21"/>
                <w:lang w:eastAsia="en-AU"/>
              </w:rPr>
            </w:pPr>
            <w:r w:rsidRPr="007C747A">
              <w:rPr>
                <w:rFonts w:eastAsia="Times New Roman" w:cs="Arial"/>
                <w:szCs w:val="21"/>
                <w:lang w:eastAsia="en-AU"/>
              </w:rPr>
              <w:t>Pricing and normal inflation</w:t>
            </w:r>
          </w:p>
        </w:tc>
        <w:tc>
          <w:tcPr>
            <w:tcW w:w="1134" w:type="dxa"/>
          </w:tcPr>
          <w:p w14:paraId="2D001B09"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607</w:t>
            </w:r>
          </w:p>
        </w:tc>
        <w:tc>
          <w:tcPr>
            <w:tcW w:w="1417" w:type="dxa"/>
          </w:tcPr>
          <w:p w14:paraId="7819FD3C"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394</w:t>
            </w:r>
          </w:p>
        </w:tc>
        <w:tc>
          <w:tcPr>
            <w:tcW w:w="1701" w:type="dxa"/>
          </w:tcPr>
          <w:p w14:paraId="1814E641"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542</w:t>
            </w:r>
          </w:p>
        </w:tc>
        <w:tc>
          <w:tcPr>
            <w:tcW w:w="1701" w:type="dxa"/>
          </w:tcPr>
          <w:p w14:paraId="74D1FE0A"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1,543</w:t>
            </w:r>
          </w:p>
        </w:tc>
      </w:tr>
      <w:tr w:rsidR="00914A17" w:rsidRPr="007C747A" w14:paraId="5C86BE71" w14:textId="77777777" w:rsidTr="00603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5590676" w14:textId="77777777" w:rsidR="00914A17" w:rsidRPr="007C747A" w:rsidRDefault="00914A17">
            <w:pPr>
              <w:pStyle w:val="FSRlist"/>
              <w:numPr>
                <w:ilvl w:val="0"/>
                <w:numId w:val="0"/>
              </w:numPr>
              <w:spacing w:after="0" w:line="240" w:lineRule="auto"/>
              <w:rPr>
                <w:rFonts w:eastAsia="Times New Roman" w:cs="Arial"/>
                <w:szCs w:val="21"/>
                <w:lang w:eastAsia="en-AU"/>
              </w:rPr>
            </w:pPr>
            <w:r w:rsidRPr="007C747A">
              <w:rPr>
                <w:rFonts w:eastAsia="Times New Roman" w:cs="Arial"/>
                <w:b/>
                <w:bCs/>
                <w:szCs w:val="21"/>
                <w:lang w:eastAsia="en-AU"/>
              </w:rPr>
              <w:t xml:space="preserve">Projections updated for external factors </w:t>
            </w:r>
          </w:p>
        </w:tc>
        <w:tc>
          <w:tcPr>
            <w:tcW w:w="1134" w:type="dxa"/>
          </w:tcPr>
          <w:p w14:paraId="5359CC36"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Cs w:val="21"/>
                <w:lang w:eastAsia="en-AU"/>
              </w:rPr>
            </w:pPr>
            <w:r w:rsidRPr="007C747A">
              <w:rPr>
                <w:rFonts w:eastAsia="Times New Roman" w:cs="Arial"/>
                <w:b/>
                <w:szCs w:val="21"/>
                <w:lang w:eastAsia="en-AU"/>
              </w:rPr>
              <w:t>38,755</w:t>
            </w:r>
          </w:p>
        </w:tc>
        <w:tc>
          <w:tcPr>
            <w:tcW w:w="1417" w:type="dxa"/>
          </w:tcPr>
          <w:p w14:paraId="36FC0A4F"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Cs w:val="21"/>
                <w:lang w:eastAsia="en-AU"/>
              </w:rPr>
            </w:pPr>
            <w:r w:rsidRPr="007C747A">
              <w:rPr>
                <w:rFonts w:eastAsia="Times New Roman" w:cs="Arial"/>
                <w:b/>
                <w:szCs w:val="21"/>
                <w:lang w:eastAsia="en-AU"/>
              </w:rPr>
              <w:t>44,579</w:t>
            </w:r>
          </w:p>
        </w:tc>
        <w:tc>
          <w:tcPr>
            <w:tcW w:w="1701" w:type="dxa"/>
          </w:tcPr>
          <w:p w14:paraId="7E24589B"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szCs w:val="21"/>
                <w:lang w:eastAsia="en-AU"/>
              </w:rPr>
            </w:pPr>
            <w:r w:rsidRPr="007C747A">
              <w:rPr>
                <w:rFonts w:eastAsia="Times New Roman" w:cs="Arial"/>
                <w:b/>
                <w:szCs w:val="21"/>
                <w:lang w:eastAsia="en-AU"/>
              </w:rPr>
              <w:t>51,033</w:t>
            </w:r>
          </w:p>
        </w:tc>
        <w:tc>
          <w:tcPr>
            <w:tcW w:w="1701" w:type="dxa"/>
          </w:tcPr>
          <w:p w14:paraId="53681F54" w14:textId="77777777" w:rsidR="00914A17" w:rsidRPr="007C747A" w:rsidRDefault="00914A17">
            <w:pPr>
              <w:pStyle w:val="FSRlist"/>
              <w:numPr>
                <w:ilvl w:val="0"/>
                <w:numId w:val="0"/>
              </w:numPr>
              <w:spacing w:after="0" w:line="240" w:lineRule="auto"/>
              <w:cnfStyle w:val="000000010000" w:firstRow="0" w:lastRow="0" w:firstColumn="0" w:lastColumn="0" w:oddVBand="0" w:evenVBand="0" w:oddHBand="0" w:evenHBand="1"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134,367</w:t>
            </w:r>
          </w:p>
        </w:tc>
      </w:tr>
      <w:tr w:rsidR="00914A17" w:rsidRPr="007C747A" w14:paraId="00FA92FF" w14:textId="77777777" w:rsidTr="00603890">
        <w:tc>
          <w:tcPr>
            <w:cnfStyle w:val="001000000000" w:firstRow="0" w:lastRow="0" w:firstColumn="1" w:lastColumn="0" w:oddVBand="0" w:evenVBand="0" w:oddHBand="0" w:evenHBand="0" w:firstRowFirstColumn="0" w:firstRowLastColumn="0" w:lastRowFirstColumn="0" w:lastRowLastColumn="0"/>
            <w:tcW w:w="3686" w:type="dxa"/>
          </w:tcPr>
          <w:p w14:paraId="3844E897" w14:textId="77777777" w:rsidR="00914A17" w:rsidRPr="007C747A" w:rsidRDefault="00914A17">
            <w:pPr>
              <w:pStyle w:val="FSRlist"/>
              <w:numPr>
                <w:ilvl w:val="0"/>
                <w:numId w:val="0"/>
              </w:numPr>
              <w:spacing w:after="0" w:line="240" w:lineRule="auto"/>
              <w:ind w:left="30"/>
              <w:rPr>
                <w:rFonts w:eastAsia="Times New Roman" w:cs="Arial"/>
                <w:color w:val="000000"/>
                <w:szCs w:val="21"/>
                <w:lang w:eastAsia="en-AU"/>
              </w:rPr>
            </w:pPr>
            <w:r w:rsidRPr="007C747A">
              <w:rPr>
                <w:rFonts w:eastAsia="Times New Roman" w:cs="Arial"/>
                <w:color w:val="000000"/>
                <w:szCs w:val="21"/>
                <w:lang w:eastAsia="en-AU"/>
              </w:rPr>
              <w:t xml:space="preserve">Updates for experience </w:t>
            </w:r>
          </w:p>
        </w:tc>
        <w:tc>
          <w:tcPr>
            <w:tcW w:w="1134" w:type="dxa"/>
          </w:tcPr>
          <w:p w14:paraId="469BC624"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696</w:t>
            </w:r>
          </w:p>
        </w:tc>
        <w:tc>
          <w:tcPr>
            <w:tcW w:w="1417" w:type="dxa"/>
          </w:tcPr>
          <w:p w14:paraId="610D3263"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526</w:t>
            </w:r>
          </w:p>
        </w:tc>
        <w:tc>
          <w:tcPr>
            <w:tcW w:w="1701" w:type="dxa"/>
          </w:tcPr>
          <w:p w14:paraId="5252DB9A"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574</w:t>
            </w:r>
          </w:p>
        </w:tc>
        <w:tc>
          <w:tcPr>
            <w:tcW w:w="1701" w:type="dxa"/>
          </w:tcPr>
          <w:p w14:paraId="4FBF8267"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1,796</w:t>
            </w:r>
          </w:p>
        </w:tc>
      </w:tr>
      <w:tr w:rsidR="00914A17" w:rsidRPr="007C747A" w14:paraId="125DFC4F" w14:textId="77777777" w:rsidTr="00603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27E5F17E" w14:textId="77777777" w:rsidR="00914A17" w:rsidRPr="007C747A" w:rsidRDefault="00914A17">
            <w:pPr>
              <w:pStyle w:val="FSRlist"/>
              <w:numPr>
                <w:ilvl w:val="0"/>
                <w:numId w:val="0"/>
              </w:numPr>
              <w:spacing w:after="0"/>
              <w:ind w:left="30"/>
              <w:rPr>
                <w:rFonts w:eastAsia="Times New Roman" w:cs="Arial"/>
                <w:color w:val="000000"/>
                <w:szCs w:val="21"/>
                <w:lang w:eastAsia="en-AU"/>
              </w:rPr>
            </w:pPr>
            <w:r w:rsidRPr="007C747A">
              <w:rPr>
                <w:rFonts w:eastAsia="Times New Roman" w:cs="Arial"/>
                <w:color w:val="000000"/>
                <w:szCs w:val="21"/>
                <w:lang w:eastAsia="en-AU"/>
              </w:rPr>
              <w:t>Updates for assumption changes</w:t>
            </w:r>
          </w:p>
        </w:tc>
        <w:tc>
          <w:tcPr>
            <w:tcW w:w="1134" w:type="dxa"/>
          </w:tcPr>
          <w:p w14:paraId="3B6E32BC"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1,908</w:t>
            </w:r>
          </w:p>
        </w:tc>
        <w:tc>
          <w:tcPr>
            <w:tcW w:w="1417" w:type="dxa"/>
          </w:tcPr>
          <w:p w14:paraId="0D9D31FA"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1,270</w:t>
            </w:r>
          </w:p>
        </w:tc>
        <w:tc>
          <w:tcPr>
            <w:tcW w:w="1701" w:type="dxa"/>
          </w:tcPr>
          <w:p w14:paraId="6292ED2E"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-819</w:t>
            </w:r>
          </w:p>
        </w:tc>
        <w:tc>
          <w:tcPr>
            <w:tcW w:w="1701" w:type="dxa"/>
          </w:tcPr>
          <w:p w14:paraId="39A1E1BE"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color w:val="000000"/>
                <w:szCs w:val="21"/>
                <w:lang w:eastAsia="en-AU"/>
              </w:rPr>
            </w:pPr>
            <w:r w:rsidRPr="007C747A">
              <w:rPr>
                <w:rFonts w:eastAsia="Times New Roman" w:cs="Arial"/>
                <w:color w:val="000000"/>
                <w:szCs w:val="21"/>
                <w:lang w:eastAsia="en-AU"/>
              </w:rPr>
              <w:t>2,359</w:t>
            </w:r>
          </w:p>
        </w:tc>
      </w:tr>
      <w:tr w:rsidR="00914A17" w:rsidRPr="007C747A" w14:paraId="2FD5A668" w14:textId="77777777" w:rsidTr="00603890">
        <w:tc>
          <w:tcPr>
            <w:cnfStyle w:val="001000000000" w:firstRow="0" w:lastRow="0" w:firstColumn="1" w:lastColumn="0" w:oddVBand="0" w:evenVBand="0" w:oddHBand="0" w:evenHBand="0" w:firstRowFirstColumn="0" w:firstRowLastColumn="0" w:lastRowFirstColumn="0" w:lastRowLastColumn="0"/>
            <w:tcW w:w="3686" w:type="dxa"/>
          </w:tcPr>
          <w:p w14:paraId="3AA524B6" w14:textId="77777777" w:rsidR="00914A17" w:rsidRPr="007C747A" w:rsidRDefault="00914A17">
            <w:pPr>
              <w:pStyle w:val="FSRlist"/>
              <w:numPr>
                <w:ilvl w:val="0"/>
                <w:numId w:val="0"/>
              </w:numPr>
              <w:spacing w:after="0" w:line="240" w:lineRule="auto"/>
              <w:rPr>
                <w:rFonts w:eastAsia="Times New Roman" w:cs="Arial"/>
                <w:szCs w:val="21"/>
                <w:lang w:eastAsia="en-AU"/>
              </w:rPr>
            </w:pPr>
            <w:r w:rsidRPr="007C747A">
              <w:rPr>
                <w:rFonts w:eastAsia="Times New Roman" w:cs="Arial"/>
                <w:b/>
                <w:bCs/>
                <w:szCs w:val="21"/>
                <w:lang w:eastAsia="en-AU"/>
              </w:rPr>
              <w:t>Total movement for experience and assumptions changes</w:t>
            </w:r>
          </w:p>
        </w:tc>
        <w:tc>
          <w:tcPr>
            <w:tcW w:w="1134" w:type="dxa"/>
          </w:tcPr>
          <w:p w14:paraId="6C7E34EE"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b/>
                <w:bCs/>
                <w:szCs w:val="21"/>
                <w:lang w:eastAsia="en-AU"/>
              </w:rPr>
              <w:t>2,605</w:t>
            </w:r>
          </w:p>
        </w:tc>
        <w:tc>
          <w:tcPr>
            <w:tcW w:w="1417" w:type="dxa"/>
          </w:tcPr>
          <w:p w14:paraId="40C16DFF"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b/>
                <w:bCs/>
                <w:szCs w:val="21"/>
                <w:lang w:eastAsia="en-AU"/>
              </w:rPr>
              <w:t>1,797</w:t>
            </w:r>
          </w:p>
        </w:tc>
        <w:tc>
          <w:tcPr>
            <w:tcW w:w="1701" w:type="dxa"/>
          </w:tcPr>
          <w:p w14:paraId="57A599E4"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b/>
                <w:bCs/>
                <w:szCs w:val="21"/>
                <w:lang w:eastAsia="en-AU"/>
              </w:rPr>
              <w:t>-245</w:t>
            </w:r>
          </w:p>
        </w:tc>
        <w:tc>
          <w:tcPr>
            <w:tcW w:w="1701" w:type="dxa"/>
          </w:tcPr>
          <w:p w14:paraId="070D99E5" w14:textId="77777777" w:rsidR="00914A17" w:rsidRPr="007C747A" w:rsidRDefault="00914A17">
            <w:pPr>
              <w:pStyle w:val="FSRlist"/>
              <w:numPr>
                <w:ilvl w:val="0"/>
                <w:numId w:val="0"/>
              </w:num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Cs w:val="21"/>
                <w:lang w:eastAsia="en-AU"/>
              </w:rPr>
            </w:pPr>
            <w:r w:rsidRPr="007C747A">
              <w:rPr>
                <w:rFonts w:eastAsia="Times New Roman" w:cs="Arial"/>
                <w:szCs w:val="21"/>
                <w:lang w:eastAsia="en-AU"/>
              </w:rPr>
              <w:t>4,157</w:t>
            </w:r>
          </w:p>
        </w:tc>
      </w:tr>
      <w:tr w:rsidR="00914A17" w:rsidRPr="007C747A" w14:paraId="3A28AB35" w14:textId="77777777" w:rsidTr="0060389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325DB0CF" w14:textId="77777777" w:rsidR="00914A17" w:rsidRPr="007C747A" w:rsidRDefault="00914A17">
            <w:pPr>
              <w:pStyle w:val="FSRlist"/>
              <w:numPr>
                <w:ilvl w:val="0"/>
                <w:numId w:val="0"/>
              </w:numPr>
              <w:spacing w:after="0"/>
              <w:rPr>
                <w:rFonts w:eastAsia="Times New Roman" w:cs="Arial"/>
                <w:szCs w:val="21"/>
                <w:lang w:eastAsia="en-AU"/>
              </w:rPr>
            </w:pPr>
            <w:r w:rsidRPr="007C747A">
              <w:rPr>
                <w:rFonts w:eastAsia="Times New Roman" w:cs="Arial"/>
                <w:b/>
                <w:bCs/>
                <w:szCs w:val="21"/>
                <w:lang w:eastAsia="en-AU"/>
              </w:rPr>
              <w:t>June 2023 projections</w:t>
            </w:r>
          </w:p>
        </w:tc>
        <w:tc>
          <w:tcPr>
            <w:tcW w:w="1134" w:type="dxa"/>
          </w:tcPr>
          <w:p w14:paraId="4F54C48C"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41,360</w:t>
            </w:r>
          </w:p>
        </w:tc>
        <w:tc>
          <w:tcPr>
            <w:tcW w:w="1417" w:type="dxa"/>
          </w:tcPr>
          <w:p w14:paraId="0205166A"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46,376</w:t>
            </w:r>
          </w:p>
        </w:tc>
        <w:tc>
          <w:tcPr>
            <w:tcW w:w="1701" w:type="dxa"/>
          </w:tcPr>
          <w:p w14:paraId="18399509"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50,788</w:t>
            </w:r>
          </w:p>
        </w:tc>
        <w:tc>
          <w:tcPr>
            <w:tcW w:w="1701" w:type="dxa"/>
          </w:tcPr>
          <w:p w14:paraId="74173A68" w14:textId="77777777" w:rsidR="00914A17" w:rsidRPr="007C747A" w:rsidRDefault="00914A17">
            <w:pPr>
              <w:pStyle w:val="FSRlist"/>
              <w:numPr>
                <w:ilvl w:val="0"/>
                <w:numId w:val="0"/>
              </w:numPr>
              <w:spacing w:after="0"/>
              <w:cnfStyle w:val="000000010000" w:firstRow="0" w:lastRow="0" w:firstColumn="0" w:lastColumn="0" w:oddVBand="0" w:evenVBand="0" w:oddHBand="0" w:evenHBand="1" w:firstRowFirstColumn="0" w:firstRowLastColumn="0" w:lastRowFirstColumn="0" w:lastRowLastColumn="0"/>
              <w:rPr>
                <w:rFonts w:eastAsia="Times New Roman" w:cs="Arial"/>
                <w:b/>
                <w:bCs/>
                <w:szCs w:val="21"/>
                <w:lang w:eastAsia="en-AU"/>
              </w:rPr>
            </w:pPr>
            <w:r w:rsidRPr="007C747A">
              <w:rPr>
                <w:rFonts w:eastAsia="Times New Roman" w:cs="Arial"/>
                <w:b/>
                <w:bCs/>
                <w:szCs w:val="21"/>
                <w:lang w:eastAsia="en-AU"/>
              </w:rPr>
              <w:t>138,524</w:t>
            </w:r>
          </w:p>
        </w:tc>
      </w:tr>
    </w:tbl>
    <w:p w14:paraId="21D775BB" w14:textId="6187F319" w:rsidR="002B25D7" w:rsidRPr="007C747A" w:rsidRDefault="002B25D7" w:rsidP="002B25D7">
      <w:pPr>
        <w:pStyle w:val="FSRlist"/>
        <w:numPr>
          <w:ilvl w:val="0"/>
          <w:numId w:val="0"/>
        </w:numPr>
      </w:pPr>
    </w:p>
    <w:bookmarkEnd w:id="586"/>
    <w:p w14:paraId="66D5827A" w14:textId="77777777" w:rsidR="0080760A" w:rsidRPr="007C747A" w:rsidRDefault="0080760A" w:rsidP="0080760A">
      <w:pPr>
        <w:pStyle w:val="FGCNORMAL"/>
      </w:pPr>
      <w:r w:rsidRPr="007C747A">
        <w:t xml:space="preserve">It is noted that the June 2023 projections assume Agency resourcing remains relatively constant in real terms and if they do not then Scheme expenses would be expected to be higher than those shown at this review. In the 2023-24 Budget, Agency operating expenses reduce by 22% in 2024-25 and remain lower than those in the Scheme projections thereafter. Agency operating expenses are excluded from the results shown in this summary. More detail is documented in the 2022-23 AFSR. </w:t>
      </w:r>
    </w:p>
    <w:p w14:paraId="0A838C53" w14:textId="5A444E4F" w:rsidR="00603890" w:rsidRPr="007C747A" w:rsidRDefault="00603890">
      <w:pPr>
        <w:spacing w:after="0" w:line="240" w:lineRule="auto"/>
        <w:rPr>
          <w:rFonts w:eastAsiaTheme="minorEastAsia" w:cs="Arial"/>
          <w:sz w:val="22"/>
          <w:szCs w:val="22"/>
          <w:lang w:val="en-AU"/>
        </w:rPr>
      </w:pPr>
      <w:r w:rsidRPr="007C747A">
        <w:rPr>
          <w:rFonts w:eastAsiaTheme="minorEastAsia" w:cs="Arial"/>
          <w:sz w:val="22"/>
          <w:szCs w:val="22"/>
          <w:lang w:val="en-AU"/>
        </w:rPr>
        <w:br w:type="page"/>
      </w:r>
    </w:p>
    <w:p w14:paraId="2010DE10" w14:textId="70832FED" w:rsidR="00E64D06" w:rsidRPr="007C747A" w:rsidRDefault="00BA05C6" w:rsidP="00B92072">
      <w:pPr>
        <w:pStyle w:val="FGCHEADING3"/>
        <w:numPr>
          <w:ilvl w:val="0"/>
          <w:numId w:val="0"/>
        </w:numPr>
      </w:pPr>
      <w:bookmarkStart w:id="590" w:name="_Toc142039629"/>
      <w:bookmarkStart w:id="591" w:name="_Toc142047736"/>
      <w:r w:rsidRPr="007C747A">
        <w:t>Letter from Independent Actuary</w:t>
      </w:r>
    </w:p>
    <w:p w14:paraId="5EBD78FA" w14:textId="026F3B8F" w:rsidR="006F1AB2" w:rsidRPr="007C747A" w:rsidRDefault="006F1AB2" w:rsidP="006F1AB2">
      <w:pPr>
        <w:rPr>
          <w:lang w:val="en-AU"/>
        </w:rPr>
      </w:pPr>
      <w:bookmarkStart w:id="592" w:name="_Toc142039628"/>
      <w:bookmarkStart w:id="593" w:name="_Toc142047735"/>
      <w:bookmarkStart w:id="594" w:name="_Toc142478385"/>
      <w:bookmarkStart w:id="595" w:name="_Toc142573714"/>
      <w:bookmarkStart w:id="596" w:name="_Toc146289455"/>
      <w:r w:rsidRPr="007C747A">
        <w:rPr>
          <w:noProof/>
          <w:color w:val="FF0000"/>
          <w:lang w:val="en-AU"/>
        </w:rPr>
        <w:drawing>
          <wp:inline distT="0" distB="0" distL="0" distR="0" wp14:anchorId="004CA170" wp14:editId="3D7D1441">
            <wp:extent cx="5994400" cy="8691880"/>
            <wp:effectExtent l="0" t="0" r="6350" b="0"/>
            <wp:docPr id="447262528" name="Picture 447262528" descr="Page from letter from Independent Actuary.&#10;Australian Coat of Arms.&#10;Australian Government. Australian Government Actuary.&#10;&#10;9 October 2023.&#10;Mr Kurt Fearnley AO&#10;Chairman&#10;National Disability Insurance Agency,&#10;GPO Box 700&#10;CANBERRA ACT 2601.&#10;Dear Kurt,&#10;JUNE 2023 FINANCIAL SUSTAINABILITY REPORT.&#10;I am currently undertaking my review of the 2023 Financial Sustainability Report (FSR), as required by s180E(2) of the National Disability Insurance Scheme (NDIS) Act 2013 (the Act). This letter summarises my findings, as they relate to the Executive Summary.&#10;The Executive Summary presents a three-year projection of the expected costs of the scheme, which has been developed in two steps. The first step uses assumptions that are guided by recent scheme experience, and the Scheme Actuary’s judgement, to produce what I refer to as the Baseline projection. This is what is expected to occur if experience continues along similar lines to that which is currently occurring. Amounts included in the Baseline projection are then reduced to allow for initiatives in the May 2023 Budget, resulting in the June 2023 projection set out in the executive summary.&#10;I have received draft documents and the Excel models used to derive the projections in the Executive Summary. The Agency has provided me with the material required to undertake a review of the Baseline projection, and the calculations which adjust that projection for budget initiatives.&#10;Projected costs are higher than the previous FSR in the first year due to a higher starting population, with larger plans than previously expected, and with participants utilising their plans at a greater level than in the past. Projected costs are higher than the previous FSR in the short term due to the higher first year costs, combined with higher numbers of new entrants and additional growth that reflects recent experience more closely.&#10;The number of new entrants, the number of participants transitioning to supported independent living (SIL) and the rate of additional growth are all expected to reduce from recent (higher) levels over the short term. It is also assumed that the rate of non-mortality exits will quickly increase. These assumed changes all act to slow the growth in projected costs over tim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62528" name="Picture 447262528" descr="Page from letter from Independent Actuary.&#10;Australian Coat of Arms.&#10;Australian Government. Australian Government Actuary.&#10;&#10;9 October 2023.&#10;Mr Kurt Fearnley AO&#10;Chairman&#10;National Disability Insurance Agency,&#10;GPO Box 700&#10;CANBERRA ACT 2601.&#10;Dear Kurt,&#10;JUNE 2023 FINANCIAL SUSTAINABILITY REPORT.&#10;I am currently undertaking my review of the 2023 Financial Sustainability Report (FSR), as required by s180E(2) of the National Disability Insurance Scheme (NDIS) Act 2013 (the Act). This letter summarises my findings, as they relate to the Executive Summary.&#10;The Executive Summary presents a three-year projection of the expected costs of the scheme, which has been developed in two steps. The first step uses assumptions that are guided by recent scheme experience, and the Scheme Actuary’s judgement, to produce what I refer to as the Baseline projection. This is what is expected to occur if experience continues along similar lines to that which is currently occurring. Amounts included in the Baseline projection are then reduced to allow for initiatives in the May 2023 Budget, resulting in the June 2023 projection set out in the executive summary.&#10;I have received draft documents and the Excel models used to derive the projections in the Executive Summary. The Agency has provided me with the material required to undertake a review of the Baseline projection, and the calculations which adjust that projection for budget initiatives.&#10;Projected costs are higher than the previous FSR in the first year due to a higher starting population, with larger plans than previously expected, and with participants utilising their plans at a greater level than in the past. Projected costs are higher than the previous FSR in the short term due to the higher first year costs, combined with higher numbers of new entrants and additional growth that reflects recent experience more closely.&#10;The number of new entrants, the number of participants transitioning to supported independent living (SIL) and the rate of additional growth are all expected to reduce from recent (higher) levels over the short term. It is also assumed that the rate of non-mortality exits will quickly increase. These assumed changes all act to slow the growth in projected costs over time.&#10;"/>
                    <pic:cNvPicPr/>
                  </pic:nvPicPr>
                  <pic:blipFill>
                    <a:blip r:embed="rId44">
                      <a:extLst>
                        <a:ext uri="{28A0092B-C50C-407E-A947-70E740481C1C}">
                          <a14:useLocalDpi xmlns:a14="http://schemas.microsoft.com/office/drawing/2010/main" val="0"/>
                        </a:ext>
                      </a:extLst>
                    </a:blip>
                    <a:stretch>
                      <a:fillRect/>
                    </a:stretch>
                  </pic:blipFill>
                  <pic:spPr>
                    <a:xfrm>
                      <a:off x="0" y="0"/>
                      <a:ext cx="5994400" cy="8691880"/>
                    </a:xfrm>
                    <a:prstGeom prst="rect">
                      <a:avLst/>
                    </a:prstGeom>
                  </pic:spPr>
                </pic:pic>
              </a:graphicData>
            </a:graphic>
          </wp:inline>
        </w:drawing>
      </w:r>
      <w:bookmarkEnd w:id="592"/>
      <w:bookmarkEnd w:id="593"/>
      <w:bookmarkEnd w:id="594"/>
      <w:bookmarkEnd w:id="595"/>
      <w:bookmarkEnd w:id="596"/>
    </w:p>
    <w:p w14:paraId="7B691518" w14:textId="0BA503AB" w:rsidR="00C155BC" w:rsidRPr="007C747A" w:rsidRDefault="00254A43" w:rsidP="00C155BC">
      <w:pPr>
        <w:pStyle w:val="FGCNORMAL"/>
      </w:pPr>
      <w:r w:rsidRPr="007C747A">
        <w:rPr>
          <w:noProof/>
          <w:color w:val="FF0000"/>
        </w:rPr>
        <w:drawing>
          <wp:inline distT="0" distB="0" distL="0" distR="0" wp14:anchorId="0080E723" wp14:editId="4354B878">
            <wp:extent cx="5843270" cy="8743950"/>
            <wp:effectExtent l="0" t="0" r="5080" b="0"/>
            <wp:docPr id="552508080" name="Picture 552508080" descr="Letter from Independent Actuary continued.&#10;&#10;2&#10;The Scheme Actuary’s rationale for assuming the experience will moderate over time provides support to the view that the Baseline projection is within a range of reasonably likely outcomes. However, caution is required. Past reports have consistently assumed that scheme experience would moderate in the short term, yet this moderation has so far failed to materialise. As a result, projections have been increased each year since 2019. Until the assumed moderating experience shows a greater presence in the data, there remains a risk that the Baseline projection understates what might occur, in the absence of Budget initiatives. I consider this risk to be greater in the medium term.&#10;The Baseline projection is then reduced to allow for initiatives set out in the May 2023 Budget. These initiatives reduce the Baseline projection by $8.5bn over 2023-26. As these initiatives are subject to a co-design process, there is a material level of uncertainty regarding the impact of the initiatives on future expenses. Given this, I concur with the Scheme Actuary’s recommendation to establish a governance structure for implementing, and monitoring the effectiveness of, these initiatives.&#10;The June 2023 projection assumes agency administration expenses which are 18% higher than budgeted expenses in 2026. To the extent that forecast outcomes are dependent on agency resourcing, these differences will need to be reconciled.&#10;Uncertainty is a feature of any projection. Future experience will differ from, and may exceed, that which has been projected. Key areas of risk are noted above.&#10;Financial sustainability pressures continue to be present in the scheme. National Cabinet committed to a NDIS Financial Sustainability Framework in April 2023. The Framework establishes a target rate of growth in scheme expenditure. To the extent that the June 2023 projections are used as a starting point for considering progress against this Framework, care needs to be taken where scheme experience is assumed to moderate. The extent to which any assumed moderation does not materialise will widen the gap between actual future expenditure and the target.&#10;I will write separately to document my review of the full Financial Sustainability Report.&#10;Yours sincerely.&#10;Guy Thorburn.&#10;Reviewing Actuary.&#10;Australian Government Actuary.&#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08080" name="Picture 552508080" descr="Letter from Independent Actuary continued.&#10;&#10;2&#10;The Scheme Actuary’s rationale for assuming the experience will moderate over time provides support to the view that the Baseline projection is within a range of reasonably likely outcomes. However, caution is required. Past reports have consistently assumed that scheme experience would moderate in the short term, yet this moderation has so far failed to materialise. As a result, projections have been increased each year since 2019. Until the assumed moderating experience shows a greater presence in the data, there remains a risk that the Baseline projection understates what might occur, in the absence of Budget initiatives. I consider this risk to be greater in the medium term.&#10;The Baseline projection is then reduced to allow for initiatives set out in the May 2023 Budget. These initiatives reduce the Baseline projection by $8.5bn over 2023-26. As these initiatives are subject to a co-design process, there is a material level of uncertainty regarding the impact of the initiatives on future expenses. Given this, I concur with the Scheme Actuary’s recommendation to establish a governance structure for implementing, and monitoring the effectiveness of, these initiatives.&#10;The June 2023 projection assumes agency administration expenses which are 18% higher than budgeted expenses in 2026. To the extent that forecast outcomes are dependent on agency resourcing, these differences will need to be reconciled.&#10;Uncertainty is a feature of any projection. Future experience will differ from, and may exceed, that which has been projected. Key areas of risk are noted above.&#10;Financial sustainability pressures continue to be present in the scheme. National Cabinet committed to a NDIS Financial Sustainability Framework in April 2023. The Framework establishes a target rate of growth in scheme expenditure. To the extent that the June 2023 projections are used as a starting point for considering progress against this Framework, care needs to be taken where scheme experience is assumed to moderate. The extent to which any assumed moderation does not materialise will widen the gap between actual future expenditure and the target.&#10;I will write separately to document my review of the full Financial Sustainability Report.&#10;Yours sincerely.&#10;Guy Thorburn.&#10;Reviewing Actuary.&#10;Australian Government Actuary.&#10;&#10;"/>
                    <pic:cNvPicPr/>
                  </pic:nvPicPr>
                  <pic:blipFill>
                    <a:blip r:embed="rId45">
                      <a:extLst>
                        <a:ext uri="{28A0092B-C50C-407E-A947-70E740481C1C}">
                          <a14:useLocalDpi xmlns:a14="http://schemas.microsoft.com/office/drawing/2010/main" val="0"/>
                        </a:ext>
                      </a:extLst>
                    </a:blip>
                    <a:stretch>
                      <a:fillRect/>
                    </a:stretch>
                  </pic:blipFill>
                  <pic:spPr>
                    <a:xfrm>
                      <a:off x="0" y="0"/>
                      <a:ext cx="5843270" cy="8743950"/>
                    </a:xfrm>
                    <a:prstGeom prst="rect">
                      <a:avLst/>
                    </a:prstGeom>
                  </pic:spPr>
                </pic:pic>
              </a:graphicData>
            </a:graphic>
          </wp:inline>
        </w:drawing>
      </w:r>
    </w:p>
    <w:p w14:paraId="4EAB5F93" w14:textId="2538E6A8" w:rsidR="00EB3F0F" w:rsidRPr="007C747A" w:rsidRDefault="00EB3F0F" w:rsidP="004168E7">
      <w:pPr>
        <w:pStyle w:val="FGCHEADING1"/>
        <w:ind w:left="567" w:hanging="567"/>
      </w:pPr>
      <w:bookmarkStart w:id="597" w:name="_Toc142563007"/>
      <w:bookmarkStart w:id="598" w:name="_Toc142573715"/>
      <w:bookmarkStart w:id="599" w:name="_Toc146289456"/>
      <w:bookmarkStart w:id="600" w:name="_Toc148108419"/>
      <w:r w:rsidRPr="007C747A">
        <w:t>Management and accountability</w:t>
      </w:r>
      <w:bookmarkEnd w:id="597"/>
      <w:bookmarkEnd w:id="598"/>
      <w:bookmarkEnd w:id="599"/>
      <w:bookmarkEnd w:id="600"/>
    </w:p>
    <w:p w14:paraId="46744EE4" w14:textId="3B2E0BA9" w:rsidR="001723D7" w:rsidRPr="007C747A" w:rsidRDefault="001723D7" w:rsidP="004168E7">
      <w:pPr>
        <w:pStyle w:val="FGCHEADING2"/>
      </w:pPr>
      <w:bookmarkStart w:id="601" w:name="_Toc142039630"/>
      <w:bookmarkStart w:id="602" w:name="_Toc142047737"/>
      <w:bookmarkStart w:id="603" w:name="_Toc142563008"/>
      <w:bookmarkStart w:id="604" w:name="_Toc146289457"/>
      <w:bookmarkStart w:id="605" w:name="_Toc148108420"/>
      <w:r w:rsidRPr="007C747A">
        <w:t>Governance</w:t>
      </w:r>
      <w:bookmarkEnd w:id="601"/>
      <w:bookmarkEnd w:id="602"/>
      <w:bookmarkEnd w:id="603"/>
      <w:bookmarkEnd w:id="604"/>
      <w:bookmarkEnd w:id="605"/>
    </w:p>
    <w:p w14:paraId="10497A15" w14:textId="77777777" w:rsidR="006C7D3A" w:rsidRPr="007C747A" w:rsidRDefault="006C7D3A" w:rsidP="00AB50A7">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governance model for the NDIA is set out in the NDIS Act. </w:t>
      </w:r>
    </w:p>
    <w:p w14:paraId="6DDD2269" w14:textId="054B40FC" w:rsidR="006C7D3A" w:rsidRPr="007C747A" w:rsidRDefault="006C7D3A" w:rsidP="00AB50A7">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Agency is a corporate </w:t>
      </w:r>
      <w:r w:rsidR="00D34F99" w:rsidRPr="007C747A">
        <w:rPr>
          <w:rFonts w:eastAsiaTheme="minorEastAsia" w:cs="Arial"/>
          <w:sz w:val="22"/>
          <w:szCs w:val="22"/>
          <w:lang w:val="en-AU"/>
        </w:rPr>
        <w:t>C</w:t>
      </w:r>
      <w:r w:rsidRPr="007C747A">
        <w:rPr>
          <w:rFonts w:eastAsiaTheme="minorEastAsia" w:cs="Arial"/>
          <w:sz w:val="22"/>
          <w:szCs w:val="22"/>
          <w:lang w:val="en-AU"/>
        </w:rPr>
        <w:t xml:space="preserve">ommonwealth entity under the </w:t>
      </w:r>
      <w:r w:rsidRPr="007C747A">
        <w:rPr>
          <w:rFonts w:eastAsiaTheme="minorEastAsia" w:cs="Arial"/>
          <w:i/>
          <w:iCs/>
          <w:sz w:val="22"/>
          <w:szCs w:val="22"/>
          <w:lang w:val="en-AU"/>
        </w:rPr>
        <w:t>Public Governance, Performance and Accountability Act 2013</w:t>
      </w:r>
      <w:r w:rsidRPr="007C747A">
        <w:rPr>
          <w:rFonts w:eastAsiaTheme="minorEastAsia" w:cs="Arial"/>
          <w:sz w:val="22"/>
          <w:szCs w:val="22"/>
          <w:lang w:val="en-AU"/>
        </w:rPr>
        <w:t xml:space="preserve"> (PGPA Act) with statutory authority under </w:t>
      </w:r>
      <w:r w:rsidRPr="007C747A">
        <w:rPr>
          <w:rFonts w:eastAsiaTheme="minorEastAsia" w:cs="Arial"/>
          <w:i/>
          <w:iCs/>
          <w:sz w:val="22"/>
          <w:szCs w:val="22"/>
          <w:lang w:val="en-AU"/>
        </w:rPr>
        <w:t>the National Disability Insurance Scheme Act 2013</w:t>
      </w:r>
      <w:r w:rsidRPr="007C747A">
        <w:rPr>
          <w:rFonts w:eastAsiaTheme="minorEastAsia" w:cs="Arial"/>
          <w:sz w:val="22"/>
          <w:szCs w:val="22"/>
          <w:lang w:val="en-AU"/>
        </w:rPr>
        <w:t xml:space="preserve"> (NDIS Act). The NDIS Act sets out the governance model for the Scheme.</w:t>
      </w:r>
    </w:p>
    <w:p w14:paraId="577E0B7B" w14:textId="1B000B55" w:rsidR="006C7D3A" w:rsidRPr="007C747A" w:rsidRDefault="006C7D3A" w:rsidP="00FA7C9D">
      <w:pPr>
        <w:pStyle w:val="FGCHEADING43"/>
      </w:pPr>
      <w:bookmarkStart w:id="606" w:name="_Toc146289458"/>
      <w:r w:rsidRPr="007C747A">
        <w:t>Figure 5.1A: Agency governance diagram</w:t>
      </w:r>
      <w:bookmarkEnd w:id="606"/>
      <w:r w:rsidRPr="007C747A">
        <w:t xml:space="preserve"> </w:t>
      </w:r>
    </w:p>
    <w:p w14:paraId="3A58DE25" w14:textId="338F717F" w:rsidR="007926FB" w:rsidRPr="007C747A" w:rsidRDefault="005B1F0B" w:rsidP="006C7D3A">
      <w:pPr>
        <w:keepNext/>
        <w:spacing w:before="120" w:after="120" w:line="240" w:lineRule="auto"/>
        <w:ind w:left="652"/>
        <w:rPr>
          <w:rFonts w:eastAsiaTheme="minorEastAsia" w:cs="Arial"/>
          <w:sz w:val="22"/>
          <w:szCs w:val="22"/>
          <w:lang w:val="en-AU"/>
        </w:rPr>
      </w:pPr>
      <w:r w:rsidRPr="007C747A">
        <w:rPr>
          <w:rFonts w:eastAsia="DengXian"/>
          <w:noProof/>
          <w:lang w:val="en-AU" w:eastAsia="en-AU"/>
        </w:rPr>
        <w:drawing>
          <wp:inline distT="0" distB="0" distL="0" distR="0" wp14:anchorId="2101D115" wp14:editId="3EBDAAC1">
            <wp:extent cx="5723890" cy="1727835"/>
            <wp:effectExtent l="0" t="0" r="0" b="0"/>
            <wp:docPr id="4" name="Picture 4" descr="A diagram showing the Agency governance model. This is in 3 layers. At the top there is Federal Parliament (Commonwealth Minister) and the Ministerial Council.&#10;The second level is the NDIA Board and the Independent Advisory Council.&#10;The third level is the NDIA CE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showing the Agency governance model. This is in 3 layers. At the top there is Federal Parliament (Commonwealth Minister) and the Ministerial Council.&#10;The second level is the NDIA Board and the Independent Advisory Council.&#10;The third level is the NDIA CEO.&#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3890" cy="1727835"/>
                    </a:xfrm>
                    <a:prstGeom prst="rect">
                      <a:avLst/>
                    </a:prstGeom>
                    <a:noFill/>
                    <a:ln>
                      <a:noFill/>
                    </a:ln>
                  </pic:spPr>
                </pic:pic>
              </a:graphicData>
            </a:graphic>
          </wp:inline>
        </w:drawing>
      </w:r>
    </w:p>
    <w:p w14:paraId="11DE935A" w14:textId="73D32D0F" w:rsidR="006C7D3A" w:rsidRPr="007C747A" w:rsidRDefault="00106D09" w:rsidP="00126EFC">
      <w:pPr>
        <w:pStyle w:val="FGCHEADING3"/>
        <w:numPr>
          <w:ilvl w:val="2"/>
          <w:numId w:val="51"/>
        </w:numPr>
      </w:pPr>
      <w:bookmarkStart w:id="607" w:name="_Toc51067979"/>
      <w:bookmarkStart w:id="608" w:name="_Toc110532533"/>
      <w:bookmarkStart w:id="609" w:name="_Toc114477533"/>
      <w:bookmarkStart w:id="610" w:name="_Toc116414704"/>
      <w:bookmarkStart w:id="611" w:name="_Toc116473898"/>
      <w:r w:rsidRPr="007C747A">
        <w:t xml:space="preserve"> </w:t>
      </w:r>
      <w:r w:rsidR="006C7D3A" w:rsidRPr="007C747A">
        <w:t>Responsible Minister</w:t>
      </w:r>
      <w:bookmarkEnd w:id="607"/>
      <w:bookmarkEnd w:id="608"/>
      <w:bookmarkEnd w:id="609"/>
      <w:bookmarkEnd w:id="610"/>
      <w:bookmarkEnd w:id="611"/>
      <w:r w:rsidR="006C7D3A" w:rsidRPr="007C747A">
        <w:t xml:space="preserve"> </w:t>
      </w:r>
    </w:p>
    <w:p w14:paraId="22C799B9" w14:textId="3A715B7F" w:rsidR="006C7D3A" w:rsidRPr="007C747A" w:rsidRDefault="006C7D3A" w:rsidP="006C7D3A">
      <w:pPr>
        <w:spacing w:before="120" w:after="120" w:line="240" w:lineRule="auto"/>
        <w:ind w:left="652"/>
        <w:rPr>
          <w:rFonts w:eastAsiaTheme="minorEastAsia" w:cs="Arial"/>
          <w:sz w:val="22"/>
          <w:szCs w:val="22"/>
          <w:lang w:val="en-AU"/>
        </w:rPr>
      </w:pPr>
      <w:bookmarkStart w:id="612" w:name="_Toc51067980"/>
      <w:r w:rsidRPr="007C747A">
        <w:rPr>
          <w:rFonts w:eastAsiaTheme="minorEastAsia" w:cs="Arial"/>
          <w:sz w:val="22"/>
          <w:szCs w:val="22"/>
          <w:lang w:val="en-AU"/>
        </w:rPr>
        <w:t>As at 30 June 2023, the Hon</w:t>
      </w:r>
      <w:r w:rsidR="006873FE" w:rsidRPr="007C747A">
        <w:rPr>
          <w:rFonts w:eastAsiaTheme="minorEastAsia" w:cs="Arial"/>
          <w:sz w:val="22"/>
          <w:szCs w:val="22"/>
          <w:lang w:val="en-AU"/>
        </w:rPr>
        <w:t>.</w:t>
      </w:r>
      <w:r w:rsidRPr="007C747A">
        <w:rPr>
          <w:rFonts w:eastAsiaTheme="minorEastAsia" w:cs="Arial"/>
          <w:sz w:val="22"/>
          <w:szCs w:val="22"/>
          <w:lang w:val="en-AU"/>
        </w:rPr>
        <w:t xml:space="preserve"> Bill Shorten</w:t>
      </w:r>
      <w:r w:rsidR="00D34F99" w:rsidRPr="007C747A">
        <w:rPr>
          <w:rFonts w:eastAsiaTheme="minorEastAsia" w:cs="Arial"/>
          <w:sz w:val="22"/>
          <w:szCs w:val="22"/>
          <w:lang w:val="en-AU"/>
        </w:rPr>
        <w:t xml:space="preserve"> MP</w:t>
      </w:r>
      <w:r w:rsidRPr="007C747A">
        <w:rPr>
          <w:rFonts w:eastAsiaTheme="minorEastAsia" w:cs="Arial"/>
          <w:sz w:val="22"/>
          <w:szCs w:val="22"/>
          <w:lang w:val="en-AU"/>
        </w:rPr>
        <w:t xml:space="preserve"> was the Minister for the NDIS. The Minister for the NDIS is responsible for administering the NDIS Act and, with the agreement of states and territories, exercises statutory powers, including the power to make delegated legislation in the form of NDIS Rules and the power to direct the NDIA. </w:t>
      </w:r>
    </w:p>
    <w:p w14:paraId="5E610042" w14:textId="77777777" w:rsidR="006C7D3A" w:rsidRPr="007C747A" w:rsidRDefault="006C7D3A" w:rsidP="00843D4E">
      <w:pPr>
        <w:pStyle w:val="Style3-NoNumbering"/>
      </w:pPr>
      <w:bookmarkStart w:id="613" w:name="_Toc110532534"/>
      <w:bookmarkStart w:id="614" w:name="_Toc114477534"/>
      <w:bookmarkStart w:id="615" w:name="_Toc116414705"/>
      <w:bookmarkStart w:id="616" w:name="_Toc116473899"/>
      <w:r w:rsidRPr="007C747A">
        <w:t>Ministerial Council</w:t>
      </w:r>
      <w:bookmarkEnd w:id="612"/>
      <w:bookmarkEnd w:id="613"/>
      <w:bookmarkEnd w:id="614"/>
      <w:bookmarkEnd w:id="615"/>
      <w:bookmarkEnd w:id="616"/>
      <w:r w:rsidRPr="007C747A">
        <w:t xml:space="preserve"> </w:t>
      </w:r>
    </w:p>
    <w:p w14:paraId="4A53CAB4" w14:textId="77777777" w:rsidR="006C7D3A" w:rsidRPr="007C747A" w:rsidRDefault="006C7D3A" w:rsidP="006C7D3A">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Ministerial Council comprises the Commonwealth, state and territory ministers responsible for disability, who meet as the Disability Reform Ministers. It considers policy matters that relate to the NDIS and advises the Commonwealth Minister about such matters in accordance with its functions as set out in section 12 of the NDIS Act.</w:t>
      </w:r>
    </w:p>
    <w:p w14:paraId="0B94365B" w14:textId="1C96BE01" w:rsidR="006C7D3A" w:rsidRPr="007C747A" w:rsidRDefault="006C7D3A" w:rsidP="00F22CD6">
      <w:pPr>
        <w:pStyle w:val="FGCHEADING2"/>
      </w:pPr>
      <w:bookmarkStart w:id="617" w:name="_Toc142563009"/>
      <w:bookmarkStart w:id="618" w:name="_Toc146289459"/>
      <w:bookmarkStart w:id="619" w:name="_Toc148108421"/>
      <w:r w:rsidRPr="007C747A">
        <w:t>The Board</w:t>
      </w:r>
      <w:bookmarkEnd w:id="617"/>
      <w:bookmarkEnd w:id="618"/>
      <w:bookmarkEnd w:id="619"/>
    </w:p>
    <w:p w14:paraId="4FF6082A" w14:textId="77777777" w:rsidR="006C7D3A" w:rsidRPr="007C747A" w:rsidRDefault="006C7D3A" w:rsidP="00B65AD8">
      <w:pPr>
        <w:pStyle w:val="FGCNORMAL"/>
        <w:spacing w:before="0" w:after="0" w:line="240" w:lineRule="auto"/>
      </w:pPr>
      <w:r w:rsidRPr="007C747A">
        <w:t>In accordance with section 124 of the NDIA Act, the Board operates to:</w:t>
      </w:r>
    </w:p>
    <w:p w14:paraId="2CA41B8F" w14:textId="27F618B3" w:rsidR="006C7D3A" w:rsidRPr="007C747A" w:rsidRDefault="006C7D3A" w:rsidP="00FA7C9D">
      <w:pPr>
        <w:pStyle w:val="FGCBULLET1"/>
        <w:spacing w:before="0" w:after="0" w:line="276" w:lineRule="auto"/>
        <w:jc w:val="both"/>
      </w:pPr>
      <w:r w:rsidRPr="007C747A">
        <w:t xml:space="preserve">ensure the proper, efficient and effective performance of the NDIA’s </w:t>
      </w:r>
      <w:r w:rsidR="00EB061F" w:rsidRPr="007C747A">
        <w:t>functions.</w:t>
      </w:r>
    </w:p>
    <w:p w14:paraId="2EC210CC" w14:textId="77777777" w:rsidR="006C7D3A" w:rsidRPr="007C747A" w:rsidRDefault="006C7D3A" w:rsidP="00FA7C9D">
      <w:pPr>
        <w:pStyle w:val="FGCBULLET1"/>
        <w:spacing w:before="0" w:after="0" w:line="276" w:lineRule="auto"/>
        <w:jc w:val="both"/>
      </w:pPr>
      <w:r w:rsidRPr="007C747A">
        <w:t xml:space="preserve">determine objectives, strategies and policies to be implemented by the NDIA. </w:t>
      </w:r>
    </w:p>
    <w:p w14:paraId="660B1F66" w14:textId="4D284E44" w:rsidR="006C7D3A" w:rsidRPr="007C747A" w:rsidRDefault="006C7D3A" w:rsidP="00B65AD8">
      <w:pPr>
        <w:pStyle w:val="FGCNORMAL"/>
        <w:spacing w:before="0" w:after="0" w:line="240" w:lineRule="auto"/>
      </w:pPr>
      <w:r w:rsidRPr="007C747A">
        <w:t>Board members are appointed by the responsible Commonwealth Minister in consultation with the Disability Ministers of each state and territory. In 2022–23, Board appointments were made by the Hon. Bill Shorten</w:t>
      </w:r>
      <w:r w:rsidR="00D34F99" w:rsidRPr="007C747A">
        <w:t xml:space="preserve"> MP</w:t>
      </w:r>
      <w:r w:rsidRPr="007C747A">
        <w:t xml:space="preserve"> in his capacity as Minister for the NDIS.</w:t>
      </w:r>
    </w:p>
    <w:p w14:paraId="53C07C39" w14:textId="7139C926" w:rsidR="006C7D3A" w:rsidRPr="007C747A" w:rsidRDefault="006C7D3A" w:rsidP="00B65AD8">
      <w:pPr>
        <w:pStyle w:val="FGCNORMAL"/>
        <w:spacing w:before="0" w:after="0" w:line="240" w:lineRule="auto"/>
      </w:pPr>
      <w:r w:rsidRPr="007C747A">
        <w:t>The Board undertakes an annual review of its functions and committees as part of its commitment to best practice corporate governance. This includes:</w:t>
      </w:r>
    </w:p>
    <w:p w14:paraId="1A6A6D54" w14:textId="50E6B462" w:rsidR="006C7D3A" w:rsidRPr="007C747A" w:rsidRDefault="006C7D3A" w:rsidP="00B65AD8">
      <w:pPr>
        <w:pStyle w:val="FGCBULLET1"/>
        <w:spacing w:before="0" w:after="0" w:line="240" w:lineRule="auto"/>
      </w:pPr>
      <w:r w:rsidRPr="007C747A">
        <w:t xml:space="preserve">review of Board committee charters to ensure the focus and work effort of the committees uphold the Board’s responsibility as an accountability authority of the </w:t>
      </w:r>
      <w:r w:rsidR="0087294B" w:rsidRPr="007C747A">
        <w:t>NDIA</w:t>
      </w:r>
    </w:p>
    <w:p w14:paraId="7FF0E217" w14:textId="77777777" w:rsidR="006C7D3A" w:rsidRPr="007C747A" w:rsidRDefault="006C7D3A" w:rsidP="00B65AD8">
      <w:pPr>
        <w:pStyle w:val="FGCBULLET1"/>
        <w:spacing w:before="0" w:after="0" w:line="240" w:lineRule="auto"/>
      </w:pPr>
      <w:r w:rsidRPr="007C747A">
        <w:t xml:space="preserve">review of committee membership to ensure members have appropriate qualifications, knowledge, skills or experience to assist each committee to perform its functions.  </w:t>
      </w:r>
    </w:p>
    <w:p w14:paraId="71C0638C" w14:textId="082E3B73" w:rsidR="00EB3F0F" w:rsidRPr="007C747A" w:rsidRDefault="006C7D3A" w:rsidP="00B65AD8">
      <w:pPr>
        <w:pStyle w:val="FGCNORMAL"/>
        <w:spacing w:before="0" w:after="0" w:line="240" w:lineRule="auto"/>
      </w:pPr>
      <w:r w:rsidRPr="007C747A">
        <w:t>Board performance is also reviewed annually in accordance with the Board Audit Committee Charter</w:t>
      </w:r>
      <w:bookmarkStart w:id="620" w:name="_Toc142489659"/>
      <w:bookmarkStart w:id="621" w:name="_Ref107243189"/>
      <w:bookmarkStart w:id="622" w:name="_Toc110532536"/>
      <w:bookmarkStart w:id="623" w:name="_Toc111460408"/>
      <w:bookmarkStart w:id="624" w:name="_Toc114477536"/>
      <w:bookmarkEnd w:id="620"/>
      <w:r w:rsidR="0054631E" w:rsidRPr="007C747A">
        <w:t>.</w:t>
      </w:r>
      <w:r w:rsidR="00EB3F0F" w:rsidRPr="007C747A">
        <w:br w:type="page"/>
      </w:r>
    </w:p>
    <w:p w14:paraId="7CB7DB35" w14:textId="5508181B" w:rsidR="00EB3F0F" w:rsidRPr="007C747A" w:rsidRDefault="0050191F" w:rsidP="00843D4E">
      <w:pPr>
        <w:pStyle w:val="FGCHEADING3"/>
        <w:numPr>
          <w:ilvl w:val="2"/>
          <w:numId w:val="21"/>
        </w:numPr>
      </w:pPr>
      <w:bookmarkStart w:id="625" w:name="_Toc142039634"/>
      <w:bookmarkStart w:id="626" w:name="_Toc142047741"/>
      <w:bookmarkStart w:id="627" w:name="_Toc142573720"/>
      <w:bookmarkStart w:id="628" w:name="_Toc146289460"/>
      <w:bookmarkEnd w:id="621"/>
      <w:bookmarkEnd w:id="622"/>
      <w:bookmarkEnd w:id="623"/>
      <w:bookmarkEnd w:id="624"/>
      <w:r w:rsidRPr="007C747A">
        <w:t xml:space="preserve">Members </w:t>
      </w:r>
      <w:r w:rsidR="00EB3F0F" w:rsidRPr="007C747A">
        <w:t>as at 30 June 2023</w:t>
      </w:r>
      <w:bookmarkEnd w:id="625"/>
      <w:bookmarkEnd w:id="626"/>
      <w:bookmarkEnd w:id="627"/>
      <w:bookmarkEnd w:id="628"/>
    </w:p>
    <w:p w14:paraId="480E4F2D" w14:textId="77777777" w:rsidR="00EA06BA" w:rsidRPr="007C747A" w:rsidRDefault="00EB3F0F" w:rsidP="00EB3F0F">
      <w:pPr>
        <w:keepNext/>
        <w:spacing w:before="60" w:after="60"/>
        <w:ind w:left="652"/>
        <w:rPr>
          <w:rStyle w:val="FGCEMPHASIS"/>
          <w:lang w:val="en-AU"/>
        </w:rPr>
      </w:pPr>
      <w:r w:rsidRPr="007C747A">
        <w:rPr>
          <w:noProof/>
          <w:lang w:val="en-AU"/>
          <w14:ligatures w14:val="standardContextual"/>
        </w:rPr>
        <w:drawing>
          <wp:inline distT="0" distB="0" distL="0" distR="0" wp14:anchorId="616C1187" wp14:editId="0B4F6C11">
            <wp:extent cx="1256400" cy="1893600"/>
            <wp:effectExtent l="0" t="0" r="1270" b="0"/>
            <wp:docPr id="934161242" name="Picture 934161242" descr="A photograph of Mr Kurt Fearnley AO, Chair of the Bo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161242" name="Picture 934161242" descr="A photograph of Mr Kurt Fearnley AO, Chair of the Board.">
                      <a:extLst>
                        <a:ext uri="{C183D7F6-B498-43B3-948B-1728B52AA6E4}">
                          <adec:decorative xmlns:adec="http://schemas.microsoft.com/office/drawing/2017/decorative" val="0"/>
                        </a:ext>
                      </a:extLst>
                    </pic:cNvPr>
                    <pic:cNvPicPr/>
                  </pic:nvPicPr>
                  <pic:blipFill>
                    <a:blip r:embed="rId47">
                      <a:extLst>
                        <a:ext uri="{28A0092B-C50C-407E-A947-70E740481C1C}">
                          <a14:useLocalDpi xmlns:a14="http://schemas.microsoft.com/office/drawing/2010/main" val="0"/>
                        </a:ext>
                      </a:extLst>
                    </a:blip>
                    <a:stretch>
                      <a:fillRect/>
                    </a:stretch>
                  </pic:blipFill>
                  <pic:spPr>
                    <a:xfrm>
                      <a:off x="0" y="0"/>
                      <a:ext cx="1256400" cy="1893600"/>
                    </a:xfrm>
                    <a:prstGeom prst="rect">
                      <a:avLst/>
                    </a:prstGeom>
                  </pic:spPr>
                </pic:pic>
              </a:graphicData>
            </a:graphic>
          </wp:inline>
        </w:drawing>
      </w:r>
    </w:p>
    <w:p w14:paraId="34616914" w14:textId="55EB89B2"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 xml:space="preserve">Mr Kurt Fearnley AO, Chair </w:t>
      </w:r>
    </w:p>
    <w:p w14:paraId="66E34EC5" w14:textId="77777777" w:rsidR="005D7C18" w:rsidRPr="007C747A" w:rsidRDefault="005D7C18" w:rsidP="005D7C18">
      <w:pPr>
        <w:pStyle w:val="FGCNORMAL"/>
        <w:spacing w:line="240" w:lineRule="auto"/>
      </w:pPr>
      <w:r w:rsidRPr="007C747A">
        <w:t>Mr Kurt Fearnley AO is an experienced government and non-government director and 5-time Australian Paralympian.</w:t>
      </w:r>
    </w:p>
    <w:p w14:paraId="3951BE8C" w14:textId="77777777" w:rsidR="005D7C18" w:rsidRPr="007C747A" w:rsidRDefault="005D7C18" w:rsidP="005D7C18">
      <w:pPr>
        <w:pStyle w:val="FGCNORMAL"/>
        <w:spacing w:line="240" w:lineRule="auto"/>
      </w:pPr>
      <w:r w:rsidRPr="007C747A">
        <w:t>He is a current Board Commissioner of the Australian Sports Commission and Board Director of the Brisbane 2032 Olympic and Paralympic Organising Committee. </w:t>
      </w:r>
    </w:p>
    <w:p w14:paraId="1007D8AE" w14:textId="77777777" w:rsidR="005D7C18" w:rsidRPr="007C747A" w:rsidRDefault="005D7C18" w:rsidP="005D7C18">
      <w:pPr>
        <w:pStyle w:val="FGCNORMAL"/>
        <w:spacing w:line="240" w:lineRule="auto"/>
      </w:pPr>
      <w:r w:rsidRPr="007C747A">
        <w:t>Mr Fearnley is a former member of the boards of several organisations including Paralympics Australia, Life Without Barriers, Australian Volunteers International and the Newcastle Permanent Charitable Foundation.</w:t>
      </w:r>
    </w:p>
    <w:p w14:paraId="18103A32" w14:textId="77777777" w:rsidR="005D7C18" w:rsidRPr="007C747A" w:rsidRDefault="005D7C18" w:rsidP="005D7C18">
      <w:pPr>
        <w:pStyle w:val="FGCNORMAL"/>
        <w:spacing w:line="240" w:lineRule="auto"/>
      </w:pPr>
      <w:r w:rsidRPr="007C747A">
        <w:t>He was a member of the inaugural NDIS Independent Advisory Council, was Vice Chairperson of the International Paralympic Committee Athletes’ Council, carried out a number of roles for the Gold Coast 2018 Commonwealth Games Organising Committee, and was Co-Captain of the Australian Paralympic Team at the Rio 2016 Paralympics.</w:t>
      </w:r>
    </w:p>
    <w:p w14:paraId="41953F5E" w14:textId="77777777" w:rsidR="005D7C18" w:rsidRPr="007C747A" w:rsidRDefault="005D7C18" w:rsidP="005D7C18">
      <w:pPr>
        <w:pStyle w:val="FGCNORMAL"/>
        <w:spacing w:line="240" w:lineRule="auto"/>
      </w:pPr>
      <w:r w:rsidRPr="007C747A">
        <w:t>Mr Fearnley was awarded an Officer of the Order of Australia (AO) in the General Division in 2018 for his distinguished service to people with disability; as a supporter of, and fundraiser for, Indigenous athletics and charitable organisations; and as a Paralympic athlete.</w:t>
      </w:r>
    </w:p>
    <w:p w14:paraId="15ACE3A0" w14:textId="77777777" w:rsidR="005D7C18" w:rsidRPr="007C747A" w:rsidRDefault="005D7C18" w:rsidP="005D7C18">
      <w:pPr>
        <w:pStyle w:val="FGCNORMAL"/>
        <w:spacing w:line="240" w:lineRule="auto"/>
      </w:pPr>
      <w:r w:rsidRPr="007C747A">
        <w:t>He was the 2019 NSW Australian of the Year and was awarded an Honorary Doctorate from Griffith University for his contribution to sport and disability advocacy.</w:t>
      </w:r>
    </w:p>
    <w:p w14:paraId="24A528E0" w14:textId="77777777" w:rsidR="005D7C18" w:rsidRPr="007C747A" w:rsidRDefault="005D7C18" w:rsidP="005D7C18">
      <w:pPr>
        <w:pStyle w:val="FGCNORMAL"/>
        <w:spacing w:line="240" w:lineRule="auto"/>
      </w:pPr>
      <w:r w:rsidRPr="007C747A">
        <w:t>Mr Fearnley is a high-school teacher, television presenter, podcaster and broadcaster, and former professional wheelchair athlete.</w:t>
      </w:r>
    </w:p>
    <w:p w14:paraId="6F1DD23E" w14:textId="77777777" w:rsidR="005D7C18" w:rsidRPr="007C747A" w:rsidRDefault="005D7C18" w:rsidP="005D7C18">
      <w:pPr>
        <w:pStyle w:val="FGCNORMAL"/>
        <w:spacing w:line="240" w:lineRule="auto"/>
      </w:pPr>
      <w:r w:rsidRPr="007C747A">
        <w:t xml:space="preserve">Mr Fearnley commenced as Chair of the Board on 18 October 2022. </w:t>
      </w:r>
    </w:p>
    <w:p w14:paraId="66178F8E" w14:textId="77777777" w:rsidR="005D7C18" w:rsidRPr="007C747A" w:rsidRDefault="005D7C18" w:rsidP="005D7C18">
      <w:pPr>
        <w:pStyle w:val="FGCNORMAL"/>
        <w:spacing w:line="240" w:lineRule="auto"/>
      </w:pPr>
      <w:r w:rsidRPr="007C747A">
        <w:rPr>
          <w:b/>
          <w:bCs/>
        </w:rPr>
        <w:t>Qualifications:</w:t>
      </w:r>
      <w:r w:rsidRPr="007C747A">
        <w:t xml:space="preserve"> Bachelor of Education and Bachelor of Human Movement, Charles Sturt University.</w:t>
      </w:r>
    </w:p>
    <w:p w14:paraId="30EB1E51" w14:textId="77777777" w:rsidR="005D7C18" w:rsidRPr="007C747A" w:rsidRDefault="005D7C18" w:rsidP="005D7C18">
      <w:pPr>
        <w:pStyle w:val="FGCNORMAL"/>
        <w:spacing w:line="240" w:lineRule="auto"/>
      </w:pPr>
      <w:r w:rsidRPr="007C747A">
        <w:rPr>
          <w:b/>
          <w:bCs/>
        </w:rPr>
        <w:t>Chair:</w:t>
      </w:r>
      <w:r w:rsidRPr="007C747A">
        <w:t xml:space="preserve"> People and Remuneration Committee.</w:t>
      </w:r>
    </w:p>
    <w:p w14:paraId="1E98016E" w14:textId="018BFEAA" w:rsidR="00EB3F0F" w:rsidRPr="007C747A" w:rsidRDefault="005D7C18" w:rsidP="005D7C18">
      <w:pPr>
        <w:pStyle w:val="FGCNORMAL"/>
        <w:spacing w:line="240" w:lineRule="auto"/>
      </w:pPr>
      <w:r w:rsidRPr="007C747A">
        <w:rPr>
          <w:b/>
          <w:bCs/>
        </w:rPr>
        <w:t>Member:</w:t>
      </w:r>
      <w:r w:rsidRPr="007C747A">
        <w:t xml:space="preserve"> Sustainability Committee, ICT and Digital Committee, Risk Committee</w:t>
      </w:r>
      <w:r w:rsidR="00EB3F0F" w:rsidRPr="007C747A">
        <w:t>.</w:t>
      </w:r>
    </w:p>
    <w:p w14:paraId="594C0F15" w14:textId="77777777" w:rsidR="00EA06BA" w:rsidRPr="007C747A" w:rsidRDefault="00EB3F0F" w:rsidP="00EB3F0F">
      <w:pPr>
        <w:keepNext/>
        <w:spacing w:before="60" w:after="60"/>
        <w:ind w:left="652"/>
        <w:rPr>
          <w:rStyle w:val="FGCEMPHASIS"/>
          <w:lang w:val="en-AU"/>
        </w:rPr>
      </w:pPr>
      <w:r w:rsidRPr="007C747A">
        <w:rPr>
          <w:noProof/>
          <w:lang w:val="en-AU"/>
          <w14:ligatures w14:val="standardContextual"/>
        </w:rPr>
        <w:drawing>
          <wp:inline distT="0" distB="0" distL="0" distR="0" wp14:anchorId="549CCC41" wp14:editId="10D73418">
            <wp:extent cx="1414800" cy="1886400"/>
            <wp:effectExtent l="0" t="0" r="0" b="0"/>
            <wp:docPr id="1459425494" name="Picture 1459425494" descr="Photograph of Ms Meredith Alla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25494" name="Picture 1459425494" descr="Photograph of Ms Meredith Allan.">
                      <a:extLst>
                        <a:ext uri="{C183D7F6-B498-43B3-948B-1728B52AA6E4}">
                          <adec:decorative xmlns:adec="http://schemas.microsoft.com/office/drawing/2017/decorative" val="0"/>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1414800" cy="1886400"/>
                    </a:xfrm>
                    <a:prstGeom prst="rect">
                      <a:avLst/>
                    </a:prstGeom>
                  </pic:spPr>
                </pic:pic>
              </a:graphicData>
            </a:graphic>
          </wp:inline>
        </w:drawing>
      </w:r>
    </w:p>
    <w:p w14:paraId="487BAD08" w14:textId="1697D17B"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Ms Meredith Allan</w:t>
      </w:r>
    </w:p>
    <w:p w14:paraId="1804D71B" w14:textId="77777777" w:rsidR="005D7C18" w:rsidRPr="007C747A" w:rsidRDefault="005D7C18" w:rsidP="005D7C18">
      <w:pPr>
        <w:pStyle w:val="FGCNORMAL"/>
        <w:spacing w:line="240" w:lineRule="auto"/>
      </w:pPr>
      <w:r w:rsidRPr="007C747A">
        <w:t>Ms Meredith Allan is a former president of the International Society of Alternative and Augmentative Communication (ISAAC), an organisation working to improve the lives of children and adults with complex communication needs. She was the first president to speak via alternative and augmentative communication (AAC).</w:t>
      </w:r>
    </w:p>
    <w:p w14:paraId="0CBCDB30" w14:textId="77777777" w:rsidR="005D7C18" w:rsidRPr="007C747A" w:rsidRDefault="005D7C18" w:rsidP="005D7C18">
      <w:pPr>
        <w:pStyle w:val="FGCNORMAL"/>
        <w:spacing w:line="240" w:lineRule="auto"/>
      </w:pPr>
      <w:r w:rsidRPr="007C747A">
        <w:t>Ms Allan recently retired from her 30-year career in the public service but continues working as a communication assessor for Scope and lecturer for Deakin University, La Trobe University, University of Newcastle and University of Technology Sydney.</w:t>
      </w:r>
    </w:p>
    <w:p w14:paraId="443172A4" w14:textId="77777777" w:rsidR="005D7C18" w:rsidRPr="007C747A" w:rsidRDefault="005D7C18" w:rsidP="005D7C18">
      <w:pPr>
        <w:pStyle w:val="FGCNORMAL"/>
        <w:spacing w:line="240" w:lineRule="auto"/>
      </w:pPr>
      <w:r w:rsidRPr="007C747A">
        <w:rPr>
          <w:b/>
          <w:bCs/>
        </w:rPr>
        <w:t>Qualifications:</w:t>
      </w:r>
      <w:r w:rsidRPr="007C747A">
        <w:t xml:space="preserve"> Bachelor of Economics and Bachelor of Arts, Monash University.</w:t>
      </w:r>
    </w:p>
    <w:p w14:paraId="0C00FBA7" w14:textId="3807CBE1" w:rsidR="00EB3F0F" w:rsidRPr="007C747A" w:rsidRDefault="005D7C18" w:rsidP="005D7C18">
      <w:pPr>
        <w:pStyle w:val="FGCNORMAL"/>
        <w:spacing w:line="240" w:lineRule="auto"/>
      </w:pPr>
      <w:r w:rsidRPr="007C747A">
        <w:rPr>
          <w:b/>
          <w:bCs/>
        </w:rPr>
        <w:t>Member:</w:t>
      </w:r>
      <w:r w:rsidRPr="007C747A">
        <w:t xml:space="preserve"> Risk Committee, Audit Committee</w:t>
      </w:r>
      <w:r w:rsidR="00EB3F0F" w:rsidRPr="007C747A">
        <w:t>.</w:t>
      </w:r>
    </w:p>
    <w:p w14:paraId="08BB5AD2" w14:textId="77777777" w:rsidR="00EA06BA" w:rsidRPr="007C747A" w:rsidRDefault="00EB3F0F" w:rsidP="00EB3F0F">
      <w:pPr>
        <w:keepNext/>
        <w:spacing w:before="60" w:after="60"/>
        <w:ind w:left="652"/>
        <w:rPr>
          <w:rStyle w:val="FGCEMPHASIS"/>
          <w:lang w:val="en-AU"/>
        </w:rPr>
      </w:pPr>
      <w:r w:rsidRPr="007C747A">
        <w:rPr>
          <w:noProof/>
          <w:lang w:val="en-AU"/>
          <w14:ligatures w14:val="standardContextual"/>
        </w:rPr>
        <w:drawing>
          <wp:inline distT="0" distB="0" distL="0" distR="0" wp14:anchorId="35AB55D4" wp14:editId="5AE4648A">
            <wp:extent cx="1440000" cy="1458000"/>
            <wp:effectExtent l="0" t="0" r="8255" b="8890"/>
            <wp:docPr id="1739070928" name="Picture 1739070928" descr="Photograph of Ms Sandra Birkensleig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70928" name="Picture 1739070928" descr="Photograph of Ms Sandra Birkensleigh.">
                      <a:extLst>
                        <a:ext uri="{C183D7F6-B498-43B3-948B-1728B52AA6E4}">
                          <adec:decorative xmlns:adec="http://schemas.microsoft.com/office/drawing/2017/decorative" val="0"/>
                        </a:ext>
                      </a:extLst>
                    </pic:cNvPr>
                    <pic:cNvPicPr/>
                  </pic:nvPicPr>
                  <pic:blipFill>
                    <a:blip r:embed="rId49">
                      <a:extLst>
                        <a:ext uri="{28A0092B-C50C-407E-A947-70E740481C1C}">
                          <a14:useLocalDpi xmlns:a14="http://schemas.microsoft.com/office/drawing/2010/main" val="0"/>
                        </a:ext>
                      </a:extLst>
                    </a:blip>
                    <a:stretch>
                      <a:fillRect/>
                    </a:stretch>
                  </pic:blipFill>
                  <pic:spPr>
                    <a:xfrm>
                      <a:off x="0" y="0"/>
                      <a:ext cx="1440000" cy="1458000"/>
                    </a:xfrm>
                    <a:prstGeom prst="rect">
                      <a:avLst/>
                    </a:prstGeom>
                  </pic:spPr>
                </pic:pic>
              </a:graphicData>
            </a:graphic>
          </wp:inline>
        </w:drawing>
      </w:r>
    </w:p>
    <w:p w14:paraId="1CC2E8FF" w14:textId="79107DE9"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Ms</w:t>
      </w:r>
      <w:r w:rsidR="00407D59" w:rsidRPr="007C747A">
        <w:rPr>
          <w:rStyle w:val="FGCEMPHASIS"/>
          <w:b/>
          <w:bCs w:val="0"/>
          <w:color w:val="6A2875"/>
          <w:sz w:val="26"/>
          <w:lang w:val="en-AU"/>
        </w:rPr>
        <w:t xml:space="preserve"> </w:t>
      </w:r>
      <w:r w:rsidRPr="007C747A">
        <w:rPr>
          <w:rStyle w:val="FGCEMPHASIS"/>
          <w:b/>
          <w:bCs w:val="0"/>
          <w:color w:val="6A2875"/>
          <w:sz w:val="26"/>
          <w:lang w:val="en-AU"/>
        </w:rPr>
        <w:t xml:space="preserve">Sandra Birkensleigh </w:t>
      </w:r>
    </w:p>
    <w:p w14:paraId="3A434E94" w14:textId="77777777" w:rsidR="005D7C18" w:rsidRPr="007C747A" w:rsidRDefault="005D7C18" w:rsidP="005D7C18">
      <w:pPr>
        <w:pStyle w:val="FGCNORMAL"/>
        <w:spacing w:line="240" w:lineRule="auto"/>
      </w:pPr>
      <w:r w:rsidRPr="007C747A">
        <w:t xml:space="preserve">Ms Sandra Birkensleigh is an experienced non-executive director, bringing extensive experience in the financial services and insurance industries to the NDIA. Ms Birkensleigh is the Chair of Auswide Bank Limited and currently holds board positions with MLC Limited, Horizon Oil Limited, 7-11 Holdings Limited (and its subsidiaries), Tasmanian Public Finance Corporation, Sunshine Coast Children’s Therapy Centre, Collection House Limited and Adore Beauty Group Limited. She is a member of the Council for the University of the Sunshine Coast, an independent member of the Audit Committee of the Reserve Bank of Australia, and Chair of the Audit and Risk Committee for the Public Trustee of Queensland. </w:t>
      </w:r>
    </w:p>
    <w:p w14:paraId="432A4720" w14:textId="5B171CC1" w:rsidR="005D7C18" w:rsidRPr="007C747A" w:rsidRDefault="005D7C18" w:rsidP="005D7C18">
      <w:pPr>
        <w:pStyle w:val="FGCNORMAL"/>
        <w:spacing w:line="240" w:lineRule="auto"/>
      </w:pPr>
      <w:r w:rsidRPr="007C747A">
        <w:t>M</w:t>
      </w:r>
      <w:r w:rsidR="004D3B20" w:rsidRPr="007C747A">
        <w:t>s</w:t>
      </w:r>
      <w:r w:rsidRPr="007C747A">
        <w:t xml:space="preserve"> Birkensleigh was formerly a partner with PricewaterhouseCoopers including its governance, risk and compliance practice. </w:t>
      </w:r>
    </w:p>
    <w:p w14:paraId="47F77BC7" w14:textId="77777777" w:rsidR="005D7C18" w:rsidRPr="007C747A" w:rsidRDefault="005D7C18" w:rsidP="005D7C18">
      <w:pPr>
        <w:pStyle w:val="FGCNORMAL"/>
        <w:spacing w:line="240" w:lineRule="auto"/>
      </w:pPr>
      <w:r w:rsidRPr="007C747A">
        <w:rPr>
          <w:b/>
          <w:bCs/>
        </w:rPr>
        <w:t>Qualifications:</w:t>
      </w:r>
      <w:r w:rsidRPr="007C747A">
        <w:t xml:space="preserve"> Bachelor of Commerce, University of New South Wales; Chartered Accountant. </w:t>
      </w:r>
    </w:p>
    <w:p w14:paraId="7C54635F" w14:textId="77777777" w:rsidR="005D7C18" w:rsidRPr="007C747A" w:rsidRDefault="005D7C18" w:rsidP="005D7C18">
      <w:pPr>
        <w:pStyle w:val="FGCNORMAL"/>
        <w:spacing w:line="240" w:lineRule="auto"/>
      </w:pPr>
      <w:r w:rsidRPr="007C747A">
        <w:rPr>
          <w:b/>
          <w:bCs/>
        </w:rPr>
        <w:t>Chair:</w:t>
      </w:r>
      <w:r w:rsidRPr="007C747A">
        <w:t xml:space="preserve"> Audit Committee. </w:t>
      </w:r>
    </w:p>
    <w:p w14:paraId="5AA4DC56" w14:textId="4C752ACC" w:rsidR="00EB3F0F" w:rsidRPr="007C747A" w:rsidRDefault="005D7C18" w:rsidP="005D7C18">
      <w:pPr>
        <w:pStyle w:val="FGCNORMAL"/>
        <w:spacing w:line="240" w:lineRule="auto"/>
      </w:pPr>
      <w:r w:rsidRPr="007C747A">
        <w:rPr>
          <w:b/>
          <w:bCs/>
        </w:rPr>
        <w:t>Member:</w:t>
      </w:r>
      <w:r w:rsidRPr="007C747A">
        <w:t xml:space="preserve"> Risk Committee and People and Remuneration Committee</w:t>
      </w:r>
      <w:r w:rsidR="00EB3F0F" w:rsidRPr="007C747A">
        <w:t>.</w:t>
      </w:r>
    </w:p>
    <w:p w14:paraId="01A5ACC2" w14:textId="77777777" w:rsidR="00EB3F0F" w:rsidRPr="007C747A" w:rsidRDefault="00EB3F0F" w:rsidP="004F1C62">
      <w:pPr>
        <w:pStyle w:val="FGCNORMAL"/>
        <w:spacing w:line="240" w:lineRule="auto"/>
      </w:pPr>
    </w:p>
    <w:p w14:paraId="3AEB89C1" w14:textId="77777777" w:rsidR="00EA06BA" w:rsidRPr="007C747A" w:rsidRDefault="00EB3F0F" w:rsidP="00EB3F0F">
      <w:pPr>
        <w:keepNext/>
        <w:spacing w:before="60" w:after="60"/>
        <w:ind w:left="652"/>
        <w:rPr>
          <w:rStyle w:val="FGCEMPHASIS"/>
          <w:lang w:val="en-AU"/>
        </w:rPr>
      </w:pPr>
      <w:r w:rsidRPr="007C747A">
        <w:rPr>
          <w:noProof/>
          <w:lang w:val="en-AU"/>
          <w14:ligatures w14:val="standardContextual"/>
        </w:rPr>
        <w:drawing>
          <wp:inline distT="0" distB="0" distL="0" distR="0" wp14:anchorId="21E4F6DC" wp14:editId="6110955C">
            <wp:extent cx="1260000" cy="1900800"/>
            <wp:effectExtent l="0" t="0" r="0" b="4445"/>
            <wp:docPr id="21650407" name="Picture 21650407" descr="Photograph of Ms Maryanne Diamond A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0407" name="Picture 21650407" descr="Photograph of Ms Maryanne Diamond AO.">
                      <a:extLst>
                        <a:ext uri="{C183D7F6-B498-43B3-948B-1728B52AA6E4}">
                          <adec:decorative xmlns:adec="http://schemas.microsoft.com/office/drawing/2017/decorative" val="0"/>
                        </a:ext>
                      </a:extLst>
                    </pic:cNvPr>
                    <pic:cNvPicPr/>
                  </pic:nvPicPr>
                  <pic:blipFill>
                    <a:blip r:embed="rId50">
                      <a:extLst>
                        <a:ext uri="{28A0092B-C50C-407E-A947-70E740481C1C}">
                          <a14:useLocalDpi xmlns:a14="http://schemas.microsoft.com/office/drawing/2010/main" val="0"/>
                        </a:ext>
                      </a:extLst>
                    </a:blip>
                    <a:stretch>
                      <a:fillRect/>
                    </a:stretch>
                  </pic:blipFill>
                  <pic:spPr>
                    <a:xfrm>
                      <a:off x="0" y="0"/>
                      <a:ext cx="1260000" cy="1900800"/>
                    </a:xfrm>
                    <a:prstGeom prst="rect">
                      <a:avLst/>
                    </a:prstGeom>
                  </pic:spPr>
                </pic:pic>
              </a:graphicData>
            </a:graphic>
          </wp:inline>
        </w:drawing>
      </w:r>
    </w:p>
    <w:p w14:paraId="4BE135F7" w14:textId="4AFF3044"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Ms</w:t>
      </w:r>
      <w:r w:rsidR="00407D59" w:rsidRPr="007C747A">
        <w:rPr>
          <w:rStyle w:val="FGCEMPHASIS"/>
          <w:b/>
          <w:bCs w:val="0"/>
          <w:color w:val="6A2875"/>
          <w:sz w:val="26"/>
          <w:lang w:val="en-AU"/>
        </w:rPr>
        <w:t xml:space="preserve"> </w:t>
      </w:r>
      <w:r w:rsidRPr="007C747A">
        <w:rPr>
          <w:rStyle w:val="FGCEMPHASIS"/>
          <w:b/>
          <w:bCs w:val="0"/>
          <w:color w:val="6A2875"/>
          <w:sz w:val="26"/>
          <w:lang w:val="en-AU"/>
        </w:rPr>
        <w:t xml:space="preserve">Maryanne Diamond AO </w:t>
      </w:r>
    </w:p>
    <w:p w14:paraId="61CC44C2" w14:textId="77777777" w:rsidR="005D7C18" w:rsidRPr="007C747A" w:rsidRDefault="005D7C18" w:rsidP="005D7C18">
      <w:pPr>
        <w:pStyle w:val="FGCNORMAL"/>
        <w:spacing w:line="240" w:lineRule="auto"/>
      </w:pPr>
      <w:r w:rsidRPr="007C747A">
        <w:t>Ms Maryanne Diamond AO has lived with disability all her life. She is an NDIS participant and was employed as a senior executive at the NDIA for 5 years.</w:t>
      </w:r>
    </w:p>
    <w:p w14:paraId="74769F30" w14:textId="77777777" w:rsidR="005D7C18" w:rsidRPr="007C747A" w:rsidRDefault="005D7C18" w:rsidP="005D7C18">
      <w:pPr>
        <w:pStyle w:val="FGCNORMAL"/>
        <w:spacing w:line="240" w:lineRule="auto"/>
      </w:pPr>
      <w:r w:rsidRPr="007C747A">
        <w:t>Ms Diamond has been employed in the information technology industry, the disability sector, and government. She has extensive experience leading organisations in Australia, including being Executive Officer of Blind Citizens Australia, and inaugural CEO of the Australian Federation of Disability Organisations (AFDO). At the international level, Ms Diamond was President of the World Blind Union from 2008 to 2012, and Chair of the International Disability Alliance from 2014 to 2016.</w:t>
      </w:r>
    </w:p>
    <w:p w14:paraId="05C5F70B" w14:textId="77777777" w:rsidR="005D7C18" w:rsidRPr="007C747A" w:rsidRDefault="005D7C18" w:rsidP="005D7C18">
      <w:pPr>
        <w:pStyle w:val="FGCNORMAL"/>
        <w:spacing w:line="240" w:lineRule="auto"/>
      </w:pPr>
      <w:r w:rsidRPr="007C747A">
        <w:t>In 2014, Ms Diamond was appointed an Officer of the Order of Australia (AO) for her distinguished service to people who are blind or have low vision, and her international leadership roles and advocacy for best practice employment opportunities. </w:t>
      </w:r>
    </w:p>
    <w:p w14:paraId="16A30530" w14:textId="65A02DEA" w:rsidR="005D7C18" w:rsidRPr="007C747A" w:rsidRDefault="005D7C18" w:rsidP="005D7C18">
      <w:pPr>
        <w:pStyle w:val="FGCNORMAL"/>
        <w:spacing w:line="240" w:lineRule="auto"/>
      </w:pPr>
      <w:r w:rsidRPr="007C747A">
        <w:rPr>
          <w:b/>
          <w:bCs/>
        </w:rPr>
        <w:t>Qualifications:</w:t>
      </w:r>
      <w:r w:rsidRPr="007C747A">
        <w:t xml:space="preserve"> Bachelor of Science, Monash University; Graduate Diploma Information Technology, Caulfield Institute of Technology; </w:t>
      </w:r>
      <w:r w:rsidR="00A6763B" w:rsidRPr="007C747A">
        <w:rPr>
          <w:color w:val="222222"/>
        </w:rPr>
        <w:t>Graduate of the Australian Institute of Company Directors</w:t>
      </w:r>
      <w:r w:rsidR="00A6763B" w:rsidRPr="007C747A">
        <w:t xml:space="preserve"> (</w:t>
      </w:r>
      <w:r w:rsidRPr="007C747A">
        <w:t>GAICD</w:t>
      </w:r>
      <w:r w:rsidR="00A6763B" w:rsidRPr="007C747A">
        <w:t>)</w:t>
      </w:r>
      <w:r w:rsidRPr="007C747A">
        <w:t>.</w:t>
      </w:r>
    </w:p>
    <w:p w14:paraId="09DF51E4" w14:textId="070AD204" w:rsidR="00EB3F0F" w:rsidRPr="007C747A" w:rsidRDefault="005D7C18" w:rsidP="005D7C18">
      <w:pPr>
        <w:pStyle w:val="FGCNORMAL"/>
        <w:spacing w:line="240" w:lineRule="auto"/>
      </w:pPr>
      <w:r w:rsidRPr="007C747A">
        <w:rPr>
          <w:b/>
          <w:bCs/>
        </w:rPr>
        <w:t>Member:</w:t>
      </w:r>
      <w:r w:rsidRPr="007C747A">
        <w:t xml:space="preserve"> Risk Committee, ICT and Digital Committee</w:t>
      </w:r>
      <w:r w:rsidR="00EB3F0F" w:rsidRPr="007C747A">
        <w:t>.</w:t>
      </w:r>
    </w:p>
    <w:p w14:paraId="575557D1" w14:textId="77777777" w:rsidR="00EB3F0F" w:rsidRPr="007C747A" w:rsidRDefault="00EB3F0F" w:rsidP="00EB3F0F">
      <w:pPr>
        <w:pStyle w:val="NormalWeb"/>
        <w:shd w:val="clear" w:color="auto" w:fill="FFFFFF"/>
        <w:spacing w:before="0" w:beforeAutospacing="0"/>
        <w:rPr>
          <w:rFonts w:ascii="Arial" w:eastAsiaTheme="minorEastAsia" w:hAnsi="Arial" w:cs="Arial"/>
          <w:sz w:val="22"/>
          <w:lang w:eastAsia="ja-JP"/>
        </w:rPr>
      </w:pPr>
      <w:r w:rsidRPr="007C747A">
        <w:rPr>
          <w:noProof/>
          <w14:ligatures w14:val="standardContextual"/>
        </w:rPr>
        <w:drawing>
          <wp:inline distT="0" distB="0" distL="0" distR="0" wp14:anchorId="74A606A2" wp14:editId="7715FD33">
            <wp:extent cx="1389600" cy="1828800"/>
            <wp:effectExtent l="0" t="0" r="1270" b="0"/>
            <wp:docPr id="1595145766" name="Picture 1595145766" descr="Photograph of Dr Richard Fej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5145766" name="Picture 1595145766" descr="Photograph of Dr Richard Fejo."/>
                    <pic:cNvPicPr/>
                  </pic:nvPicPr>
                  <pic:blipFill>
                    <a:blip r:embed="rId51"/>
                    <a:stretch>
                      <a:fillRect/>
                    </a:stretch>
                  </pic:blipFill>
                  <pic:spPr>
                    <a:xfrm>
                      <a:off x="0" y="0"/>
                      <a:ext cx="1389600" cy="1828800"/>
                    </a:xfrm>
                    <a:prstGeom prst="rect">
                      <a:avLst/>
                    </a:prstGeom>
                  </pic:spPr>
                </pic:pic>
              </a:graphicData>
            </a:graphic>
          </wp:inline>
        </w:drawing>
      </w:r>
    </w:p>
    <w:p w14:paraId="0016CB6A" w14:textId="19849B75" w:rsidR="00EB3F0F" w:rsidRPr="007C747A" w:rsidRDefault="00EB3F0F" w:rsidP="00FA7C9D">
      <w:pPr>
        <w:pStyle w:val="FGCHEADING4"/>
        <w:rPr>
          <w:lang w:val="en-AU"/>
        </w:rPr>
      </w:pPr>
      <w:r w:rsidRPr="007C747A">
        <w:rPr>
          <w:lang w:val="en-AU"/>
        </w:rPr>
        <w:t>Dr</w:t>
      </w:r>
      <w:r w:rsidR="00407D59" w:rsidRPr="007C747A">
        <w:rPr>
          <w:lang w:val="en-AU"/>
        </w:rPr>
        <w:t xml:space="preserve"> </w:t>
      </w:r>
      <w:r w:rsidRPr="007C747A">
        <w:rPr>
          <w:lang w:val="en-AU"/>
        </w:rPr>
        <w:t xml:space="preserve">Richard Fejo </w:t>
      </w:r>
    </w:p>
    <w:p w14:paraId="483E033C" w14:textId="77777777" w:rsidR="005D7C18" w:rsidRPr="007C747A" w:rsidRDefault="005D7C18" w:rsidP="005D7C18">
      <w:pPr>
        <w:pStyle w:val="FGCNORMAL"/>
        <w:spacing w:line="240" w:lineRule="auto"/>
      </w:pPr>
      <w:r w:rsidRPr="007C747A">
        <w:t>Dr Richard Fejo, better known as Richie, is a Larrakia man of direct male descent, through his father, grandfather and great-grandfather.</w:t>
      </w:r>
    </w:p>
    <w:p w14:paraId="0E0EDD68" w14:textId="77777777" w:rsidR="005D7C18" w:rsidRPr="007C747A" w:rsidRDefault="005D7C18" w:rsidP="005D7C18">
      <w:pPr>
        <w:pStyle w:val="FGCNORMAL"/>
        <w:spacing w:line="240" w:lineRule="auto"/>
      </w:pPr>
      <w:r w:rsidRPr="007C747A">
        <w:t>Dr Fejo has devoted his life to improving education and health outcomes for Aboriginal and Torres Strait Islander people within urban, rural and remote communities.</w:t>
      </w:r>
    </w:p>
    <w:p w14:paraId="6B5092A1" w14:textId="30F43D46" w:rsidR="005D7C18" w:rsidRPr="007C747A" w:rsidRDefault="005D7C18" w:rsidP="005D7C18">
      <w:pPr>
        <w:pStyle w:val="FGCNORMAL"/>
        <w:spacing w:line="240" w:lineRule="auto"/>
      </w:pPr>
      <w:r w:rsidRPr="007C747A">
        <w:t xml:space="preserve">Dr Fejo previously sat on the City of Darwin’s International Relations Committee and has recently become a committee member of the Northern Territory branch of the Australian Institute of </w:t>
      </w:r>
      <w:r w:rsidR="00805857" w:rsidRPr="007C747A">
        <w:t>C</w:t>
      </w:r>
      <w:r w:rsidRPr="007C747A">
        <w:t xml:space="preserve">ompany </w:t>
      </w:r>
      <w:r w:rsidR="00805857" w:rsidRPr="007C747A">
        <w:t>D</w:t>
      </w:r>
      <w:r w:rsidRPr="007C747A">
        <w:t xml:space="preserve">irectors. </w:t>
      </w:r>
    </w:p>
    <w:p w14:paraId="0D161F01" w14:textId="77777777" w:rsidR="005D7C18" w:rsidRPr="007C747A" w:rsidRDefault="005D7C18" w:rsidP="005D7C18">
      <w:pPr>
        <w:pStyle w:val="FGCNORMAL"/>
        <w:spacing w:line="240" w:lineRule="auto"/>
      </w:pPr>
      <w:r w:rsidRPr="007C747A">
        <w:t>In 2022, Dr Fejo was awarded an honorary doctorate by Flinders University in recognition of his contribution to education and Indigenous health; he is also the Senior Elder on the Darwin campus at Flinders University.</w:t>
      </w:r>
    </w:p>
    <w:p w14:paraId="24B02E39" w14:textId="77777777" w:rsidR="005D7C18" w:rsidRPr="007C747A" w:rsidRDefault="005D7C18" w:rsidP="005D7C18">
      <w:pPr>
        <w:pStyle w:val="FGCNORMAL"/>
        <w:spacing w:line="240" w:lineRule="auto"/>
      </w:pPr>
      <w:r w:rsidRPr="007C747A">
        <w:t xml:space="preserve">Dr Fejo also holds the positions of Chair of the Darwin Waterfront Corporation, Chair of the Australia Day Council (NT) and Board member of the Australian Institute of Company Directors. He is a former </w:t>
      </w:r>
      <w:r w:rsidRPr="007C747A">
        <w:rPr>
          <w:color w:val="000000"/>
          <w:shd w:val="clear" w:color="auto" w:fill="FFFFFF"/>
        </w:rPr>
        <w:t>Chairman of the Larrakia Nation Aboriginal Corporation.</w:t>
      </w:r>
    </w:p>
    <w:p w14:paraId="15EA17C7" w14:textId="77777777" w:rsidR="005D7C18" w:rsidRPr="007C747A" w:rsidRDefault="005D7C18" w:rsidP="005D7C18">
      <w:pPr>
        <w:pStyle w:val="FGCNORMAL"/>
        <w:spacing w:line="240" w:lineRule="auto"/>
      </w:pPr>
      <w:r w:rsidRPr="007C747A">
        <w:t>In addition to his service to the community, Dr Fejo is a talented comedian and singer-songwriter, performing regularly around town, and nurturing the next generation of comics.</w:t>
      </w:r>
    </w:p>
    <w:p w14:paraId="21A6FB23" w14:textId="509EE351" w:rsidR="00EB3F0F" w:rsidRPr="007C747A" w:rsidRDefault="005D7C18" w:rsidP="005D7C18">
      <w:pPr>
        <w:pStyle w:val="FGCNORMAL"/>
        <w:spacing w:line="240" w:lineRule="auto"/>
        <w:rPr>
          <w:rFonts w:ascii="Calibri" w:hAnsi="Calibri"/>
          <w:lang w:eastAsia="en-AU"/>
        </w:rPr>
      </w:pPr>
      <w:r w:rsidRPr="007C747A">
        <w:rPr>
          <w:b/>
          <w:bCs/>
        </w:rPr>
        <w:t>Qualifications:</w:t>
      </w:r>
      <w:r w:rsidRPr="007C747A">
        <w:t xml:space="preserve"> Honorary Doctorate, Flinders University</w:t>
      </w:r>
      <w:r w:rsidR="00EB3F0F" w:rsidRPr="007C747A">
        <w:t>.</w:t>
      </w:r>
    </w:p>
    <w:p w14:paraId="1DFD2B15" w14:textId="09437F83" w:rsidR="00EB3F0F" w:rsidRPr="007C747A" w:rsidRDefault="00EB3F0F" w:rsidP="00EB3F0F">
      <w:pPr>
        <w:pStyle w:val="FGCNORMAL"/>
      </w:pPr>
    </w:p>
    <w:p w14:paraId="3F737292" w14:textId="77777777" w:rsidR="00EA06BA" w:rsidRPr="007C747A" w:rsidRDefault="00EB3F0F" w:rsidP="00EB3F0F">
      <w:pPr>
        <w:keepNext/>
        <w:spacing w:before="60" w:after="60"/>
        <w:ind w:left="652"/>
        <w:rPr>
          <w:rStyle w:val="FGCEMPHASIS"/>
          <w:lang w:val="en-AU"/>
        </w:rPr>
      </w:pPr>
      <w:r w:rsidRPr="007C747A">
        <w:rPr>
          <w:noProof/>
          <w:lang w:val="en-AU"/>
          <w14:ligatures w14:val="standardContextual"/>
        </w:rPr>
        <w:drawing>
          <wp:inline distT="0" distB="0" distL="0" distR="0" wp14:anchorId="23C6E202" wp14:editId="32C58165">
            <wp:extent cx="1371600" cy="2008800"/>
            <wp:effectExtent l="0" t="0" r="0" b="0"/>
            <wp:docPr id="1256285001" name="Picture 1256285001" descr="Photograph of Dr Graeme Innes 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85001" name="Picture 1256285001" descr="Photograph of Dr Graeme Innes AM.">
                      <a:extLst>
                        <a:ext uri="{C183D7F6-B498-43B3-948B-1728B52AA6E4}">
                          <adec:decorative xmlns:adec="http://schemas.microsoft.com/office/drawing/2017/decorative" val="0"/>
                        </a:ext>
                      </a:extLst>
                    </pic:cNvPr>
                    <pic:cNvPicPr/>
                  </pic:nvPicPr>
                  <pic:blipFill>
                    <a:blip r:embed="rId52">
                      <a:extLst>
                        <a:ext uri="{28A0092B-C50C-407E-A947-70E740481C1C}">
                          <a14:useLocalDpi xmlns:a14="http://schemas.microsoft.com/office/drawing/2010/main" val="0"/>
                        </a:ext>
                      </a:extLst>
                    </a:blip>
                    <a:stretch>
                      <a:fillRect/>
                    </a:stretch>
                  </pic:blipFill>
                  <pic:spPr>
                    <a:xfrm>
                      <a:off x="0" y="0"/>
                      <a:ext cx="1371600" cy="2008800"/>
                    </a:xfrm>
                    <a:prstGeom prst="rect">
                      <a:avLst/>
                    </a:prstGeom>
                  </pic:spPr>
                </pic:pic>
              </a:graphicData>
            </a:graphic>
          </wp:inline>
        </w:drawing>
      </w:r>
    </w:p>
    <w:p w14:paraId="146A9568" w14:textId="7BFD4CAD"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Dr</w:t>
      </w:r>
      <w:r w:rsidR="00407D59" w:rsidRPr="007C747A">
        <w:rPr>
          <w:rStyle w:val="FGCEMPHASIS"/>
          <w:b/>
          <w:bCs w:val="0"/>
          <w:color w:val="6A2875"/>
          <w:sz w:val="26"/>
          <w:lang w:val="en-AU"/>
        </w:rPr>
        <w:t xml:space="preserve"> </w:t>
      </w:r>
      <w:r w:rsidRPr="007C747A">
        <w:rPr>
          <w:rStyle w:val="FGCEMPHASIS"/>
          <w:b/>
          <w:bCs w:val="0"/>
          <w:color w:val="6A2875"/>
          <w:sz w:val="26"/>
          <w:lang w:val="en-AU"/>
        </w:rPr>
        <w:t>Graeme Innes AM</w:t>
      </w:r>
    </w:p>
    <w:p w14:paraId="6C18D50C" w14:textId="77777777" w:rsidR="005D7C18" w:rsidRPr="007C747A" w:rsidRDefault="005D7C18" w:rsidP="005D7C18">
      <w:pPr>
        <w:pStyle w:val="FGCNORMAL"/>
        <w:spacing w:line="240" w:lineRule="auto"/>
      </w:pPr>
      <w:r w:rsidRPr="007C747A">
        <w:t>Dr Graeme Innes AM is a lawyer, author, and company director who was Australia’s Disability Discrimination Commissioner for 9 years. </w:t>
      </w:r>
    </w:p>
    <w:p w14:paraId="0FB21B35" w14:textId="77777777" w:rsidR="005D7C18" w:rsidRPr="007C747A" w:rsidRDefault="005D7C18" w:rsidP="005D7C18">
      <w:pPr>
        <w:pStyle w:val="FGCNORMAL"/>
        <w:spacing w:line="240" w:lineRule="auto"/>
      </w:pPr>
      <w:r w:rsidRPr="007C747A">
        <w:t>Dr Innes has been a human rights practitioner for more than 30 years and has been responsible for issues relating to disability, race and human rights. </w:t>
      </w:r>
    </w:p>
    <w:p w14:paraId="3ECA7ED2" w14:textId="1D3E7E85" w:rsidR="005D7C18" w:rsidRPr="007C747A" w:rsidRDefault="005D7C18" w:rsidP="005D7C18">
      <w:pPr>
        <w:pStyle w:val="FGCNORMAL"/>
        <w:spacing w:line="240" w:lineRule="auto"/>
      </w:pPr>
      <w:r w:rsidRPr="007C747A">
        <w:t xml:space="preserve">Dr Innes was made a Member of the Order of Australia (AM) for his work on the development of the Disability Discrimination </w:t>
      </w:r>
      <w:r w:rsidR="002304A2" w:rsidRPr="007C747A">
        <w:t>Act and</w:t>
      </w:r>
      <w:r w:rsidRPr="007C747A">
        <w:t xml:space="preserve"> was a finalist for Australian of the Year. On the international stage, he was a member of the Australian delegation that participated in negotiating the UN Convention on the Rights of People with Disabilities. </w:t>
      </w:r>
    </w:p>
    <w:p w14:paraId="79700B76" w14:textId="77777777" w:rsidR="005D7C18" w:rsidRPr="007C747A" w:rsidRDefault="005D7C18" w:rsidP="005D7C18">
      <w:pPr>
        <w:pStyle w:val="FGCNORMAL"/>
        <w:spacing w:line="240" w:lineRule="auto"/>
      </w:pPr>
      <w:r w:rsidRPr="007C747A">
        <w:t xml:space="preserve">Dr Innes led the merger of 4 blindness agencies to form Vision Australia and chaired the board of that agency. He is Chancellor of Central Queensland University and a Director of the State Insurance Regulatory Authority, regulating workers’ compensation and motor vehicle accident insurance in New South Wales. His autobiography </w:t>
      </w:r>
      <w:r w:rsidRPr="007C747A">
        <w:rPr>
          <w:i/>
          <w:iCs/>
        </w:rPr>
        <w:t>Finding a Way</w:t>
      </w:r>
      <w:r w:rsidRPr="007C747A">
        <w:t xml:space="preserve"> achieved popular acclaim in 2016.</w:t>
      </w:r>
    </w:p>
    <w:p w14:paraId="5A74B184" w14:textId="77777777" w:rsidR="005D7C18" w:rsidRPr="007C747A" w:rsidRDefault="005D7C18" w:rsidP="005D7C18">
      <w:pPr>
        <w:pStyle w:val="FGCNORMAL"/>
        <w:spacing w:line="240" w:lineRule="auto"/>
      </w:pPr>
      <w:r w:rsidRPr="007C747A">
        <w:rPr>
          <w:b/>
          <w:bCs/>
        </w:rPr>
        <w:t>Qualifications:</w:t>
      </w:r>
      <w:r w:rsidRPr="007C747A">
        <w:t xml:space="preserve"> Bachelor of Law, Sydney University. Mediator courses with Community Justice Centre NSW and Australian Commercial Dispute Centre. Honorary doctorates from University of Canberra, RMIT University, University of NSW and Edith Cowan University. Fellow of the Australian Institute of Company Directors. </w:t>
      </w:r>
    </w:p>
    <w:p w14:paraId="49CAF456" w14:textId="5FD82560" w:rsidR="005D7C18" w:rsidRPr="007C747A" w:rsidRDefault="005D7C18" w:rsidP="005D7C18">
      <w:pPr>
        <w:pStyle w:val="FGCNORMAL"/>
        <w:spacing w:line="240" w:lineRule="auto"/>
      </w:pPr>
      <w:r w:rsidRPr="007C747A">
        <w:rPr>
          <w:b/>
          <w:bCs/>
        </w:rPr>
        <w:t>Positions held:</w:t>
      </w:r>
      <w:r w:rsidRPr="007C747A">
        <w:t xml:space="preserve"> Chancellor Central Queensland University. Member </w:t>
      </w:r>
      <w:r w:rsidR="00805857" w:rsidRPr="007C747A">
        <w:t xml:space="preserve">of the </w:t>
      </w:r>
      <w:r w:rsidRPr="007C747A">
        <w:t>board of the State Insurance Regulatory Authority of NSW. Member of the board of Healthy North Coast. Member of the board of the Jeffrey Blyth Foundation. </w:t>
      </w:r>
    </w:p>
    <w:p w14:paraId="672D798D" w14:textId="0A0C69DA" w:rsidR="00EB3F0F" w:rsidRPr="007C747A" w:rsidRDefault="005D7C18" w:rsidP="005D7C18">
      <w:pPr>
        <w:pStyle w:val="FGCNORMAL"/>
        <w:spacing w:line="240" w:lineRule="auto"/>
      </w:pPr>
      <w:r w:rsidRPr="007C747A">
        <w:rPr>
          <w:b/>
          <w:bCs/>
        </w:rPr>
        <w:t>Member:</w:t>
      </w:r>
      <w:r w:rsidRPr="007C747A">
        <w:t xml:space="preserve"> People and Remuneration Committee</w:t>
      </w:r>
      <w:r w:rsidR="00EB3F0F" w:rsidRPr="007C747A">
        <w:t>.</w:t>
      </w:r>
    </w:p>
    <w:p w14:paraId="7A99DE97" w14:textId="77777777" w:rsidR="00EA06BA" w:rsidRPr="007C747A" w:rsidRDefault="00EB3F0F" w:rsidP="00EB3F0F">
      <w:pPr>
        <w:pStyle w:val="NormalWeb"/>
        <w:shd w:val="clear" w:color="auto" w:fill="FFFFFF"/>
        <w:spacing w:before="0" w:beforeAutospacing="0"/>
        <w:rPr>
          <w:rStyle w:val="FGCEMPHASIS"/>
        </w:rPr>
      </w:pPr>
      <w:r w:rsidRPr="007C747A">
        <w:rPr>
          <w:rStyle w:val="FGCEMPHASIS"/>
          <w:noProof/>
        </w:rPr>
        <w:drawing>
          <wp:inline distT="0" distB="0" distL="0" distR="0" wp14:anchorId="66D7AE2C" wp14:editId="29DEA705">
            <wp:extent cx="1371600" cy="1774800"/>
            <wp:effectExtent l="0" t="0" r="0" b="0"/>
            <wp:docPr id="1485613013" name="Picture 1485613013" descr="Photograph of Mrs Joan McKenna Ker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613013" name="Picture 1485613013" descr="Photograph of Mrs Joan McKenna Kerr.">
                      <a:extLst>
                        <a:ext uri="{C183D7F6-B498-43B3-948B-1728B52AA6E4}">
                          <adec:decorative xmlns:adec="http://schemas.microsoft.com/office/drawing/2017/decorative" val="0"/>
                        </a:ext>
                      </a:extLst>
                    </pic:cNvPr>
                    <pic:cNvPicPr/>
                  </pic:nvPicPr>
                  <pic:blipFill>
                    <a:blip r:embed="rId53">
                      <a:extLst>
                        <a:ext uri="{28A0092B-C50C-407E-A947-70E740481C1C}">
                          <a14:useLocalDpi xmlns:a14="http://schemas.microsoft.com/office/drawing/2010/main" val="0"/>
                        </a:ext>
                      </a:extLst>
                    </a:blip>
                    <a:stretch>
                      <a:fillRect/>
                    </a:stretch>
                  </pic:blipFill>
                  <pic:spPr>
                    <a:xfrm>
                      <a:off x="0" y="0"/>
                      <a:ext cx="1371600" cy="1774800"/>
                    </a:xfrm>
                    <a:prstGeom prst="rect">
                      <a:avLst/>
                    </a:prstGeom>
                  </pic:spPr>
                </pic:pic>
              </a:graphicData>
            </a:graphic>
          </wp:inline>
        </w:drawing>
      </w:r>
    </w:p>
    <w:p w14:paraId="569D105B" w14:textId="4E3CCFB9" w:rsidR="00EB3F0F" w:rsidRPr="007C747A" w:rsidRDefault="00A178E3" w:rsidP="00FA7C9D">
      <w:pPr>
        <w:pStyle w:val="FGCHEADING4"/>
        <w:rPr>
          <w:rStyle w:val="FGCEMPHASIS"/>
          <w:bCs w:val="0"/>
          <w:color w:val="6A2875"/>
          <w:sz w:val="26"/>
          <w:lang w:val="en-AU"/>
        </w:rPr>
      </w:pPr>
      <w:r w:rsidRPr="007C747A">
        <w:rPr>
          <w:rStyle w:val="FGCEMPHASIS"/>
          <w:b/>
          <w:bCs w:val="0"/>
          <w:color w:val="6A2875"/>
          <w:sz w:val="26"/>
          <w:lang w:val="en-AU"/>
        </w:rPr>
        <w:t xml:space="preserve">Mrs </w:t>
      </w:r>
      <w:r w:rsidR="00EB3F0F" w:rsidRPr="007C747A">
        <w:rPr>
          <w:rStyle w:val="FGCEMPHASIS"/>
          <w:b/>
          <w:bCs w:val="0"/>
          <w:color w:val="6A2875"/>
          <w:sz w:val="26"/>
          <w:lang w:val="en-AU"/>
        </w:rPr>
        <w:t>Joan McKenna Kerr</w:t>
      </w:r>
    </w:p>
    <w:p w14:paraId="36F582FB" w14:textId="0DF9D436" w:rsidR="005D7C18" w:rsidRPr="007C747A" w:rsidRDefault="00A178E3" w:rsidP="005D7C18">
      <w:pPr>
        <w:pStyle w:val="FGCNORMAL"/>
        <w:spacing w:line="240" w:lineRule="auto"/>
      </w:pPr>
      <w:r w:rsidRPr="007C747A">
        <w:t xml:space="preserve">Mrs </w:t>
      </w:r>
      <w:r w:rsidR="005D7C18" w:rsidRPr="007C747A">
        <w:t>Joan McKenna Kerr is an experienced Chief Executive Officer in the field of disability with significant experience as a board director.</w:t>
      </w:r>
    </w:p>
    <w:p w14:paraId="03AEB9F1" w14:textId="2994136B" w:rsidR="005D7C18" w:rsidRPr="007C747A" w:rsidRDefault="005D7C18" w:rsidP="005D7C18">
      <w:pPr>
        <w:pStyle w:val="FGCNORMAL"/>
        <w:spacing w:line="240" w:lineRule="auto"/>
      </w:pPr>
      <w:r w:rsidRPr="007C747A">
        <w:t>She was a member of the Expert Advisory Group reporting to the Select Council of Treasurers and Ministers (COAG) on the development and establishment of the NDIS.</w:t>
      </w:r>
    </w:p>
    <w:p w14:paraId="61201576" w14:textId="444ED397" w:rsidR="005D7C18" w:rsidRPr="007C747A" w:rsidRDefault="00A80ADC" w:rsidP="005D7C18">
      <w:pPr>
        <w:pStyle w:val="FGCNORMAL"/>
        <w:spacing w:line="240" w:lineRule="auto"/>
      </w:pPr>
      <w:r w:rsidRPr="007C747A">
        <w:t xml:space="preserve">Mrs </w:t>
      </w:r>
      <w:r w:rsidR="005D7C18" w:rsidRPr="007C747A">
        <w:t>McKenna Kerr was a member of the inaugural NDIS Independent Advisory Council and Co-Chair of the NDIS Working Party on Eligibility and Assessment.</w:t>
      </w:r>
    </w:p>
    <w:p w14:paraId="26E43193" w14:textId="30B9B422" w:rsidR="005D7C18" w:rsidRPr="007C747A" w:rsidRDefault="005D7C18" w:rsidP="005D7C18">
      <w:pPr>
        <w:pStyle w:val="FGCNORMAL"/>
        <w:spacing w:line="240" w:lineRule="auto"/>
      </w:pPr>
      <w:r w:rsidRPr="007C747A">
        <w:t xml:space="preserve">Her past involvements also include </w:t>
      </w:r>
      <w:r w:rsidR="00805857" w:rsidRPr="007C747A">
        <w:t>c</w:t>
      </w:r>
      <w:r w:rsidRPr="007C747A">
        <w:t>hairing and serving in numerous working parties throughout her career tasked with disability sector reform and sustainability.  </w:t>
      </w:r>
    </w:p>
    <w:p w14:paraId="1B4EA8D9" w14:textId="1F1815A2" w:rsidR="005D7C18" w:rsidRPr="007C747A" w:rsidRDefault="00A80ADC" w:rsidP="005D7C18">
      <w:pPr>
        <w:pStyle w:val="FGCNORMAL"/>
        <w:spacing w:line="240" w:lineRule="auto"/>
      </w:pPr>
      <w:r w:rsidRPr="007C747A">
        <w:t xml:space="preserve">Mrs </w:t>
      </w:r>
      <w:r w:rsidR="005D7C18" w:rsidRPr="007C747A">
        <w:t>McKenna Kerr is a graduate of Trinity College Dublin, from where she gained a Moderatorship in Sociology. She is also a member of the Australian Institute of Company Directors. </w:t>
      </w:r>
    </w:p>
    <w:p w14:paraId="33B05B82" w14:textId="7A02B027" w:rsidR="005D7C18" w:rsidRPr="007C747A" w:rsidRDefault="00A80ADC" w:rsidP="005D7C18">
      <w:pPr>
        <w:pStyle w:val="FGCNORMAL"/>
        <w:spacing w:line="240" w:lineRule="auto"/>
      </w:pPr>
      <w:r w:rsidRPr="007C747A">
        <w:t xml:space="preserve">Mrs </w:t>
      </w:r>
      <w:r w:rsidR="005D7C18" w:rsidRPr="007C747A">
        <w:t>McKenna Kerr is a former President of National Disability Services (NDS) and the former National Chair of the Australian Advisory Board on Autism.</w:t>
      </w:r>
    </w:p>
    <w:p w14:paraId="0FB3596E" w14:textId="77777777" w:rsidR="005D7C18" w:rsidRPr="007C747A" w:rsidRDefault="005D7C18" w:rsidP="005D7C18">
      <w:pPr>
        <w:pStyle w:val="FGCNORMAL"/>
        <w:spacing w:line="240" w:lineRule="auto"/>
      </w:pPr>
      <w:r w:rsidRPr="007C747A">
        <w:t>She has also been involved for the last decade in the sister-state initiative between the Western Australian Government and East Java, Indonesia, assisting in the development of disability services in 5 regional government areas of East Java.</w:t>
      </w:r>
    </w:p>
    <w:p w14:paraId="6E7A8436" w14:textId="542CD33C" w:rsidR="005D7C18" w:rsidRPr="007C747A" w:rsidRDefault="005D7C18" w:rsidP="005D7C18">
      <w:pPr>
        <w:pStyle w:val="FGCNORMAL"/>
        <w:spacing w:line="240" w:lineRule="auto"/>
      </w:pPr>
      <w:r w:rsidRPr="007C747A">
        <w:t xml:space="preserve">In 2017, </w:t>
      </w:r>
      <w:r w:rsidR="00A80ADC" w:rsidRPr="007C747A">
        <w:t xml:space="preserve">Mrs </w:t>
      </w:r>
      <w:r w:rsidRPr="007C747A">
        <w:t>McKenna Kerr was awarded the Asia Pacific Autism Award for a lifetime of service to people with autism and their families.</w:t>
      </w:r>
    </w:p>
    <w:p w14:paraId="73064D63" w14:textId="6D2EEEBF" w:rsidR="00EB3F0F" w:rsidRPr="007C747A" w:rsidRDefault="005D7C18" w:rsidP="005D7C18">
      <w:pPr>
        <w:pStyle w:val="FGCNORMAL"/>
        <w:spacing w:line="240" w:lineRule="auto"/>
      </w:pPr>
      <w:r w:rsidRPr="007C747A">
        <w:rPr>
          <w:b/>
          <w:bCs/>
        </w:rPr>
        <w:t>Qualifications:</w:t>
      </w:r>
      <w:r w:rsidRPr="007C747A">
        <w:t xml:space="preserve"> Bachelor of Arts, Moderatorship in Sociology, Trinity College, Dublin</w:t>
      </w:r>
      <w:r w:rsidR="00EB3F0F" w:rsidRPr="007C747A">
        <w:t>.</w:t>
      </w:r>
    </w:p>
    <w:p w14:paraId="53D3CB0C" w14:textId="77777777" w:rsidR="00EB3F0F" w:rsidRPr="007C747A" w:rsidRDefault="00EB3F0F" w:rsidP="00EB3F0F">
      <w:pPr>
        <w:pStyle w:val="NormalWeb"/>
        <w:shd w:val="clear" w:color="auto" w:fill="FFFFFF"/>
        <w:spacing w:before="0" w:beforeAutospacing="0"/>
        <w:rPr>
          <w:rStyle w:val="FGCEMPHASIS"/>
        </w:rPr>
      </w:pPr>
      <w:r w:rsidRPr="007C747A">
        <w:rPr>
          <w:noProof/>
          <w14:ligatures w14:val="standardContextual"/>
        </w:rPr>
        <w:drawing>
          <wp:inline distT="0" distB="0" distL="0" distR="0" wp14:anchorId="24A44F3A" wp14:editId="2B2A94CE">
            <wp:extent cx="1476000" cy="1468800"/>
            <wp:effectExtent l="0" t="0" r="0" b="0"/>
            <wp:docPr id="401223453" name="Picture 401223453" descr="Photograph of Mr Jim Mi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23453" name="Picture 401223453" descr="Photograph of Mr Jim Minto."/>
                    <pic:cNvPicPr/>
                  </pic:nvPicPr>
                  <pic:blipFill>
                    <a:blip r:embed="rId54"/>
                    <a:stretch>
                      <a:fillRect/>
                    </a:stretch>
                  </pic:blipFill>
                  <pic:spPr>
                    <a:xfrm>
                      <a:off x="0" y="0"/>
                      <a:ext cx="1476000" cy="1468800"/>
                    </a:xfrm>
                    <a:prstGeom prst="rect">
                      <a:avLst/>
                    </a:prstGeom>
                  </pic:spPr>
                </pic:pic>
              </a:graphicData>
            </a:graphic>
          </wp:inline>
        </w:drawing>
      </w:r>
    </w:p>
    <w:p w14:paraId="7F215D67" w14:textId="21AF9778"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Mr</w:t>
      </w:r>
      <w:r w:rsidR="00407D59" w:rsidRPr="007C747A">
        <w:rPr>
          <w:rStyle w:val="FGCEMPHASIS"/>
          <w:b/>
          <w:bCs w:val="0"/>
          <w:color w:val="6A2875"/>
          <w:sz w:val="26"/>
          <w:lang w:val="en-AU"/>
        </w:rPr>
        <w:t xml:space="preserve"> </w:t>
      </w:r>
      <w:r w:rsidRPr="007C747A">
        <w:rPr>
          <w:rStyle w:val="FGCEMPHASIS"/>
          <w:b/>
          <w:bCs w:val="0"/>
          <w:color w:val="6A2875"/>
          <w:sz w:val="26"/>
          <w:lang w:val="en-AU"/>
        </w:rPr>
        <w:t xml:space="preserve">Jim Minto </w:t>
      </w:r>
    </w:p>
    <w:p w14:paraId="70A25509" w14:textId="6EC01D19" w:rsidR="005D7C18" w:rsidRPr="007C747A" w:rsidRDefault="005D7C18" w:rsidP="005D7C18">
      <w:pPr>
        <w:pStyle w:val="FGCNORMAL"/>
      </w:pPr>
      <w:r w:rsidRPr="007C747A">
        <w:t>Mr Jim Minto is Chair of Swiss Re Life &amp; Health Australia Ltd, Chair of the Advisory Board of Swiss Reinsurance Company Limited Australia Branch</w:t>
      </w:r>
      <w:r w:rsidR="00805857" w:rsidRPr="007C747A">
        <w:t>,</w:t>
      </w:r>
      <w:r w:rsidRPr="007C747A">
        <w:t xml:space="preserve"> and Chair of New Zealand based life insurer Partners Life Limited. He is also a Director of Mercer Superannuation Australia Ltd. </w:t>
      </w:r>
    </w:p>
    <w:p w14:paraId="1EA51FF3" w14:textId="77777777" w:rsidR="005D7C18" w:rsidRPr="007C747A" w:rsidRDefault="005D7C18" w:rsidP="005D7C18">
      <w:pPr>
        <w:pStyle w:val="FGCNORMAL"/>
      </w:pPr>
      <w:r w:rsidRPr="007C747A">
        <w:t xml:space="preserve">Mr Minto retired as Group CEO and Managing Director of life insurer TAL (formerly TOWER Australia) in March 2015. Previously he was Group CEO of the Trans-Tasman TOWER Limited Group and also a Director of Dai-Ichi Life Asia Pacific. Mr Minto has extensive experience in the financial services sector. </w:t>
      </w:r>
    </w:p>
    <w:p w14:paraId="3FC7737C" w14:textId="77777777" w:rsidR="005D7C18" w:rsidRPr="007C747A" w:rsidRDefault="005D7C18" w:rsidP="005D7C18">
      <w:pPr>
        <w:pStyle w:val="FGCNORMAL"/>
      </w:pPr>
      <w:r w:rsidRPr="007C747A">
        <w:t xml:space="preserve">A Chartered Accountant, Mr Minto retired in 2015 as Chair of the Association of Superannuation Funds of Australia and was a panel member of the Australian Government’s Review of Natural Disasters Insurance in 2011. </w:t>
      </w:r>
    </w:p>
    <w:p w14:paraId="61A63D74" w14:textId="77777777" w:rsidR="005D7C18" w:rsidRPr="007C747A" w:rsidRDefault="005D7C18" w:rsidP="005D7C18">
      <w:pPr>
        <w:pStyle w:val="FGCNORMAL"/>
      </w:pPr>
      <w:r w:rsidRPr="007C747A">
        <w:t xml:space="preserve">Mr Minto was appointed Acting Chair for the period 18 July 2022 to 17 October 2022.  </w:t>
      </w:r>
    </w:p>
    <w:p w14:paraId="41906A13" w14:textId="77777777" w:rsidR="005D7C18" w:rsidRPr="007C747A" w:rsidRDefault="005D7C18" w:rsidP="005D7C18">
      <w:pPr>
        <w:pStyle w:val="FGCNORMAL"/>
      </w:pPr>
      <w:r w:rsidRPr="007C747A">
        <w:rPr>
          <w:b/>
          <w:bCs/>
        </w:rPr>
        <w:t>Qualifications:</w:t>
      </w:r>
      <w:r w:rsidRPr="007C747A">
        <w:t xml:space="preserve"> Chartered Accountant, Massey University. </w:t>
      </w:r>
    </w:p>
    <w:p w14:paraId="5C423A0F" w14:textId="77777777" w:rsidR="005D7C18" w:rsidRPr="007C747A" w:rsidRDefault="005D7C18" w:rsidP="005D7C18">
      <w:pPr>
        <w:pStyle w:val="FGCNORMAL"/>
      </w:pPr>
      <w:r w:rsidRPr="007C747A">
        <w:rPr>
          <w:b/>
          <w:bCs/>
        </w:rPr>
        <w:t>Chair:</w:t>
      </w:r>
      <w:r w:rsidRPr="007C747A">
        <w:t xml:space="preserve"> Risk Committee and People and Remuneration Committee. </w:t>
      </w:r>
    </w:p>
    <w:p w14:paraId="79EF6929" w14:textId="73BA4583" w:rsidR="005D7C18" w:rsidRPr="007C747A" w:rsidRDefault="005D7C18" w:rsidP="005D7C18">
      <w:pPr>
        <w:pStyle w:val="FGCNORMAL"/>
        <w:rPr>
          <w:rStyle w:val="FGCEMPHASIS"/>
        </w:rPr>
      </w:pPr>
      <w:r w:rsidRPr="007C747A">
        <w:rPr>
          <w:b/>
          <w:bCs/>
        </w:rPr>
        <w:t>Member:</w:t>
      </w:r>
      <w:r w:rsidRPr="007C747A">
        <w:t xml:space="preserve"> Audit Committee, Sustainability Committee, ICT and Digital Committee</w:t>
      </w:r>
    </w:p>
    <w:p w14:paraId="2B4779FC" w14:textId="228B9C21" w:rsidR="00EB3F0F" w:rsidRPr="007C747A" w:rsidRDefault="00EB3F0F" w:rsidP="009B0B4C">
      <w:pPr>
        <w:pStyle w:val="FGCNORMAL"/>
        <w:spacing w:line="240" w:lineRule="auto"/>
      </w:pPr>
      <w:r w:rsidRPr="007C747A">
        <w:t xml:space="preserve">. </w:t>
      </w:r>
      <w:r w:rsidR="00DD037B" w:rsidRPr="007C747A">
        <w:rPr>
          <w:noProof/>
          <w14:ligatures w14:val="standardContextual"/>
        </w:rPr>
        <w:drawing>
          <wp:inline distT="0" distB="0" distL="0" distR="0" wp14:anchorId="7E27C09C" wp14:editId="6C4C8BE2">
            <wp:extent cx="1256030" cy="1939925"/>
            <wp:effectExtent l="0" t="0" r="1270" b="3175"/>
            <wp:docPr id="789038397" name="Picture 789038397" descr="Photograph of Dr Denis Napthine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38397" name="Picture 789038397" descr="Photograph of Dr Denis Napthine AO."/>
                    <pic:cNvPicPr/>
                  </pic:nvPicPr>
                  <pic:blipFill>
                    <a:blip r:embed="rId55">
                      <a:extLst>
                        <a:ext uri="{28A0092B-C50C-407E-A947-70E740481C1C}">
                          <a14:useLocalDpi xmlns:a14="http://schemas.microsoft.com/office/drawing/2010/main" val="0"/>
                        </a:ext>
                      </a:extLst>
                    </a:blip>
                    <a:stretch>
                      <a:fillRect/>
                    </a:stretch>
                  </pic:blipFill>
                  <pic:spPr>
                    <a:xfrm>
                      <a:off x="0" y="0"/>
                      <a:ext cx="1256030" cy="1939925"/>
                    </a:xfrm>
                    <a:prstGeom prst="rect">
                      <a:avLst/>
                    </a:prstGeom>
                  </pic:spPr>
                </pic:pic>
              </a:graphicData>
            </a:graphic>
          </wp:inline>
        </w:drawing>
      </w:r>
    </w:p>
    <w:p w14:paraId="701F84D3" w14:textId="18A607BB" w:rsidR="00EB3F0F" w:rsidRPr="007C747A" w:rsidRDefault="00EB3F0F" w:rsidP="00FA7C9D">
      <w:pPr>
        <w:pStyle w:val="FGCHEADING4"/>
        <w:rPr>
          <w:rStyle w:val="FGCEMPHASIS"/>
          <w:rFonts w:eastAsiaTheme="minorEastAsia"/>
          <w:bCs w:val="0"/>
          <w:color w:val="6A2875"/>
          <w:sz w:val="26"/>
          <w:szCs w:val="22"/>
          <w:lang w:val="en-AU"/>
        </w:rPr>
      </w:pPr>
      <w:bookmarkStart w:id="629" w:name="_Hlk141959052"/>
      <w:r w:rsidRPr="007C747A">
        <w:rPr>
          <w:rStyle w:val="FGCEMPHASIS"/>
          <w:b/>
          <w:bCs w:val="0"/>
          <w:color w:val="6A2875"/>
          <w:sz w:val="26"/>
          <w:lang w:val="en-AU"/>
        </w:rPr>
        <w:t>Dr</w:t>
      </w:r>
      <w:r w:rsidR="00407D59" w:rsidRPr="007C747A">
        <w:rPr>
          <w:rStyle w:val="FGCEMPHASIS"/>
          <w:b/>
          <w:bCs w:val="0"/>
          <w:color w:val="6A2875"/>
          <w:sz w:val="26"/>
          <w:lang w:val="en-AU"/>
        </w:rPr>
        <w:t xml:space="preserve"> </w:t>
      </w:r>
      <w:r w:rsidRPr="007C747A">
        <w:rPr>
          <w:rStyle w:val="FGCEMPHASIS"/>
          <w:b/>
          <w:bCs w:val="0"/>
          <w:color w:val="6A2875"/>
          <w:sz w:val="26"/>
          <w:lang w:val="en-AU"/>
        </w:rPr>
        <w:t xml:space="preserve">Denis Napthine </w:t>
      </w:r>
      <w:bookmarkEnd w:id="629"/>
      <w:r w:rsidRPr="007C747A">
        <w:rPr>
          <w:rStyle w:val="FGCEMPHASIS"/>
          <w:b/>
          <w:bCs w:val="0"/>
          <w:color w:val="6A2875"/>
          <w:sz w:val="26"/>
          <w:lang w:val="en-AU"/>
        </w:rPr>
        <w:t>AO</w:t>
      </w:r>
    </w:p>
    <w:p w14:paraId="256E2E8C" w14:textId="77777777" w:rsidR="00D61F9F" w:rsidRPr="007C747A" w:rsidRDefault="00D61F9F" w:rsidP="00D61F9F">
      <w:pPr>
        <w:pStyle w:val="FGCNORMAL"/>
        <w:spacing w:line="240" w:lineRule="auto"/>
      </w:pPr>
      <w:r w:rsidRPr="007C747A">
        <w:t>Dr Denis Napthine has held various senior positions in government and was the 47th Premier of Victoria.</w:t>
      </w:r>
    </w:p>
    <w:p w14:paraId="0EFC7F16" w14:textId="3F322A43" w:rsidR="00D61F9F" w:rsidRPr="007C747A" w:rsidRDefault="00D61F9F" w:rsidP="00D61F9F">
      <w:pPr>
        <w:pStyle w:val="FGCNORMAL"/>
        <w:spacing w:line="240" w:lineRule="auto"/>
      </w:pPr>
      <w:r w:rsidRPr="007C747A">
        <w:t xml:space="preserve">As the Premier, Dr Napthine led the </w:t>
      </w:r>
      <w:r w:rsidR="00CE335F" w:rsidRPr="007C747A">
        <w:t>Victorian G</w:t>
      </w:r>
      <w:r w:rsidRPr="007C747A">
        <w:t xml:space="preserve">overnment to sign the NDIS Agreement with the then Prime Minister Julia Gillard. He has a long history of active involvement in local and regional services for people with disabilities and their families and carers. Dr Napthine is the parent of a person with disabilities and has previously worked in frontline services for people with disabilities. </w:t>
      </w:r>
    </w:p>
    <w:p w14:paraId="07A43AC0" w14:textId="77777777" w:rsidR="00D61F9F" w:rsidRPr="007C747A" w:rsidRDefault="00D61F9F" w:rsidP="00D61F9F">
      <w:pPr>
        <w:pStyle w:val="FGCNORMAL"/>
        <w:spacing w:line="240" w:lineRule="auto"/>
      </w:pPr>
      <w:r w:rsidRPr="007C747A">
        <w:t>In 2020, Dr Napthine was made an Officer of the Order of Australia (AO) for distinguished service to the people and Parliament of Victoria, particularly as Premier, to veterinary science, and to the community. Previously he was the Victorian State Minister for Community Services, which included disability services.</w:t>
      </w:r>
    </w:p>
    <w:p w14:paraId="426E7D5D" w14:textId="77777777" w:rsidR="00D61F9F" w:rsidRPr="007C747A" w:rsidRDefault="00D61F9F" w:rsidP="00D61F9F">
      <w:pPr>
        <w:pStyle w:val="FGCNORMAL"/>
        <w:spacing w:line="240" w:lineRule="auto"/>
        <w:rPr>
          <w:shd w:val="clear" w:color="auto" w:fill="FFFFFF"/>
        </w:rPr>
      </w:pPr>
      <w:r w:rsidRPr="007C747A">
        <w:rPr>
          <w:shd w:val="clear" w:color="auto" w:fill="FFFFFF"/>
        </w:rPr>
        <w:t xml:space="preserve">Dr Napthine was appointed as Chair of the NDIA Board on 1 April 2022. He resigned on 18 July 2022. Dr Napthine was reappointed to the Board in October 2022. </w:t>
      </w:r>
    </w:p>
    <w:p w14:paraId="23CC39AB" w14:textId="148797F6" w:rsidR="00D61F9F" w:rsidRPr="007C747A" w:rsidRDefault="00D61F9F" w:rsidP="00D61F9F">
      <w:pPr>
        <w:pStyle w:val="FGCNORMAL"/>
        <w:spacing w:line="240" w:lineRule="auto"/>
        <w:ind w:left="0" w:firstLine="652"/>
      </w:pPr>
      <w:r w:rsidRPr="007C747A">
        <w:t xml:space="preserve">Dr Napthine is a Director of GMHBA Limited. </w:t>
      </w:r>
    </w:p>
    <w:p w14:paraId="6CCD29A3" w14:textId="77777777" w:rsidR="00D61F9F" w:rsidRPr="007C747A" w:rsidRDefault="00D61F9F" w:rsidP="00D61F9F">
      <w:pPr>
        <w:pStyle w:val="FGCNORMAL"/>
        <w:spacing w:line="240" w:lineRule="auto"/>
      </w:pPr>
      <w:r w:rsidRPr="007C747A">
        <w:rPr>
          <w:b/>
          <w:bCs/>
        </w:rPr>
        <w:t>Qualifications:</w:t>
      </w:r>
      <w:r w:rsidRPr="007C747A">
        <w:t xml:space="preserve"> BVSc and MVS (Epidemiology and Preventive Medicine), University of Melbourne; Master of Business Administration (MBA), Deakin University.</w:t>
      </w:r>
    </w:p>
    <w:p w14:paraId="15C34E39" w14:textId="77777777" w:rsidR="00D61F9F" w:rsidRPr="007C747A" w:rsidRDefault="00D61F9F" w:rsidP="00D61F9F">
      <w:pPr>
        <w:pStyle w:val="FGCNORMAL"/>
        <w:spacing w:line="240" w:lineRule="auto"/>
      </w:pPr>
      <w:r w:rsidRPr="007C747A">
        <w:rPr>
          <w:b/>
          <w:bCs/>
        </w:rPr>
        <w:t>Member:</w:t>
      </w:r>
      <w:r w:rsidRPr="007C747A">
        <w:t xml:space="preserve"> Audit Committee, Risk Committee, People and Remuneration Committee.</w:t>
      </w:r>
    </w:p>
    <w:p w14:paraId="3506C801" w14:textId="77777777" w:rsidR="00731403" w:rsidRPr="007C747A" w:rsidRDefault="00EB3F0F" w:rsidP="00EB3F0F">
      <w:pPr>
        <w:keepNext/>
        <w:spacing w:before="60" w:after="60"/>
        <w:ind w:left="652"/>
        <w:rPr>
          <w:rStyle w:val="FGCEMPHASIS"/>
          <w:lang w:val="en-AU"/>
        </w:rPr>
      </w:pPr>
      <w:r w:rsidRPr="007C747A">
        <w:rPr>
          <w:noProof/>
          <w:lang w:val="en-AU"/>
          <w14:ligatures w14:val="standardContextual"/>
        </w:rPr>
        <w:drawing>
          <wp:inline distT="0" distB="0" distL="0" distR="0" wp14:anchorId="4850B6A5" wp14:editId="30C4C902">
            <wp:extent cx="1148400" cy="1879200"/>
            <wp:effectExtent l="0" t="0" r="0" b="6985"/>
            <wp:docPr id="750659303" name="Picture 750659303" descr="Photograph of Ms Estelle Pears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59303" name="Picture 750659303" descr="Photograph of Ms Estelle Pearson.">
                      <a:extLst>
                        <a:ext uri="{C183D7F6-B498-43B3-948B-1728B52AA6E4}">
                          <adec:decorative xmlns:adec="http://schemas.microsoft.com/office/drawing/2017/decorative" val="0"/>
                        </a:ext>
                      </a:extLst>
                    </pic:cNvPr>
                    <pic:cNvPicPr/>
                  </pic:nvPicPr>
                  <pic:blipFill>
                    <a:blip r:embed="rId56">
                      <a:extLst>
                        <a:ext uri="{28A0092B-C50C-407E-A947-70E740481C1C}">
                          <a14:useLocalDpi xmlns:a14="http://schemas.microsoft.com/office/drawing/2010/main" val="0"/>
                        </a:ext>
                      </a:extLst>
                    </a:blip>
                    <a:stretch>
                      <a:fillRect/>
                    </a:stretch>
                  </pic:blipFill>
                  <pic:spPr>
                    <a:xfrm>
                      <a:off x="0" y="0"/>
                      <a:ext cx="1148400" cy="1879200"/>
                    </a:xfrm>
                    <a:prstGeom prst="rect">
                      <a:avLst/>
                    </a:prstGeom>
                  </pic:spPr>
                </pic:pic>
              </a:graphicData>
            </a:graphic>
          </wp:inline>
        </w:drawing>
      </w:r>
    </w:p>
    <w:p w14:paraId="0E455877" w14:textId="70B39923" w:rsidR="00EB3F0F" w:rsidRPr="007C747A" w:rsidRDefault="00EB3F0F" w:rsidP="00FA7C9D">
      <w:pPr>
        <w:pStyle w:val="FGCHEADING4"/>
        <w:rPr>
          <w:rStyle w:val="FGCEMPHASIS"/>
          <w:bCs w:val="0"/>
          <w:color w:val="6A2875"/>
          <w:sz w:val="26"/>
          <w:lang w:val="en-AU"/>
        </w:rPr>
      </w:pPr>
      <w:r w:rsidRPr="007C747A">
        <w:rPr>
          <w:rStyle w:val="FGCEMPHASIS"/>
          <w:b/>
          <w:bCs w:val="0"/>
          <w:color w:val="6A2875"/>
          <w:sz w:val="26"/>
          <w:lang w:val="en-AU"/>
        </w:rPr>
        <w:t>Ms</w:t>
      </w:r>
      <w:r w:rsidR="00407D59" w:rsidRPr="007C747A">
        <w:rPr>
          <w:rStyle w:val="FGCEMPHASIS"/>
          <w:b/>
          <w:bCs w:val="0"/>
          <w:color w:val="6A2875"/>
          <w:sz w:val="26"/>
          <w:lang w:val="en-AU"/>
        </w:rPr>
        <w:t xml:space="preserve"> </w:t>
      </w:r>
      <w:r w:rsidRPr="007C747A">
        <w:rPr>
          <w:rStyle w:val="FGCEMPHASIS"/>
          <w:b/>
          <w:bCs w:val="0"/>
          <w:color w:val="6A2875"/>
          <w:sz w:val="26"/>
          <w:lang w:val="en-AU"/>
        </w:rPr>
        <w:t xml:space="preserve">Estelle Pearson </w:t>
      </w:r>
    </w:p>
    <w:p w14:paraId="44412930" w14:textId="219F6C49" w:rsidR="005D7C18" w:rsidRPr="007C747A" w:rsidRDefault="005D7C18" w:rsidP="005D7C18">
      <w:pPr>
        <w:pStyle w:val="FGCNORMAL"/>
        <w:spacing w:line="240" w:lineRule="auto"/>
      </w:pPr>
      <w:r w:rsidRPr="007C747A">
        <w:t>Ms Estelle Pearson has extensive experience in the insurance and injury compensation sector</w:t>
      </w:r>
      <w:r w:rsidR="00A6763B" w:rsidRPr="007C747A">
        <w:t>,</w:t>
      </w:r>
      <w:r w:rsidRPr="007C747A">
        <w:t xml:space="preserve"> having worked as an actuary and consultant in this sector since 1989. She is currently a Director of Finity Consulting Pty </w:t>
      </w:r>
      <w:r w:rsidR="002304A2" w:rsidRPr="007C747A">
        <w:t>Limited and</w:t>
      </w:r>
      <w:r w:rsidRPr="007C747A">
        <w:t xml:space="preserve"> was previously on the Council of the Actuaries Institute, including a term as President in 2015.</w:t>
      </w:r>
    </w:p>
    <w:p w14:paraId="12D60017" w14:textId="77777777" w:rsidR="005D7C18" w:rsidRPr="007C747A" w:rsidRDefault="005D7C18" w:rsidP="005D7C18">
      <w:pPr>
        <w:pStyle w:val="FGCNORMAL"/>
        <w:spacing w:line="240" w:lineRule="auto"/>
      </w:pPr>
      <w:r w:rsidRPr="007C747A">
        <w:rPr>
          <w:b/>
          <w:bCs/>
        </w:rPr>
        <w:t>Qualifications:</w:t>
      </w:r>
      <w:r w:rsidRPr="007C747A">
        <w:t xml:space="preserve"> BA (Hons) Mathematics, University of Oxford; Fellow of the Institutes of Actuaries of Australia (FIAA).</w:t>
      </w:r>
    </w:p>
    <w:p w14:paraId="36CE2A2E" w14:textId="77777777" w:rsidR="005D7C18" w:rsidRPr="007C747A" w:rsidRDefault="005D7C18" w:rsidP="005D7C18">
      <w:pPr>
        <w:pStyle w:val="FGCNORMAL"/>
        <w:spacing w:line="240" w:lineRule="auto"/>
      </w:pPr>
      <w:r w:rsidRPr="007C747A">
        <w:rPr>
          <w:b/>
          <w:bCs/>
        </w:rPr>
        <w:t>Chair:</w:t>
      </w:r>
      <w:r w:rsidRPr="007C747A">
        <w:t xml:space="preserve"> Sustainability Committee. </w:t>
      </w:r>
    </w:p>
    <w:p w14:paraId="60A4A4A7" w14:textId="484295B1" w:rsidR="00EB3F0F" w:rsidRPr="007C747A" w:rsidRDefault="005D7C18" w:rsidP="005D7C18">
      <w:pPr>
        <w:pStyle w:val="FGCNORMAL"/>
        <w:spacing w:line="240" w:lineRule="auto"/>
      </w:pPr>
      <w:r w:rsidRPr="007C747A">
        <w:rPr>
          <w:b/>
          <w:bCs/>
        </w:rPr>
        <w:t>Member:</w:t>
      </w:r>
      <w:r w:rsidRPr="007C747A">
        <w:t xml:space="preserve"> Audit Committee</w:t>
      </w:r>
      <w:r w:rsidR="00EB3F0F" w:rsidRPr="007C747A">
        <w:t>. </w:t>
      </w:r>
    </w:p>
    <w:p w14:paraId="3D758B2E" w14:textId="30FADC7A" w:rsidR="00C35027" w:rsidRPr="007C747A" w:rsidRDefault="00C35027" w:rsidP="005D7C18">
      <w:pPr>
        <w:pStyle w:val="FGCNORMAL"/>
        <w:spacing w:line="240" w:lineRule="auto"/>
      </w:pPr>
      <w:r w:rsidRPr="007C747A">
        <w:rPr>
          <w:b/>
          <w:bCs/>
          <w:noProof/>
          <w14:ligatures w14:val="standardContextual"/>
        </w:rPr>
        <w:drawing>
          <wp:inline distT="0" distB="0" distL="0" distR="0" wp14:anchorId="22E8F489" wp14:editId="5DF9F8CB">
            <wp:extent cx="1270635" cy="1969135"/>
            <wp:effectExtent l="0" t="0" r="5715" b="0"/>
            <wp:docPr id="1393345263" name="Picture 1393345263" descr="Photograph of Dr Peta Seaton 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5263" name="Picture 1393345263" descr="Photograph of Dr Peta Seaton AM.">
                      <a:extLst>
                        <a:ext uri="{C183D7F6-B498-43B3-948B-1728B52AA6E4}">
                          <adec:decorative xmlns:adec="http://schemas.microsoft.com/office/drawing/2017/decorative" val="0"/>
                        </a:ext>
                      </a:extLst>
                    </pic:cNvPr>
                    <pic:cNvPicPr/>
                  </pic:nvPicPr>
                  <pic:blipFill>
                    <a:blip r:embed="rId57">
                      <a:extLst>
                        <a:ext uri="{28A0092B-C50C-407E-A947-70E740481C1C}">
                          <a14:useLocalDpi xmlns:a14="http://schemas.microsoft.com/office/drawing/2010/main" val="0"/>
                        </a:ext>
                      </a:extLst>
                    </a:blip>
                    <a:stretch>
                      <a:fillRect/>
                    </a:stretch>
                  </pic:blipFill>
                  <pic:spPr>
                    <a:xfrm>
                      <a:off x="0" y="0"/>
                      <a:ext cx="1270635" cy="1969135"/>
                    </a:xfrm>
                    <a:prstGeom prst="rect">
                      <a:avLst/>
                    </a:prstGeom>
                  </pic:spPr>
                </pic:pic>
              </a:graphicData>
            </a:graphic>
          </wp:inline>
        </w:drawing>
      </w:r>
    </w:p>
    <w:p w14:paraId="624787B7" w14:textId="412535D0" w:rsidR="00EB3F0F" w:rsidRPr="007C747A" w:rsidRDefault="00EB3F0F" w:rsidP="001A0235">
      <w:pPr>
        <w:pStyle w:val="FGCHEADING4"/>
        <w:rPr>
          <w:rStyle w:val="FGCEMPHASIS"/>
          <w:bCs w:val="0"/>
          <w:color w:val="6A2875"/>
          <w:sz w:val="26"/>
          <w:lang w:val="en-AU"/>
        </w:rPr>
      </w:pPr>
      <w:r w:rsidRPr="007C747A">
        <w:rPr>
          <w:rStyle w:val="FGCEMPHASIS"/>
          <w:b/>
          <w:bCs w:val="0"/>
          <w:color w:val="6A2875"/>
          <w:sz w:val="26"/>
          <w:lang w:val="en-AU"/>
        </w:rPr>
        <w:t xml:space="preserve">Dr Peta Seaton AM </w:t>
      </w:r>
    </w:p>
    <w:p w14:paraId="0D27D1BC" w14:textId="028C21C3" w:rsidR="002E3BD8" w:rsidRPr="007C747A" w:rsidRDefault="002E3BD8" w:rsidP="00AE321D">
      <w:pPr>
        <w:pStyle w:val="FGCNORMAL"/>
        <w:rPr>
          <w:rFonts w:ascii="Calibri" w:hAnsi="Calibri"/>
        </w:rPr>
      </w:pPr>
      <w:r w:rsidRPr="007C747A">
        <w:t>Dr Peta Seaton is a former Chair of Hearing Australia, the Deputy Chair of the Bradman Foundation, and a Non-Executive Director of the Menzies Research Centre, BDCU Alliance Bank, and CARE Australia. Dr Seaton served as a Board Member of the Nepean Blue Mountains Local Health District until 30 June 2023. She is currently the President of the Near Eastern Archaeology Foundation (University of Sydney).</w:t>
      </w:r>
    </w:p>
    <w:p w14:paraId="4BA5C3C8" w14:textId="46261572" w:rsidR="002E3BD8" w:rsidRPr="007C747A" w:rsidRDefault="002E3BD8" w:rsidP="00AE321D">
      <w:pPr>
        <w:pStyle w:val="FGCNORMAL"/>
      </w:pPr>
      <w:r w:rsidRPr="007C747A">
        <w:t xml:space="preserve">A former NSW </w:t>
      </w:r>
      <w:r w:rsidR="00A6763B" w:rsidRPr="007C747A">
        <w:t>p</w:t>
      </w:r>
      <w:r w:rsidRPr="007C747A">
        <w:t>arliamentarian and frontbencher, Dr Seaton served as Director of Transition and Director of Strategic Priorities in the NSW Premier’s Office from 2011</w:t>
      </w:r>
      <w:r w:rsidR="00271B50" w:rsidRPr="007C747A">
        <w:t xml:space="preserve"> to </w:t>
      </w:r>
      <w:r w:rsidRPr="007C747A">
        <w:t xml:space="preserve">2014.  </w:t>
      </w:r>
    </w:p>
    <w:p w14:paraId="3154A91F" w14:textId="3E11858A" w:rsidR="002E3BD8" w:rsidRPr="007C747A" w:rsidRDefault="002E3BD8" w:rsidP="00AE321D">
      <w:pPr>
        <w:pStyle w:val="FGCNORMAL"/>
      </w:pPr>
      <w:r w:rsidRPr="007C747A">
        <w:t xml:space="preserve">In 2017, Dr Seaton was made a Member of the Order of Australia (AM). She lives in regional </w:t>
      </w:r>
      <w:r w:rsidR="00A6763B" w:rsidRPr="007C747A">
        <w:t xml:space="preserve">New South Wales </w:t>
      </w:r>
      <w:r w:rsidRPr="007C747A">
        <w:t>and runs a small farm enterprise.</w:t>
      </w:r>
    </w:p>
    <w:p w14:paraId="17E8DF75" w14:textId="77777777" w:rsidR="002E3BD8" w:rsidRPr="007C747A" w:rsidRDefault="002E3BD8" w:rsidP="00AE321D">
      <w:pPr>
        <w:pStyle w:val="FGCNORMAL"/>
        <w:rPr>
          <w:color w:val="222222"/>
        </w:rPr>
      </w:pPr>
      <w:r w:rsidRPr="007C747A">
        <w:rPr>
          <w:b/>
          <w:bCs/>
          <w:color w:val="222222"/>
        </w:rPr>
        <w:t>Qualifications:</w:t>
      </w:r>
      <w:r w:rsidRPr="007C747A">
        <w:rPr>
          <w:color w:val="222222"/>
        </w:rPr>
        <w:t xml:space="preserve"> PhD and BA (Hons), University of Sydney; Graduate of the Australian Institute of Company Directors (GAICD).</w:t>
      </w:r>
    </w:p>
    <w:p w14:paraId="5BD15322" w14:textId="77777777" w:rsidR="002E3BD8" w:rsidRPr="007C747A" w:rsidRDefault="002E3BD8" w:rsidP="00AE321D">
      <w:pPr>
        <w:pStyle w:val="FGCNORMAL"/>
        <w:rPr>
          <w:color w:val="222222"/>
        </w:rPr>
      </w:pPr>
      <w:r w:rsidRPr="007C747A">
        <w:rPr>
          <w:b/>
          <w:bCs/>
          <w:color w:val="222222"/>
        </w:rPr>
        <w:t>Member:</w:t>
      </w:r>
      <w:r w:rsidRPr="007C747A">
        <w:rPr>
          <w:color w:val="222222"/>
        </w:rPr>
        <w:t xml:space="preserve"> Sustainability Committee, ICT and Digital Committee.</w:t>
      </w:r>
    </w:p>
    <w:p w14:paraId="61E41FD0" w14:textId="77777777" w:rsidR="00EB3F0F" w:rsidRPr="007C747A" w:rsidRDefault="00EB3F0F" w:rsidP="00EB3F0F">
      <w:pPr>
        <w:pStyle w:val="FGCNORMAL"/>
      </w:pPr>
      <w:r w:rsidRPr="007C747A">
        <w:rPr>
          <w:noProof/>
          <w14:ligatures w14:val="standardContextual"/>
        </w:rPr>
        <w:drawing>
          <wp:inline distT="0" distB="0" distL="0" distR="0" wp14:anchorId="76FA99BD" wp14:editId="668E03FB">
            <wp:extent cx="1245600" cy="1832400"/>
            <wp:effectExtent l="0" t="0" r="0" b="0"/>
            <wp:docPr id="1455829345" name="Picture 1455829345" descr="Photograph of Ms Leah van Po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9345" name="Picture 1455829345" descr="Photograph of Ms Leah van Poppel."/>
                    <pic:cNvPicPr/>
                  </pic:nvPicPr>
                  <pic:blipFill>
                    <a:blip r:embed="rId58"/>
                    <a:stretch>
                      <a:fillRect/>
                    </a:stretch>
                  </pic:blipFill>
                  <pic:spPr>
                    <a:xfrm>
                      <a:off x="0" y="0"/>
                      <a:ext cx="1245600" cy="1832400"/>
                    </a:xfrm>
                    <a:prstGeom prst="rect">
                      <a:avLst/>
                    </a:prstGeom>
                  </pic:spPr>
                </pic:pic>
              </a:graphicData>
            </a:graphic>
          </wp:inline>
        </w:drawing>
      </w:r>
    </w:p>
    <w:p w14:paraId="07A54D33" w14:textId="77777777" w:rsidR="00EB3F0F" w:rsidRPr="007C747A" w:rsidRDefault="00EB3F0F" w:rsidP="001A0235">
      <w:pPr>
        <w:pStyle w:val="FGCHEADING4"/>
        <w:rPr>
          <w:lang w:val="en-AU"/>
        </w:rPr>
      </w:pPr>
      <w:r w:rsidRPr="007C747A">
        <w:rPr>
          <w:lang w:val="en-AU"/>
        </w:rPr>
        <w:t xml:space="preserve">Ms Leah van Poppel </w:t>
      </w:r>
    </w:p>
    <w:p w14:paraId="04C33F21" w14:textId="413CD1C7" w:rsidR="007F6999" w:rsidRPr="007C747A" w:rsidRDefault="007F6999" w:rsidP="007F6999">
      <w:pPr>
        <w:pStyle w:val="FGCNORMAL"/>
        <w:spacing w:line="240" w:lineRule="auto"/>
      </w:pPr>
      <w:r w:rsidRPr="007C747A">
        <w:t>Ms Leah van Poppel is Chair of the Victorian NDIS Community Advisory and a member of the NDIS Independent Advisory Council.</w:t>
      </w:r>
    </w:p>
    <w:p w14:paraId="51597F9F" w14:textId="17E3159A" w:rsidR="007F6999" w:rsidRPr="007C747A" w:rsidRDefault="007F6999" w:rsidP="007F6999">
      <w:pPr>
        <w:pStyle w:val="FGCNORMAL"/>
        <w:spacing w:line="240" w:lineRule="auto"/>
      </w:pPr>
      <w:r w:rsidRPr="007C747A">
        <w:t xml:space="preserve">A </w:t>
      </w:r>
      <w:r w:rsidR="002304A2" w:rsidRPr="007C747A">
        <w:t>highly respected</w:t>
      </w:r>
      <w:r w:rsidRPr="007C747A">
        <w:t xml:space="preserve"> leader and disability rights advocate, Ms van Poppel was CEO of Women with Disabilities Victoria from 2018 to 2021.</w:t>
      </w:r>
    </w:p>
    <w:p w14:paraId="7181DE29" w14:textId="77777777" w:rsidR="007F6999" w:rsidRPr="007C747A" w:rsidRDefault="007F6999" w:rsidP="007F6999">
      <w:pPr>
        <w:pStyle w:val="FGCNORMAL"/>
        <w:spacing w:line="240" w:lineRule="auto"/>
      </w:pPr>
      <w:r w:rsidRPr="007C747A">
        <w:t>In this position, she worked to empower marginalised women in the community through education and mentoring, as well as research, policy advice and government advocacy.</w:t>
      </w:r>
    </w:p>
    <w:p w14:paraId="1E34BE36" w14:textId="77777777" w:rsidR="007F6999" w:rsidRPr="007C747A" w:rsidRDefault="007F6999" w:rsidP="007F6999">
      <w:pPr>
        <w:pStyle w:val="FGCNORMAL"/>
        <w:spacing w:line="240" w:lineRule="auto"/>
      </w:pPr>
      <w:r w:rsidRPr="007C747A">
        <w:t>Previously Ms van Poppel was CEO of Blind Citizens Australia, Manager at Youth Disability Advocacy Service, and NDIS Readiness Project Officer at Australian Federation of Disability Organisations (AFDO).</w:t>
      </w:r>
    </w:p>
    <w:p w14:paraId="6871E612" w14:textId="77777777" w:rsidR="007F6999" w:rsidRPr="007C747A" w:rsidRDefault="007F6999" w:rsidP="007F6999">
      <w:pPr>
        <w:pStyle w:val="FGCNORMAL"/>
        <w:spacing w:line="240" w:lineRule="auto"/>
      </w:pPr>
      <w:r w:rsidRPr="007C747A">
        <w:rPr>
          <w:b/>
          <w:bCs/>
        </w:rPr>
        <w:t>Qualifications:</w:t>
      </w:r>
      <w:r w:rsidRPr="007C747A">
        <w:t xml:space="preserve"> Bachelor of Arts, Macquarie University.</w:t>
      </w:r>
    </w:p>
    <w:p w14:paraId="1E136E3B" w14:textId="7A33D6AC" w:rsidR="00D42AC2" w:rsidRPr="007C747A" w:rsidRDefault="007F6999" w:rsidP="007F6999">
      <w:pPr>
        <w:pStyle w:val="FGCNORMAL"/>
        <w:spacing w:line="240" w:lineRule="auto"/>
      </w:pPr>
      <w:r w:rsidRPr="007C747A">
        <w:rPr>
          <w:b/>
          <w:bCs/>
        </w:rPr>
        <w:t>Member:</w:t>
      </w:r>
      <w:r w:rsidRPr="007C747A">
        <w:t xml:space="preserve"> Sustainability Committee, Risk Committee</w:t>
      </w:r>
      <w:r w:rsidR="002512BA" w:rsidRPr="007C747A">
        <w:t>.</w:t>
      </w:r>
    </w:p>
    <w:p w14:paraId="31BF8D61" w14:textId="77777777" w:rsidR="00D42AC2" w:rsidRPr="007C747A" w:rsidRDefault="00D42AC2">
      <w:pPr>
        <w:spacing w:after="0" w:line="240" w:lineRule="auto"/>
        <w:rPr>
          <w:rFonts w:eastAsiaTheme="minorEastAsia" w:cs="Arial"/>
          <w:sz w:val="22"/>
          <w:szCs w:val="22"/>
          <w:lang w:val="en-AU"/>
        </w:rPr>
      </w:pPr>
      <w:r w:rsidRPr="007C747A">
        <w:rPr>
          <w:lang w:val="en-AU"/>
        </w:rPr>
        <w:br w:type="page"/>
      </w:r>
    </w:p>
    <w:p w14:paraId="6A789344" w14:textId="77777777" w:rsidR="00EB3F0F" w:rsidRPr="007C747A" w:rsidRDefault="00EB3F0F" w:rsidP="001A0235">
      <w:pPr>
        <w:pStyle w:val="FGCHEADING3"/>
      </w:pPr>
      <w:bookmarkStart w:id="630" w:name="_Toc142039635"/>
      <w:bookmarkStart w:id="631" w:name="_Toc142047742"/>
      <w:bookmarkStart w:id="632" w:name="_Toc142573721"/>
      <w:bookmarkStart w:id="633" w:name="_Toc146289461"/>
      <w:bookmarkStart w:id="634" w:name="_Hlk143516377"/>
      <w:r w:rsidRPr="007C747A">
        <w:t>Board committees</w:t>
      </w:r>
      <w:bookmarkEnd w:id="630"/>
      <w:bookmarkEnd w:id="631"/>
      <w:bookmarkEnd w:id="632"/>
      <w:bookmarkEnd w:id="633"/>
    </w:p>
    <w:p w14:paraId="2EB67CA2" w14:textId="77777777" w:rsidR="00EB3F0F" w:rsidRPr="007C747A" w:rsidRDefault="00EB3F0F" w:rsidP="00463657">
      <w:pPr>
        <w:pStyle w:val="FGCNORMAL"/>
        <w:spacing w:line="240" w:lineRule="auto"/>
      </w:pPr>
      <w:r w:rsidRPr="007C747A">
        <w:t>A number of committees, councils and groups are in place to support the Board in ensuring the NDIA meets its statutory requirements and manages risk. Table 5.2.2A provides the title and role of each committee and its members as at 30 June 2023.</w:t>
      </w:r>
    </w:p>
    <w:p w14:paraId="29D82008" w14:textId="5548A68B" w:rsidR="00EB3F0F" w:rsidRPr="007C747A" w:rsidRDefault="00EB3F0F" w:rsidP="00DC45A9">
      <w:pPr>
        <w:pStyle w:val="Heading43"/>
        <w:ind w:left="646"/>
        <w:outlineLvl w:val="3"/>
      </w:pPr>
      <w:r w:rsidRPr="007C747A">
        <w:t>Table 5.</w:t>
      </w:r>
      <w:r w:rsidR="0017498D" w:rsidRPr="007C747A">
        <w:t>2</w:t>
      </w:r>
      <w:r w:rsidRPr="007C747A">
        <w:t xml:space="preserve">.2A: </w:t>
      </w:r>
      <w:r w:rsidR="00A6763B" w:rsidRPr="007C747A">
        <w:t>Board c</w:t>
      </w:r>
      <w:r w:rsidRPr="007C747A">
        <w:t>ommittee</w:t>
      </w:r>
      <w:r w:rsidR="00A6763B" w:rsidRPr="007C747A">
        <w:t>s</w:t>
      </w:r>
      <w:r w:rsidRPr="007C747A">
        <w:t xml:space="preserve"> and members as at 30 June 2023</w:t>
      </w:r>
    </w:p>
    <w:tbl>
      <w:tblPr>
        <w:tblStyle w:val="GridTable2-Accent312"/>
        <w:tblW w:w="9356" w:type="dxa"/>
        <w:tblInd w:w="709" w:type="dxa"/>
        <w:tblLook w:val="04A0" w:firstRow="1" w:lastRow="0" w:firstColumn="1" w:lastColumn="0" w:noHBand="0" w:noVBand="1"/>
      </w:tblPr>
      <w:tblGrid>
        <w:gridCol w:w="1700"/>
        <w:gridCol w:w="4736"/>
        <w:gridCol w:w="2920"/>
      </w:tblGrid>
      <w:tr w:rsidR="00EB3F0F" w:rsidRPr="007C747A" w14:paraId="6A3DD4D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hideMark/>
          </w:tcPr>
          <w:p w14:paraId="635189D4" w14:textId="77777777" w:rsidR="00EB3F0F" w:rsidRPr="007C747A" w:rsidRDefault="00EB3F0F">
            <w:pPr>
              <w:spacing w:before="120" w:after="120"/>
              <w:rPr>
                <w:rFonts w:eastAsia="DengXian" w:cs="Arial"/>
                <w:sz w:val="22"/>
                <w:szCs w:val="22"/>
                <w:lang w:val="en-AU"/>
              </w:rPr>
            </w:pPr>
            <w:bookmarkStart w:id="635" w:name="_Hlk107484960"/>
            <w:r w:rsidRPr="007C747A">
              <w:rPr>
                <w:rFonts w:eastAsia="DengXian" w:cs="Arial"/>
                <w:sz w:val="22"/>
                <w:szCs w:val="22"/>
                <w:lang w:val="en-AU"/>
              </w:rPr>
              <w:t>Committee</w:t>
            </w:r>
          </w:p>
        </w:tc>
        <w:tc>
          <w:tcPr>
            <w:tcW w:w="4736" w:type="dxa"/>
            <w:hideMark/>
          </w:tcPr>
          <w:p w14:paraId="4A216953" w14:textId="77777777" w:rsidR="00EB3F0F" w:rsidRPr="007C747A" w:rsidRDefault="00EB3F0F">
            <w:pPr>
              <w:spacing w:before="120" w:after="120"/>
              <w:cnfStyle w:val="100000000000" w:firstRow="1"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Role</w:t>
            </w:r>
          </w:p>
        </w:tc>
        <w:tc>
          <w:tcPr>
            <w:tcW w:w="2920" w:type="dxa"/>
            <w:hideMark/>
          </w:tcPr>
          <w:p w14:paraId="7ED270C9" w14:textId="77777777" w:rsidR="00EB3F0F" w:rsidRPr="007C747A" w:rsidRDefault="00EB3F0F">
            <w:pPr>
              <w:spacing w:before="120" w:after="120"/>
              <w:cnfStyle w:val="100000000000" w:firstRow="1"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Members</w:t>
            </w:r>
          </w:p>
        </w:tc>
      </w:tr>
      <w:tr w:rsidR="00EB3F0F" w:rsidRPr="007C747A" w14:paraId="16917A8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hideMark/>
          </w:tcPr>
          <w:p w14:paraId="611B25D4" w14:textId="77777777" w:rsidR="00EB3F0F" w:rsidRPr="007C747A" w:rsidRDefault="00EB3F0F" w:rsidP="00D84D86">
            <w:pPr>
              <w:spacing w:before="120" w:after="120" w:line="240" w:lineRule="auto"/>
              <w:rPr>
                <w:rFonts w:ascii="Arial Bold" w:eastAsia="DengXian" w:hAnsi="Arial Bold" w:cs="Arial" w:hint="eastAsia"/>
                <w:sz w:val="22"/>
                <w:szCs w:val="22"/>
                <w:lang w:val="en-AU"/>
              </w:rPr>
            </w:pPr>
            <w:r w:rsidRPr="007C747A">
              <w:rPr>
                <w:rFonts w:ascii="Arial Bold" w:eastAsia="DengXian" w:hAnsi="Arial Bold" w:cs="Arial"/>
                <w:sz w:val="22"/>
                <w:szCs w:val="22"/>
                <w:lang w:val="en-AU"/>
              </w:rPr>
              <w:t>Audit Committee</w:t>
            </w:r>
          </w:p>
        </w:tc>
        <w:tc>
          <w:tcPr>
            <w:tcW w:w="4736" w:type="dxa"/>
            <w:hideMark/>
          </w:tcPr>
          <w:p w14:paraId="33F0CCB2" w14:textId="77777777" w:rsidR="00D84D86" w:rsidRPr="007C747A" w:rsidRDefault="00D84D86"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T</w:t>
            </w:r>
            <w:r w:rsidR="00EB3F0F" w:rsidRPr="007C747A">
              <w:rPr>
                <w:rFonts w:eastAsia="DengXian" w:cs="Arial"/>
                <w:sz w:val="22"/>
                <w:szCs w:val="22"/>
                <w:lang w:val="en-AU"/>
              </w:rPr>
              <w:t>he Audit Committee assists the Board in the management and oversight of the quality and integrity of the accounting, auditing and financial reporting of the NDIA. It was established in compliance with section 45 of the PGPA Act.</w:t>
            </w:r>
          </w:p>
          <w:p w14:paraId="7F2A22B3" w14:textId="5A20B5F1"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The Australian National Audit Office attends Audit Committee meetings as external auditor, along with the Chief Internal Auditor.</w:t>
            </w:r>
          </w:p>
        </w:tc>
        <w:tc>
          <w:tcPr>
            <w:tcW w:w="2920" w:type="dxa"/>
            <w:hideMark/>
          </w:tcPr>
          <w:p w14:paraId="0E822451"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Sandra Birkensleigh (Chair) </w:t>
            </w:r>
          </w:p>
          <w:p w14:paraId="31B7F17F"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Ms Meredith Allan</w:t>
            </w:r>
          </w:p>
          <w:p w14:paraId="78B86635"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Mr Jim Minto </w:t>
            </w:r>
          </w:p>
          <w:p w14:paraId="5535ED9F" w14:textId="67E621CC"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Dr </w:t>
            </w:r>
            <w:r w:rsidR="00263256" w:rsidRPr="007C747A">
              <w:rPr>
                <w:rFonts w:eastAsia="DengXian" w:cs="Arial"/>
                <w:sz w:val="22"/>
                <w:szCs w:val="22"/>
                <w:lang w:val="en-AU"/>
              </w:rPr>
              <w:t>Denis</w:t>
            </w:r>
            <w:r w:rsidRPr="007C747A">
              <w:rPr>
                <w:rFonts w:eastAsia="DengXian" w:cs="Arial"/>
                <w:sz w:val="22"/>
                <w:szCs w:val="22"/>
                <w:lang w:val="en-AU"/>
              </w:rPr>
              <w:t xml:space="preserve"> Napthine AO</w:t>
            </w:r>
          </w:p>
          <w:p w14:paraId="10E9DC09"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Estelle Pearson </w:t>
            </w:r>
          </w:p>
          <w:p w14:paraId="76AAEEA0" w14:textId="77777777" w:rsidR="00EB3F0F" w:rsidRPr="007C747A" w:rsidRDefault="00EB3F0F">
            <w:pPr>
              <w:spacing w:before="40" w:after="40"/>
              <w:cnfStyle w:val="000000100000" w:firstRow="0" w:lastRow="0" w:firstColumn="0" w:lastColumn="0" w:oddVBand="0" w:evenVBand="0" w:oddHBand="1" w:evenHBand="0" w:firstRowFirstColumn="0" w:firstRowLastColumn="0" w:lastRowFirstColumn="0" w:lastRowLastColumn="0"/>
              <w:rPr>
                <w:rFonts w:eastAsia="DengXian" w:cs="Arial"/>
                <w:sz w:val="22"/>
                <w:szCs w:val="22"/>
                <w:highlight w:val="yellow"/>
                <w:lang w:val="en-AU"/>
              </w:rPr>
            </w:pPr>
          </w:p>
        </w:tc>
      </w:tr>
      <w:tr w:rsidR="00EB3F0F" w:rsidRPr="007C747A" w14:paraId="123D3E33" w14:textId="77777777">
        <w:tc>
          <w:tcPr>
            <w:cnfStyle w:val="001000000000" w:firstRow="0" w:lastRow="0" w:firstColumn="1" w:lastColumn="0" w:oddVBand="0" w:evenVBand="0" w:oddHBand="0" w:evenHBand="0" w:firstRowFirstColumn="0" w:firstRowLastColumn="0" w:lastRowFirstColumn="0" w:lastRowLastColumn="0"/>
            <w:tcW w:w="1700" w:type="dxa"/>
            <w:hideMark/>
          </w:tcPr>
          <w:p w14:paraId="661606AC" w14:textId="77777777" w:rsidR="00EB3F0F" w:rsidRPr="007C747A" w:rsidRDefault="00EB3F0F">
            <w:pPr>
              <w:spacing w:before="120" w:after="120"/>
              <w:rPr>
                <w:rFonts w:eastAsia="DengXian" w:cs="Arial"/>
                <w:sz w:val="22"/>
                <w:szCs w:val="22"/>
                <w:lang w:val="en-AU"/>
              </w:rPr>
            </w:pPr>
            <w:r w:rsidRPr="007C747A">
              <w:rPr>
                <w:rFonts w:eastAsia="DengXian" w:cs="Arial"/>
                <w:sz w:val="22"/>
                <w:szCs w:val="22"/>
                <w:lang w:val="en-AU"/>
              </w:rPr>
              <w:t>ICT and Digital Committee</w:t>
            </w:r>
          </w:p>
        </w:tc>
        <w:tc>
          <w:tcPr>
            <w:tcW w:w="4736" w:type="dxa"/>
            <w:hideMark/>
          </w:tcPr>
          <w:p w14:paraId="760AE3D3"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The ICT and Digital Committee assists the Board in the management and oversight of the NDIA’s information, communication, technology and digital solutions, including providing input to the Board on the design, development, delivery and performance of the information, communication, technology and digital strategy and systems. </w:t>
            </w:r>
          </w:p>
        </w:tc>
        <w:tc>
          <w:tcPr>
            <w:tcW w:w="2920" w:type="dxa"/>
            <w:hideMark/>
          </w:tcPr>
          <w:p w14:paraId="1AD312B6"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Mr Jim Minto (Chair) </w:t>
            </w:r>
          </w:p>
          <w:p w14:paraId="2E8189BD"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Ms Maryanne Diamond AO</w:t>
            </w:r>
          </w:p>
          <w:p w14:paraId="3A8DE549"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Mr Kurt Fearnley AO </w:t>
            </w:r>
          </w:p>
          <w:p w14:paraId="70A20240"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Dr Peta Seaton AM</w:t>
            </w:r>
          </w:p>
        </w:tc>
      </w:tr>
      <w:tr w:rsidR="00EB3F0F" w:rsidRPr="007C747A" w14:paraId="218B45E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hideMark/>
          </w:tcPr>
          <w:p w14:paraId="5287E233" w14:textId="77777777" w:rsidR="00EB3F0F" w:rsidRPr="007C747A" w:rsidRDefault="00EB3F0F">
            <w:pPr>
              <w:spacing w:before="120" w:after="120"/>
              <w:rPr>
                <w:rFonts w:eastAsia="DengXian" w:cs="Arial"/>
                <w:sz w:val="22"/>
                <w:szCs w:val="22"/>
                <w:lang w:val="en-AU"/>
              </w:rPr>
            </w:pPr>
            <w:r w:rsidRPr="007C747A">
              <w:rPr>
                <w:rFonts w:eastAsia="DengXian" w:cs="Arial"/>
                <w:sz w:val="22"/>
                <w:szCs w:val="22"/>
                <w:lang w:val="en-AU"/>
              </w:rPr>
              <w:t>People and Remuneration Committee</w:t>
            </w:r>
          </w:p>
        </w:tc>
        <w:tc>
          <w:tcPr>
            <w:tcW w:w="4736" w:type="dxa"/>
            <w:hideMark/>
          </w:tcPr>
          <w:p w14:paraId="41FD96CB"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The People and Remuneration Committee assists the NDIA to attract, retain and develop high-performing employees. It oversees strategies, frameworks and programs related to people and remuneration, and provides recommendations to the Board on CEO succession planning.</w:t>
            </w:r>
          </w:p>
        </w:tc>
        <w:tc>
          <w:tcPr>
            <w:tcW w:w="2920" w:type="dxa"/>
            <w:hideMark/>
          </w:tcPr>
          <w:p w14:paraId="388EC289"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Mr Kurt Fearnley AO (Chair)</w:t>
            </w:r>
          </w:p>
          <w:p w14:paraId="57C9E4F9"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Sandra Birkensleigh </w:t>
            </w:r>
          </w:p>
          <w:p w14:paraId="7762112D"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Dr Graeme Innes AM </w:t>
            </w:r>
          </w:p>
          <w:p w14:paraId="0839DAB2" w14:textId="02AB7EAF"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Dr </w:t>
            </w:r>
            <w:r w:rsidR="00263256" w:rsidRPr="007C747A">
              <w:rPr>
                <w:rFonts w:eastAsia="DengXian" w:cs="Arial"/>
                <w:sz w:val="22"/>
                <w:szCs w:val="22"/>
                <w:lang w:val="en-AU"/>
              </w:rPr>
              <w:t xml:space="preserve">Denis </w:t>
            </w:r>
            <w:r w:rsidRPr="007C747A">
              <w:rPr>
                <w:rFonts w:eastAsia="DengXian" w:cs="Arial"/>
                <w:sz w:val="22"/>
                <w:szCs w:val="22"/>
                <w:lang w:val="en-AU"/>
              </w:rPr>
              <w:t>Napthine AO</w:t>
            </w:r>
          </w:p>
          <w:p w14:paraId="2E878F25"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p>
        </w:tc>
      </w:tr>
      <w:tr w:rsidR="00EB3F0F" w:rsidRPr="007C747A" w14:paraId="4238699B" w14:textId="77777777">
        <w:tc>
          <w:tcPr>
            <w:cnfStyle w:val="001000000000" w:firstRow="0" w:lastRow="0" w:firstColumn="1" w:lastColumn="0" w:oddVBand="0" w:evenVBand="0" w:oddHBand="0" w:evenHBand="0" w:firstRowFirstColumn="0" w:firstRowLastColumn="0" w:lastRowFirstColumn="0" w:lastRowLastColumn="0"/>
            <w:tcW w:w="1700" w:type="dxa"/>
            <w:hideMark/>
          </w:tcPr>
          <w:p w14:paraId="77065383" w14:textId="77777777" w:rsidR="00EB3F0F" w:rsidRPr="007C747A" w:rsidRDefault="00EB3F0F">
            <w:pPr>
              <w:spacing w:before="120" w:after="120"/>
              <w:rPr>
                <w:rFonts w:eastAsia="DengXian" w:cs="Arial"/>
                <w:sz w:val="22"/>
                <w:szCs w:val="22"/>
                <w:lang w:val="en-AU"/>
              </w:rPr>
            </w:pPr>
            <w:r w:rsidRPr="007C747A">
              <w:rPr>
                <w:rFonts w:eastAsia="DengXian" w:cs="Arial"/>
                <w:sz w:val="22"/>
                <w:szCs w:val="22"/>
                <w:lang w:val="en-AU"/>
              </w:rPr>
              <w:t>Risk Committee</w:t>
            </w:r>
          </w:p>
        </w:tc>
        <w:tc>
          <w:tcPr>
            <w:tcW w:w="4736" w:type="dxa"/>
            <w:hideMark/>
          </w:tcPr>
          <w:p w14:paraId="48BEAE31"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The Risk Committee assists the Board in the management and oversight of the NDIA’s approach to risk management. Its role is to advise the Board on the development and implementation of the NDIA’s overall risk management approach.</w:t>
            </w:r>
          </w:p>
        </w:tc>
        <w:tc>
          <w:tcPr>
            <w:tcW w:w="2920" w:type="dxa"/>
            <w:hideMark/>
          </w:tcPr>
          <w:p w14:paraId="562D7354"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Mr Jim Minto (Chair) </w:t>
            </w:r>
          </w:p>
          <w:p w14:paraId="28AE3C14"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Meredith Allen </w:t>
            </w:r>
          </w:p>
          <w:p w14:paraId="3F438795"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Sandra Birkensleigh </w:t>
            </w:r>
          </w:p>
          <w:p w14:paraId="1CB54170"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Ms Maryanne Diamond AO</w:t>
            </w:r>
          </w:p>
          <w:p w14:paraId="709C2526" w14:textId="08279E73"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Dr </w:t>
            </w:r>
            <w:r w:rsidR="00263256" w:rsidRPr="007C747A">
              <w:rPr>
                <w:rFonts w:eastAsia="DengXian" w:cs="Arial"/>
                <w:sz w:val="22"/>
                <w:szCs w:val="22"/>
                <w:lang w:val="en-AU"/>
              </w:rPr>
              <w:t xml:space="preserve">Denis </w:t>
            </w:r>
            <w:r w:rsidRPr="007C747A">
              <w:rPr>
                <w:rFonts w:eastAsia="DengXian" w:cs="Arial"/>
                <w:sz w:val="22"/>
                <w:szCs w:val="22"/>
                <w:lang w:val="en-AU"/>
              </w:rPr>
              <w:t>Napthine AO</w:t>
            </w:r>
          </w:p>
          <w:p w14:paraId="314A1D3D"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Ms Leah van Poppel</w:t>
            </w:r>
          </w:p>
          <w:p w14:paraId="03507F83" w14:textId="77777777" w:rsidR="00EB3F0F" w:rsidRPr="007C747A" w:rsidRDefault="00EB3F0F" w:rsidP="00D84D86">
            <w:pPr>
              <w:spacing w:before="40" w:after="40" w:line="240" w:lineRule="auto"/>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p>
        </w:tc>
      </w:tr>
      <w:tr w:rsidR="00EB3F0F" w:rsidRPr="007C747A" w14:paraId="72D3AE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hideMark/>
          </w:tcPr>
          <w:p w14:paraId="09382ED0" w14:textId="77777777" w:rsidR="00EB3F0F" w:rsidRPr="007C747A" w:rsidRDefault="00EB3F0F" w:rsidP="00D84D86">
            <w:pPr>
              <w:spacing w:before="120" w:after="120" w:line="240" w:lineRule="auto"/>
              <w:rPr>
                <w:rFonts w:ascii="Arial Bold" w:eastAsia="DengXian" w:hAnsi="Arial Bold" w:cs="Arial" w:hint="eastAsia"/>
                <w:sz w:val="22"/>
                <w:szCs w:val="22"/>
                <w:lang w:val="en-AU"/>
              </w:rPr>
            </w:pPr>
            <w:r w:rsidRPr="007C747A">
              <w:rPr>
                <w:rFonts w:ascii="Arial Bold" w:eastAsia="DengXian" w:hAnsi="Arial Bold" w:cs="Arial"/>
                <w:sz w:val="22"/>
                <w:szCs w:val="22"/>
                <w:lang w:val="en-AU"/>
              </w:rPr>
              <w:t>Sustainability Committee</w:t>
            </w:r>
          </w:p>
        </w:tc>
        <w:tc>
          <w:tcPr>
            <w:tcW w:w="4736" w:type="dxa"/>
            <w:hideMark/>
          </w:tcPr>
          <w:p w14:paraId="4B68A153"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The Sustainability Committee provides advice on assessing, monitoring, reporting on and managing the financial sustainability of the Scheme.</w:t>
            </w:r>
          </w:p>
        </w:tc>
        <w:tc>
          <w:tcPr>
            <w:tcW w:w="2920" w:type="dxa"/>
            <w:hideMark/>
          </w:tcPr>
          <w:p w14:paraId="4A8BC9CB" w14:textId="0E688AAE"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Estelle Pearson (Chair) Mr Kurt Fearnley AO </w:t>
            </w:r>
          </w:p>
          <w:p w14:paraId="061EA77A" w14:textId="77777777" w:rsidR="00D84D86"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Mr Jim Minto</w:t>
            </w:r>
          </w:p>
          <w:p w14:paraId="69D5BA99" w14:textId="77777777" w:rsidR="00D84D86"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Dr Peta Seaton AM </w:t>
            </w:r>
          </w:p>
          <w:p w14:paraId="32F023FF" w14:textId="327FBF2C"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Ms Leah van Poppel </w:t>
            </w:r>
          </w:p>
          <w:p w14:paraId="41A1AF6D" w14:textId="77777777" w:rsidR="00EB3F0F" w:rsidRPr="007C747A" w:rsidRDefault="00EB3F0F" w:rsidP="00D84D86">
            <w:pPr>
              <w:spacing w:before="40" w:after="40" w:line="240" w:lineRule="auto"/>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p>
        </w:tc>
      </w:tr>
      <w:bookmarkEnd w:id="635"/>
    </w:tbl>
    <w:p w14:paraId="3DDA76C3" w14:textId="77777777" w:rsidR="00EB3F0F" w:rsidRPr="007C747A" w:rsidRDefault="00EB3F0F" w:rsidP="00EB3F0F">
      <w:pPr>
        <w:rPr>
          <w:lang w:val="en-AU"/>
        </w:rPr>
        <w:sectPr w:rsidR="00EB3F0F" w:rsidRPr="007C747A" w:rsidSect="000F771D">
          <w:headerReference w:type="default" r:id="rId59"/>
          <w:headerReference w:type="first" r:id="rId60"/>
          <w:footnotePr>
            <w:numRestart w:val="eachSect"/>
          </w:footnotePr>
          <w:pgSz w:w="11907" w:h="16840" w:code="9"/>
          <w:pgMar w:top="284" w:right="907" w:bottom="284" w:left="964" w:header="510" w:footer="227" w:gutter="0"/>
          <w:cols w:space="708"/>
          <w:titlePg/>
          <w:docGrid w:linePitch="360"/>
        </w:sectPr>
      </w:pPr>
      <w:r w:rsidRPr="007C747A">
        <w:rPr>
          <w:sz w:val="22"/>
          <w:szCs w:val="22"/>
          <w:lang w:val="en-AU"/>
        </w:rPr>
        <w:br w:type="page"/>
      </w:r>
      <w:bookmarkStart w:id="636" w:name="_Toc142039636"/>
      <w:bookmarkEnd w:id="634"/>
    </w:p>
    <w:p w14:paraId="010ADFE6" w14:textId="77777777" w:rsidR="00EB3F0F" w:rsidRPr="007C747A" w:rsidRDefault="00EB3F0F" w:rsidP="001A0235">
      <w:pPr>
        <w:pStyle w:val="FGCHEADING3"/>
      </w:pPr>
      <w:bookmarkStart w:id="637" w:name="_Toc142047743"/>
      <w:bookmarkStart w:id="638" w:name="_Toc142573722"/>
      <w:bookmarkStart w:id="639" w:name="_Toc146289462"/>
      <w:r w:rsidRPr="007C747A">
        <w:t>Board and committee attendance</w:t>
      </w:r>
      <w:bookmarkEnd w:id="636"/>
      <w:bookmarkEnd w:id="637"/>
      <w:bookmarkEnd w:id="638"/>
      <w:bookmarkEnd w:id="639"/>
    </w:p>
    <w:p w14:paraId="33E4BC01" w14:textId="6AF3B6AB" w:rsidR="00C032AB" w:rsidRPr="007C747A" w:rsidRDefault="00C032AB" w:rsidP="00DC45A9">
      <w:pPr>
        <w:pStyle w:val="Heading43"/>
        <w:ind w:left="646"/>
        <w:outlineLvl w:val="3"/>
      </w:pPr>
      <w:r w:rsidRPr="007C747A">
        <w:t>Table 5.</w:t>
      </w:r>
      <w:r w:rsidR="0017498D" w:rsidRPr="007C747A">
        <w:t>2</w:t>
      </w:r>
      <w:r w:rsidRPr="007C747A">
        <w:t>.3A: Number of meetings attended by Board members in 2022–23</w:t>
      </w:r>
    </w:p>
    <w:tbl>
      <w:tblPr>
        <w:tblStyle w:val="GridTable2-Accent312"/>
        <w:tblW w:w="10490" w:type="dxa"/>
        <w:tblLayout w:type="fixed"/>
        <w:tblLook w:val="04A0" w:firstRow="1" w:lastRow="0" w:firstColumn="1" w:lastColumn="0" w:noHBand="0" w:noVBand="1"/>
      </w:tblPr>
      <w:tblGrid>
        <w:gridCol w:w="2686"/>
        <w:gridCol w:w="617"/>
        <w:gridCol w:w="574"/>
        <w:gridCol w:w="575"/>
        <w:gridCol w:w="575"/>
        <w:gridCol w:w="718"/>
        <w:gridCol w:w="719"/>
        <w:gridCol w:w="719"/>
        <w:gridCol w:w="719"/>
        <w:gridCol w:w="719"/>
        <w:gridCol w:w="719"/>
        <w:gridCol w:w="575"/>
        <w:gridCol w:w="575"/>
      </w:tblGrid>
      <w:tr w:rsidR="00D550BC" w:rsidRPr="007C747A" w14:paraId="6D0B9B2A" w14:textId="77777777" w:rsidTr="007624BC">
        <w:trPr>
          <w:cnfStyle w:val="100000000000" w:firstRow="1" w:lastRow="0" w:firstColumn="0" w:lastColumn="0" w:oddVBand="0" w:evenVBand="0" w:oddHBand="0" w:evenHBand="0" w:firstRowFirstColumn="0" w:firstRowLastColumn="0" w:lastRowFirstColumn="0" w:lastRowLastColumn="0"/>
          <w:cantSplit/>
          <w:trHeight w:val="2948"/>
        </w:trPr>
        <w:tc>
          <w:tcPr>
            <w:cnfStyle w:val="001000000000" w:firstRow="0" w:lastRow="0" w:firstColumn="1" w:lastColumn="0" w:oddVBand="0" w:evenVBand="0" w:oddHBand="0" w:evenHBand="0" w:firstRowFirstColumn="0" w:firstRowLastColumn="0" w:lastRowFirstColumn="0" w:lastRowLastColumn="0"/>
            <w:tcW w:w="2651"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shd w:val="clear" w:color="auto" w:fill="6B2876" w:themeFill="text1"/>
            <w:textDirection w:val="btLr"/>
          </w:tcPr>
          <w:p w14:paraId="2817255A" w14:textId="62BF862F" w:rsidR="002B66A5" w:rsidRPr="007C747A" w:rsidRDefault="00580B7B" w:rsidP="00D46F81">
            <w:pPr>
              <w:pStyle w:val="FGCNORMAL"/>
              <w:keepNext/>
              <w:spacing w:line="276" w:lineRule="auto"/>
              <w:ind w:left="113" w:right="113"/>
              <w:rPr>
                <w:b w:val="0"/>
                <w:bCs w:val="0"/>
                <w:color w:val="F9F9F9" w:themeColor="background1"/>
                <w:sz w:val="20"/>
                <w:szCs w:val="20"/>
              </w:rPr>
            </w:pPr>
            <w:bookmarkStart w:id="640" w:name="_Hlk107484645"/>
            <w:r w:rsidRPr="007C747A">
              <w:rPr>
                <w:rStyle w:val="FGCEMPHASIS"/>
                <w:color w:val="F9FAF9" w:themeColor="background2"/>
              </w:rPr>
              <w:t>Board memb</w:t>
            </w:r>
            <w:r w:rsidRPr="007C747A">
              <w:rPr>
                <w:rStyle w:val="FGCEMPHASIS"/>
                <w:color w:val="F9F9F9" w:themeColor="background1"/>
              </w:rPr>
              <w:t>er</w:t>
            </w:r>
          </w:p>
        </w:tc>
        <w:tc>
          <w:tcPr>
            <w:tcW w:w="61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453B6B9" w14:textId="19C6D17A"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NDIA Board</w:t>
            </w:r>
            <w:r w:rsidR="00092F5F" w:rsidRPr="007C747A">
              <w:rPr>
                <w:b w:val="0"/>
                <w:bCs w:val="0"/>
                <w:color w:val="F9F9F9" w:themeColor="background1"/>
                <w:sz w:val="20"/>
                <w:szCs w:val="20"/>
              </w:rPr>
              <w:t xml:space="preserve"> </w:t>
            </w:r>
            <w:r w:rsidR="0086461A" w:rsidRPr="007C747A">
              <w:rPr>
                <w:b w:val="0"/>
                <w:bCs w:val="0"/>
                <w:color w:val="F9F9F9" w:themeColor="background1"/>
                <w:sz w:val="20"/>
                <w:szCs w:val="20"/>
              </w:rPr>
              <w:t>Eligible</w:t>
            </w:r>
          </w:p>
        </w:tc>
        <w:tc>
          <w:tcPr>
            <w:tcW w:w="567"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1B00ABAA" w14:textId="4B2EE451"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NDIA Board</w:t>
            </w:r>
            <w:r w:rsidR="00371E37" w:rsidRPr="007C747A">
              <w:rPr>
                <w:b w:val="0"/>
                <w:bCs w:val="0"/>
                <w:color w:val="F9F9F9" w:themeColor="background1"/>
                <w:sz w:val="20"/>
                <w:szCs w:val="20"/>
              </w:rPr>
              <w:t xml:space="preserve"> Attended</w:t>
            </w:r>
          </w:p>
        </w:tc>
        <w:tc>
          <w:tcPr>
            <w:tcW w:w="567"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F1535CD" w14:textId="7B5EEC8A"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Audit Committee</w:t>
            </w:r>
            <w:r w:rsidR="00371E37" w:rsidRPr="007C747A">
              <w:rPr>
                <w:b w:val="0"/>
                <w:bCs w:val="0"/>
                <w:color w:val="F9F9F9" w:themeColor="background1"/>
                <w:sz w:val="20"/>
                <w:szCs w:val="20"/>
              </w:rPr>
              <w:t xml:space="preserve"> </w:t>
            </w:r>
            <w:r w:rsidR="006F2519" w:rsidRPr="007C747A">
              <w:rPr>
                <w:b w:val="0"/>
                <w:bCs w:val="0"/>
                <w:color w:val="F9F9F9" w:themeColor="background1"/>
                <w:sz w:val="20"/>
                <w:szCs w:val="20"/>
              </w:rPr>
              <w:t>Eligible</w:t>
            </w:r>
          </w:p>
        </w:tc>
        <w:tc>
          <w:tcPr>
            <w:tcW w:w="567"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3C6548E" w14:textId="08B61F6E"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Audit Committee</w:t>
            </w:r>
            <w:r w:rsidR="00371E37" w:rsidRPr="007C747A">
              <w:rPr>
                <w:b w:val="0"/>
                <w:bCs w:val="0"/>
                <w:color w:val="F9F9F9" w:themeColor="background1"/>
                <w:sz w:val="20"/>
                <w:szCs w:val="20"/>
              </w:rPr>
              <w:t xml:space="preserve"> Attended</w:t>
            </w:r>
          </w:p>
        </w:tc>
        <w:tc>
          <w:tcPr>
            <w:tcW w:w="70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7D696D6C" w14:textId="03A56552"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ICT and Digital Committee</w:t>
            </w:r>
            <w:r w:rsidR="00371E37" w:rsidRPr="007C747A">
              <w:rPr>
                <w:b w:val="0"/>
                <w:bCs w:val="0"/>
                <w:color w:val="F9F9F9" w:themeColor="background1"/>
                <w:sz w:val="20"/>
                <w:szCs w:val="20"/>
              </w:rPr>
              <w:t xml:space="preserve"> </w:t>
            </w:r>
            <w:r w:rsidR="006F2519" w:rsidRPr="007C747A">
              <w:rPr>
                <w:b w:val="0"/>
                <w:bCs w:val="0"/>
                <w:color w:val="F9F9F9" w:themeColor="background1"/>
                <w:sz w:val="20"/>
                <w:szCs w:val="20"/>
              </w:rPr>
              <w:t>Eligible</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6AA67D1C" w14:textId="7593D976"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ICT and Digital Committee</w:t>
            </w:r>
            <w:r w:rsidR="00940E91" w:rsidRPr="007C747A">
              <w:rPr>
                <w:b w:val="0"/>
                <w:bCs w:val="0"/>
                <w:color w:val="F9F9F9" w:themeColor="background1"/>
                <w:sz w:val="20"/>
                <w:szCs w:val="20"/>
              </w:rPr>
              <w:t xml:space="preserve"> Attended</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ED5C46A" w14:textId="0B724062"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color w:val="F9F9F9" w:themeColor="background1"/>
                <w:sz w:val="20"/>
                <w:szCs w:val="20"/>
              </w:rPr>
            </w:pPr>
            <w:r w:rsidRPr="007C747A">
              <w:rPr>
                <w:b w:val="0"/>
                <w:bCs w:val="0"/>
                <w:color w:val="F9F9F9" w:themeColor="background1"/>
                <w:sz w:val="20"/>
                <w:szCs w:val="20"/>
              </w:rPr>
              <w:t xml:space="preserve">People and </w:t>
            </w:r>
            <w:r w:rsidR="006F2519" w:rsidRPr="007C747A">
              <w:rPr>
                <w:b w:val="0"/>
                <w:bCs w:val="0"/>
                <w:color w:val="F9F9F9" w:themeColor="background1"/>
                <w:sz w:val="20"/>
                <w:szCs w:val="20"/>
              </w:rPr>
              <w:t xml:space="preserve">Remuneration </w:t>
            </w:r>
            <w:r w:rsidR="00FA6FD4" w:rsidRPr="007C747A">
              <w:rPr>
                <w:b w:val="0"/>
                <w:bCs w:val="0"/>
                <w:color w:val="F9F9F9" w:themeColor="background1"/>
                <w:sz w:val="20"/>
                <w:szCs w:val="20"/>
              </w:rPr>
              <w:t xml:space="preserve">Committee </w:t>
            </w:r>
            <w:r w:rsidR="006F2519" w:rsidRPr="007C747A">
              <w:rPr>
                <w:b w:val="0"/>
                <w:bCs w:val="0"/>
                <w:color w:val="F9F9F9" w:themeColor="background1"/>
                <w:sz w:val="20"/>
                <w:szCs w:val="20"/>
              </w:rPr>
              <w:t>Eligible</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101A9DDA" w14:textId="770D210C"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 xml:space="preserve">People and Remuneration </w:t>
            </w:r>
            <w:r w:rsidR="00FA6FD4" w:rsidRPr="007C747A">
              <w:rPr>
                <w:b w:val="0"/>
                <w:bCs w:val="0"/>
                <w:color w:val="F9F9F9" w:themeColor="background1"/>
                <w:sz w:val="20"/>
                <w:szCs w:val="20"/>
              </w:rPr>
              <w:t xml:space="preserve">Committee </w:t>
            </w:r>
            <w:r w:rsidR="006F2519" w:rsidRPr="007C747A">
              <w:rPr>
                <w:b w:val="0"/>
                <w:bCs w:val="0"/>
                <w:color w:val="F9F9F9" w:themeColor="background1"/>
                <w:sz w:val="20"/>
                <w:szCs w:val="20"/>
              </w:rPr>
              <w:t>Attended</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vAlign w:val="center"/>
          </w:tcPr>
          <w:p w14:paraId="368BEE49" w14:textId="191F32C9" w:rsidR="002B66A5" w:rsidRPr="007C747A" w:rsidRDefault="002C43B9"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Sustainability Committee Elig</w:t>
            </w:r>
            <w:r w:rsidR="00746FE8" w:rsidRPr="007C747A">
              <w:rPr>
                <w:b w:val="0"/>
                <w:bCs w:val="0"/>
                <w:color w:val="F9F9F9" w:themeColor="background1"/>
                <w:sz w:val="20"/>
                <w:szCs w:val="20"/>
              </w:rPr>
              <w:t>ible</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68265F47" w14:textId="7861604B" w:rsidR="002B66A5" w:rsidRPr="007C747A" w:rsidRDefault="002B66A5" w:rsidP="00D46F81">
            <w:pPr>
              <w:pStyle w:val="FGCNORMAL"/>
              <w:keepNext/>
              <w:spacing w:before="60" w:after="60"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Sustainability Committee</w:t>
            </w:r>
            <w:r w:rsidR="00580B7B" w:rsidRPr="007C747A">
              <w:rPr>
                <w:b w:val="0"/>
                <w:bCs w:val="0"/>
                <w:color w:val="F9F9F9" w:themeColor="background1"/>
                <w:sz w:val="20"/>
                <w:szCs w:val="20"/>
              </w:rPr>
              <w:t xml:space="preserve"> </w:t>
            </w:r>
            <w:r w:rsidR="006F2519" w:rsidRPr="007C747A">
              <w:rPr>
                <w:b w:val="0"/>
                <w:bCs w:val="0"/>
                <w:color w:val="F9F9F9" w:themeColor="background1"/>
                <w:sz w:val="20"/>
                <w:szCs w:val="20"/>
              </w:rPr>
              <w:t>Attended</w:t>
            </w:r>
          </w:p>
        </w:tc>
        <w:tc>
          <w:tcPr>
            <w:tcW w:w="567"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105739B" w14:textId="3DD6BF9E" w:rsidR="002B66A5" w:rsidRPr="007C747A" w:rsidRDefault="002B66A5" w:rsidP="00D46F81">
            <w:pPr>
              <w:pStyle w:val="FGCNORMAL"/>
              <w:keepNext/>
              <w:spacing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Risk Committee</w:t>
            </w:r>
            <w:r w:rsidR="00580B7B" w:rsidRPr="007C747A">
              <w:rPr>
                <w:b w:val="0"/>
                <w:bCs w:val="0"/>
                <w:color w:val="F9F9F9" w:themeColor="background1"/>
                <w:sz w:val="20"/>
                <w:szCs w:val="20"/>
              </w:rPr>
              <w:t xml:space="preserve"> </w:t>
            </w:r>
            <w:r w:rsidR="006F2519" w:rsidRPr="007C747A">
              <w:rPr>
                <w:b w:val="0"/>
                <w:bCs w:val="0"/>
                <w:color w:val="F9F9F9" w:themeColor="background1"/>
                <w:sz w:val="20"/>
                <w:szCs w:val="20"/>
              </w:rPr>
              <w:t>Eligible</w:t>
            </w:r>
          </w:p>
        </w:tc>
        <w:tc>
          <w:tcPr>
            <w:tcW w:w="567"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32211A5" w14:textId="7281EA89" w:rsidR="002B66A5" w:rsidRPr="007C747A" w:rsidRDefault="002B66A5" w:rsidP="00D46F81">
            <w:pPr>
              <w:pStyle w:val="FGCNORMAL"/>
              <w:keepNext/>
              <w:spacing w:line="276" w:lineRule="auto"/>
              <w:ind w:left="113" w:right="113"/>
              <w:cnfStyle w:val="100000000000" w:firstRow="1" w:lastRow="0" w:firstColumn="0" w:lastColumn="0" w:oddVBand="0" w:evenVBand="0" w:oddHBand="0" w:evenHBand="0" w:firstRowFirstColumn="0" w:firstRowLastColumn="0" w:lastRowFirstColumn="0" w:lastRowLastColumn="0"/>
              <w:rPr>
                <w:b w:val="0"/>
                <w:bCs w:val="0"/>
                <w:color w:val="F9F9F9" w:themeColor="background1"/>
                <w:sz w:val="20"/>
                <w:szCs w:val="20"/>
              </w:rPr>
            </w:pPr>
            <w:r w:rsidRPr="007C747A">
              <w:rPr>
                <w:b w:val="0"/>
                <w:bCs w:val="0"/>
                <w:color w:val="F9F9F9" w:themeColor="background1"/>
                <w:sz w:val="20"/>
                <w:szCs w:val="20"/>
              </w:rPr>
              <w:t>Risk Committee</w:t>
            </w:r>
            <w:r w:rsidR="00580B7B" w:rsidRPr="007C747A">
              <w:rPr>
                <w:b w:val="0"/>
                <w:bCs w:val="0"/>
                <w:color w:val="F9F9F9" w:themeColor="background1"/>
                <w:sz w:val="20"/>
                <w:szCs w:val="20"/>
              </w:rPr>
              <w:t xml:space="preserve"> </w:t>
            </w:r>
            <w:r w:rsidR="006F2519" w:rsidRPr="007C747A">
              <w:rPr>
                <w:b w:val="0"/>
                <w:bCs w:val="0"/>
                <w:color w:val="F9F9F9" w:themeColor="background1"/>
                <w:sz w:val="20"/>
                <w:szCs w:val="20"/>
              </w:rPr>
              <w:t>Attended</w:t>
            </w:r>
          </w:p>
        </w:tc>
      </w:tr>
      <w:tr w:rsidR="002C25B9" w:rsidRPr="007C747A" w14:paraId="5C230F60"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Borders>
              <w:top w:val="single" w:sz="4" w:space="0" w:color="F9FAF9" w:themeColor="background2"/>
            </w:tcBorders>
          </w:tcPr>
          <w:p w14:paraId="6036293A" w14:textId="77777777" w:rsidR="002C25B9" w:rsidRPr="007C747A" w:rsidRDefault="002C25B9" w:rsidP="002C25B9">
            <w:pPr>
              <w:pStyle w:val="FGCNORMAL"/>
              <w:keepNext/>
              <w:ind w:left="0"/>
              <w:rPr>
                <w:sz w:val="20"/>
                <w:szCs w:val="20"/>
              </w:rPr>
            </w:pPr>
            <w:r w:rsidRPr="007C747A">
              <w:rPr>
                <w:sz w:val="20"/>
                <w:szCs w:val="20"/>
              </w:rPr>
              <w:t>Mr Kurt Fearnley AO</w:t>
            </w:r>
            <w:r w:rsidRPr="007C747A">
              <w:rPr>
                <w:rStyle w:val="FootnoteReference"/>
                <w:sz w:val="20"/>
                <w:szCs w:val="20"/>
              </w:rPr>
              <w:footnoteReference w:id="8"/>
            </w:r>
            <w:r w:rsidRPr="007C747A">
              <w:rPr>
                <w:sz w:val="20"/>
                <w:szCs w:val="20"/>
              </w:rPr>
              <w:t xml:space="preserve"> (Chair)</w:t>
            </w:r>
          </w:p>
        </w:tc>
        <w:tc>
          <w:tcPr>
            <w:tcW w:w="610" w:type="dxa"/>
            <w:tcBorders>
              <w:top w:val="single" w:sz="4" w:space="0" w:color="F9FAF9" w:themeColor="background2"/>
            </w:tcBorders>
          </w:tcPr>
          <w:p w14:paraId="18D87861"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7</w:t>
            </w:r>
          </w:p>
        </w:tc>
        <w:tc>
          <w:tcPr>
            <w:tcW w:w="567" w:type="dxa"/>
            <w:tcBorders>
              <w:top w:val="single" w:sz="4" w:space="0" w:color="F9FAF9" w:themeColor="background2"/>
            </w:tcBorders>
          </w:tcPr>
          <w:p w14:paraId="438EE0B4"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7</w:t>
            </w:r>
          </w:p>
        </w:tc>
        <w:tc>
          <w:tcPr>
            <w:tcW w:w="567" w:type="dxa"/>
            <w:tcBorders>
              <w:top w:val="single" w:sz="4" w:space="0" w:color="F9FAF9" w:themeColor="background2"/>
            </w:tcBorders>
          </w:tcPr>
          <w:p w14:paraId="5B4F2D75" w14:textId="4A395C37" w:rsidR="002C25B9" w:rsidRPr="007C747A" w:rsidRDefault="00BB6711"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Borders>
              <w:top w:val="single" w:sz="4" w:space="0" w:color="F9FAF9" w:themeColor="background2"/>
            </w:tcBorders>
          </w:tcPr>
          <w:p w14:paraId="078FDA11"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8" w:type="dxa"/>
            <w:tcBorders>
              <w:top w:val="single" w:sz="4" w:space="0" w:color="F9FAF9" w:themeColor="background2"/>
            </w:tcBorders>
          </w:tcPr>
          <w:p w14:paraId="34AD7B9E"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w:t>
            </w:r>
          </w:p>
        </w:tc>
        <w:tc>
          <w:tcPr>
            <w:tcW w:w="709" w:type="dxa"/>
            <w:tcBorders>
              <w:top w:val="single" w:sz="4" w:space="0" w:color="F9FAF9" w:themeColor="background2"/>
            </w:tcBorders>
          </w:tcPr>
          <w:p w14:paraId="7E6C3423"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Borders>
              <w:top w:val="single" w:sz="4" w:space="0" w:color="F9FAF9" w:themeColor="background2"/>
            </w:tcBorders>
          </w:tcPr>
          <w:p w14:paraId="18191775" w14:textId="4DE9397C"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Borders>
              <w:top w:val="single" w:sz="4" w:space="0" w:color="F9FAF9" w:themeColor="background2"/>
            </w:tcBorders>
          </w:tcPr>
          <w:p w14:paraId="15A596FC" w14:textId="1E188C94"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Borders>
              <w:top w:val="single" w:sz="4" w:space="0" w:color="F9FAF9" w:themeColor="background2"/>
            </w:tcBorders>
          </w:tcPr>
          <w:p w14:paraId="0C9DECDC"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Borders>
              <w:top w:val="single" w:sz="4" w:space="0" w:color="F9FAF9" w:themeColor="background2"/>
            </w:tcBorders>
          </w:tcPr>
          <w:p w14:paraId="219466F3"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c>
          <w:tcPr>
            <w:tcW w:w="567" w:type="dxa"/>
            <w:tcBorders>
              <w:top w:val="single" w:sz="4" w:space="0" w:color="F9FAF9" w:themeColor="background2"/>
            </w:tcBorders>
          </w:tcPr>
          <w:p w14:paraId="553E4680"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567" w:type="dxa"/>
            <w:tcBorders>
              <w:top w:val="single" w:sz="4" w:space="0" w:color="F9FAF9" w:themeColor="background2"/>
            </w:tcBorders>
          </w:tcPr>
          <w:p w14:paraId="51238E9D"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r>
      <w:tr w:rsidR="002C25B9" w:rsidRPr="007C747A" w14:paraId="41E17496"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4811B6C2" w14:textId="77777777" w:rsidR="002C25B9" w:rsidRPr="007C747A" w:rsidRDefault="002C25B9" w:rsidP="002C25B9">
            <w:pPr>
              <w:pStyle w:val="FGCNORMAL"/>
              <w:keepNext/>
              <w:ind w:left="0"/>
              <w:rPr>
                <w:sz w:val="20"/>
                <w:szCs w:val="20"/>
              </w:rPr>
            </w:pPr>
            <w:r w:rsidRPr="007C747A">
              <w:rPr>
                <w:sz w:val="20"/>
                <w:szCs w:val="20"/>
              </w:rPr>
              <w:t>Ms Meredith Allan</w:t>
            </w:r>
          </w:p>
        </w:tc>
        <w:tc>
          <w:tcPr>
            <w:tcW w:w="610" w:type="dxa"/>
          </w:tcPr>
          <w:p w14:paraId="6A9D04FE"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11</w:t>
            </w:r>
          </w:p>
        </w:tc>
        <w:tc>
          <w:tcPr>
            <w:tcW w:w="567" w:type="dxa"/>
          </w:tcPr>
          <w:p w14:paraId="24D5804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11</w:t>
            </w:r>
          </w:p>
        </w:tc>
        <w:tc>
          <w:tcPr>
            <w:tcW w:w="567" w:type="dxa"/>
          </w:tcPr>
          <w:p w14:paraId="2DA7153C"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5</w:t>
            </w:r>
          </w:p>
        </w:tc>
        <w:tc>
          <w:tcPr>
            <w:tcW w:w="567" w:type="dxa"/>
          </w:tcPr>
          <w:p w14:paraId="7DE678C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5</w:t>
            </w:r>
          </w:p>
        </w:tc>
        <w:tc>
          <w:tcPr>
            <w:tcW w:w="708" w:type="dxa"/>
          </w:tcPr>
          <w:p w14:paraId="0DB496A2" w14:textId="11374F6E"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64036FA2"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709" w:type="dxa"/>
          </w:tcPr>
          <w:p w14:paraId="72DE8F30" w14:textId="11EEE12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5F280F82"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1EE7DDCC" w14:textId="4B7B5075"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4034A05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5</w:t>
            </w:r>
          </w:p>
        </w:tc>
        <w:tc>
          <w:tcPr>
            <w:tcW w:w="567" w:type="dxa"/>
          </w:tcPr>
          <w:p w14:paraId="3DF82384"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4</w:t>
            </w:r>
          </w:p>
        </w:tc>
        <w:tc>
          <w:tcPr>
            <w:tcW w:w="567" w:type="dxa"/>
          </w:tcPr>
          <w:p w14:paraId="737746BB"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4</w:t>
            </w:r>
          </w:p>
        </w:tc>
      </w:tr>
      <w:tr w:rsidR="002C25B9" w:rsidRPr="007C747A" w14:paraId="5134AACA"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Pr>
          <w:p w14:paraId="014273B1" w14:textId="77777777" w:rsidR="002C25B9" w:rsidRPr="007C747A" w:rsidRDefault="002C25B9" w:rsidP="002C25B9">
            <w:pPr>
              <w:pStyle w:val="FGCNORMAL"/>
              <w:keepNext/>
              <w:ind w:left="0"/>
              <w:rPr>
                <w:sz w:val="20"/>
                <w:szCs w:val="20"/>
              </w:rPr>
            </w:pPr>
            <w:r w:rsidRPr="007C747A">
              <w:rPr>
                <w:sz w:val="20"/>
                <w:szCs w:val="20"/>
              </w:rPr>
              <w:t>Ms Sandra Birkensleigh</w:t>
            </w:r>
            <w:r w:rsidRPr="007C747A">
              <w:rPr>
                <w:rStyle w:val="FootnoteReference"/>
                <w:sz w:val="20"/>
                <w:szCs w:val="20"/>
              </w:rPr>
              <w:footnoteReference w:id="9"/>
            </w:r>
          </w:p>
        </w:tc>
        <w:tc>
          <w:tcPr>
            <w:tcW w:w="610" w:type="dxa"/>
          </w:tcPr>
          <w:p w14:paraId="6D5CEE91"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11</w:t>
            </w:r>
          </w:p>
        </w:tc>
        <w:tc>
          <w:tcPr>
            <w:tcW w:w="567" w:type="dxa"/>
          </w:tcPr>
          <w:p w14:paraId="21392365"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10</w:t>
            </w:r>
          </w:p>
        </w:tc>
        <w:tc>
          <w:tcPr>
            <w:tcW w:w="567" w:type="dxa"/>
          </w:tcPr>
          <w:p w14:paraId="280F9C4E"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5</w:t>
            </w:r>
          </w:p>
        </w:tc>
        <w:tc>
          <w:tcPr>
            <w:tcW w:w="567" w:type="dxa"/>
          </w:tcPr>
          <w:p w14:paraId="79EC222A"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5</w:t>
            </w:r>
          </w:p>
        </w:tc>
        <w:tc>
          <w:tcPr>
            <w:tcW w:w="708" w:type="dxa"/>
          </w:tcPr>
          <w:p w14:paraId="72E7B08C" w14:textId="51A0E779"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3D6CDE79" w14:textId="24DCF8EE"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149FAC4A"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Pr>
          <w:p w14:paraId="4CA14EAD"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w:t>
            </w:r>
          </w:p>
        </w:tc>
        <w:tc>
          <w:tcPr>
            <w:tcW w:w="709" w:type="dxa"/>
          </w:tcPr>
          <w:p w14:paraId="63541ABD" w14:textId="4C46927C"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2C92A0F9" w14:textId="4A6E7896"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103641E8"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4</w:t>
            </w:r>
          </w:p>
        </w:tc>
        <w:tc>
          <w:tcPr>
            <w:tcW w:w="567" w:type="dxa"/>
          </w:tcPr>
          <w:p w14:paraId="0C8B25C5"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4</w:t>
            </w:r>
          </w:p>
        </w:tc>
      </w:tr>
      <w:tr w:rsidR="002C25B9" w:rsidRPr="007C747A" w14:paraId="2E666CB3"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6C88F85F" w14:textId="77777777" w:rsidR="002C25B9" w:rsidRPr="007C747A" w:rsidRDefault="002C25B9" w:rsidP="002C25B9">
            <w:pPr>
              <w:pStyle w:val="FGCNORMAL"/>
              <w:keepNext/>
              <w:ind w:left="0"/>
              <w:rPr>
                <w:sz w:val="20"/>
                <w:szCs w:val="20"/>
              </w:rPr>
            </w:pPr>
            <w:r w:rsidRPr="007C747A">
              <w:rPr>
                <w:sz w:val="20"/>
                <w:szCs w:val="20"/>
              </w:rPr>
              <w:t>Professor Jane Burns</w:t>
            </w:r>
            <w:r w:rsidRPr="007C747A">
              <w:rPr>
                <w:rStyle w:val="FootnoteReference"/>
                <w:sz w:val="20"/>
                <w:szCs w:val="20"/>
              </w:rPr>
              <w:footnoteReference w:id="10"/>
            </w:r>
          </w:p>
        </w:tc>
        <w:tc>
          <w:tcPr>
            <w:tcW w:w="610" w:type="dxa"/>
          </w:tcPr>
          <w:p w14:paraId="5DAD516A"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9</w:t>
            </w:r>
          </w:p>
        </w:tc>
        <w:tc>
          <w:tcPr>
            <w:tcW w:w="567" w:type="dxa"/>
          </w:tcPr>
          <w:p w14:paraId="5D1947EB"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8</w:t>
            </w:r>
          </w:p>
        </w:tc>
        <w:tc>
          <w:tcPr>
            <w:tcW w:w="567" w:type="dxa"/>
          </w:tcPr>
          <w:p w14:paraId="2DE8D83E" w14:textId="0B14EEA8"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58BC7C24"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8" w:type="dxa"/>
          </w:tcPr>
          <w:p w14:paraId="51F36511"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709" w:type="dxa"/>
          </w:tcPr>
          <w:p w14:paraId="01791DEA"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1E7D3A3B"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452FA0F5"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1</w:t>
            </w:r>
          </w:p>
        </w:tc>
        <w:tc>
          <w:tcPr>
            <w:tcW w:w="709" w:type="dxa"/>
          </w:tcPr>
          <w:p w14:paraId="4F3EACD5" w14:textId="3D14668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32795706" w14:textId="52AEAF39"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740C4D61" w14:textId="1284F78D"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17017807" w14:textId="12198789"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r>
      <w:tr w:rsidR="002C25B9" w:rsidRPr="007C747A" w14:paraId="23D2BEA8"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Pr>
          <w:p w14:paraId="2A64E5CC" w14:textId="77777777" w:rsidR="002C25B9" w:rsidRPr="007C747A" w:rsidRDefault="002C25B9" w:rsidP="002C25B9">
            <w:pPr>
              <w:pStyle w:val="FGCNORMAL"/>
              <w:keepNext/>
              <w:ind w:left="0"/>
              <w:rPr>
                <w:sz w:val="20"/>
                <w:szCs w:val="20"/>
              </w:rPr>
            </w:pPr>
            <w:r w:rsidRPr="007C747A">
              <w:rPr>
                <w:sz w:val="20"/>
                <w:szCs w:val="20"/>
              </w:rPr>
              <w:t>Ms Maryanne Diamond AO</w:t>
            </w:r>
          </w:p>
        </w:tc>
        <w:tc>
          <w:tcPr>
            <w:tcW w:w="610" w:type="dxa"/>
          </w:tcPr>
          <w:p w14:paraId="7BD0839F"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7</w:t>
            </w:r>
          </w:p>
        </w:tc>
        <w:tc>
          <w:tcPr>
            <w:tcW w:w="567" w:type="dxa"/>
          </w:tcPr>
          <w:p w14:paraId="095653AA"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7</w:t>
            </w:r>
          </w:p>
        </w:tc>
        <w:tc>
          <w:tcPr>
            <w:tcW w:w="567" w:type="dxa"/>
          </w:tcPr>
          <w:p w14:paraId="4FD45F9F" w14:textId="020873AF"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21653FD0"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8" w:type="dxa"/>
          </w:tcPr>
          <w:p w14:paraId="444DDB5D"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w:t>
            </w:r>
          </w:p>
        </w:tc>
        <w:tc>
          <w:tcPr>
            <w:tcW w:w="709" w:type="dxa"/>
          </w:tcPr>
          <w:p w14:paraId="79E55F97"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Pr>
          <w:p w14:paraId="6F9117C4" w14:textId="06AA44BE"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2C49BA68"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w:t>
            </w:r>
          </w:p>
        </w:tc>
        <w:tc>
          <w:tcPr>
            <w:tcW w:w="709" w:type="dxa"/>
          </w:tcPr>
          <w:p w14:paraId="2380F988" w14:textId="78346395"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25F19067"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c>
          <w:tcPr>
            <w:tcW w:w="567" w:type="dxa"/>
          </w:tcPr>
          <w:p w14:paraId="3F3D8986"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567" w:type="dxa"/>
          </w:tcPr>
          <w:p w14:paraId="36D1A5CF"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r>
      <w:tr w:rsidR="002C25B9" w:rsidRPr="007C747A" w14:paraId="7A957299"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66E8FF4E" w14:textId="77777777" w:rsidR="002C25B9" w:rsidRPr="007C747A" w:rsidRDefault="002C25B9" w:rsidP="002C25B9">
            <w:pPr>
              <w:pStyle w:val="FGCNORMAL"/>
              <w:keepNext/>
              <w:ind w:left="0"/>
              <w:rPr>
                <w:sz w:val="20"/>
                <w:szCs w:val="20"/>
              </w:rPr>
            </w:pPr>
            <w:r w:rsidRPr="007C747A">
              <w:rPr>
                <w:sz w:val="20"/>
                <w:szCs w:val="20"/>
              </w:rPr>
              <w:t>Dr Richard Fejo</w:t>
            </w:r>
          </w:p>
        </w:tc>
        <w:tc>
          <w:tcPr>
            <w:tcW w:w="610" w:type="dxa"/>
          </w:tcPr>
          <w:p w14:paraId="1397501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2EE86CC1"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25A0FF42" w14:textId="0CDD359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2C6D43F8" w14:textId="1D5E3322"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8" w:type="dxa"/>
          </w:tcPr>
          <w:p w14:paraId="76D55563" w14:textId="41DC5F31"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71399E10" w14:textId="3E3CAB59"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4A71C99E" w14:textId="3886594A"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0A508B58" w14:textId="151C2B33"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4EFE5362" w14:textId="74B209A8"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0DD1BB15" w14:textId="6D2972D5"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4202DE5C" w14:textId="6A273882"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03193F13" w14:textId="7DAFB90D"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r>
      <w:tr w:rsidR="002C25B9" w:rsidRPr="007C747A" w14:paraId="7F26A50B"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Pr>
          <w:p w14:paraId="525A485A" w14:textId="77777777" w:rsidR="002C25B9" w:rsidRPr="007C747A" w:rsidRDefault="002C25B9" w:rsidP="002C25B9">
            <w:pPr>
              <w:pStyle w:val="FGCNORMAL"/>
              <w:keepNext/>
              <w:ind w:left="0"/>
              <w:rPr>
                <w:sz w:val="20"/>
                <w:szCs w:val="20"/>
              </w:rPr>
            </w:pPr>
            <w:r w:rsidRPr="007C747A">
              <w:rPr>
                <w:sz w:val="20"/>
                <w:szCs w:val="20"/>
              </w:rPr>
              <w:t>Mr Graeme Innes AM</w:t>
            </w:r>
          </w:p>
        </w:tc>
        <w:tc>
          <w:tcPr>
            <w:tcW w:w="610" w:type="dxa"/>
          </w:tcPr>
          <w:p w14:paraId="6C967D55"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7</w:t>
            </w:r>
          </w:p>
        </w:tc>
        <w:tc>
          <w:tcPr>
            <w:tcW w:w="567" w:type="dxa"/>
          </w:tcPr>
          <w:p w14:paraId="64532182"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7</w:t>
            </w:r>
          </w:p>
        </w:tc>
        <w:tc>
          <w:tcPr>
            <w:tcW w:w="567" w:type="dxa"/>
          </w:tcPr>
          <w:p w14:paraId="64396D56" w14:textId="011A3409"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0A2478C7" w14:textId="654AE2CF"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8" w:type="dxa"/>
          </w:tcPr>
          <w:p w14:paraId="343A196D" w14:textId="04EBF91E"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33EE27BD" w14:textId="6BC0B1A3"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52775FE4" w14:textId="5A6BADD4"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48A68CB0"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w:t>
            </w:r>
          </w:p>
        </w:tc>
        <w:tc>
          <w:tcPr>
            <w:tcW w:w="709" w:type="dxa"/>
          </w:tcPr>
          <w:p w14:paraId="38701421" w14:textId="1B9817D6"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3EC107CF" w14:textId="34D72949"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0E557787" w14:textId="3D57A65E"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7FD73C06" w14:textId="66963D9C"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r>
      <w:tr w:rsidR="002C25B9" w:rsidRPr="007C747A" w14:paraId="21B2FDA0"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0896825F" w14:textId="72F64EF5" w:rsidR="002C25B9" w:rsidRPr="007C747A" w:rsidRDefault="00A178E3" w:rsidP="002C25B9">
            <w:pPr>
              <w:pStyle w:val="FGCNORMAL"/>
              <w:keepNext/>
              <w:ind w:left="0"/>
              <w:rPr>
                <w:sz w:val="20"/>
                <w:szCs w:val="20"/>
              </w:rPr>
            </w:pPr>
            <w:r w:rsidRPr="007C747A">
              <w:rPr>
                <w:sz w:val="20"/>
                <w:szCs w:val="20"/>
              </w:rPr>
              <w:t xml:space="preserve">Mrs </w:t>
            </w:r>
            <w:r w:rsidR="002C25B9" w:rsidRPr="007C747A">
              <w:rPr>
                <w:sz w:val="20"/>
                <w:szCs w:val="20"/>
              </w:rPr>
              <w:t>Joan McKenna Kerr</w:t>
            </w:r>
          </w:p>
        </w:tc>
        <w:tc>
          <w:tcPr>
            <w:tcW w:w="610" w:type="dxa"/>
          </w:tcPr>
          <w:p w14:paraId="1114353B"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4F4ACD2F"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03AE591F" w14:textId="2CC6853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529DB3F5" w14:textId="41DF55CC"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8" w:type="dxa"/>
          </w:tcPr>
          <w:p w14:paraId="070D929A" w14:textId="2FEB3AA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2EBDD432" w14:textId="6E367781"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4382491F" w14:textId="3A937158"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783C049F" w14:textId="457022F2"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318A4A37" w14:textId="79F97FE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214DDC9A" w14:textId="73AD4AB0"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4314B166" w14:textId="5A172691"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0BE66B67" w14:textId="452F606B"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r>
      <w:tr w:rsidR="002C25B9" w:rsidRPr="007C747A" w14:paraId="21322009"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Pr>
          <w:p w14:paraId="6AB8A73C" w14:textId="77777777" w:rsidR="002C25B9" w:rsidRPr="007C747A" w:rsidRDefault="002C25B9" w:rsidP="002C25B9">
            <w:pPr>
              <w:pStyle w:val="FGCNORMAL"/>
              <w:keepNext/>
              <w:ind w:left="0"/>
              <w:rPr>
                <w:sz w:val="20"/>
                <w:szCs w:val="20"/>
              </w:rPr>
            </w:pPr>
            <w:r w:rsidRPr="007C747A">
              <w:rPr>
                <w:sz w:val="20"/>
                <w:szCs w:val="20"/>
              </w:rPr>
              <w:t>Mr Jim Minto</w:t>
            </w:r>
            <w:r w:rsidRPr="007C747A">
              <w:rPr>
                <w:rStyle w:val="FootnoteReference"/>
                <w:sz w:val="20"/>
                <w:szCs w:val="20"/>
              </w:rPr>
              <w:footnoteReference w:id="11"/>
            </w:r>
          </w:p>
        </w:tc>
        <w:tc>
          <w:tcPr>
            <w:tcW w:w="610" w:type="dxa"/>
          </w:tcPr>
          <w:p w14:paraId="48F486E8"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11</w:t>
            </w:r>
          </w:p>
        </w:tc>
        <w:tc>
          <w:tcPr>
            <w:tcW w:w="567" w:type="dxa"/>
          </w:tcPr>
          <w:p w14:paraId="67E85183"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11</w:t>
            </w:r>
          </w:p>
        </w:tc>
        <w:tc>
          <w:tcPr>
            <w:tcW w:w="567" w:type="dxa"/>
          </w:tcPr>
          <w:p w14:paraId="568C099F"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567" w:type="dxa"/>
          </w:tcPr>
          <w:p w14:paraId="5559FC57"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5</w:t>
            </w:r>
          </w:p>
        </w:tc>
        <w:tc>
          <w:tcPr>
            <w:tcW w:w="708" w:type="dxa"/>
          </w:tcPr>
          <w:p w14:paraId="78327ECD"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c>
          <w:tcPr>
            <w:tcW w:w="709" w:type="dxa"/>
          </w:tcPr>
          <w:p w14:paraId="44377F93"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Pr>
          <w:p w14:paraId="2026030B"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Pr>
          <w:p w14:paraId="6D4F9243"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9" w:type="dxa"/>
          </w:tcPr>
          <w:p w14:paraId="20AB094E"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6</w:t>
            </w:r>
          </w:p>
        </w:tc>
        <w:tc>
          <w:tcPr>
            <w:tcW w:w="709" w:type="dxa"/>
          </w:tcPr>
          <w:p w14:paraId="5C90BDA4"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5</w:t>
            </w:r>
          </w:p>
        </w:tc>
        <w:tc>
          <w:tcPr>
            <w:tcW w:w="567" w:type="dxa"/>
          </w:tcPr>
          <w:p w14:paraId="37C82148"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4</w:t>
            </w:r>
          </w:p>
        </w:tc>
        <w:tc>
          <w:tcPr>
            <w:tcW w:w="567" w:type="dxa"/>
          </w:tcPr>
          <w:p w14:paraId="13B1A5CB"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4</w:t>
            </w:r>
          </w:p>
        </w:tc>
      </w:tr>
      <w:tr w:rsidR="002C25B9" w:rsidRPr="007C747A" w14:paraId="431C58A5"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1B03B118" w14:textId="6E401224" w:rsidR="002C25B9" w:rsidRPr="007C747A" w:rsidRDefault="002C25B9" w:rsidP="002C25B9">
            <w:pPr>
              <w:pStyle w:val="FGCNORMAL"/>
              <w:keepNext/>
              <w:ind w:left="0"/>
              <w:rPr>
                <w:sz w:val="20"/>
                <w:szCs w:val="20"/>
              </w:rPr>
            </w:pPr>
            <w:r w:rsidRPr="007C747A">
              <w:rPr>
                <w:sz w:val="20"/>
                <w:szCs w:val="20"/>
              </w:rPr>
              <w:t xml:space="preserve">Dr </w:t>
            </w:r>
            <w:r w:rsidR="00B0124D" w:rsidRPr="007C747A">
              <w:rPr>
                <w:sz w:val="20"/>
                <w:szCs w:val="20"/>
              </w:rPr>
              <w:t xml:space="preserve">Denis </w:t>
            </w:r>
            <w:r w:rsidRPr="007C747A">
              <w:rPr>
                <w:sz w:val="20"/>
                <w:szCs w:val="20"/>
              </w:rPr>
              <w:t xml:space="preserve">Napthine AO </w:t>
            </w:r>
          </w:p>
        </w:tc>
        <w:tc>
          <w:tcPr>
            <w:tcW w:w="610" w:type="dxa"/>
          </w:tcPr>
          <w:p w14:paraId="77ADA58E"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7</w:t>
            </w:r>
          </w:p>
        </w:tc>
        <w:tc>
          <w:tcPr>
            <w:tcW w:w="567" w:type="dxa"/>
          </w:tcPr>
          <w:p w14:paraId="5BB52F7F"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7</w:t>
            </w:r>
          </w:p>
        </w:tc>
        <w:tc>
          <w:tcPr>
            <w:tcW w:w="567" w:type="dxa"/>
          </w:tcPr>
          <w:p w14:paraId="50EBFF2A"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08A8DAE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708" w:type="dxa"/>
          </w:tcPr>
          <w:p w14:paraId="50E2B84B" w14:textId="006689B1"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24C4F010"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323A4EFC" w14:textId="7173C0A6"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01F4E3BB"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1</w:t>
            </w:r>
          </w:p>
        </w:tc>
        <w:tc>
          <w:tcPr>
            <w:tcW w:w="709" w:type="dxa"/>
          </w:tcPr>
          <w:p w14:paraId="2AD129AB" w14:textId="2B5128E3"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35384976"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567" w:type="dxa"/>
          </w:tcPr>
          <w:p w14:paraId="4B66F12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473E7BB3"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r>
      <w:tr w:rsidR="002C25B9" w:rsidRPr="007C747A" w14:paraId="221BC3E5"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Pr>
          <w:p w14:paraId="31818AE2" w14:textId="77777777" w:rsidR="002C25B9" w:rsidRPr="007C747A" w:rsidRDefault="002C25B9" w:rsidP="002C25B9">
            <w:pPr>
              <w:pStyle w:val="FGCNORMAL"/>
              <w:keepNext/>
              <w:ind w:left="0"/>
              <w:rPr>
                <w:sz w:val="20"/>
                <w:szCs w:val="20"/>
              </w:rPr>
            </w:pPr>
            <w:r w:rsidRPr="007C747A">
              <w:rPr>
                <w:sz w:val="20"/>
                <w:szCs w:val="20"/>
              </w:rPr>
              <w:t>Ms Estelle Pearson</w:t>
            </w:r>
          </w:p>
        </w:tc>
        <w:tc>
          <w:tcPr>
            <w:tcW w:w="610" w:type="dxa"/>
          </w:tcPr>
          <w:p w14:paraId="51B9CAE1"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11</w:t>
            </w:r>
          </w:p>
        </w:tc>
        <w:tc>
          <w:tcPr>
            <w:tcW w:w="567" w:type="dxa"/>
          </w:tcPr>
          <w:p w14:paraId="5FA8FE37"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9</w:t>
            </w:r>
          </w:p>
        </w:tc>
        <w:tc>
          <w:tcPr>
            <w:tcW w:w="567" w:type="dxa"/>
          </w:tcPr>
          <w:p w14:paraId="712D7412"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5</w:t>
            </w:r>
          </w:p>
        </w:tc>
        <w:tc>
          <w:tcPr>
            <w:tcW w:w="567" w:type="dxa"/>
          </w:tcPr>
          <w:p w14:paraId="77CACC8C"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c>
          <w:tcPr>
            <w:tcW w:w="708" w:type="dxa"/>
          </w:tcPr>
          <w:p w14:paraId="3A161A5C" w14:textId="639A5B83"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7CFE0CDE" w14:textId="795DDECF"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39408B7F" w14:textId="34C5C2A7"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7C3461DF" w14:textId="3EF1230B"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009BA6F2"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6</w:t>
            </w:r>
          </w:p>
        </w:tc>
        <w:tc>
          <w:tcPr>
            <w:tcW w:w="709" w:type="dxa"/>
          </w:tcPr>
          <w:p w14:paraId="6E603A00"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6</w:t>
            </w:r>
          </w:p>
        </w:tc>
        <w:tc>
          <w:tcPr>
            <w:tcW w:w="567" w:type="dxa"/>
          </w:tcPr>
          <w:p w14:paraId="7C9DF2A8" w14:textId="7877C3FB"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5273088C"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w:t>
            </w:r>
          </w:p>
        </w:tc>
      </w:tr>
      <w:tr w:rsidR="002C25B9" w:rsidRPr="007C747A" w14:paraId="39586F45"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1E36E449" w14:textId="2B04D774" w:rsidR="002C25B9" w:rsidRPr="007C747A" w:rsidRDefault="00FF2E74" w:rsidP="002C25B9">
            <w:pPr>
              <w:pStyle w:val="FGCNORMAL"/>
              <w:keepNext/>
              <w:ind w:left="0"/>
              <w:rPr>
                <w:sz w:val="20"/>
                <w:szCs w:val="20"/>
              </w:rPr>
            </w:pPr>
            <w:r w:rsidRPr="007C747A">
              <w:rPr>
                <w:sz w:val="20"/>
                <w:szCs w:val="20"/>
              </w:rPr>
              <w:t xml:space="preserve">Dr </w:t>
            </w:r>
            <w:r w:rsidR="002C25B9" w:rsidRPr="007C747A">
              <w:rPr>
                <w:sz w:val="20"/>
                <w:szCs w:val="20"/>
              </w:rPr>
              <w:t>Peta Seaton AM</w:t>
            </w:r>
            <w:r w:rsidR="002C25B9" w:rsidRPr="007C747A">
              <w:rPr>
                <w:rStyle w:val="FootnoteReference"/>
                <w:sz w:val="20"/>
                <w:szCs w:val="20"/>
              </w:rPr>
              <w:footnoteReference w:id="12"/>
            </w:r>
          </w:p>
        </w:tc>
        <w:tc>
          <w:tcPr>
            <w:tcW w:w="610" w:type="dxa"/>
          </w:tcPr>
          <w:p w14:paraId="3AE091EC"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11</w:t>
            </w:r>
          </w:p>
        </w:tc>
        <w:tc>
          <w:tcPr>
            <w:tcW w:w="567" w:type="dxa"/>
          </w:tcPr>
          <w:p w14:paraId="544AD690"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10</w:t>
            </w:r>
          </w:p>
        </w:tc>
        <w:tc>
          <w:tcPr>
            <w:tcW w:w="567" w:type="dxa"/>
          </w:tcPr>
          <w:p w14:paraId="56162542" w14:textId="25A65E82"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2AA031BD"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708" w:type="dxa"/>
          </w:tcPr>
          <w:p w14:paraId="5EA0F48D"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709" w:type="dxa"/>
          </w:tcPr>
          <w:p w14:paraId="5FD2BDB5"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709" w:type="dxa"/>
          </w:tcPr>
          <w:p w14:paraId="32C4A597" w14:textId="5583CB72"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9" w:type="dxa"/>
          </w:tcPr>
          <w:p w14:paraId="3D116DB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60AAF9D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6</w:t>
            </w:r>
          </w:p>
        </w:tc>
        <w:tc>
          <w:tcPr>
            <w:tcW w:w="709" w:type="dxa"/>
          </w:tcPr>
          <w:p w14:paraId="1A3FB0AF"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5</w:t>
            </w:r>
          </w:p>
        </w:tc>
        <w:tc>
          <w:tcPr>
            <w:tcW w:w="567" w:type="dxa"/>
          </w:tcPr>
          <w:p w14:paraId="1869DB8E" w14:textId="5863B830"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30188FFB"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r>
      <w:tr w:rsidR="002C25B9" w:rsidRPr="007C747A" w14:paraId="1F2F9D4D" w14:textId="77777777" w:rsidTr="00D550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651" w:type="dxa"/>
          </w:tcPr>
          <w:p w14:paraId="10B170CD" w14:textId="77777777" w:rsidR="002C25B9" w:rsidRPr="007C747A" w:rsidRDefault="002C25B9" w:rsidP="002C25B9">
            <w:pPr>
              <w:pStyle w:val="FGCNORMAL"/>
              <w:keepNext/>
              <w:ind w:left="0"/>
              <w:rPr>
                <w:sz w:val="20"/>
                <w:szCs w:val="20"/>
              </w:rPr>
            </w:pPr>
            <w:r w:rsidRPr="007C747A">
              <w:rPr>
                <w:sz w:val="20"/>
                <w:szCs w:val="20"/>
              </w:rPr>
              <w:t>Ms Leah van Poppel</w:t>
            </w:r>
          </w:p>
        </w:tc>
        <w:tc>
          <w:tcPr>
            <w:tcW w:w="610" w:type="dxa"/>
          </w:tcPr>
          <w:p w14:paraId="02412DEF"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11</w:t>
            </w:r>
          </w:p>
        </w:tc>
        <w:tc>
          <w:tcPr>
            <w:tcW w:w="567" w:type="dxa"/>
          </w:tcPr>
          <w:p w14:paraId="198BEBEA"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10</w:t>
            </w:r>
          </w:p>
        </w:tc>
        <w:tc>
          <w:tcPr>
            <w:tcW w:w="567" w:type="dxa"/>
          </w:tcPr>
          <w:p w14:paraId="27E62B6E" w14:textId="39F54682"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567" w:type="dxa"/>
          </w:tcPr>
          <w:p w14:paraId="441CE703"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708" w:type="dxa"/>
          </w:tcPr>
          <w:p w14:paraId="23D745F1" w14:textId="2BF9E6F9"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14A2FEF4" w14:textId="2D1E9741"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4C1B864B" w14:textId="099D6651"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56FBD92A" w14:textId="2F77852D" w:rsidR="002C25B9" w:rsidRPr="007C747A" w:rsidRDefault="00BA6DDF"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0</w:t>
            </w:r>
          </w:p>
        </w:tc>
        <w:tc>
          <w:tcPr>
            <w:tcW w:w="709" w:type="dxa"/>
          </w:tcPr>
          <w:p w14:paraId="16C70C02"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6</w:t>
            </w:r>
          </w:p>
        </w:tc>
        <w:tc>
          <w:tcPr>
            <w:tcW w:w="709" w:type="dxa"/>
          </w:tcPr>
          <w:p w14:paraId="6D2463D8"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6</w:t>
            </w:r>
          </w:p>
        </w:tc>
        <w:tc>
          <w:tcPr>
            <w:tcW w:w="567" w:type="dxa"/>
          </w:tcPr>
          <w:p w14:paraId="28173B5F"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2</w:t>
            </w:r>
          </w:p>
        </w:tc>
        <w:tc>
          <w:tcPr>
            <w:tcW w:w="567" w:type="dxa"/>
          </w:tcPr>
          <w:p w14:paraId="1E4D868D" w14:textId="77777777" w:rsidR="002C25B9" w:rsidRPr="007C747A" w:rsidRDefault="002C25B9" w:rsidP="00BB6711">
            <w:pPr>
              <w:pStyle w:val="FGCNORMAL"/>
              <w:keepNext/>
              <w:ind w:left="0"/>
              <w:jc w:val="center"/>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3</w:t>
            </w:r>
          </w:p>
        </w:tc>
      </w:tr>
      <w:tr w:rsidR="002C25B9" w:rsidRPr="007C747A" w14:paraId="269334BB" w14:textId="77777777" w:rsidTr="00D550BC">
        <w:trPr>
          <w:trHeight w:val="20"/>
        </w:trPr>
        <w:tc>
          <w:tcPr>
            <w:cnfStyle w:val="001000000000" w:firstRow="0" w:lastRow="0" w:firstColumn="1" w:lastColumn="0" w:oddVBand="0" w:evenVBand="0" w:oddHBand="0" w:evenHBand="0" w:firstRowFirstColumn="0" w:firstRowLastColumn="0" w:lastRowFirstColumn="0" w:lastRowLastColumn="0"/>
            <w:tcW w:w="2651" w:type="dxa"/>
          </w:tcPr>
          <w:p w14:paraId="00B250CB" w14:textId="77777777" w:rsidR="002C25B9" w:rsidRPr="007C747A" w:rsidRDefault="002C25B9" w:rsidP="002C25B9">
            <w:pPr>
              <w:pStyle w:val="FGCNORMAL"/>
              <w:keepNext/>
              <w:ind w:left="0"/>
              <w:rPr>
                <w:sz w:val="20"/>
                <w:szCs w:val="20"/>
              </w:rPr>
            </w:pPr>
            <w:r w:rsidRPr="007C747A">
              <w:rPr>
                <w:sz w:val="20"/>
                <w:szCs w:val="20"/>
              </w:rPr>
              <w:t>Mr Glenn Keys</w:t>
            </w:r>
            <w:r w:rsidRPr="007C747A">
              <w:rPr>
                <w:rStyle w:val="FootnoteReference"/>
                <w:sz w:val="20"/>
                <w:szCs w:val="20"/>
              </w:rPr>
              <w:footnoteReference w:id="13"/>
            </w:r>
          </w:p>
        </w:tc>
        <w:tc>
          <w:tcPr>
            <w:tcW w:w="610" w:type="dxa"/>
          </w:tcPr>
          <w:p w14:paraId="53D2299A"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6</w:t>
            </w:r>
          </w:p>
        </w:tc>
        <w:tc>
          <w:tcPr>
            <w:tcW w:w="567" w:type="dxa"/>
          </w:tcPr>
          <w:p w14:paraId="4092D914"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5</w:t>
            </w:r>
          </w:p>
        </w:tc>
        <w:tc>
          <w:tcPr>
            <w:tcW w:w="567" w:type="dxa"/>
          </w:tcPr>
          <w:p w14:paraId="5C9EBB4A"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3</w:t>
            </w:r>
          </w:p>
        </w:tc>
        <w:tc>
          <w:tcPr>
            <w:tcW w:w="567" w:type="dxa"/>
          </w:tcPr>
          <w:p w14:paraId="5083FCB8" w14:textId="173CDB2E"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708" w:type="dxa"/>
          </w:tcPr>
          <w:p w14:paraId="7282FBD4"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2603DDD1"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7D6160AE"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1BC6F789"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709" w:type="dxa"/>
          </w:tcPr>
          <w:p w14:paraId="3B131438"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4</w:t>
            </w:r>
          </w:p>
        </w:tc>
        <w:tc>
          <w:tcPr>
            <w:tcW w:w="709" w:type="dxa"/>
          </w:tcPr>
          <w:p w14:paraId="65FB6CD4" w14:textId="48145F4E"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c>
          <w:tcPr>
            <w:tcW w:w="567" w:type="dxa"/>
          </w:tcPr>
          <w:p w14:paraId="798ADB9A" w14:textId="77777777" w:rsidR="002C25B9" w:rsidRPr="007C747A" w:rsidRDefault="002C25B9"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2</w:t>
            </w:r>
          </w:p>
        </w:tc>
        <w:tc>
          <w:tcPr>
            <w:tcW w:w="567" w:type="dxa"/>
          </w:tcPr>
          <w:p w14:paraId="5F1793F0" w14:textId="2B0D44B5" w:rsidR="002C25B9" w:rsidRPr="007C747A" w:rsidRDefault="00BA6DDF" w:rsidP="00BB6711">
            <w:pPr>
              <w:pStyle w:val="FGCNORMAL"/>
              <w:keepNext/>
              <w:ind w:left="0"/>
              <w:jc w:val="center"/>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0</w:t>
            </w:r>
          </w:p>
        </w:tc>
      </w:tr>
    </w:tbl>
    <w:p w14:paraId="7C091F02" w14:textId="77777777" w:rsidR="00EB3F0F" w:rsidRPr="007C747A" w:rsidRDefault="00EB3F0F" w:rsidP="00B11B64">
      <w:pPr>
        <w:pStyle w:val="FGCNORMAL"/>
        <w:rPr>
          <w:rFonts w:eastAsia="Cambria"/>
          <w:sz w:val="16"/>
          <w:szCs w:val="16"/>
        </w:rPr>
      </w:pPr>
      <w:bookmarkStart w:id="641" w:name="_Hlk107484771"/>
      <w:bookmarkEnd w:id="640"/>
      <w:r w:rsidRPr="007C747A">
        <w:rPr>
          <w:sz w:val="16"/>
          <w:szCs w:val="16"/>
        </w:rPr>
        <w:t>Table note:</w:t>
      </w:r>
      <w:r w:rsidRPr="007C747A">
        <w:rPr>
          <w:rFonts w:eastAsia="Cambria"/>
          <w:sz w:val="16"/>
          <w:szCs w:val="16"/>
        </w:rPr>
        <w:t xml:space="preserve"> Board members may attend any Board committee meeting in their capacity as a director. ‘Eligible’ refers to the number of scheduled committee meetings available to be attended by a director as a formal member of the committee. ‘Attended’ refers to the actual number of meetings Board members attended. </w:t>
      </w:r>
      <w:bookmarkEnd w:id="641"/>
    </w:p>
    <w:p w14:paraId="38B3EFCD" w14:textId="5EAC8F1E" w:rsidR="00E328DF" w:rsidRPr="007C747A" w:rsidRDefault="00E328DF">
      <w:pPr>
        <w:spacing w:after="0" w:line="240" w:lineRule="auto"/>
        <w:rPr>
          <w:sz w:val="16"/>
          <w:szCs w:val="16"/>
          <w:lang w:val="en-AU"/>
        </w:rPr>
      </w:pPr>
      <w:r w:rsidRPr="007C747A">
        <w:rPr>
          <w:sz w:val="16"/>
          <w:szCs w:val="16"/>
          <w:lang w:val="en-AU"/>
        </w:rPr>
        <w:br w:type="page"/>
      </w:r>
    </w:p>
    <w:p w14:paraId="27BB563F" w14:textId="77777777" w:rsidR="00EB3F0F" w:rsidRPr="007C747A" w:rsidRDefault="00EB3F0F" w:rsidP="001A0235">
      <w:pPr>
        <w:pStyle w:val="FGCHEADING3"/>
      </w:pPr>
      <w:bookmarkStart w:id="642" w:name="_Toc142039637"/>
      <w:bookmarkStart w:id="643" w:name="_Toc142047745"/>
      <w:bookmarkStart w:id="644" w:name="_Toc142573723"/>
      <w:bookmarkStart w:id="645" w:name="_Toc146289463"/>
      <w:r w:rsidRPr="007C747A">
        <w:t>Board membership</w:t>
      </w:r>
      <w:bookmarkEnd w:id="642"/>
      <w:bookmarkEnd w:id="643"/>
      <w:bookmarkEnd w:id="644"/>
      <w:bookmarkEnd w:id="645"/>
    </w:p>
    <w:p w14:paraId="58E884C1" w14:textId="77777777" w:rsidR="00EB3F0F" w:rsidRPr="007C747A" w:rsidRDefault="00EB3F0F" w:rsidP="00063BAF">
      <w:pPr>
        <w:pStyle w:val="FGCNORMAL"/>
        <w:spacing w:line="240" w:lineRule="auto"/>
      </w:pPr>
      <w:bookmarkStart w:id="646" w:name="_Hlk141963359"/>
      <w:r w:rsidRPr="007C747A">
        <w:t xml:space="preserve">A number of significant changes were made to the NDIA Board in 2022–23. </w:t>
      </w:r>
    </w:p>
    <w:p w14:paraId="6B39C018" w14:textId="559CDD8F" w:rsidR="00EB3F0F" w:rsidRPr="007C747A" w:rsidRDefault="00EB3F0F" w:rsidP="00063BAF">
      <w:pPr>
        <w:pStyle w:val="FGCNORMAL"/>
        <w:spacing w:line="240" w:lineRule="auto"/>
      </w:pPr>
      <w:r w:rsidRPr="007C747A">
        <w:t xml:space="preserve">Dr </w:t>
      </w:r>
      <w:r w:rsidR="00B0124D" w:rsidRPr="007C747A">
        <w:t xml:space="preserve">Denis </w:t>
      </w:r>
      <w:r w:rsidRPr="007C747A">
        <w:t xml:space="preserve">Napthine AM resigned as Chair on 18 July 2022 and was temporarily replaced by Mr Jim Minto as </w:t>
      </w:r>
      <w:r w:rsidR="00A6763B" w:rsidRPr="007C747A">
        <w:t>A</w:t>
      </w:r>
      <w:r w:rsidRPr="007C747A">
        <w:t xml:space="preserve">cting Chair. </w:t>
      </w:r>
    </w:p>
    <w:p w14:paraId="218B4CB6" w14:textId="3281F84A" w:rsidR="00EB3F0F" w:rsidRPr="007C747A" w:rsidRDefault="00EB3F0F" w:rsidP="00063BAF">
      <w:pPr>
        <w:pStyle w:val="FGCNORMAL"/>
        <w:spacing w:line="240" w:lineRule="auto"/>
      </w:pPr>
      <w:r w:rsidRPr="007C747A">
        <w:t xml:space="preserve">Mr Kurt Fearnley AO was appointed </w:t>
      </w:r>
      <w:r w:rsidR="00A6763B" w:rsidRPr="007C747A">
        <w:t>as</w:t>
      </w:r>
      <w:r w:rsidRPr="007C747A">
        <w:t xml:space="preserve"> Chair and commenced his term on 18</w:t>
      </w:r>
      <w:r w:rsidR="00A6763B" w:rsidRPr="007C747A">
        <w:t> </w:t>
      </w:r>
      <w:r w:rsidRPr="007C747A">
        <w:t xml:space="preserve">October 2022. </w:t>
      </w:r>
    </w:p>
    <w:p w14:paraId="780A9C7C" w14:textId="77777777" w:rsidR="00EB3F0F" w:rsidRPr="007C747A" w:rsidRDefault="00EB3F0F" w:rsidP="00063BAF">
      <w:pPr>
        <w:pStyle w:val="FGCNORMAL"/>
        <w:spacing w:line="240" w:lineRule="auto"/>
      </w:pPr>
      <w:r w:rsidRPr="007C747A">
        <w:t xml:space="preserve">Ms Maryanne Diamond and Mr Graeme Innes AM were also appointed to the Board, and Dr Napthine was reappointed to the Board, commencing their terms on 18 October 2022. </w:t>
      </w:r>
    </w:p>
    <w:p w14:paraId="65158B73" w14:textId="77777777" w:rsidR="00DF4135" w:rsidRPr="007C747A" w:rsidRDefault="00DF4135" w:rsidP="00063BAF">
      <w:pPr>
        <w:pStyle w:val="FGCNORMAL"/>
        <w:spacing w:line="240" w:lineRule="auto"/>
      </w:pPr>
      <w:r w:rsidRPr="007C747A">
        <w:t>Mr Glenn Keys completed his Board appointment on 31 December 2022.</w:t>
      </w:r>
    </w:p>
    <w:p w14:paraId="4A222DFE" w14:textId="3F1F0460" w:rsidR="00EB3F0F" w:rsidRPr="007C747A" w:rsidRDefault="00EB3F0F" w:rsidP="00063BAF">
      <w:pPr>
        <w:pStyle w:val="FGCNORMAL"/>
        <w:spacing w:line="240" w:lineRule="auto"/>
      </w:pPr>
      <w:r w:rsidRPr="007C747A">
        <w:t xml:space="preserve">Professor Jane Burns completed her Board appointment on 31 December 2022 and was reappointed until 31 March 2023. </w:t>
      </w:r>
    </w:p>
    <w:p w14:paraId="1C4B4750" w14:textId="349FEB0C" w:rsidR="00EB3F0F" w:rsidRPr="007C747A" w:rsidRDefault="00EB3F0F" w:rsidP="00063BAF">
      <w:pPr>
        <w:pStyle w:val="FGCNORMAL"/>
        <w:spacing w:line="240" w:lineRule="auto"/>
      </w:pPr>
      <w:r w:rsidRPr="007C747A">
        <w:t xml:space="preserve">Dr Richard Fejo and </w:t>
      </w:r>
      <w:r w:rsidR="00A80ADC" w:rsidRPr="007C747A">
        <w:t xml:space="preserve">Mrs </w:t>
      </w:r>
      <w:r w:rsidRPr="007C747A">
        <w:t xml:space="preserve">Joan McKenna Kerr were appointed to the Board and commenced their terms in April 2023. </w:t>
      </w:r>
    </w:p>
    <w:p w14:paraId="0EFB79F8" w14:textId="77777777" w:rsidR="00EB3F0F" w:rsidRPr="007C747A" w:rsidRDefault="00EB3F0F" w:rsidP="00063BAF">
      <w:pPr>
        <w:pStyle w:val="FGCNORMAL"/>
        <w:spacing w:line="240" w:lineRule="auto"/>
      </w:pPr>
      <w:r w:rsidRPr="007C747A">
        <w:t xml:space="preserve">Ms Sandra Birkensleigh, Mr Jim Minto and Ms Estelle Pearson completed their Board appointments on 30 June 2023. Ms Pearson was reappointed until 10 October 2023. </w:t>
      </w:r>
    </w:p>
    <w:p w14:paraId="6082D185" w14:textId="77777777" w:rsidR="00EB3F0F" w:rsidRPr="007C747A" w:rsidRDefault="00EB3F0F" w:rsidP="00EB3F0F">
      <w:pPr>
        <w:pStyle w:val="FGCNORMAL"/>
      </w:pPr>
    </w:p>
    <w:p w14:paraId="15ACBE86" w14:textId="77777777" w:rsidR="00EB3F0F" w:rsidRPr="007C747A" w:rsidRDefault="00EB3F0F" w:rsidP="006F76B6">
      <w:pPr>
        <w:pStyle w:val="FGCHEADING2"/>
      </w:pPr>
      <w:bookmarkStart w:id="647" w:name="_Toc142039638"/>
      <w:bookmarkStart w:id="648" w:name="_Toc142047746"/>
      <w:bookmarkStart w:id="649" w:name="_Toc142563010"/>
      <w:bookmarkStart w:id="650" w:name="_Toc142573724"/>
      <w:bookmarkStart w:id="651" w:name="_Toc146289464"/>
      <w:bookmarkStart w:id="652" w:name="_Toc148108422"/>
      <w:bookmarkEnd w:id="646"/>
      <w:r w:rsidRPr="007C747A">
        <w:t>The Independent Advisory Council</w:t>
      </w:r>
      <w:bookmarkEnd w:id="647"/>
      <w:bookmarkEnd w:id="648"/>
      <w:bookmarkEnd w:id="649"/>
      <w:bookmarkEnd w:id="650"/>
      <w:bookmarkEnd w:id="651"/>
      <w:bookmarkEnd w:id="652"/>
    </w:p>
    <w:p w14:paraId="766D923E" w14:textId="23F7BA62" w:rsidR="007F6999" w:rsidRPr="007C747A" w:rsidRDefault="007F6999" w:rsidP="007F6999">
      <w:pPr>
        <w:pStyle w:val="FGCNORMAL"/>
        <w:spacing w:line="240" w:lineRule="auto"/>
      </w:pPr>
      <w:r w:rsidRPr="007C747A">
        <w:t xml:space="preserve">The Independent Advisory Council (IAC) provides the NDIA Board with independent advice, which the Board must consider when performing its duties, pursuant </w:t>
      </w:r>
      <w:r w:rsidR="0019224C" w:rsidRPr="007C747A">
        <w:t>to s</w:t>
      </w:r>
      <w:r w:rsidRPr="007C747A">
        <w:t xml:space="preserve">ection 144 of the NDIS Act. </w:t>
      </w:r>
    </w:p>
    <w:p w14:paraId="64904750" w14:textId="77777777" w:rsidR="007F6999" w:rsidRPr="007C747A" w:rsidRDefault="007F6999" w:rsidP="007F6999">
      <w:pPr>
        <w:pStyle w:val="FGCNORMAL"/>
        <w:spacing w:line="240" w:lineRule="auto"/>
      </w:pPr>
      <w:r w:rsidRPr="007C747A">
        <w:t xml:space="preserve">The IAC, formally appointed by the Minister, is composed of 12 members from across Australia, who are people with disability or experts in disability issues. </w:t>
      </w:r>
    </w:p>
    <w:p w14:paraId="0E0CAC65" w14:textId="77777777" w:rsidR="007F6999" w:rsidRPr="007C747A" w:rsidRDefault="007F6999" w:rsidP="007F6999">
      <w:pPr>
        <w:pStyle w:val="FGCNORMAL"/>
        <w:spacing w:line="240" w:lineRule="auto"/>
      </w:pPr>
      <w:r w:rsidRPr="007C747A">
        <w:t xml:space="preserve">IAC members play an integral role in bringing the crucial perspectives of participants, disability sector experts and the broader disability community to the heart of the NDIS and into the NDIA boardroom.  </w:t>
      </w:r>
    </w:p>
    <w:p w14:paraId="173E5A7D" w14:textId="77777777" w:rsidR="007F6999" w:rsidRPr="007C747A" w:rsidRDefault="007F6999" w:rsidP="007F6999">
      <w:pPr>
        <w:pStyle w:val="FGCNORMAL"/>
        <w:spacing w:line="240" w:lineRule="auto"/>
      </w:pPr>
      <w:r w:rsidRPr="007C747A">
        <w:t xml:space="preserve">During 2022–23, the IAC continued to engage with the NDIA to provide advice. Key work highlights for the financial year include: </w:t>
      </w:r>
    </w:p>
    <w:p w14:paraId="4E221EF0" w14:textId="29D80D50" w:rsidR="007F6999" w:rsidRPr="007C747A" w:rsidRDefault="007F6999" w:rsidP="007F6999">
      <w:pPr>
        <w:pStyle w:val="FGCBULLET1"/>
        <w:spacing w:line="240" w:lineRule="auto"/>
      </w:pPr>
      <w:r w:rsidRPr="007C747A">
        <w:t>providing the advice ‘Equity and inclusion in the NDIS’ to the Board</w:t>
      </w:r>
      <w:r w:rsidR="00377989" w:rsidRPr="007C747A">
        <w:t>.</w:t>
      </w:r>
    </w:p>
    <w:p w14:paraId="0E09B981" w14:textId="2572D1C0" w:rsidR="007F6999" w:rsidRPr="007C747A" w:rsidRDefault="007F6999" w:rsidP="007F6999">
      <w:pPr>
        <w:pStyle w:val="FGCBULLET1"/>
        <w:spacing w:line="240" w:lineRule="auto"/>
      </w:pPr>
      <w:r w:rsidRPr="007C747A">
        <w:t>developing a statement that underpins intersectionality in all IAC advice and work</w:t>
      </w:r>
      <w:r w:rsidR="00377989" w:rsidRPr="007C747A">
        <w:t>.</w:t>
      </w:r>
    </w:p>
    <w:p w14:paraId="261E34F3" w14:textId="7EC21221" w:rsidR="007F6999" w:rsidRPr="007C747A" w:rsidRDefault="007F6999" w:rsidP="007F6999">
      <w:pPr>
        <w:pStyle w:val="FGCBULLET1"/>
        <w:spacing w:line="240" w:lineRule="auto"/>
      </w:pPr>
      <w:r w:rsidRPr="007C747A">
        <w:t xml:space="preserve">developing the advice ‘Enhancing behaviour supports in the </w:t>
      </w:r>
      <w:r w:rsidR="002304A2" w:rsidRPr="007C747A">
        <w:t>NDIA’</w:t>
      </w:r>
      <w:r w:rsidR="00377989" w:rsidRPr="007C747A">
        <w:t>.</w:t>
      </w:r>
    </w:p>
    <w:p w14:paraId="6FE212C2" w14:textId="6F1F5B02" w:rsidR="007F6999" w:rsidRPr="007C747A" w:rsidRDefault="007F6999" w:rsidP="007F6999">
      <w:pPr>
        <w:pStyle w:val="FGCBULLET1"/>
        <w:spacing w:line="240" w:lineRule="auto"/>
      </w:pPr>
      <w:r w:rsidRPr="007C747A">
        <w:t xml:space="preserve">developing the advice ‘Improving the NDIS for children and young people: the importance of being guided by their </w:t>
      </w:r>
      <w:r w:rsidR="002304A2" w:rsidRPr="007C747A">
        <w:t>voice’</w:t>
      </w:r>
      <w:r w:rsidR="00377989" w:rsidRPr="007C747A">
        <w:t>.</w:t>
      </w:r>
    </w:p>
    <w:p w14:paraId="4EF69D6D" w14:textId="676EC792" w:rsidR="007F6999" w:rsidRPr="007C747A" w:rsidRDefault="007F6999" w:rsidP="007F6999">
      <w:pPr>
        <w:pStyle w:val="FGCBULLET1"/>
        <w:spacing w:line="240" w:lineRule="auto"/>
      </w:pPr>
      <w:r w:rsidRPr="007C747A">
        <w:t xml:space="preserve">working alongside the NDIA to progress statements that set out what has been done, or is to be done, in response to IAC advice (Agency </w:t>
      </w:r>
      <w:r w:rsidR="0019224C" w:rsidRPr="007C747A">
        <w:t>r</w:t>
      </w:r>
      <w:r w:rsidRPr="007C747A">
        <w:t>esponse), in line with section 145(b) of the NDIS Act</w:t>
      </w:r>
      <w:r w:rsidR="00377989" w:rsidRPr="007C747A">
        <w:t>.</w:t>
      </w:r>
    </w:p>
    <w:p w14:paraId="66024FAA" w14:textId="77777777" w:rsidR="007F6999" w:rsidRPr="007C747A" w:rsidRDefault="007F6999" w:rsidP="007F6999">
      <w:pPr>
        <w:pStyle w:val="FGCBULLET1"/>
        <w:spacing w:line="240" w:lineRule="auto"/>
      </w:pPr>
      <w:r w:rsidRPr="007C747A">
        <w:t xml:space="preserve">engaging with the NDIS Review and the Minister for the NDIS to provide insight and solutions to NDIS issues that impact participants and the broader disability community. </w:t>
      </w:r>
    </w:p>
    <w:p w14:paraId="01B70A46" w14:textId="77777777" w:rsidR="007F6999" w:rsidRPr="007C747A" w:rsidRDefault="007F6999" w:rsidP="007F6999">
      <w:pPr>
        <w:pStyle w:val="FGCNORMAL"/>
        <w:spacing w:line="240" w:lineRule="auto"/>
        <w:rPr>
          <w:rFonts w:eastAsiaTheme="minorHAnsi"/>
        </w:rPr>
      </w:pPr>
      <w:r w:rsidRPr="007C747A">
        <w:t>This year the IAC took a lead role in the NDIA’s co-design efforts, working across various co-design steering committees. IAC representatives provided strategic advice, governance and oversight to some of the following NDIA projects:</w:t>
      </w:r>
    </w:p>
    <w:p w14:paraId="6611C6EA" w14:textId="40EA38AA" w:rsidR="007F6999" w:rsidRPr="007C747A" w:rsidRDefault="0019224C" w:rsidP="007F6999">
      <w:pPr>
        <w:pStyle w:val="FGCBULLET1"/>
        <w:spacing w:line="240" w:lineRule="auto"/>
      </w:pPr>
      <w:r w:rsidRPr="007C747A">
        <w:t>d</w:t>
      </w:r>
      <w:r w:rsidR="007F6999" w:rsidRPr="007C747A">
        <w:t>evelopment of a Home and Living Framework and Implementation Plan</w:t>
      </w:r>
      <w:r w:rsidR="00EA0C4B" w:rsidRPr="007C747A">
        <w:t>.</w:t>
      </w:r>
      <w:r w:rsidR="007F6999" w:rsidRPr="007C747A">
        <w:t xml:space="preserve"> </w:t>
      </w:r>
    </w:p>
    <w:p w14:paraId="5308F4A6" w14:textId="1BF725C3" w:rsidR="007F6999" w:rsidRPr="007C747A" w:rsidRDefault="0019224C" w:rsidP="007F6999">
      <w:pPr>
        <w:pStyle w:val="FGCBULLET1"/>
        <w:spacing w:line="240" w:lineRule="auto"/>
        <w:rPr>
          <w:rFonts w:eastAsia="Times New Roman"/>
        </w:rPr>
      </w:pPr>
      <w:r w:rsidRPr="007C747A">
        <w:rPr>
          <w:rFonts w:eastAsia="Times New Roman"/>
        </w:rPr>
        <w:t>r</w:t>
      </w:r>
      <w:r w:rsidR="007F6999" w:rsidRPr="007C747A">
        <w:rPr>
          <w:rFonts w:eastAsia="Times New Roman"/>
        </w:rPr>
        <w:t xml:space="preserve">elease of the </w:t>
      </w:r>
      <w:hyperlink r:id="rId61" w:history="1">
        <w:r w:rsidR="007F6999" w:rsidRPr="00B74C35">
          <w:rPr>
            <w:rStyle w:val="Hyperlink"/>
            <w:rFonts w:eastAsia="Times New Roman"/>
            <w:sz w:val="24"/>
            <w:szCs w:val="24"/>
          </w:rPr>
          <w:t>Supported Decision Making</w:t>
        </w:r>
        <w:r w:rsidR="007F6999" w:rsidRPr="00B74C35">
          <w:rPr>
            <w:rStyle w:val="Hyperlink"/>
            <w:rFonts w:eastAsia="Times New Roman"/>
          </w:rPr>
          <w:t xml:space="preserve"> Policy</w:t>
        </w:r>
      </w:hyperlink>
      <w:r w:rsidR="00EA0C4B" w:rsidRPr="00B74C35">
        <w:rPr>
          <w:rStyle w:val="Hyperlink"/>
          <w:rFonts w:eastAsia="Times New Roman"/>
        </w:rPr>
        <w:t>.</w:t>
      </w:r>
      <w:r w:rsidR="007F6999" w:rsidRPr="007C747A">
        <w:rPr>
          <w:rFonts w:eastAsia="Times New Roman"/>
        </w:rPr>
        <w:t xml:space="preserve"> </w:t>
      </w:r>
    </w:p>
    <w:p w14:paraId="199E5588" w14:textId="6298BDB9" w:rsidR="007F6999" w:rsidRPr="007C747A" w:rsidRDefault="0019224C" w:rsidP="007F6999">
      <w:pPr>
        <w:pStyle w:val="FGCBULLET1"/>
        <w:spacing w:line="240" w:lineRule="auto"/>
        <w:rPr>
          <w:rFonts w:eastAsiaTheme="minorHAnsi"/>
        </w:rPr>
      </w:pPr>
      <w:r w:rsidRPr="007C747A">
        <w:t>r</w:t>
      </w:r>
      <w:r w:rsidR="007F6999" w:rsidRPr="007C747A">
        <w:t xml:space="preserve">elease of the </w:t>
      </w:r>
      <w:hyperlink r:id="rId62" w:history="1">
        <w:r w:rsidR="007F6999" w:rsidRPr="00B74C35">
          <w:rPr>
            <w:rStyle w:val="Hyperlink"/>
            <w:sz w:val="24"/>
            <w:szCs w:val="24"/>
          </w:rPr>
          <w:t>Participant Safeguarding Policy</w:t>
        </w:r>
      </w:hyperlink>
      <w:r w:rsidR="007F6999" w:rsidRPr="00B74C35">
        <w:rPr>
          <w:color w:val="6B2876" w:themeColor="text1"/>
        </w:rPr>
        <w:t>,</w:t>
      </w:r>
      <w:r w:rsidR="007F6999" w:rsidRPr="007C747A">
        <w:t xml:space="preserve"> which had its genesis in the IAC’s June 2021 advice </w:t>
      </w:r>
      <w:hyperlink r:id="rId63" w:history="1">
        <w:r w:rsidR="007F6999" w:rsidRPr="00B74C35">
          <w:rPr>
            <w:rStyle w:val="Hyperlink"/>
            <w:sz w:val="24"/>
            <w:szCs w:val="24"/>
          </w:rPr>
          <w:t>Choice and control to safely live a good life of belonging and citizenship</w:t>
        </w:r>
      </w:hyperlink>
      <w:r w:rsidR="007F6999" w:rsidRPr="00B74C35">
        <w:rPr>
          <w:color w:val="6B2876" w:themeColor="text1"/>
        </w:rPr>
        <w:t>.</w:t>
      </w:r>
      <w:r w:rsidR="007F6999" w:rsidRPr="007C747A">
        <w:t xml:space="preserve"> </w:t>
      </w:r>
    </w:p>
    <w:p w14:paraId="6A43F1FC" w14:textId="77777777" w:rsidR="007F6999" w:rsidRPr="007C747A" w:rsidRDefault="007F6999" w:rsidP="007F6999">
      <w:pPr>
        <w:pStyle w:val="FGCNORMAL"/>
        <w:spacing w:line="240" w:lineRule="auto"/>
      </w:pPr>
      <w:r w:rsidRPr="007C747A">
        <w:t>Membership of the IAC as at 30 June 2023 consisted of:</w:t>
      </w:r>
    </w:p>
    <w:p w14:paraId="4BA7377F" w14:textId="77777777" w:rsidR="007F6999" w:rsidRPr="007C747A" w:rsidRDefault="007F6999" w:rsidP="007F6999">
      <w:pPr>
        <w:pStyle w:val="FGCBULLET1"/>
        <w:spacing w:line="240" w:lineRule="auto"/>
      </w:pPr>
      <w:r w:rsidRPr="007C747A">
        <w:t xml:space="preserve">Ms Leah van Poppel, Principal Member </w:t>
      </w:r>
    </w:p>
    <w:p w14:paraId="6908F301" w14:textId="77777777" w:rsidR="007F6999" w:rsidRPr="007C747A" w:rsidRDefault="007F6999" w:rsidP="007F6999">
      <w:pPr>
        <w:pStyle w:val="FGCBULLET1"/>
        <w:spacing w:line="240" w:lineRule="auto"/>
      </w:pPr>
      <w:r w:rsidRPr="007C747A">
        <w:t>Ms Kerry Allan</w:t>
      </w:r>
      <w:r w:rsidRPr="007C747A">
        <w:rPr>
          <w:rStyle w:val="FootnoteReference"/>
        </w:rPr>
        <w:footnoteReference w:id="14"/>
      </w:r>
    </w:p>
    <w:p w14:paraId="175F4E79" w14:textId="77777777" w:rsidR="007F6999" w:rsidRPr="007C747A" w:rsidRDefault="007F6999" w:rsidP="007F6999">
      <w:pPr>
        <w:pStyle w:val="FGCBULLET1"/>
        <w:spacing w:line="240" w:lineRule="auto"/>
      </w:pPr>
      <w:r w:rsidRPr="007C747A">
        <w:t xml:space="preserve">Dr Leighton Jay </w:t>
      </w:r>
    </w:p>
    <w:p w14:paraId="3E523B05" w14:textId="77777777" w:rsidR="007F6999" w:rsidRPr="007C747A" w:rsidRDefault="007F6999" w:rsidP="007F6999">
      <w:pPr>
        <w:pStyle w:val="FGCBULLET1"/>
        <w:spacing w:line="240" w:lineRule="auto"/>
      </w:pPr>
      <w:r w:rsidRPr="007C747A">
        <w:t xml:space="preserve">Adjunct Associate Professor Jennifer Cullen </w:t>
      </w:r>
    </w:p>
    <w:p w14:paraId="73AEF818" w14:textId="77777777" w:rsidR="007F6999" w:rsidRPr="007C747A" w:rsidRDefault="007F6999" w:rsidP="007F6999">
      <w:pPr>
        <w:pStyle w:val="FGCBULLET1"/>
        <w:spacing w:line="240" w:lineRule="auto"/>
      </w:pPr>
      <w:r w:rsidRPr="007C747A">
        <w:t>Dr George Taleporos</w:t>
      </w:r>
    </w:p>
    <w:p w14:paraId="1A70A349" w14:textId="77777777" w:rsidR="007F6999" w:rsidRPr="007C747A" w:rsidRDefault="007F6999" w:rsidP="007F6999">
      <w:pPr>
        <w:pStyle w:val="FGCBULLET1"/>
        <w:spacing w:line="240" w:lineRule="auto"/>
      </w:pPr>
      <w:r w:rsidRPr="007C747A">
        <w:t xml:space="preserve">Dr Sharon Boyce </w:t>
      </w:r>
    </w:p>
    <w:p w14:paraId="6E34F704" w14:textId="77777777" w:rsidR="007F6999" w:rsidRPr="007C747A" w:rsidRDefault="007F6999" w:rsidP="007F6999">
      <w:pPr>
        <w:pStyle w:val="FGCBULLET1"/>
        <w:spacing w:line="240" w:lineRule="auto"/>
      </w:pPr>
      <w:r w:rsidRPr="007C747A">
        <w:t xml:space="preserve">Ms Sylvana Mahmic </w:t>
      </w:r>
    </w:p>
    <w:p w14:paraId="00F549F2" w14:textId="77777777" w:rsidR="007F6999" w:rsidRPr="007C747A" w:rsidRDefault="007F6999" w:rsidP="007F6999">
      <w:pPr>
        <w:pStyle w:val="FGCBULLET1"/>
        <w:spacing w:line="240" w:lineRule="auto"/>
      </w:pPr>
      <w:r w:rsidRPr="007C747A">
        <w:t xml:space="preserve">Ms Sam Paior </w:t>
      </w:r>
    </w:p>
    <w:p w14:paraId="5D227532" w14:textId="77777777" w:rsidR="007F6999" w:rsidRPr="007C747A" w:rsidRDefault="007F6999" w:rsidP="007F6999">
      <w:pPr>
        <w:pStyle w:val="FGCBULLET1"/>
        <w:spacing w:line="240" w:lineRule="auto"/>
      </w:pPr>
      <w:r w:rsidRPr="007C747A">
        <w:t xml:space="preserve">Mr James Manders </w:t>
      </w:r>
    </w:p>
    <w:p w14:paraId="0DF6E66B" w14:textId="77777777" w:rsidR="007F6999" w:rsidRPr="007C747A" w:rsidRDefault="007F6999" w:rsidP="007F6999">
      <w:pPr>
        <w:pStyle w:val="FGCBULLET1"/>
        <w:spacing w:line="240" w:lineRule="auto"/>
      </w:pPr>
      <w:r w:rsidRPr="007C747A">
        <w:t xml:space="preserve">Mr Mark Tonga </w:t>
      </w:r>
    </w:p>
    <w:p w14:paraId="53F26159" w14:textId="77777777" w:rsidR="007F6999" w:rsidRPr="007C747A" w:rsidRDefault="007F6999" w:rsidP="007F6999">
      <w:pPr>
        <w:pStyle w:val="FGCBULLET1"/>
        <w:spacing w:line="240" w:lineRule="auto"/>
      </w:pPr>
      <w:r w:rsidRPr="007C747A">
        <w:t xml:space="preserve">Ms Liz Reid AM </w:t>
      </w:r>
    </w:p>
    <w:p w14:paraId="148D824E" w14:textId="77777777" w:rsidR="007F6999" w:rsidRPr="007C747A" w:rsidRDefault="007F6999" w:rsidP="007F6999">
      <w:pPr>
        <w:pStyle w:val="FGCBULLET1"/>
        <w:spacing w:line="240" w:lineRule="auto"/>
      </w:pPr>
      <w:r w:rsidRPr="007C747A">
        <w:t xml:space="preserve">Ms Tricia Malowney OAM. </w:t>
      </w:r>
    </w:p>
    <w:p w14:paraId="13CC9E30" w14:textId="77777777" w:rsidR="007F6999" w:rsidRPr="007C747A" w:rsidRDefault="007F6999" w:rsidP="007F6999">
      <w:pPr>
        <w:pStyle w:val="FGCNORMAL"/>
        <w:spacing w:line="240" w:lineRule="auto"/>
        <w:rPr>
          <w:rFonts w:eastAsiaTheme="minorHAnsi"/>
        </w:rPr>
      </w:pPr>
      <w:r w:rsidRPr="007C747A">
        <w:t>The IAC membership is supported by:</w:t>
      </w:r>
    </w:p>
    <w:p w14:paraId="2BDD6597" w14:textId="4F8D854C" w:rsidR="007F6999" w:rsidRPr="007C747A" w:rsidRDefault="007F6999" w:rsidP="007F6999">
      <w:pPr>
        <w:pStyle w:val="FGCBULLET1"/>
        <w:spacing w:line="240" w:lineRule="auto"/>
      </w:pPr>
      <w:r w:rsidRPr="007C747A">
        <w:t xml:space="preserve">Gavin Burner, IAC Reference Group Member, a longstanding advocate for people with intellectual disability living in rural and remote </w:t>
      </w:r>
      <w:r w:rsidR="002304A2" w:rsidRPr="007C747A">
        <w:t>areas</w:t>
      </w:r>
      <w:r w:rsidR="00137117" w:rsidRPr="007C747A">
        <w:t>.</w:t>
      </w:r>
    </w:p>
    <w:p w14:paraId="678F16A3" w14:textId="77777777" w:rsidR="007F6999" w:rsidRPr="007C747A" w:rsidRDefault="007F6999" w:rsidP="007F6999">
      <w:pPr>
        <w:pStyle w:val="FGCBULLET1"/>
        <w:spacing w:line="240" w:lineRule="auto"/>
      </w:pPr>
      <w:r w:rsidRPr="007C747A">
        <w:t>Dr Ben Gauntlett, Disability Discrimination Commissioner, in his role as expert adviser.</w:t>
      </w:r>
    </w:p>
    <w:p w14:paraId="725492B5" w14:textId="776461AC" w:rsidR="00EB3F0F" w:rsidRPr="007C747A" w:rsidRDefault="007F6999" w:rsidP="007F6999">
      <w:pPr>
        <w:pStyle w:val="FGCNORMAL"/>
        <w:spacing w:line="240" w:lineRule="auto"/>
      </w:pPr>
      <w:r w:rsidRPr="007C747A">
        <w:t xml:space="preserve">Further information on the IAC is provided on its website at </w:t>
      </w:r>
      <w:hyperlink r:id="rId64" w:history="1">
        <w:r w:rsidRPr="00B74C35">
          <w:rPr>
            <w:rStyle w:val="Hyperlink"/>
            <w:sz w:val="24"/>
            <w:szCs w:val="24"/>
          </w:rPr>
          <w:t>www.ndis-iac.com.au</w:t>
        </w:r>
      </w:hyperlink>
      <w:r w:rsidR="00EB3F0F" w:rsidRPr="007C747A">
        <w:t>.</w:t>
      </w:r>
    </w:p>
    <w:p w14:paraId="62C934B3" w14:textId="77777777" w:rsidR="00C35027" w:rsidRPr="007C747A" w:rsidRDefault="00C35027" w:rsidP="00C35027">
      <w:pPr>
        <w:spacing w:before="2520" w:after="120" w:line="240" w:lineRule="auto"/>
        <w:rPr>
          <w:lang w:val="en-AU"/>
        </w:rPr>
      </w:pPr>
    </w:p>
    <w:p w14:paraId="318D180D" w14:textId="68781BA3" w:rsidR="00C35027" w:rsidRPr="007C747A" w:rsidRDefault="00C35027" w:rsidP="00C35027">
      <w:pPr>
        <w:spacing w:before="480" w:after="120" w:line="240" w:lineRule="auto"/>
        <w:rPr>
          <w:rFonts w:eastAsiaTheme="minorEastAsia" w:cs="Arial"/>
          <w:sz w:val="22"/>
          <w:szCs w:val="22"/>
          <w:lang w:val="en-AU"/>
        </w:rPr>
      </w:pPr>
      <w:r w:rsidRPr="007C747A">
        <w:rPr>
          <w:lang w:val="en-AU"/>
        </w:rPr>
        <w:br w:type="page"/>
      </w:r>
    </w:p>
    <w:p w14:paraId="20879449" w14:textId="48A73412" w:rsidR="00C032AB" w:rsidRPr="007C747A" w:rsidRDefault="00C032AB" w:rsidP="006F76B6">
      <w:pPr>
        <w:pStyle w:val="FGCHEADING2"/>
      </w:pPr>
      <w:bookmarkStart w:id="653" w:name="_Toc142563011"/>
      <w:bookmarkStart w:id="654" w:name="_Toc142573725"/>
      <w:bookmarkStart w:id="655" w:name="_Toc146289465"/>
      <w:bookmarkStart w:id="656" w:name="_Toc148108423"/>
      <w:bookmarkStart w:id="657" w:name="_Toc142039639"/>
      <w:bookmarkStart w:id="658" w:name="_Toc142047747"/>
      <w:bookmarkEnd w:id="590"/>
      <w:bookmarkEnd w:id="591"/>
      <w:r w:rsidRPr="007C747A">
        <w:t>Chief Executive Officer and Strategic Leadership Team</w:t>
      </w:r>
      <w:bookmarkEnd w:id="653"/>
      <w:bookmarkEnd w:id="654"/>
      <w:bookmarkEnd w:id="655"/>
      <w:bookmarkEnd w:id="656"/>
      <w:r w:rsidRPr="007C747A">
        <w:t xml:space="preserve"> </w:t>
      </w:r>
    </w:p>
    <w:p w14:paraId="0C507556" w14:textId="77777777" w:rsidR="00C032AB" w:rsidRPr="007C747A" w:rsidRDefault="00C032AB" w:rsidP="009957EA">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Chief Executive Officer (CEO) is responsible for the day-to-day administration of the NDIA under the NDIS Act. Supported by the Strategic Leadership Team (SLT), the CEO executes the Board-approved strategic objectives and policies, in line with the agreed risk appetite.</w:t>
      </w:r>
    </w:p>
    <w:p w14:paraId="1CF417A1" w14:textId="42F3B432" w:rsidR="00C032AB" w:rsidRPr="007C747A" w:rsidRDefault="009957EA" w:rsidP="001A0235">
      <w:pPr>
        <w:pStyle w:val="Style3-NoNumbering"/>
      </w:pPr>
      <w:bookmarkStart w:id="659" w:name="_Toc142573727"/>
      <w:r w:rsidRPr="007C747A">
        <w:t xml:space="preserve"> </w:t>
      </w:r>
      <w:r w:rsidR="00C032AB" w:rsidRPr="007C747A">
        <w:t>Organisation structure</w:t>
      </w:r>
      <w:bookmarkEnd w:id="659"/>
    </w:p>
    <w:p w14:paraId="5147A4FB" w14:textId="77777777" w:rsidR="0081082E" w:rsidRPr="007C747A" w:rsidRDefault="0081082E" w:rsidP="00AE321D">
      <w:pPr>
        <w:pStyle w:val="FGCNORMAL"/>
        <w:spacing w:line="240" w:lineRule="auto"/>
        <w:rPr>
          <w:rFonts w:ascii="Calibri" w:hAnsi="Calibri"/>
          <w:lang w:eastAsia="en-US"/>
        </w:rPr>
      </w:pPr>
      <w:r w:rsidRPr="007C747A">
        <w:t xml:space="preserve">Mr Martin Hoffman resigned as CEO effective 1 July 2022. </w:t>
      </w:r>
    </w:p>
    <w:p w14:paraId="627369DD" w14:textId="4D6EC042" w:rsidR="00C86A39" w:rsidRPr="007C747A" w:rsidRDefault="0081082E" w:rsidP="00AE321D">
      <w:pPr>
        <w:pStyle w:val="FGCNORMAL"/>
        <w:spacing w:line="240" w:lineRule="auto"/>
      </w:pPr>
      <w:r w:rsidRPr="007C747A">
        <w:t>On 7 October 2022, Ms Rebecca Falkingham PSM was appointed by the NDIA Board as the incoming CEO of the NDIA</w:t>
      </w:r>
      <w:r w:rsidR="0019224C" w:rsidRPr="007C747A">
        <w:t>. Ms Falkingham</w:t>
      </w:r>
      <w:r w:rsidRPr="007C747A">
        <w:t xml:space="preserve"> commenced in the role on 18 October 2022. </w:t>
      </w:r>
    </w:p>
    <w:p w14:paraId="0CFEA43B" w14:textId="52F6D5C3" w:rsidR="0081082E" w:rsidRPr="007C747A" w:rsidRDefault="0081082E" w:rsidP="00AE321D">
      <w:pPr>
        <w:pStyle w:val="FGCNORMAL"/>
        <w:spacing w:line="240" w:lineRule="auto"/>
      </w:pPr>
      <w:r w:rsidRPr="007C747A">
        <w:t xml:space="preserve">Dr Lisa Studdert’s term as Acting CEO ceased on 17 October 2022. </w:t>
      </w:r>
    </w:p>
    <w:p w14:paraId="0B068E91" w14:textId="2567A79D" w:rsidR="00C032AB" w:rsidRPr="007C747A" w:rsidRDefault="00C032AB" w:rsidP="00DC45A9">
      <w:pPr>
        <w:pStyle w:val="Heading43"/>
        <w:ind w:left="646"/>
        <w:outlineLvl w:val="3"/>
      </w:pPr>
      <w:r w:rsidRPr="007C747A">
        <w:rPr>
          <w:bCs/>
        </w:rPr>
        <w:t xml:space="preserve">Figure </w:t>
      </w:r>
      <w:r w:rsidR="000C79F6" w:rsidRPr="007C747A">
        <w:rPr>
          <w:bCs/>
        </w:rPr>
        <w:t>5.</w:t>
      </w:r>
      <w:r w:rsidR="006C58E4" w:rsidRPr="007C747A">
        <w:rPr>
          <w:bCs/>
        </w:rPr>
        <w:t>4</w:t>
      </w:r>
      <w:r w:rsidR="00B61655" w:rsidRPr="007C747A">
        <w:rPr>
          <w:bCs/>
        </w:rPr>
        <w:t>A:</w:t>
      </w:r>
      <w:r w:rsidRPr="007C747A">
        <w:t xml:space="preserve"> Agency organisation structure</w:t>
      </w:r>
    </w:p>
    <w:p w14:paraId="6FFB608D" w14:textId="77777777" w:rsidR="00707D54" w:rsidRPr="007C747A" w:rsidRDefault="00707D54" w:rsidP="00C032AB">
      <w:pPr>
        <w:keepNext/>
        <w:spacing w:after="0" w:line="240" w:lineRule="auto"/>
        <w:ind w:firstLine="652"/>
        <w:rPr>
          <w:lang w:val="en-AU"/>
        </w:rPr>
      </w:pPr>
    </w:p>
    <w:p w14:paraId="1598056E" w14:textId="51961099" w:rsidR="00C032AB" w:rsidRPr="007C747A" w:rsidRDefault="00E143C2" w:rsidP="005863F6">
      <w:pPr>
        <w:keepNext/>
        <w:spacing w:after="0" w:line="240" w:lineRule="auto"/>
        <w:ind w:firstLine="652"/>
        <w:rPr>
          <w:lang w:val="en-AU"/>
        </w:rPr>
      </w:pPr>
      <w:r w:rsidRPr="007C747A">
        <w:rPr>
          <w:noProof/>
          <w:lang w:val="en-AU"/>
        </w:rPr>
        <w:drawing>
          <wp:inline distT="0" distB="0" distL="0" distR="0" wp14:anchorId="05079301" wp14:editId="39322B58">
            <wp:extent cx="6407479" cy="4877051"/>
            <wp:effectExtent l="0" t="0" r="0" b="0"/>
            <wp:docPr id="370712571" name="Picture 370712571" descr="A diagram showing the Agency Organisation structure.&#10;Rebecca Falkingham, Chief Executive Officer at the top.&#10;There is a line connecting Rebecca Falkingham to the following 7 people:&#10;Samuel Porter, Chief Operating Officer.&#10;John Dardo, Chief Transformation Officer.&#10;Debbie Mitchell, Deputy CEO, Governance, Risk and Integrity.&#10;Penelope McKay, Deputy CEO, Market Stewardship and Hope and Living.&#10;Scott McNaughton, Deputy CEO, Service Delivery.&#10;Corri McKenzie, Deputy CEO, Service Design and Improvement.&#10;David Gifford, Scheme Actu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12571" name="Picture 370712571" descr="A diagram showing the Agency Organisation structure.&#10;Rebecca Falkingham, Chief Executive Officer at the top.&#10;There is a line connecting Rebecca Falkingham to the following 7 people:&#10;Samuel Porter, Chief Operating Officer.&#10;John Dardo, Chief Transformation Officer.&#10;Debbie Mitchell, Deputy CEO, Governance, Risk and Integrity.&#10;Penelope McKay, Deputy CEO, Market Stewardship and Hope and Living.&#10;Scott McNaughton, Deputy CEO, Service Delivery.&#10;Corri McKenzie, Deputy CEO, Service Design and Improvement.&#10;David Gifford, Scheme Actuary.&#10;"/>
                    <pic:cNvPicPr/>
                  </pic:nvPicPr>
                  <pic:blipFill>
                    <a:blip r:embed="rId65">
                      <a:extLst>
                        <a:ext uri="{28A0092B-C50C-407E-A947-70E740481C1C}">
                          <a14:useLocalDpi xmlns:a14="http://schemas.microsoft.com/office/drawing/2010/main" val="0"/>
                        </a:ext>
                      </a:extLst>
                    </a:blip>
                    <a:stretch>
                      <a:fillRect/>
                    </a:stretch>
                  </pic:blipFill>
                  <pic:spPr>
                    <a:xfrm>
                      <a:off x="0" y="0"/>
                      <a:ext cx="6407479" cy="4877051"/>
                    </a:xfrm>
                    <a:prstGeom prst="rect">
                      <a:avLst/>
                    </a:prstGeom>
                  </pic:spPr>
                </pic:pic>
              </a:graphicData>
            </a:graphic>
          </wp:inline>
        </w:drawing>
      </w:r>
    </w:p>
    <w:p w14:paraId="3406A2A3" w14:textId="77777777" w:rsidR="00C032AB" w:rsidRPr="007C747A" w:rsidRDefault="00C032AB" w:rsidP="00C032AB">
      <w:pPr>
        <w:spacing w:after="0" w:line="240" w:lineRule="auto"/>
        <w:rPr>
          <w:rFonts w:eastAsiaTheme="minorEastAsia" w:cs="Arial"/>
          <w:sz w:val="22"/>
          <w:szCs w:val="22"/>
          <w:lang w:val="en-AU"/>
        </w:rPr>
      </w:pPr>
      <w:r w:rsidRPr="007C747A">
        <w:rPr>
          <w:lang w:val="en-AU"/>
        </w:rPr>
        <w:br w:type="page"/>
      </w:r>
    </w:p>
    <w:p w14:paraId="7D9A1BCE" w14:textId="77777777" w:rsidR="00C032AB" w:rsidRPr="007C747A" w:rsidRDefault="00C032AB" w:rsidP="00E53F98">
      <w:pPr>
        <w:pStyle w:val="FGCHEADING2"/>
      </w:pPr>
      <w:bookmarkStart w:id="660" w:name="_Toc142487673"/>
      <w:bookmarkStart w:id="661" w:name="_Toc142489663"/>
      <w:bookmarkStart w:id="662" w:name="_Toc142487674"/>
      <w:bookmarkStart w:id="663" w:name="_Toc142489664"/>
      <w:bookmarkStart w:id="664" w:name="_Toc142487675"/>
      <w:bookmarkStart w:id="665" w:name="_Toc142489665"/>
      <w:bookmarkStart w:id="666" w:name="_Toc142039642"/>
      <w:bookmarkStart w:id="667" w:name="_Toc142047750"/>
      <w:bookmarkStart w:id="668" w:name="_Toc142563012"/>
      <w:bookmarkStart w:id="669" w:name="_Toc142573728"/>
      <w:bookmarkStart w:id="670" w:name="_Toc146289466"/>
      <w:bookmarkStart w:id="671" w:name="_Toc148108424"/>
      <w:bookmarkEnd w:id="657"/>
      <w:bookmarkEnd w:id="658"/>
      <w:bookmarkEnd w:id="660"/>
      <w:bookmarkEnd w:id="661"/>
      <w:bookmarkEnd w:id="662"/>
      <w:bookmarkEnd w:id="663"/>
      <w:bookmarkEnd w:id="664"/>
      <w:bookmarkEnd w:id="665"/>
      <w:r w:rsidRPr="007C747A">
        <w:t>Partners in the community</w:t>
      </w:r>
      <w:bookmarkEnd w:id="666"/>
      <w:bookmarkEnd w:id="667"/>
      <w:bookmarkEnd w:id="668"/>
      <w:bookmarkEnd w:id="669"/>
      <w:bookmarkEnd w:id="670"/>
      <w:bookmarkEnd w:id="671"/>
    </w:p>
    <w:p w14:paraId="4D0C5739" w14:textId="25E7BBB8" w:rsidR="00E913A5"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Our partners in the community (PITC) are experienced and qualified organisations with strong local knowledge and understanding of the needs of people with disability. They work with the NDIA to deliver early childhood and local area coordination services to Australians with disability and children younger than 6 with delays in their development. </w:t>
      </w:r>
    </w:p>
    <w:p w14:paraId="1C29B0D0" w14:textId="6041880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Our partners are often the first point of contact for participants, making them the face of the Scheme in many communities. </w:t>
      </w:r>
    </w:p>
    <w:p w14:paraId="0670E286"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As at 30 June 2023, the PITC program had 25 partner organisations operating in all Australian states and territories, with the exception of remote areas, where the local NDIA team provides support. </w:t>
      </w:r>
    </w:p>
    <w:p w14:paraId="33AEE2AE" w14:textId="77777777" w:rsidR="00C032AB" w:rsidRPr="007C747A" w:rsidRDefault="00C032AB" w:rsidP="001A0235">
      <w:pPr>
        <w:pStyle w:val="Style3-NoNumbering"/>
      </w:pPr>
      <w:bookmarkStart w:id="672" w:name="_Toc142573729"/>
      <w:bookmarkStart w:id="673" w:name="_Toc83907138"/>
      <w:bookmarkStart w:id="674" w:name="_Toc84258369"/>
      <w:bookmarkStart w:id="675" w:name="_Toc84258523"/>
      <w:bookmarkStart w:id="676" w:name="_Toc84270267"/>
      <w:bookmarkStart w:id="677" w:name="_Toc85462222"/>
      <w:bookmarkStart w:id="678" w:name="_Toc116414715"/>
      <w:bookmarkStart w:id="679" w:name="_Toc116473909"/>
      <w:bookmarkStart w:id="680" w:name="_Toc142039643"/>
      <w:bookmarkStart w:id="681" w:name="_Toc142047751"/>
      <w:r w:rsidRPr="007C747A">
        <w:t>Local area coordination partners</w:t>
      </w:r>
      <w:bookmarkEnd w:id="672"/>
      <w:r w:rsidRPr="007C747A">
        <w:t xml:space="preserve"> </w:t>
      </w:r>
      <w:bookmarkEnd w:id="673"/>
      <w:bookmarkEnd w:id="674"/>
      <w:bookmarkEnd w:id="675"/>
      <w:bookmarkEnd w:id="676"/>
      <w:bookmarkEnd w:id="677"/>
      <w:bookmarkEnd w:id="678"/>
      <w:bookmarkEnd w:id="679"/>
      <w:bookmarkEnd w:id="680"/>
      <w:bookmarkEnd w:id="681"/>
    </w:p>
    <w:p w14:paraId="573B094C"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Partners delivering local area communication (LAC) services assist people aged 9 years and above to link to the NDIS and to mainstream and community supports within their local area. </w:t>
      </w:r>
    </w:p>
    <w:p w14:paraId="0EE08B85" w14:textId="70924FE3"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LAC partners play an important role in working directly with communities to improve accessibility and inclusion. They can identify supports available for people with disability within their community, even if they are not eligible for a</w:t>
      </w:r>
      <w:r w:rsidR="0019224C" w:rsidRPr="007C747A">
        <w:rPr>
          <w:rFonts w:eastAsiaTheme="minorEastAsia" w:cs="Arial"/>
          <w:sz w:val="22"/>
          <w:szCs w:val="22"/>
          <w:lang w:val="en-AU"/>
        </w:rPr>
        <w:t>n</w:t>
      </w:r>
      <w:r w:rsidRPr="007C747A">
        <w:rPr>
          <w:rFonts w:eastAsiaTheme="minorEastAsia" w:cs="Arial"/>
          <w:sz w:val="22"/>
          <w:szCs w:val="22"/>
          <w:lang w:val="en-AU"/>
        </w:rPr>
        <w:t xml:space="preserve"> NDIS-funded plan. </w:t>
      </w:r>
    </w:p>
    <w:p w14:paraId="575517CD" w14:textId="4658DD05"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LAC</w:t>
      </w:r>
      <w:r w:rsidR="0019224C" w:rsidRPr="007C747A">
        <w:rPr>
          <w:rFonts w:eastAsiaTheme="minorEastAsia" w:cs="Arial"/>
          <w:sz w:val="22"/>
          <w:szCs w:val="22"/>
          <w:lang w:val="en-AU"/>
        </w:rPr>
        <w:t xml:space="preserve"> partners</w:t>
      </w:r>
      <w:r w:rsidRPr="007C747A">
        <w:rPr>
          <w:rFonts w:eastAsiaTheme="minorEastAsia" w:cs="Arial"/>
          <w:sz w:val="22"/>
          <w:szCs w:val="22"/>
          <w:lang w:val="en-AU"/>
        </w:rPr>
        <w:t xml:space="preserve"> help people to understand and access the NDIS, discuss goals and supports, gather and document information to support the planning process, and assist people to use their NDIS plan. They also undertake regular check-ins with participants to ensure that their plans are working </w:t>
      </w:r>
      <w:r w:rsidR="0019224C" w:rsidRPr="007C747A">
        <w:rPr>
          <w:rFonts w:eastAsiaTheme="minorEastAsia" w:cs="Arial"/>
          <w:sz w:val="22"/>
          <w:szCs w:val="22"/>
          <w:lang w:val="en-AU"/>
        </w:rPr>
        <w:t xml:space="preserve">for </w:t>
      </w:r>
      <w:r w:rsidRPr="007C747A">
        <w:rPr>
          <w:rFonts w:eastAsiaTheme="minorEastAsia" w:cs="Arial"/>
          <w:sz w:val="22"/>
          <w:szCs w:val="22"/>
          <w:lang w:val="en-AU"/>
        </w:rPr>
        <w:t xml:space="preserve">them and assist in preparing for plan reassessment. </w:t>
      </w:r>
    </w:p>
    <w:p w14:paraId="767EECEF" w14:textId="77777777" w:rsidR="00C032AB" w:rsidRPr="007C747A" w:rsidRDefault="00C032AB" w:rsidP="001A0235">
      <w:pPr>
        <w:pStyle w:val="Style3-NoNumbering"/>
      </w:pPr>
      <w:bookmarkStart w:id="682" w:name="_Toc142039644"/>
      <w:bookmarkStart w:id="683" w:name="_Toc142047752"/>
      <w:bookmarkStart w:id="684" w:name="_Toc142573730"/>
      <w:bookmarkStart w:id="685" w:name="_Toc83907139"/>
      <w:bookmarkStart w:id="686" w:name="_Toc84258370"/>
      <w:bookmarkStart w:id="687" w:name="_Toc84258524"/>
      <w:bookmarkStart w:id="688" w:name="_Toc84270268"/>
      <w:bookmarkStart w:id="689" w:name="_Toc85462223"/>
      <w:bookmarkStart w:id="690" w:name="_Toc116414716"/>
      <w:bookmarkStart w:id="691" w:name="_Toc116473910"/>
      <w:r w:rsidRPr="007C747A">
        <w:t>Early childhood partners</w:t>
      </w:r>
      <w:bookmarkEnd w:id="682"/>
      <w:bookmarkEnd w:id="683"/>
      <w:bookmarkEnd w:id="684"/>
      <w:r w:rsidRPr="007C747A">
        <w:t xml:space="preserve"> </w:t>
      </w:r>
      <w:bookmarkEnd w:id="685"/>
      <w:bookmarkEnd w:id="686"/>
      <w:bookmarkEnd w:id="687"/>
      <w:bookmarkEnd w:id="688"/>
      <w:bookmarkEnd w:id="689"/>
      <w:bookmarkEnd w:id="690"/>
      <w:bookmarkEnd w:id="691"/>
    </w:p>
    <w:p w14:paraId="7E548861" w14:textId="2DA57632"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Early childhood partners are local organisations funded by the NDIA to deliver the </w:t>
      </w:r>
      <w:r w:rsidR="0019224C" w:rsidRPr="007C747A">
        <w:rPr>
          <w:rFonts w:eastAsiaTheme="minorEastAsia" w:cs="Arial"/>
          <w:sz w:val="22"/>
          <w:szCs w:val="22"/>
          <w:lang w:val="en-AU"/>
        </w:rPr>
        <w:t>E</w:t>
      </w:r>
      <w:r w:rsidRPr="007C747A">
        <w:rPr>
          <w:rFonts w:eastAsiaTheme="minorEastAsia" w:cs="Arial"/>
          <w:sz w:val="22"/>
          <w:szCs w:val="22"/>
          <w:lang w:val="en-AU"/>
        </w:rPr>
        <w:t xml:space="preserve">arly </w:t>
      </w:r>
      <w:r w:rsidR="0019224C" w:rsidRPr="007C747A">
        <w:rPr>
          <w:rFonts w:eastAsiaTheme="minorEastAsia" w:cs="Arial"/>
          <w:sz w:val="22"/>
          <w:szCs w:val="22"/>
          <w:lang w:val="en-AU"/>
        </w:rPr>
        <w:t>C</w:t>
      </w:r>
      <w:r w:rsidRPr="007C747A">
        <w:rPr>
          <w:rFonts w:eastAsiaTheme="minorEastAsia" w:cs="Arial"/>
          <w:sz w:val="22"/>
          <w:szCs w:val="22"/>
          <w:lang w:val="en-AU"/>
        </w:rPr>
        <w:t xml:space="preserve">hildhood </w:t>
      </w:r>
      <w:r w:rsidR="0019224C" w:rsidRPr="007C747A">
        <w:rPr>
          <w:rFonts w:eastAsiaTheme="minorEastAsia" w:cs="Arial"/>
          <w:sz w:val="22"/>
          <w:szCs w:val="22"/>
          <w:lang w:val="en-AU"/>
        </w:rPr>
        <w:t>A</w:t>
      </w:r>
      <w:r w:rsidRPr="007C747A">
        <w:rPr>
          <w:rFonts w:eastAsiaTheme="minorEastAsia" w:cs="Arial"/>
          <w:sz w:val="22"/>
          <w:szCs w:val="22"/>
          <w:lang w:val="en-AU"/>
        </w:rPr>
        <w:t xml:space="preserve">pproach. The </w:t>
      </w:r>
      <w:r w:rsidR="0019224C" w:rsidRPr="007C747A">
        <w:rPr>
          <w:rFonts w:eastAsiaTheme="minorEastAsia" w:cs="Arial"/>
          <w:sz w:val="22"/>
          <w:szCs w:val="22"/>
          <w:lang w:val="en-AU"/>
        </w:rPr>
        <w:t>E</w:t>
      </w:r>
      <w:r w:rsidRPr="007C747A">
        <w:rPr>
          <w:rFonts w:eastAsiaTheme="minorEastAsia" w:cs="Arial"/>
          <w:sz w:val="22"/>
          <w:szCs w:val="22"/>
          <w:lang w:val="en-AU"/>
        </w:rPr>
        <w:t xml:space="preserve">arly </w:t>
      </w:r>
      <w:r w:rsidR="0019224C" w:rsidRPr="007C747A">
        <w:rPr>
          <w:rFonts w:eastAsiaTheme="minorEastAsia" w:cs="Arial"/>
          <w:sz w:val="22"/>
          <w:szCs w:val="22"/>
          <w:lang w:val="en-AU"/>
        </w:rPr>
        <w:t>C</w:t>
      </w:r>
      <w:r w:rsidRPr="007C747A">
        <w:rPr>
          <w:rFonts w:eastAsiaTheme="minorEastAsia" w:cs="Arial"/>
          <w:sz w:val="22"/>
          <w:szCs w:val="22"/>
          <w:lang w:val="en-AU"/>
        </w:rPr>
        <w:t xml:space="preserve">hildhood </w:t>
      </w:r>
      <w:r w:rsidR="0019224C" w:rsidRPr="007C747A">
        <w:rPr>
          <w:rFonts w:eastAsiaTheme="minorEastAsia" w:cs="Arial"/>
          <w:sz w:val="22"/>
          <w:szCs w:val="22"/>
          <w:lang w:val="en-AU"/>
        </w:rPr>
        <w:t>A</w:t>
      </w:r>
      <w:r w:rsidRPr="007C747A">
        <w:rPr>
          <w:rFonts w:eastAsiaTheme="minorEastAsia" w:cs="Arial"/>
          <w:sz w:val="22"/>
          <w:szCs w:val="22"/>
          <w:lang w:val="en-AU"/>
        </w:rPr>
        <w:t>pproach supports children younger than 6 with developmental delay or children younger than 9 with disability</w:t>
      </w:r>
      <w:r w:rsidR="0019224C" w:rsidRPr="007C747A">
        <w:rPr>
          <w:rFonts w:eastAsiaTheme="minorEastAsia" w:cs="Arial"/>
          <w:sz w:val="22"/>
          <w:szCs w:val="22"/>
          <w:lang w:val="en-AU"/>
        </w:rPr>
        <w:t>,</w:t>
      </w:r>
      <w:r w:rsidRPr="007C747A">
        <w:rPr>
          <w:rFonts w:eastAsiaTheme="minorEastAsia" w:cs="Arial"/>
          <w:sz w:val="22"/>
          <w:szCs w:val="22"/>
          <w:lang w:val="en-AU"/>
        </w:rPr>
        <w:t xml:space="preserve"> and their families and carers, to develop the skills they need to participate in daily activities and achieve the best possible outcomes throughout their life. </w:t>
      </w:r>
    </w:p>
    <w:p w14:paraId="0C00DF50"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Early childhood partners focus on delivering family-centred supports using a best practice model and supporting connections to mainstream and community services for children and their families and carers. </w:t>
      </w:r>
    </w:p>
    <w:p w14:paraId="1883AD19"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Early childhood partners offer early connections and early support for children with developmental concerns or developmental delay (for children younger than 6) and support families through the NDIS access and planning process if their child is likely to be eligible and when their child becomes an NDIS participant.</w:t>
      </w:r>
    </w:p>
    <w:p w14:paraId="0E9451EE" w14:textId="77777777" w:rsidR="00C032AB" w:rsidRPr="007C747A" w:rsidRDefault="00C032AB" w:rsidP="00E53F98">
      <w:pPr>
        <w:pStyle w:val="FGCHEADING2"/>
      </w:pPr>
      <w:bookmarkStart w:id="692" w:name="_Toc142039645"/>
      <w:bookmarkStart w:id="693" w:name="_Toc142047753"/>
      <w:bookmarkStart w:id="694" w:name="_Toc142563013"/>
      <w:bookmarkStart w:id="695" w:name="_Toc142573731"/>
      <w:bookmarkStart w:id="696" w:name="_Toc146289467"/>
      <w:bookmarkStart w:id="697" w:name="_Toc148108425"/>
      <w:r w:rsidRPr="007C747A">
        <w:t>Workforce management</w:t>
      </w:r>
      <w:bookmarkEnd w:id="692"/>
      <w:bookmarkEnd w:id="693"/>
      <w:bookmarkEnd w:id="694"/>
      <w:bookmarkEnd w:id="695"/>
      <w:bookmarkEnd w:id="696"/>
      <w:bookmarkEnd w:id="697"/>
    </w:p>
    <w:p w14:paraId="641A73C7" w14:textId="77777777" w:rsidR="008D5DE2" w:rsidRPr="007C747A" w:rsidRDefault="00C032AB" w:rsidP="00C032AB">
      <w:pPr>
        <w:spacing w:before="120" w:after="120" w:line="240" w:lineRule="auto"/>
        <w:ind w:left="652"/>
        <w:rPr>
          <w:rFonts w:eastAsiaTheme="minorEastAsia" w:cs="Arial"/>
          <w:sz w:val="22"/>
          <w:szCs w:val="22"/>
          <w:lang w:val="en-AU" w:eastAsia="en-AU"/>
        </w:rPr>
      </w:pPr>
      <w:r w:rsidRPr="007C747A">
        <w:rPr>
          <w:rFonts w:eastAsiaTheme="minorEastAsia" w:cs="Arial"/>
          <w:sz w:val="22"/>
          <w:szCs w:val="22"/>
          <w:lang w:val="en-AU" w:eastAsia="en-AU"/>
        </w:rPr>
        <w:t xml:space="preserve">To deliver the Scheme, the NDIA needs a capable and committed workforce that is reflective of the broader Australian society. The mix of skills needed by the NDIA continues to evolve, reflecting the needs of participants, carers and their families. </w:t>
      </w:r>
    </w:p>
    <w:p w14:paraId="6B17D3A0" w14:textId="35A7093F"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It is critical the NDIA attracts talented, knowledgeable and experienced people, and provides ongoing investment in building capability and training delivery. In particular, the NDIA continues to expand and strengthen its focus on disability and cohort awareness to improve frontline capability and the quality of experience for participants.</w:t>
      </w:r>
    </w:p>
    <w:p w14:paraId="0C1E9BDC"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As at 30 June 2023, the NDIA workforce was 13,690, comprising:</w:t>
      </w:r>
    </w:p>
    <w:p w14:paraId="0D4E0EC8" w14:textId="60726765" w:rsidR="00C032AB" w:rsidRPr="007C747A" w:rsidRDefault="00C032AB" w:rsidP="00C032AB">
      <w:pPr>
        <w:numPr>
          <w:ilvl w:val="0"/>
          <w:numId w:val="8"/>
        </w:numPr>
        <w:spacing w:before="120" w:after="120" w:line="240" w:lineRule="auto"/>
        <w:rPr>
          <w:rFonts w:eastAsiaTheme="minorEastAsia" w:cs="Arial"/>
          <w:sz w:val="22"/>
          <w:szCs w:val="22"/>
          <w:lang w:val="en-AU" w:eastAsia="en-AU"/>
        </w:rPr>
      </w:pPr>
      <w:r w:rsidRPr="007C747A">
        <w:rPr>
          <w:rFonts w:eastAsiaTheme="minorEastAsia" w:cs="Arial"/>
          <w:sz w:val="22"/>
          <w:szCs w:val="22"/>
          <w:lang w:val="en-AU" w:eastAsia="en-AU"/>
        </w:rPr>
        <w:t>5,652 Australian Public Service (APS) employees (5,441 full-time equivalent and 4,988 average staffing level)</w:t>
      </w:r>
      <w:r w:rsidR="007518A6" w:rsidRPr="007C747A">
        <w:rPr>
          <w:rFonts w:eastAsiaTheme="minorEastAsia" w:cs="Arial"/>
          <w:sz w:val="22"/>
          <w:szCs w:val="22"/>
          <w:lang w:val="en-AU" w:eastAsia="en-AU"/>
        </w:rPr>
        <w:t>.</w:t>
      </w:r>
    </w:p>
    <w:p w14:paraId="0699C98E" w14:textId="5CA90298" w:rsidR="00C032AB" w:rsidRPr="007C747A" w:rsidRDefault="00C032AB" w:rsidP="00C032AB">
      <w:pPr>
        <w:numPr>
          <w:ilvl w:val="0"/>
          <w:numId w:val="8"/>
        </w:numPr>
        <w:spacing w:before="120" w:after="120" w:line="240" w:lineRule="auto"/>
        <w:rPr>
          <w:rFonts w:eastAsiaTheme="minorEastAsia" w:cs="Arial"/>
          <w:sz w:val="22"/>
          <w:szCs w:val="22"/>
          <w:lang w:val="en-AU" w:eastAsia="en-AU"/>
        </w:rPr>
      </w:pPr>
      <w:r w:rsidRPr="007C747A">
        <w:rPr>
          <w:rFonts w:eastAsiaTheme="minorEastAsia" w:cs="Arial"/>
          <w:sz w:val="22"/>
          <w:szCs w:val="22"/>
          <w:lang w:val="en-AU" w:eastAsia="en-AU"/>
        </w:rPr>
        <w:t>2,139 contractors, comprising 2,004 labour hire staff, 126 consultants and 9 system access only contractors</w:t>
      </w:r>
      <w:r w:rsidR="007518A6" w:rsidRPr="007C747A">
        <w:rPr>
          <w:rFonts w:eastAsiaTheme="minorEastAsia" w:cs="Arial"/>
          <w:sz w:val="22"/>
          <w:szCs w:val="22"/>
          <w:lang w:val="en-AU" w:eastAsia="en-AU"/>
        </w:rPr>
        <w:t>.</w:t>
      </w:r>
    </w:p>
    <w:p w14:paraId="54D5F738" w14:textId="77777777" w:rsidR="00C032AB" w:rsidRPr="007C747A" w:rsidRDefault="00C032AB" w:rsidP="00C032AB">
      <w:pPr>
        <w:numPr>
          <w:ilvl w:val="0"/>
          <w:numId w:val="8"/>
        </w:numPr>
        <w:spacing w:before="120" w:after="120" w:line="240" w:lineRule="auto"/>
        <w:rPr>
          <w:rFonts w:eastAsiaTheme="minorEastAsia" w:cs="Arial"/>
          <w:sz w:val="22"/>
          <w:szCs w:val="22"/>
          <w:lang w:val="en-AU" w:eastAsia="en-AU"/>
        </w:rPr>
      </w:pPr>
      <w:r w:rsidRPr="007C747A">
        <w:rPr>
          <w:rFonts w:eastAsiaTheme="minorEastAsia" w:cs="Arial"/>
          <w:sz w:val="22"/>
          <w:szCs w:val="22"/>
          <w:lang w:val="en-AU" w:eastAsia="en-AU"/>
        </w:rPr>
        <w:t>5,899 outsourced workers, comprising 4,917 PITC partner staff, 974 National Contact Centre staff and 8 other outsourced staff.</w:t>
      </w:r>
    </w:p>
    <w:p w14:paraId="77619A56" w14:textId="6290B132" w:rsidR="00C032AB" w:rsidRPr="007C747A" w:rsidRDefault="00C032AB" w:rsidP="00230B72">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 xml:space="preserve">During 2022–23 the NDIA engaged 1,210 new APS employees, with more than 55% of these in participant-facing roles in the Service Delivery Group. The NDIA’s planner workforce increased by 8.4% in 2022–23 and represented 41.3% of the NDIA’s APS workforce. </w:t>
      </w:r>
    </w:p>
    <w:p w14:paraId="766AC3FC" w14:textId="77777777" w:rsidR="00C032AB" w:rsidRPr="007C747A" w:rsidRDefault="00C032AB" w:rsidP="001A0235">
      <w:pPr>
        <w:pStyle w:val="Style3-NoNumbering"/>
      </w:pPr>
      <w:r w:rsidRPr="007C747A">
        <w:t>NDIA People Strategy</w:t>
      </w:r>
    </w:p>
    <w:p w14:paraId="78ED865E"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People Strategy 2022 supports our passionate and motivated workforce to achieve better outcomes for participants.</w:t>
      </w:r>
    </w:p>
    <w:p w14:paraId="4B48ACAC"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People Strategy supports the NDIA’s values-driven culture in which our people are committed to realising the aspirations and goals identified in the Corporate Plan. It sets out our approach to achieving Aspiration 4 in the Corporate Plan, ‘A high-performing NDIA’, and in particular supporting the delivery of an engaged and capable NDIA.</w:t>
      </w:r>
    </w:p>
    <w:p w14:paraId="3E152B4F" w14:textId="77777777" w:rsidR="00C032AB" w:rsidRPr="007C747A" w:rsidRDefault="00C032AB" w:rsidP="001A0235">
      <w:pPr>
        <w:pStyle w:val="Style3-NoNumbering"/>
        <w:rPr>
          <w:rFonts w:ascii="Segoe UI" w:hAnsi="Segoe UI"/>
          <w:sz w:val="18"/>
          <w:szCs w:val="18"/>
        </w:rPr>
      </w:pPr>
      <w:r w:rsidRPr="007C747A">
        <w:t>Disability and diversity employment</w:t>
      </w:r>
    </w:p>
    <w:p w14:paraId="4D2B53F5" w14:textId="77777777" w:rsidR="00C032AB" w:rsidRPr="007C747A" w:rsidRDefault="00C032AB" w:rsidP="007D1BD8">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cares deeply about building a workplace where everyone is valued, connected and included. We seek to support a diverse workforce that is representative of the community we serve. The NDIA Inclusion and Diversity Framework outlines how we will increase the NDIA’s inclusion and diversity practices through the creation of a range of diversity-group inclusion plans.</w:t>
      </w:r>
    </w:p>
    <w:p w14:paraId="1240CB2D" w14:textId="77777777" w:rsidR="00C032AB" w:rsidRPr="007C747A" w:rsidRDefault="00C032AB" w:rsidP="007D1BD8">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Since the NDIA was established in 2013, we have sought to be a leading employer of choice for people with disability. In the 2023 APS Census, 19% of NDIA staff identified as having disability.</w:t>
      </w:r>
    </w:p>
    <w:p w14:paraId="5ABF49C6" w14:textId="77777777" w:rsidR="00C032AB" w:rsidRPr="007C747A" w:rsidRDefault="00C032AB" w:rsidP="007D1BD8">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maintains Australian Network on Disability (AND) Disability Confident Recruiter accreditation. We regularly undertake recruitment through affirmative measures to increase the number of staff who identify as a person with disability. The NDIA engages in the RecruitAbility scheme and offers roles and vacancies specifically for people with disabilities (or a specific type of disability).</w:t>
      </w:r>
    </w:p>
    <w:p w14:paraId="777E1541" w14:textId="77777777" w:rsidR="00C032AB" w:rsidRPr="007C747A" w:rsidRDefault="00C032AB" w:rsidP="007D1BD8">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In July 2022 the NDIA Disability Inclusion Plan 2022–25 was launched, the second such plan since the beginning of the NDIA. This plan has 3 key focus areas: accessibility, employment and career development, and inclusive culture.</w:t>
      </w:r>
    </w:p>
    <w:p w14:paraId="3B026722" w14:textId="77777777" w:rsidR="00C032AB" w:rsidRPr="007C747A" w:rsidRDefault="00C032AB" w:rsidP="007D1BD8">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 xml:space="preserve">The plan outlines the actions the NDIA will take to be a world-leading employer of choice for people with disability and a leading employer for access and inclusion. A critical action in the plan was to conduct an internal deep dive into the workplace experience of people with disability. This deep dive provided a safe space for staff to share feedback and allowed the NDIA to clearly understand areas for improvement. The outcomes of this deep dive will inform a refresh of the Disability Inclusion Plan. </w:t>
      </w:r>
    </w:p>
    <w:p w14:paraId="663B5B64"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In the 2023 APS Census, 3% of NDIA staff identified as First Nations people.</w:t>
      </w:r>
    </w:p>
    <w:p w14:paraId="0E2DF594"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NDIA’s Innovate Reconciliation Action Plan (RAP) is being finalised, with input from First Nations staff and stakeholders and support from Reconciliation Australia. This will be the third RAP in the NDIA’s reconciliation program and will build on actions implemented in the previous RAPs. As a commitment of its reconciliation journey, the NDIA participated in Reconciliation Australia’s Workplace RAP Barometer Survey. The survey is administered biannually and measures an organisation’s workforce attitudes and understanding of reconciliation efforts.</w:t>
      </w:r>
    </w:p>
    <w:p w14:paraId="1432F7F9"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In July 2022 the NDIA published its First Nations Employment and Inclusion Plan 2022–25, which has 3 key focus areas: cultural integrity, career pathways, and career development and advancement. This is the second First Nations inclusion plan for the NDIA. It is aligned to the Commonwealth Aboriginal and Torres Strait Islander Workforce Strategy 2020–2024.</w:t>
      </w:r>
    </w:p>
    <w:p w14:paraId="025FD0B2"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In the 2023 APS Census, 9% of NDIA staff identified as LGBTQIA+.</w:t>
      </w:r>
    </w:p>
    <w:p w14:paraId="30D5E9D9"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published its LGBTIQA+ Inclusion Plan in November 2021 to support LGBTIQA+ staff. The plan has 3 key focus areas: capability and leadership, inclusive policy and practice, and culturally safe workplace.</w:t>
      </w:r>
    </w:p>
    <w:p w14:paraId="1978F19E" w14:textId="46194E7F"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 xml:space="preserve">As at June 2023, all of the plan’s 16 actions are complete. Key outcomes of this inclusion plan include the delivery of Gender Affirmation Guidelines for staff who wish to affirm their gender, participation in ACON’s Welcome Here Project to recognise NDIA offices as LGBTIQA+ safe spaces, and delivery of an NDIA Rainbow Commitment recognising the value and contribution </w:t>
      </w:r>
      <w:r w:rsidR="001958C8" w:rsidRPr="007C747A">
        <w:rPr>
          <w:rFonts w:eastAsiaTheme="minorEastAsia" w:cs="Arial"/>
          <w:sz w:val="22"/>
          <w:szCs w:val="22"/>
          <w:lang w:val="en-AU" w:eastAsia="en-AU"/>
        </w:rPr>
        <w:t xml:space="preserve">of </w:t>
      </w:r>
      <w:r w:rsidRPr="007C747A">
        <w:rPr>
          <w:rFonts w:eastAsiaTheme="minorEastAsia" w:cs="Arial"/>
          <w:sz w:val="22"/>
          <w:szCs w:val="22"/>
          <w:lang w:val="en-AU" w:eastAsia="en-AU"/>
        </w:rPr>
        <w:t>LGBTIQA+ staff to the success of the NDIS.</w:t>
      </w:r>
    </w:p>
    <w:p w14:paraId="4FDA0553" w14:textId="45616E73" w:rsidR="00C032AB" w:rsidRPr="007C747A" w:rsidRDefault="000A4C2A"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Senior Executive Service (</w:t>
      </w:r>
      <w:r w:rsidR="00C032AB" w:rsidRPr="007C747A">
        <w:rPr>
          <w:rFonts w:eastAsiaTheme="minorEastAsia" w:cs="Arial"/>
          <w:sz w:val="22"/>
          <w:szCs w:val="22"/>
          <w:lang w:val="en-AU" w:eastAsia="en-AU"/>
        </w:rPr>
        <w:t>SES</w:t>
      </w:r>
      <w:r w:rsidRPr="007C747A">
        <w:rPr>
          <w:rFonts w:eastAsiaTheme="minorEastAsia" w:cs="Arial"/>
          <w:sz w:val="22"/>
          <w:szCs w:val="22"/>
          <w:lang w:val="en-AU" w:eastAsia="en-AU"/>
        </w:rPr>
        <w:t>)</w:t>
      </w:r>
      <w:r w:rsidR="00C032AB" w:rsidRPr="007C747A">
        <w:rPr>
          <w:rFonts w:eastAsiaTheme="minorEastAsia" w:cs="Arial"/>
          <w:sz w:val="22"/>
          <w:szCs w:val="22"/>
          <w:lang w:val="en-AU" w:eastAsia="en-AU"/>
        </w:rPr>
        <w:t xml:space="preserve"> Inclusion and Diversity Champions support our Inclusion and Diversity Framework objectives, staff networks, inclusion plans and initiatives. Currently the NDIA has an SES Disability Champion, an SES Indigenous Champion and 2 SES LGBTIQA+ Champions.</w:t>
      </w:r>
    </w:p>
    <w:p w14:paraId="7A0B3391"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has been working collaboratively with its staff from culturally and linguistically diverse (CALD) backgrounds to co-design a CALD Inclusion Plan, due to be published towards the end of 2023. This inclusion plan will focus on greater inclusive practice for NDIA staff from CALD backgrounds.</w:t>
      </w:r>
    </w:p>
    <w:p w14:paraId="1AC62987"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NDIA’s Inclusion and Diversity Framework commits to inclusion plans for gender equality and families, and the mature-age and intergenerational workforce. Further SES champions will be appointed to these roles as inclusion plans are developed.</w:t>
      </w:r>
    </w:p>
    <w:p w14:paraId="3F33F097" w14:textId="394151D5"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has established 4 staff diversity networks: the Employees with Disability Network, the First Nations Employee Network, the LGBTIQA+ Staff and Allies Network (Pride@NDIA), and most recently the CALD Staff Network.</w:t>
      </w:r>
    </w:p>
    <w:p w14:paraId="46A1B4CF"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continues to hold membership of national not-for-profit organisations to support our inclusion initiatives, such as the Australian Network on Disability, the Diversity Council of Australia, and ACON Pride in Diversity.</w:t>
      </w:r>
    </w:p>
    <w:p w14:paraId="44A24EE0"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acknowledges and celebrates significant diversity and awareness dates. This year there has been a continued focus on promoting stories from staff representing wide diversity and intersectionality, to provide staff an opportunity to share their stories and lived experience within their workplace. The NDIA will continue to develop inclusion plans with the aim of further progressing how we create and embed inclusive workplace practices for everyone.</w:t>
      </w:r>
    </w:p>
    <w:p w14:paraId="21B8D3E0" w14:textId="40A48E39" w:rsidR="00C032AB" w:rsidRPr="007C747A" w:rsidRDefault="00C032AB" w:rsidP="001A0235">
      <w:pPr>
        <w:pStyle w:val="Style3-NoNumbering"/>
        <w:rPr>
          <w:rFonts w:ascii="Segoe UI" w:hAnsi="Segoe UI"/>
          <w:sz w:val="18"/>
          <w:szCs w:val="18"/>
        </w:rPr>
      </w:pPr>
      <w:r w:rsidRPr="007C747A">
        <w:t>Performance management</w:t>
      </w:r>
    </w:p>
    <w:p w14:paraId="4AA4EC73"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has embedded a strong approach to performance development that supports flexibility and agility in the NDIA’s workforce in its dynamic, fast-paced operating environment.</w:t>
      </w:r>
    </w:p>
    <w:p w14:paraId="340FDAD5"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Performance Framework assists staff in aligning their individual performance agreements with the NDIA’s leadership culture.  </w:t>
      </w:r>
    </w:p>
    <w:p w14:paraId="5F4AFC29" w14:textId="77777777" w:rsidR="00C032AB" w:rsidRPr="007C747A" w:rsidRDefault="00C032AB" w:rsidP="00C032AB">
      <w:pPr>
        <w:spacing w:before="120" w:after="120" w:line="240" w:lineRule="auto"/>
        <w:ind w:left="652"/>
        <w:rPr>
          <w:rFonts w:eastAsiaTheme="minorEastAsia" w:cs="Arial"/>
          <w:sz w:val="22"/>
          <w:szCs w:val="22"/>
          <w:lang w:val="en-AU" w:eastAsia="en-AU"/>
        </w:rPr>
      </w:pPr>
      <w:r w:rsidRPr="007C747A">
        <w:rPr>
          <w:rFonts w:eastAsiaTheme="minorEastAsia" w:cs="Arial"/>
          <w:sz w:val="22"/>
          <w:szCs w:val="22"/>
          <w:lang w:val="en-AU" w:eastAsia="en-AU"/>
        </w:rPr>
        <w:t>To ensure it is a high-performing organisation that delivers great outcomes for NDIS participants and stakeholders, the NDIA continues to embed its strong focus on developing employee performance. The NDIA has an employee recognition program that recognises outstanding performance of NDIA staff. No performance-pay arrangements apply.</w:t>
      </w:r>
    </w:p>
    <w:p w14:paraId="5AB8A87B" w14:textId="102426A2" w:rsidR="00C032AB" w:rsidRPr="007C747A" w:rsidRDefault="00C032AB" w:rsidP="001A0235">
      <w:pPr>
        <w:pStyle w:val="Style3-NoNumbering"/>
        <w:rPr>
          <w:rFonts w:ascii="Segoe UI" w:hAnsi="Segoe UI"/>
          <w:sz w:val="18"/>
          <w:szCs w:val="18"/>
        </w:rPr>
      </w:pPr>
      <w:r w:rsidRPr="007C747A">
        <w:t>Ethics policies</w:t>
      </w:r>
    </w:p>
    <w:p w14:paraId="79244CA0"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 xml:space="preserve">The NDIA promotes ethical standards and behaviours relating to its workplaces and employment. All NDIA staff are required to comply with the APS Values, APS Employment Principles and APS Code of Conduct as set out respectively in sections 10, 10A and 13 of the </w:t>
      </w:r>
      <w:r w:rsidRPr="007C747A">
        <w:rPr>
          <w:rFonts w:eastAsiaTheme="minorEastAsia" w:cs="Arial"/>
          <w:i/>
          <w:iCs/>
          <w:sz w:val="22"/>
          <w:szCs w:val="22"/>
          <w:lang w:val="en-AU" w:eastAsia="en-AU"/>
        </w:rPr>
        <w:t>Public Service Act 1999</w:t>
      </w:r>
      <w:r w:rsidRPr="007C747A">
        <w:rPr>
          <w:rFonts w:eastAsiaTheme="minorEastAsia" w:cs="Arial"/>
          <w:sz w:val="22"/>
          <w:szCs w:val="22"/>
          <w:lang w:val="en-AU" w:eastAsia="en-AU"/>
        </w:rPr>
        <w:t>. Additionally, the NDIA Values</w:t>
      </w:r>
      <w:r w:rsidRPr="007C747A">
        <w:rPr>
          <w:rFonts w:eastAsiaTheme="minorEastAsia" w:cs="Arial"/>
          <w:i/>
          <w:iCs/>
          <w:sz w:val="22"/>
          <w:szCs w:val="22"/>
          <w:lang w:val="en-AU" w:eastAsia="en-AU"/>
        </w:rPr>
        <w:t xml:space="preserve"> </w:t>
      </w:r>
      <w:r w:rsidRPr="007C747A">
        <w:rPr>
          <w:rFonts w:eastAsiaTheme="minorEastAsia" w:cs="Arial"/>
          <w:sz w:val="22"/>
          <w:szCs w:val="22"/>
          <w:lang w:val="en-AU" w:eastAsia="en-AU"/>
        </w:rPr>
        <w:t>set out our organisational values and reflect our passion for and commitment to an empowered, inclusive and participant-centred culture.</w:t>
      </w:r>
    </w:p>
    <w:p w14:paraId="009C7D15"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The NDIA is committed to creating and maintaining a positive and inclusive workplace through the Safe and Respectful Workplace Framework, where everyone is safe, treated fairly and respectfully, and supported to speak up. The NDIA has zero tolerance for unacceptable behaviour, including all forms of bullying, harassment, sexual harassment, discrimination, violence, aggression and victimisation at the workplace or in connection with work. The NDIA has measures in place to prevent, address, report and respond to unacceptable behaviour, and supports are available to all NDIA workers impacted by unacceptable behaviour.</w:t>
      </w:r>
    </w:p>
    <w:p w14:paraId="0E7731EC"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All NDIA workers have an obligation to contribute to our safe and respectful culture. To support workers, the NDIA provides compulsory training programs, staff policies, and guidelines to help staff understand their obligations. Possible breaches of the Code of Conduct are taken seriously, and appropriate action is taken when breaches occur. Managers and staff have access to a range of supports including contact officers, and Early Intervention and Safe and Respectful teams.</w:t>
      </w:r>
    </w:p>
    <w:p w14:paraId="0DC2F36B"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 xml:space="preserve">The NDIA has policies in place to support transparent, sound and ethical decision-making. This includes a robust review of action process in relation to decisions that impact employees, as outlined in section 33 of the </w:t>
      </w:r>
      <w:r w:rsidRPr="007C747A">
        <w:rPr>
          <w:rFonts w:eastAsiaTheme="minorEastAsia" w:cs="Arial"/>
          <w:i/>
          <w:iCs/>
          <w:sz w:val="22"/>
          <w:szCs w:val="22"/>
          <w:lang w:val="en-AU" w:eastAsia="en-AU"/>
        </w:rPr>
        <w:t>Public Service Act</w:t>
      </w:r>
      <w:r w:rsidRPr="007C747A">
        <w:rPr>
          <w:rFonts w:eastAsiaTheme="minorEastAsia" w:cs="Arial"/>
          <w:sz w:val="22"/>
          <w:szCs w:val="22"/>
          <w:lang w:val="en-AU" w:eastAsia="en-AU"/>
        </w:rPr>
        <w:t xml:space="preserve"> </w:t>
      </w:r>
      <w:r w:rsidRPr="007C747A">
        <w:rPr>
          <w:rFonts w:eastAsiaTheme="minorEastAsia" w:cs="Arial"/>
          <w:i/>
          <w:iCs/>
          <w:sz w:val="22"/>
          <w:szCs w:val="22"/>
          <w:lang w:val="en-AU" w:eastAsia="en-AU"/>
        </w:rPr>
        <w:t>1999</w:t>
      </w:r>
      <w:r w:rsidRPr="007C747A">
        <w:rPr>
          <w:rFonts w:eastAsiaTheme="minorEastAsia" w:cs="Arial"/>
          <w:sz w:val="22"/>
          <w:szCs w:val="22"/>
          <w:lang w:val="en-AU" w:eastAsia="en-AU"/>
        </w:rPr>
        <w:t>.</w:t>
      </w:r>
    </w:p>
    <w:p w14:paraId="0B011632"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eastAsia="en-AU"/>
        </w:rPr>
      </w:pPr>
      <w:r w:rsidRPr="007C747A">
        <w:rPr>
          <w:rFonts w:eastAsiaTheme="minorEastAsia" w:cs="Arial"/>
          <w:sz w:val="22"/>
          <w:szCs w:val="22"/>
          <w:lang w:val="en-AU" w:eastAsia="en-AU"/>
        </w:rPr>
        <w:t xml:space="preserve">Material published on the NDIA’s (internal) intranet includes information on the APS Values, the APS Employment Principles, the APS Code of Conduct, the Merit Protection Commissioner Review of Actions scheme and the </w:t>
      </w:r>
      <w:r w:rsidRPr="007C747A">
        <w:rPr>
          <w:rFonts w:eastAsiaTheme="minorEastAsia" w:cs="Arial"/>
          <w:sz w:val="22"/>
          <w:szCs w:val="22"/>
          <w:lang w:val="en-AU"/>
        </w:rPr>
        <w:t>Australian Public Service Commission</w:t>
      </w:r>
      <w:r w:rsidRPr="007C747A">
        <w:rPr>
          <w:rFonts w:eastAsiaTheme="minorEastAsia" w:cs="Arial"/>
          <w:sz w:val="22"/>
          <w:szCs w:val="22"/>
          <w:lang w:val="en-AU" w:eastAsia="en-AU"/>
        </w:rPr>
        <w:t xml:space="preserve"> Ethics Advisory Service, which is available to all APS employees who wish to discuss or seek advice on ethical issues that occur in the workplace.</w:t>
      </w:r>
    </w:p>
    <w:p w14:paraId="43BD2E7A" w14:textId="77777777" w:rsidR="00C032AB" w:rsidRPr="007C747A" w:rsidRDefault="00C032AB" w:rsidP="00DA3927">
      <w:pPr>
        <w:pStyle w:val="FGCHEADING2"/>
      </w:pPr>
      <w:bookmarkStart w:id="698" w:name="_Toc142039646"/>
      <w:bookmarkStart w:id="699" w:name="_Toc142047754"/>
      <w:bookmarkStart w:id="700" w:name="_Toc142563014"/>
      <w:bookmarkStart w:id="701" w:name="_Toc142573732"/>
      <w:bookmarkStart w:id="702" w:name="_Toc146289468"/>
      <w:bookmarkStart w:id="703" w:name="_Toc148108426"/>
      <w:r w:rsidRPr="007C747A">
        <w:t>Staff engagement</w:t>
      </w:r>
      <w:bookmarkStart w:id="704" w:name="_Hlk141879114"/>
      <w:bookmarkEnd w:id="698"/>
      <w:bookmarkEnd w:id="699"/>
      <w:bookmarkEnd w:id="700"/>
      <w:bookmarkEnd w:id="701"/>
      <w:bookmarkEnd w:id="702"/>
      <w:bookmarkEnd w:id="703"/>
    </w:p>
    <w:p w14:paraId="782344DF" w14:textId="77777777" w:rsidR="00E31044"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NDIA works to provide a positive, productive and inclusive workplace – a great place to work for all staff – so that we can best support our participants and continue to improve the Scheme. </w:t>
      </w:r>
    </w:p>
    <w:p w14:paraId="4BACEA41" w14:textId="2E0B0749" w:rsidR="00C032AB" w:rsidRPr="007C747A" w:rsidRDefault="00C032AB" w:rsidP="00C032AB">
      <w:pPr>
        <w:spacing w:before="120" w:after="120" w:line="240" w:lineRule="auto"/>
        <w:ind w:left="652"/>
        <w:rPr>
          <w:rFonts w:ascii="Segoe UI" w:eastAsiaTheme="minorEastAsia" w:hAnsi="Segoe UI" w:cs="Segoe UI"/>
          <w:sz w:val="18"/>
          <w:szCs w:val="18"/>
          <w:lang w:val="en-AU"/>
        </w:rPr>
      </w:pPr>
      <w:r w:rsidRPr="007C747A">
        <w:rPr>
          <w:rFonts w:eastAsiaTheme="minorEastAsia" w:cs="Arial"/>
          <w:sz w:val="22"/>
          <w:szCs w:val="22"/>
          <w:lang w:val="en-AU"/>
        </w:rPr>
        <w:t>Employee engagement drives high performance, as engaged staff are proud of what they do and have a strong connection and commitment to the work that they do. In the 2023 APS Census, the highest positive response related to staff understanding how their role contributes to achieving outcomes for the Australian public, at 94%.</w:t>
      </w:r>
    </w:p>
    <w:p w14:paraId="43A39F5F"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rPr>
      </w:pPr>
      <w:r w:rsidRPr="007C747A">
        <w:rPr>
          <w:rFonts w:eastAsiaTheme="minorEastAsia" w:cs="Arial"/>
          <w:sz w:val="22"/>
          <w:szCs w:val="22"/>
          <w:lang w:val="en-AU"/>
        </w:rPr>
        <w:t>In the 2023 APS Census the NDIA had an 81% response rate, with 5,763 of its workforce (APS employees and labour-hire workers, excluding PITC partner staff) participating. The NDIA Engagement Index, which measures staff job satisfaction and commitment to an organisation, improved from 76% in 2022 to 77% in 2023, 4% higher than the APS average.</w:t>
      </w:r>
    </w:p>
    <w:p w14:paraId="7725DE98" w14:textId="13420580" w:rsidR="00C032AB" w:rsidRPr="007C747A" w:rsidRDefault="00C032AB" w:rsidP="00C032AB">
      <w:pPr>
        <w:spacing w:before="120" w:after="120" w:line="240" w:lineRule="auto"/>
        <w:ind w:left="652"/>
        <w:rPr>
          <w:rFonts w:ascii="Segoe UI" w:eastAsiaTheme="minorEastAsia" w:hAnsi="Segoe UI" w:cs="Segoe UI"/>
          <w:sz w:val="18"/>
          <w:szCs w:val="18"/>
          <w:lang w:val="en-AU"/>
        </w:rPr>
      </w:pPr>
      <w:r w:rsidRPr="007C747A">
        <w:rPr>
          <w:rFonts w:eastAsiaTheme="minorEastAsia" w:cs="Arial"/>
          <w:sz w:val="22"/>
          <w:szCs w:val="22"/>
          <w:lang w:val="en-AU"/>
        </w:rPr>
        <w:t>The Wellbeing Index measures staff perceptions o</w:t>
      </w:r>
      <w:r w:rsidR="001958C8" w:rsidRPr="007C747A">
        <w:rPr>
          <w:rFonts w:eastAsiaTheme="minorEastAsia" w:cs="Arial"/>
          <w:sz w:val="22"/>
          <w:szCs w:val="22"/>
          <w:lang w:val="en-AU"/>
        </w:rPr>
        <w:t>f</w:t>
      </w:r>
      <w:r w:rsidRPr="007C747A">
        <w:rPr>
          <w:rFonts w:eastAsiaTheme="minorEastAsia" w:cs="Arial"/>
          <w:sz w:val="22"/>
          <w:szCs w:val="22"/>
          <w:lang w:val="en-AU"/>
        </w:rPr>
        <w:t xml:space="preserve"> how much the NDIA and immediate supervisors care about staff health and wellbeing.</w:t>
      </w:r>
      <w:r w:rsidR="004D3172" w:rsidRPr="007C747A">
        <w:rPr>
          <w:rStyle w:val="FootnoteReference"/>
          <w:rFonts w:eastAsiaTheme="minorEastAsia" w:cs="Arial"/>
          <w:sz w:val="22"/>
          <w:szCs w:val="22"/>
          <w:lang w:val="en-AU"/>
        </w:rPr>
        <w:footnoteReference w:id="15"/>
      </w:r>
      <w:r w:rsidRPr="007C747A">
        <w:rPr>
          <w:rFonts w:eastAsiaTheme="minorEastAsia" w:cs="Arial"/>
          <w:sz w:val="22"/>
          <w:szCs w:val="22"/>
          <w:lang w:val="en-AU"/>
        </w:rPr>
        <w:t xml:space="preserve"> This increased from 71% in 2022 to 73% in 2023.</w:t>
      </w:r>
    </w:p>
    <w:p w14:paraId="02D95A52" w14:textId="77777777" w:rsidR="00C032AB" w:rsidRPr="007C747A" w:rsidRDefault="00C032AB" w:rsidP="00C032AB">
      <w:pPr>
        <w:spacing w:before="120" w:after="120" w:line="240" w:lineRule="auto"/>
        <w:ind w:left="652"/>
        <w:rPr>
          <w:rFonts w:ascii="Segoe UI" w:eastAsiaTheme="minorEastAsia" w:hAnsi="Segoe UI" w:cs="Segoe UI"/>
          <w:sz w:val="18"/>
          <w:szCs w:val="18"/>
          <w:lang w:val="en-AU"/>
        </w:rPr>
      </w:pPr>
      <w:r w:rsidRPr="007C747A">
        <w:rPr>
          <w:rFonts w:eastAsiaTheme="minorEastAsia" w:cs="Arial"/>
          <w:sz w:val="22"/>
          <w:szCs w:val="22"/>
          <w:lang w:val="en-AU"/>
        </w:rPr>
        <w:t>The Census Innovation Index remained at 67% in the 2023 APS Census. This was 2% above the APS average.</w:t>
      </w:r>
    </w:p>
    <w:p w14:paraId="676A9AE2"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NDIA has maintained a focus on shaping a workplace culture that is inclusive and welcoming, where diversity is embraced and celebrated. This focus seeks to ensure we have a workforce that is diverse and representative of the communities we serve. The NDIA continues to experience strong engagement with staff through its diversity networks, with strong representation in the Employees with Disability Network (around 380 members), First Nations Employee Network (around 137 members), Pride@NDIA (around 430 members), and CALD Staff Network (around 125 members). These networks provide an avenue for the NDIA to engage directly with specific diversity cohorts and receive advice and guidance on creating a more inclusive workplace culture.</w:t>
      </w:r>
    </w:p>
    <w:p w14:paraId="7FC4B88D" w14:textId="77777777" w:rsidR="00C032AB" w:rsidRPr="007C747A" w:rsidRDefault="00C032AB" w:rsidP="00DA3927">
      <w:pPr>
        <w:pStyle w:val="FGCHEADING2"/>
      </w:pPr>
      <w:bookmarkStart w:id="705" w:name="_Toc142487679"/>
      <w:bookmarkStart w:id="706" w:name="_Toc142489669"/>
      <w:bookmarkStart w:id="707" w:name="_Toc142039647"/>
      <w:bookmarkStart w:id="708" w:name="_Toc142047755"/>
      <w:bookmarkStart w:id="709" w:name="_Toc142563015"/>
      <w:bookmarkStart w:id="710" w:name="_Toc142573733"/>
      <w:bookmarkStart w:id="711" w:name="_Toc146289469"/>
      <w:bookmarkStart w:id="712" w:name="_Toc148108427"/>
      <w:bookmarkEnd w:id="704"/>
      <w:bookmarkEnd w:id="705"/>
      <w:bookmarkEnd w:id="706"/>
      <w:r w:rsidRPr="007C747A">
        <w:t>Risk management</w:t>
      </w:r>
      <w:bookmarkEnd w:id="707"/>
      <w:bookmarkEnd w:id="708"/>
      <w:bookmarkEnd w:id="709"/>
      <w:bookmarkEnd w:id="710"/>
      <w:bookmarkEnd w:id="711"/>
      <w:bookmarkEnd w:id="712"/>
    </w:p>
    <w:p w14:paraId="2B4EF653" w14:textId="77777777" w:rsidR="00797825"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NDIA has a structured approach to identifying, managing, escalating and communicating key risks. This is critical to the effective and efficient delivery of the Scheme. </w:t>
      </w:r>
    </w:p>
    <w:p w14:paraId="38E8F202" w14:textId="403423D2"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NDIA is committed to ensuring that participant supports, provider services and other critical business functions are maintained or quickly restored in the event of a significant outage, incident or crisis. The proactive use of risk management within the NDIA has allowed us to support effective business planning, operational stability and delivery of corporate aspirations through an evidence-based approach within the appetite set by the Board.</w:t>
      </w:r>
    </w:p>
    <w:p w14:paraId="5B990912"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Chief Risk Officer Division assists the NDIA Board and Strategic Leadership Team (SLT) by providing objective risk reviews, oversight, monitoring and reporting. On an annual basis, the Board determines the risk appetite and strategic risks for the NDIA, which are directly aligned to the Corporate Plan. The Board determined 9 strategic risks for 2022–23 in the areas of participant experience and outcomes, partner performance, provider market quality, financial sustainability, Scheme integrity, stakeholder relationship and trust, and NDIA operational stability. The strategic risks are monitored against key indicators, and performance is reported to the SLT and Board Risk Committee on a quarterly basis. Management of the strategic risks is supported by operational, fraud and compliance, regulatory and project risk assessments and controls which are owned and managed at group or aggregated NDIA level.</w:t>
      </w:r>
    </w:p>
    <w:p w14:paraId="18FDE948"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NDIA has an established and practically tested Business Continuity Management Framework to ensure the rapid response and resumption of participant and provider services and critical business activities in emergency situations.</w:t>
      </w:r>
    </w:p>
    <w:p w14:paraId="5FEB3EA7"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NDIA’s integrated risk management system provides a single platform for managing operational, strategic and regulatory risks, audit recommendations, incidents and business continuity plans. The system gives accountable executives extended visibility as to the risks and controls within their business and the broader NDIA and underpins quarterly risk reporting to the Board Risk Committee.</w:t>
      </w:r>
    </w:p>
    <w:p w14:paraId="5ECF8227"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The NDIA continues to look for opportunities to optimise, digitise and integrate its risk management frameworks and systems to deliver a more connected, responsive and predictive risk ecosystem.</w:t>
      </w:r>
    </w:p>
    <w:p w14:paraId="59C10B2D" w14:textId="77777777" w:rsidR="00C032AB" w:rsidRPr="007C747A" w:rsidRDefault="00C032AB" w:rsidP="001E2D18">
      <w:pPr>
        <w:pStyle w:val="FGCHEADING3"/>
        <w:numPr>
          <w:ilvl w:val="2"/>
          <w:numId w:val="43"/>
        </w:numPr>
      </w:pPr>
      <w:bookmarkStart w:id="713" w:name="_Toc142039648"/>
      <w:bookmarkStart w:id="714" w:name="_Toc142047756"/>
      <w:bookmarkStart w:id="715" w:name="_Toc142573734"/>
      <w:bookmarkStart w:id="716" w:name="_Toc146289470"/>
      <w:r w:rsidRPr="007C747A">
        <w:t>Scheme integrity</w:t>
      </w:r>
      <w:bookmarkEnd w:id="713"/>
      <w:bookmarkEnd w:id="714"/>
      <w:bookmarkEnd w:id="715"/>
      <w:bookmarkEnd w:id="716"/>
    </w:p>
    <w:p w14:paraId="5DB0B926" w14:textId="77777777" w:rsidR="00E827D5" w:rsidRPr="007C747A" w:rsidRDefault="00E827D5" w:rsidP="001A0235">
      <w:pPr>
        <w:pStyle w:val="FGCHEADING4"/>
        <w:rPr>
          <w:lang w:val="en-AU"/>
        </w:rPr>
      </w:pPr>
      <w:bookmarkStart w:id="717" w:name="_Toc142039649"/>
      <w:bookmarkStart w:id="718" w:name="_Toc142047757"/>
      <w:r w:rsidRPr="007C747A">
        <w:rPr>
          <w:lang w:val="en-AU"/>
        </w:rPr>
        <w:t>Fraud</w:t>
      </w:r>
      <w:bookmarkEnd w:id="717"/>
      <w:bookmarkEnd w:id="718"/>
      <w:r w:rsidRPr="007C747A">
        <w:rPr>
          <w:lang w:val="en-AU"/>
        </w:rPr>
        <w:t xml:space="preserve"> prevention</w:t>
      </w:r>
    </w:p>
    <w:p w14:paraId="5FBBBF5E" w14:textId="77777777" w:rsidR="00E827D5" w:rsidRPr="007C747A" w:rsidRDefault="00E827D5" w:rsidP="00E827D5">
      <w:pPr>
        <w:pStyle w:val="FGCNORMAL"/>
        <w:spacing w:line="240" w:lineRule="auto"/>
      </w:pPr>
      <w:r w:rsidRPr="007C747A">
        <w:t xml:space="preserve">The NDIA maintains a zero-tolerance approach to fraud and invests heavily in the prevention and detection of noncompliant claiming behaviours, including potential fraud. </w:t>
      </w:r>
    </w:p>
    <w:p w14:paraId="40A96DD0" w14:textId="77777777" w:rsidR="00E827D5" w:rsidRPr="007C747A" w:rsidRDefault="00E827D5" w:rsidP="00E827D5">
      <w:pPr>
        <w:pStyle w:val="FGCNORMAL"/>
        <w:spacing w:line="240" w:lineRule="auto"/>
      </w:pPr>
      <w:r w:rsidRPr="007C747A">
        <w:t xml:space="preserve">The NDIA’s Fraud and Corruption Control Plan outlines how the NDIA is meeting its responsibilities under the </w:t>
      </w:r>
      <w:r w:rsidRPr="007C747A">
        <w:rPr>
          <w:i/>
          <w:iCs/>
        </w:rPr>
        <w:t>Public Governance, Performance and Accountability Act 2013</w:t>
      </w:r>
      <w:r w:rsidRPr="007C747A">
        <w:t xml:space="preserve"> and the </w:t>
      </w:r>
      <w:r w:rsidRPr="007C747A">
        <w:rPr>
          <w:i/>
          <w:iCs/>
        </w:rPr>
        <w:t>Commonwealth Fraud Control Framework 2017</w:t>
      </w:r>
      <w:r w:rsidRPr="007C747A">
        <w:t>. Our publicly available Fraud Strategy Statement and Compliance and Enforcement Framework describe the NDIA’s approach to managing compliance and enforcement objectives and activities, including fraud and anti-corruption.</w:t>
      </w:r>
    </w:p>
    <w:p w14:paraId="3EE69749" w14:textId="77777777" w:rsidR="00E827D5" w:rsidRPr="007C747A" w:rsidRDefault="00E827D5" w:rsidP="00E827D5">
      <w:pPr>
        <w:pStyle w:val="FGCNORMAL"/>
        <w:spacing w:line="240" w:lineRule="auto"/>
      </w:pPr>
      <w:r w:rsidRPr="007C747A">
        <w:t xml:space="preserve">The NDIA also continues to undertake preventive initiatives with internal and external stakeholders. In 2022–23 the NDIA ran a comprehensive education and engagement campaign, which coincided with International Fraud Awareness Week, designed to raise awareness about noncompliance and fraud within the Scheme. </w:t>
      </w:r>
    </w:p>
    <w:p w14:paraId="2F469361" w14:textId="269904E5" w:rsidR="00E827D5" w:rsidRPr="007C747A" w:rsidRDefault="00E827D5" w:rsidP="00E827D5">
      <w:pPr>
        <w:pStyle w:val="FGCNORMAL"/>
        <w:spacing w:line="240" w:lineRule="auto"/>
      </w:pPr>
      <w:r w:rsidRPr="007C747A">
        <w:t>In addition, the NDIA continued to work across government to leverage capabilities and support more effective compliance and enforcement activities, including by co-leading the multi-agency Fraud Fusion Taskforce</w:t>
      </w:r>
      <w:r w:rsidR="001958C8" w:rsidRPr="007C747A">
        <w:t xml:space="preserve"> (FFT)</w:t>
      </w:r>
      <w:r w:rsidRPr="007C747A">
        <w:t>.</w:t>
      </w:r>
    </w:p>
    <w:p w14:paraId="4190AB22" w14:textId="77777777" w:rsidR="00E827D5" w:rsidRPr="007C747A" w:rsidRDefault="00E827D5" w:rsidP="001A0235">
      <w:pPr>
        <w:pStyle w:val="FGCHEADING4"/>
        <w:rPr>
          <w:lang w:val="en-AU"/>
        </w:rPr>
      </w:pPr>
      <w:r w:rsidRPr="007C747A">
        <w:rPr>
          <w:lang w:val="en-AU"/>
        </w:rPr>
        <w:t xml:space="preserve">Fraud Fusion Taskforce </w:t>
      </w:r>
    </w:p>
    <w:p w14:paraId="66020859" w14:textId="16AEDC25" w:rsidR="00E827D5" w:rsidRPr="007C747A" w:rsidRDefault="00E827D5" w:rsidP="00E827D5">
      <w:pPr>
        <w:pStyle w:val="FGCNORMAL"/>
        <w:spacing w:line="240" w:lineRule="auto"/>
      </w:pPr>
      <w:r w:rsidRPr="007C747A">
        <w:t xml:space="preserve">In the October 2022 Budget, the </w:t>
      </w:r>
      <w:r w:rsidR="00CE335F" w:rsidRPr="007C747A">
        <w:t>G</w:t>
      </w:r>
      <w:r w:rsidRPr="007C747A">
        <w:t xml:space="preserve">overnment provided $137.7 million (including $11.4 million of funding for the Integrity Taskforce) in funding over </w:t>
      </w:r>
      <w:r w:rsidR="001958C8" w:rsidRPr="007C747A">
        <w:t>4</w:t>
      </w:r>
      <w:r w:rsidRPr="007C747A">
        <w:t xml:space="preserve"> years from 2022</w:t>
      </w:r>
      <w:r w:rsidR="00271B50" w:rsidRPr="007C747A">
        <w:t>–2</w:t>
      </w:r>
      <w:r w:rsidRPr="007C747A">
        <w:t xml:space="preserve">3 to establish the multi-agency FFT to address fraud in the NDIS and other government programs. On 1 November 2022 the FFT commenced operations and </w:t>
      </w:r>
      <w:r w:rsidR="001958C8" w:rsidRPr="007C747A">
        <w:t xml:space="preserve">it </w:t>
      </w:r>
      <w:r w:rsidRPr="007C747A">
        <w:t xml:space="preserve">continues to be progressively enabled. Law conformance has been a priority, to ensure a strong legal and ethical basis for the </w:t>
      </w:r>
      <w:r w:rsidR="005B522C" w:rsidRPr="007C747A">
        <w:t xml:space="preserve">FFT’s </w:t>
      </w:r>
      <w:r w:rsidRPr="007C747A">
        <w:t>work.</w:t>
      </w:r>
    </w:p>
    <w:p w14:paraId="770725BB" w14:textId="4D4022C0" w:rsidR="00E827D5" w:rsidRPr="007C747A" w:rsidRDefault="00E827D5" w:rsidP="00E827D5">
      <w:pPr>
        <w:pStyle w:val="FGCNORMAL"/>
        <w:spacing w:line="240" w:lineRule="auto"/>
      </w:pPr>
      <w:r w:rsidRPr="007C747A">
        <w:t xml:space="preserve">On 14 April 2023, the </w:t>
      </w:r>
      <w:r w:rsidRPr="007C747A">
        <w:rPr>
          <w:i/>
          <w:iCs/>
        </w:rPr>
        <w:t>Treasury Laws Amendment (Disclosure of Information to Fraud Fusion Taskforce) Regulations 2023</w:t>
      </w:r>
      <w:r w:rsidRPr="007C747A">
        <w:t xml:space="preserve"> for </w:t>
      </w:r>
      <w:r w:rsidR="00227EC0" w:rsidRPr="007C747A">
        <w:t xml:space="preserve">the </w:t>
      </w:r>
      <w:r w:rsidRPr="007C747A">
        <w:t>Australian Taxation Office (ATO) and Australian Securities and Investments Commission (ASIC) to share protected information for the purposes of the Taskforce were published and in force. The Fraud Fusion Centre, led by the Australian Criminal Intelligence Commission (ACIC), is gathering intelligence, and investigating multiple criminal syndicates, some having drawn down millions of dollars in funding from hundreds of NDIS participants. The ACIC has established Taskforce Reston</w:t>
      </w:r>
      <w:r w:rsidR="005B522C" w:rsidRPr="007C747A">
        <w:t>,</w:t>
      </w:r>
      <w:r w:rsidRPr="007C747A">
        <w:t xml:space="preserve"> which will enable information sharing by the ACIC for the purposes of the FFT.</w:t>
      </w:r>
    </w:p>
    <w:p w14:paraId="683F6A3F" w14:textId="023D181B" w:rsidR="00E827D5" w:rsidRPr="007C747A" w:rsidRDefault="00E827D5" w:rsidP="00E827D5">
      <w:pPr>
        <w:pStyle w:val="FGCNORMAL"/>
        <w:spacing w:line="240" w:lineRule="auto"/>
      </w:pPr>
      <w:r w:rsidRPr="007C747A">
        <w:t xml:space="preserve">On 15 June 2023 the </w:t>
      </w:r>
      <w:r w:rsidR="005B522C" w:rsidRPr="007C747A">
        <w:t xml:space="preserve">FFT </w:t>
      </w:r>
      <w:r w:rsidRPr="007C747A">
        <w:t xml:space="preserve">Memorandum of Understanding and Terms of Reference became operational after signing by co-leads Services Australia, the NDIA and </w:t>
      </w:r>
      <w:r w:rsidR="005B522C" w:rsidRPr="007C747A">
        <w:t xml:space="preserve">FFT </w:t>
      </w:r>
      <w:r w:rsidRPr="007C747A">
        <w:t xml:space="preserve">member agencies. These documents define working relationships, expectations and responsibilities. A robust </w:t>
      </w:r>
      <w:r w:rsidR="005B522C" w:rsidRPr="007C747A">
        <w:t>e</w:t>
      </w:r>
      <w:r w:rsidRPr="007C747A">
        <w:t xml:space="preserve">thics and </w:t>
      </w:r>
      <w:r w:rsidR="005B522C" w:rsidRPr="007C747A">
        <w:t>h</w:t>
      </w:r>
      <w:r w:rsidRPr="007C747A">
        <w:t xml:space="preserve">uman </w:t>
      </w:r>
      <w:r w:rsidR="005B522C" w:rsidRPr="007C747A">
        <w:t>o</w:t>
      </w:r>
      <w:r w:rsidRPr="007C747A">
        <w:t>versight framework is being developed in consultation with NDIS participants to ensure their voice</w:t>
      </w:r>
      <w:r w:rsidR="005B522C" w:rsidRPr="007C747A">
        <w:t>s are</w:t>
      </w:r>
      <w:r w:rsidRPr="007C747A">
        <w:t xml:space="preserve"> heard and they feel safe throughout the operation of the FFT.</w:t>
      </w:r>
    </w:p>
    <w:p w14:paraId="63DBE1B4" w14:textId="77777777" w:rsidR="00E827D5" w:rsidRPr="007C747A" w:rsidRDefault="00E827D5" w:rsidP="00E827D5">
      <w:pPr>
        <w:pStyle w:val="FGCNORMAL"/>
        <w:spacing w:line="240" w:lineRule="auto"/>
      </w:pPr>
      <w:r w:rsidRPr="007C747A">
        <w:t xml:space="preserve">Recognising the significant vulnerabilities of the Scheme that are now coming to light, the FFT is strongly focused on driving a whole-of-government approach to strategic prevention. While investigations and prosecutions may help address some fraud in the short term, strategic prevention investments will have the greatest impact in protecting government payment programs in the medium to long term. </w:t>
      </w:r>
    </w:p>
    <w:p w14:paraId="056EA909" w14:textId="23F3876C" w:rsidR="00E827D5" w:rsidRPr="007C747A" w:rsidRDefault="00E827D5" w:rsidP="00E827D5">
      <w:pPr>
        <w:pStyle w:val="FGCNORMAL"/>
        <w:spacing w:line="240" w:lineRule="auto"/>
      </w:pPr>
      <w:r w:rsidRPr="007C747A">
        <w:t xml:space="preserve">A participant and sector Fraud Working Group has been established. There is overwhelming support </w:t>
      </w:r>
      <w:r w:rsidR="001959F2" w:rsidRPr="007C747A">
        <w:t xml:space="preserve">from </w:t>
      </w:r>
      <w:r w:rsidRPr="007C747A">
        <w:t>participants and their representatives engaged thus far for the NDIA and</w:t>
      </w:r>
      <w:r w:rsidR="001959F2" w:rsidRPr="007C747A">
        <w:t xml:space="preserve"> the</w:t>
      </w:r>
      <w:r w:rsidRPr="007C747A">
        <w:t xml:space="preserve"> Government to reduce fraud and noncompliance and make it easier for people to get it right in each interaction with the NDIS. </w:t>
      </w:r>
    </w:p>
    <w:p w14:paraId="01576E4D" w14:textId="77777777" w:rsidR="00E827D5" w:rsidRPr="007C747A" w:rsidRDefault="00E827D5" w:rsidP="001A0235">
      <w:pPr>
        <w:pStyle w:val="FGCHEADING4"/>
        <w:rPr>
          <w:lang w:val="en-AU"/>
        </w:rPr>
      </w:pPr>
      <w:bookmarkStart w:id="719" w:name="_Toc142039650"/>
      <w:bookmarkStart w:id="720" w:name="_Toc142047758"/>
      <w:r w:rsidRPr="007C747A">
        <w:rPr>
          <w:lang w:val="en-AU"/>
        </w:rPr>
        <w:t>Compliance activities</w:t>
      </w:r>
      <w:bookmarkEnd w:id="719"/>
      <w:bookmarkEnd w:id="720"/>
      <w:r w:rsidRPr="007C747A">
        <w:rPr>
          <w:lang w:val="en-AU"/>
        </w:rPr>
        <w:t xml:space="preserve"> </w:t>
      </w:r>
    </w:p>
    <w:p w14:paraId="122F4403" w14:textId="3C802923" w:rsidR="00E827D5" w:rsidRPr="007C747A" w:rsidRDefault="00E827D5" w:rsidP="00E827D5">
      <w:pPr>
        <w:pStyle w:val="FGCNORMAL"/>
        <w:spacing w:line="240" w:lineRule="auto"/>
      </w:pPr>
      <w:r w:rsidRPr="007C747A">
        <w:t>During 2022–23 the NDIA Compliance Program Branch undertook over 12,100 compliance activities (compared to 6,700 in 2021–22) to treat opportunistic and noncompliant payment risks</w:t>
      </w:r>
      <w:r w:rsidR="001959F2" w:rsidRPr="007C747A">
        <w:t>,</w:t>
      </w:r>
      <w:r w:rsidRPr="007C747A">
        <w:t xml:space="preserve"> identified primarily through tip-offs and detected risk profiles. This involved the review of over 59,000 transactions</w:t>
      </w:r>
      <w:r w:rsidR="001959F2" w:rsidRPr="007C747A">
        <w:t>,</w:t>
      </w:r>
      <w:r w:rsidRPr="007C747A">
        <w:t xml:space="preserve"> or more than $150 million in payments. Proactive targeting and reactive measures from the branch resulted in providers cancelling more than 800 incorrect or noncompliant payments</w:t>
      </w:r>
      <w:r w:rsidR="001959F2" w:rsidRPr="007C747A">
        <w:t>,</w:t>
      </w:r>
      <w:r w:rsidRPr="007C747A">
        <w:t xml:space="preserve"> worth $9 million.</w:t>
      </w:r>
    </w:p>
    <w:p w14:paraId="3A50D7DF" w14:textId="77777777" w:rsidR="00E827D5" w:rsidRPr="007C747A" w:rsidRDefault="00E827D5" w:rsidP="00E827D5">
      <w:pPr>
        <w:pStyle w:val="FGCNORMAL"/>
        <w:spacing w:line="240" w:lineRule="auto"/>
      </w:pPr>
      <w:r w:rsidRPr="007C747A">
        <w:t>In the same period, the Claims and Payments Integrity Team reviewed over 19,000 pre-payment and 40,000 post-payment claims, which resulted in just under $50 million in payment cancellations due to noncompliance (compared to $0.3 million in 2021–22).</w:t>
      </w:r>
    </w:p>
    <w:p w14:paraId="4A764E81" w14:textId="509EEE89" w:rsidR="00E827D5" w:rsidRPr="007C747A" w:rsidRDefault="00E827D5" w:rsidP="00E827D5">
      <w:pPr>
        <w:pStyle w:val="FGCNORMAL"/>
        <w:spacing w:line="240" w:lineRule="auto"/>
      </w:pPr>
      <w:r w:rsidRPr="007C747A">
        <w:t xml:space="preserve">During 2022–23 we saw a significant increase (177%) in tip-offs reported to the Agency via the fraud reporting and scams helpline. This increase could in part be attributable to increased media attention due to </w:t>
      </w:r>
      <w:r w:rsidR="001959F2" w:rsidRPr="007C747A">
        <w:t>the FFT</w:t>
      </w:r>
      <w:r w:rsidRPr="007C747A">
        <w:t xml:space="preserve"> and greater public awareness of integrity risks. A total of 17,207 tip-offs were received during 2022–23, compared with 9,673 in 2021–22.</w:t>
      </w:r>
    </w:p>
    <w:p w14:paraId="37AE8DC5" w14:textId="77777777" w:rsidR="00E827D5" w:rsidRPr="007C747A" w:rsidRDefault="00E827D5" w:rsidP="001A0235">
      <w:pPr>
        <w:pStyle w:val="FGCHEADING4"/>
        <w:rPr>
          <w:lang w:val="en-AU"/>
        </w:rPr>
      </w:pPr>
      <w:bookmarkStart w:id="721" w:name="_Toc142039651"/>
      <w:bookmarkStart w:id="722" w:name="_Toc142047759"/>
      <w:r w:rsidRPr="007C747A">
        <w:rPr>
          <w:lang w:val="en-AU"/>
        </w:rPr>
        <w:t>Investigations</w:t>
      </w:r>
      <w:bookmarkEnd w:id="721"/>
      <w:bookmarkEnd w:id="722"/>
    </w:p>
    <w:p w14:paraId="3E818F6A" w14:textId="7C31CF5D" w:rsidR="00E827D5" w:rsidRPr="007C747A" w:rsidRDefault="00E827D5" w:rsidP="00E827D5">
      <w:pPr>
        <w:pStyle w:val="FGCNORMAL"/>
        <w:spacing w:line="240" w:lineRule="auto"/>
      </w:pPr>
      <w:r w:rsidRPr="007C747A">
        <w:t xml:space="preserve">The NDIA’s fraud intelligence and investigation function has continued to mature, with more complex fraud and serious noncompliance investigations completed and/or currently before the courts. The establishment of the </w:t>
      </w:r>
      <w:r w:rsidR="001959F2" w:rsidRPr="007C747A">
        <w:t>FFT</w:t>
      </w:r>
      <w:r w:rsidRPr="007C747A">
        <w:t xml:space="preserve"> has expanded the scope and capacity of the Agency to detect and respond to serious and organised crime. </w:t>
      </w:r>
    </w:p>
    <w:p w14:paraId="195D9F84" w14:textId="4E61DB58" w:rsidR="00C032AB" w:rsidRPr="007C747A" w:rsidRDefault="00E827D5" w:rsidP="00230B72">
      <w:pPr>
        <w:pStyle w:val="FGCNORMAL"/>
        <w:spacing w:line="240" w:lineRule="auto"/>
      </w:pPr>
      <w:r w:rsidRPr="007C747A">
        <w:t>As at 30 June 2023, 44 fraud investigations were in progress and a further 17 matters were being evaluated for possible investigation. Of these, 14 matters are currently before the courts under prosecution.</w:t>
      </w:r>
    </w:p>
    <w:p w14:paraId="37BD3942" w14:textId="77777777" w:rsidR="00C032AB" w:rsidRPr="007C747A" w:rsidRDefault="00C032AB" w:rsidP="001A0235">
      <w:pPr>
        <w:pStyle w:val="FGCHEADING3"/>
      </w:pPr>
      <w:bookmarkStart w:id="723" w:name="_Toc142039652"/>
      <w:bookmarkStart w:id="724" w:name="_Toc142047760"/>
      <w:bookmarkStart w:id="725" w:name="_Toc142573738"/>
      <w:bookmarkStart w:id="726" w:name="_Toc146289471"/>
      <w:r w:rsidRPr="007C747A">
        <w:t>Internal audit</w:t>
      </w:r>
      <w:bookmarkEnd w:id="723"/>
      <w:bookmarkEnd w:id="724"/>
      <w:bookmarkEnd w:id="725"/>
      <w:bookmarkEnd w:id="726"/>
    </w:p>
    <w:p w14:paraId="714A7C8E"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internal audit function supports effective risk management and operates as a key internal control. The Internal Audit Branch provides independent assurance to management and the Board through the NDIA Board Audit Committee. The internal audit function partners with stakeholders to ensure they understand the NDIA’s strategic direction and risk profile to deliver a fully aligned, risk-focused plan incorporating both assurance and advisory activity. As part of the audit process, findings are raised in consultation with relevant business areas, with an understanding of the operating environment and relevant insights. </w:t>
      </w:r>
    </w:p>
    <w:p w14:paraId="51993CC9"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During 2022–23 the internal audit team delivered an approved internal audit plan to the Board Audit Committee. This plan is updated on an ongoing basis, with a formal review performed every 6 months to ensure that it remains relevant and aligned to key risks. The outcomes of all audit activity were reported to the Board Audit Committee, and progress on action plans was monitored through an online tracking system. The status of these actions was reported to both management and the NDIA Board through the Audit Committee. </w:t>
      </w:r>
    </w:p>
    <w:p w14:paraId="7EBDC5C1" w14:textId="77777777" w:rsidR="00C032AB" w:rsidRPr="007C747A" w:rsidRDefault="00C032AB" w:rsidP="001A0235">
      <w:pPr>
        <w:pStyle w:val="FGCHEADING3"/>
      </w:pPr>
      <w:bookmarkStart w:id="727" w:name="_Toc142039653"/>
      <w:bookmarkStart w:id="728" w:name="_Toc142047761"/>
      <w:bookmarkStart w:id="729" w:name="_Toc142573739"/>
      <w:bookmarkStart w:id="730" w:name="_Toc146289472"/>
      <w:r w:rsidRPr="007C747A">
        <w:t>External audit</w:t>
      </w:r>
      <w:bookmarkEnd w:id="727"/>
      <w:bookmarkEnd w:id="728"/>
      <w:bookmarkEnd w:id="729"/>
      <w:bookmarkEnd w:id="730"/>
    </w:p>
    <w:p w14:paraId="7F8CE0A2" w14:textId="0396923B" w:rsidR="00175B0F" w:rsidRPr="00DC45A9" w:rsidRDefault="00C032AB" w:rsidP="00DC45A9">
      <w:pPr>
        <w:spacing w:before="120" w:after="120" w:line="240" w:lineRule="auto"/>
        <w:ind w:left="652"/>
        <w:rPr>
          <w:rFonts w:eastAsiaTheme="minorEastAsia" w:cs="Arial"/>
          <w:sz w:val="22"/>
          <w:szCs w:val="28"/>
          <w:lang w:val="en-AU"/>
        </w:rPr>
      </w:pPr>
      <w:r w:rsidRPr="007C747A">
        <w:rPr>
          <w:rFonts w:eastAsiaTheme="minorEastAsia" w:cs="Arial"/>
          <w:sz w:val="22"/>
          <w:szCs w:val="22"/>
          <w:lang w:val="en-AU"/>
        </w:rPr>
        <w:t>The NDIA maintains a close working relationship with the Australian National Audit Office (ANAO), which provides both external auditing services on the annual financial statements and performance audit services. Details of performance audits undertaken during the year that have an impact on the NDIA are provided in section 5.8. The ANAO audit report on annual financial statements is included in section 3. All management actions taken to address recommendations raised by the ANAO are tracked, with regular reporting on their status to both management and the Board Audit Committee.</w:t>
      </w:r>
    </w:p>
    <w:p w14:paraId="04BB6D2A" w14:textId="487375EF" w:rsidR="00F2319A" w:rsidRPr="007C747A" w:rsidRDefault="006040B4" w:rsidP="00AC6002">
      <w:pPr>
        <w:pStyle w:val="FGCHEADING1"/>
      </w:pPr>
      <w:bookmarkStart w:id="731" w:name="_Toc142039654"/>
      <w:bookmarkStart w:id="732" w:name="_Toc142047762"/>
      <w:bookmarkStart w:id="733" w:name="_Toc142478414"/>
      <w:bookmarkStart w:id="734" w:name="_Toc142573740"/>
      <w:bookmarkStart w:id="735" w:name="_Toc146289473"/>
      <w:bookmarkStart w:id="736" w:name="_Toc148108428"/>
      <w:r w:rsidRPr="007C747A">
        <w:t>Appendices</w:t>
      </w:r>
      <w:bookmarkEnd w:id="731"/>
      <w:bookmarkEnd w:id="732"/>
      <w:bookmarkEnd w:id="733"/>
      <w:bookmarkEnd w:id="734"/>
      <w:bookmarkEnd w:id="735"/>
      <w:bookmarkEnd w:id="736"/>
    </w:p>
    <w:p w14:paraId="7F013B63" w14:textId="77777777" w:rsidR="00C032AB" w:rsidRPr="007C747A" w:rsidRDefault="00C032AB" w:rsidP="00DB4DDB">
      <w:pPr>
        <w:pStyle w:val="FGCHEADING2"/>
      </w:pPr>
      <w:bookmarkStart w:id="737" w:name="_Toc142039655"/>
      <w:bookmarkStart w:id="738" w:name="_Toc142047763"/>
      <w:bookmarkStart w:id="739" w:name="_Toc142563017"/>
      <w:bookmarkStart w:id="740" w:name="_Toc142573741"/>
      <w:bookmarkStart w:id="741" w:name="_Toc146289474"/>
      <w:bookmarkStart w:id="742" w:name="_Toc148108429"/>
      <w:r w:rsidRPr="007C747A">
        <w:t>Enabling legislation</w:t>
      </w:r>
      <w:bookmarkEnd w:id="737"/>
      <w:bookmarkEnd w:id="738"/>
      <w:bookmarkEnd w:id="739"/>
      <w:bookmarkEnd w:id="740"/>
      <w:bookmarkEnd w:id="741"/>
      <w:bookmarkEnd w:id="742"/>
    </w:p>
    <w:p w14:paraId="6D503102" w14:textId="77777777"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National Disability Insurance Agency is established under the </w:t>
      </w:r>
      <w:r w:rsidRPr="007C747A">
        <w:rPr>
          <w:rFonts w:eastAsiaTheme="minorEastAsia" w:cs="Arial"/>
          <w:i/>
          <w:iCs/>
          <w:sz w:val="22"/>
          <w:szCs w:val="22"/>
          <w:lang w:val="en-AU"/>
        </w:rPr>
        <w:t>National Disability Insurance Scheme Act 2013</w:t>
      </w:r>
      <w:r w:rsidRPr="007C747A">
        <w:rPr>
          <w:rFonts w:eastAsiaTheme="minorEastAsia" w:cs="Arial"/>
          <w:sz w:val="22"/>
          <w:szCs w:val="22"/>
          <w:lang w:val="en-AU"/>
        </w:rPr>
        <w:t xml:space="preserve"> (NDIS Act) to deliver the National Disability Insurance Scheme. The Agency is a corporate Commonwealth entity under the </w:t>
      </w:r>
      <w:r w:rsidRPr="007C747A">
        <w:rPr>
          <w:rFonts w:eastAsiaTheme="minorEastAsia" w:cs="Arial"/>
          <w:i/>
          <w:iCs/>
          <w:sz w:val="22"/>
          <w:szCs w:val="22"/>
          <w:lang w:val="en-AU"/>
        </w:rPr>
        <w:t>Public Governance, Performance and Accountability Act 2013</w:t>
      </w:r>
      <w:r w:rsidRPr="007C747A">
        <w:rPr>
          <w:rFonts w:eastAsiaTheme="minorEastAsia" w:cs="Arial"/>
          <w:sz w:val="22"/>
          <w:szCs w:val="22"/>
          <w:lang w:val="en-AU"/>
        </w:rPr>
        <w:t xml:space="preserve"> (PGPA Act).</w:t>
      </w:r>
    </w:p>
    <w:p w14:paraId="3875173B" w14:textId="1B288E78" w:rsidR="00C032AB" w:rsidRPr="007C747A" w:rsidRDefault="00C032AB" w:rsidP="00C032AB">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w:t>
      </w:r>
      <w:r w:rsidRPr="007C747A">
        <w:rPr>
          <w:rFonts w:eastAsiaTheme="minorEastAsia" w:cs="Arial"/>
          <w:i/>
          <w:iCs/>
          <w:sz w:val="22"/>
          <w:szCs w:val="22"/>
          <w:lang w:val="en-AU"/>
        </w:rPr>
        <w:t>National Disability Insurance Scheme Amendment (Participant Service Guarantee and Other Measures) Act 2022</w:t>
      </w:r>
      <w:r w:rsidRPr="007C747A">
        <w:rPr>
          <w:rFonts w:eastAsiaTheme="minorEastAsia" w:cs="Arial"/>
          <w:sz w:val="22"/>
          <w:szCs w:val="22"/>
          <w:lang w:val="en-AU"/>
        </w:rPr>
        <w:t xml:space="preserve"> introduced changes from 1 July 2022 to increase efficiency and simplify processes for participants, their families and carers. The changes included adding the new section</w:t>
      </w:r>
      <w:r w:rsidR="00F5483D" w:rsidRPr="007C747A">
        <w:rPr>
          <w:rFonts w:eastAsiaTheme="minorEastAsia" w:cs="Arial"/>
          <w:sz w:val="22"/>
          <w:szCs w:val="22"/>
          <w:lang w:val="en-AU"/>
        </w:rPr>
        <w:t> </w:t>
      </w:r>
      <w:r w:rsidRPr="007C747A">
        <w:rPr>
          <w:rFonts w:eastAsiaTheme="minorEastAsia" w:cs="Arial"/>
          <w:sz w:val="22"/>
          <w:szCs w:val="22"/>
          <w:lang w:val="en-AU"/>
        </w:rPr>
        <w:t xml:space="preserve">47A of the NDIS Act to support varying a participant’s plan in some circumstances. </w:t>
      </w:r>
    </w:p>
    <w:p w14:paraId="7F0915DC" w14:textId="77777777" w:rsidR="00C032AB" w:rsidRPr="007C747A" w:rsidRDefault="00C032AB" w:rsidP="00AC6002">
      <w:pPr>
        <w:pStyle w:val="FGCHEADING2"/>
      </w:pPr>
      <w:bookmarkStart w:id="743" w:name="_Toc142039656"/>
      <w:bookmarkStart w:id="744" w:name="_Toc142047764"/>
      <w:bookmarkStart w:id="745" w:name="_Toc142563018"/>
      <w:bookmarkStart w:id="746" w:name="_Toc142573742"/>
      <w:bookmarkStart w:id="747" w:name="_Toc146289475"/>
      <w:bookmarkStart w:id="748" w:name="_Toc148108430"/>
      <w:r w:rsidRPr="007C747A">
        <w:t>Audit Committee</w:t>
      </w:r>
      <w:bookmarkEnd w:id="743"/>
      <w:bookmarkEnd w:id="744"/>
      <w:bookmarkEnd w:id="745"/>
      <w:bookmarkEnd w:id="746"/>
      <w:bookmarkEnd w:id="747"/>
      <w:bookmarkEnd w:id="748"/>
    </w:p>
    <w:p w14:paraId="1A989A8D" w14:textId="77777777" w:rsidR="00C032AB" w:rsidRPr="007C747A" w:rsidRDefault="00C032AB" w:rsidP="00555780">
      <w:pPr>
        <w:spacing w:before="120" w:after="120" w:line="240" w:lineRule="auto"/>
        <w:ind w:left="652"/>
        <w:rPr>
          <w:rFonts w:eastAsiaTheme="minorEastAsia" w:cs="Arial"/>
          <w:sz w:val="22"/>
          <w:szCs w:val="22"/>
          <w:lang w:val="en-AU"/>
        </w:rPr>
      </w:pPr>
      <w:r w:rsidRPr="007C747A">
        <w:rPr>
          <w:rFonts w:eastAsiaTheme="minorEastAsia" w:cs="Arial"/>
          <w:sz w:val="22"/>
          <w:szCs w:val="22"/>
          <w:lang w:val="en-AU"/>
        </w:rPr>
        <w:t xml:space="preserve">The NDIA Board has established the Audit Committee to assist the Board to oversee its responsibilities and legislative obligations as the NDIA’s accountable authority under: </w:t>
      </w:r>
    </w:p>
    <w:p w14:paraId="6B6DCFFD" w14:textId="77777777" w:rsidR="00C032AB" w:rsidRPr="007C747A" w:rsidRDefault="00C032AB" w:rsidP="00555780">
      <w:pPr>
        <w:numPr>
          <w:ilvl w:val="0"/>
          <w:numId w:val="8"/>
        </w:numPr>
        <w:spacing w:before="120" w:after="120" w:line="240" w:lineRule="auto"/>
        <w:ind w:left="1134" w:hanging="357"/>
        <w:rPr>
          <w:rFonts w:eastAsiaTheme="minorEastAsia" w:cs="Arial"/>
          <w:sz w:val="22"/>
          <w:szCs w:val="22"/>
          <w:lang w:val="en-AU"/>
        </w:rPr>
      </w:pPr>
      <w:r w:rsidRPr="007C747A">
        <w:rPr>
          <w:rFonts w:eastAsiaTheme="minorEastAsia" w:cs="Arial"/>
          <w:sz w:val="22"/>
          <w:szCs w:val="22"/>
          <w:lang w:val="en-AU"/>
        </w:rPr>
        <w:t>section 45 of the PGPA Act</w:t>
      </w:r>
    </w:p>
    <w:p w14:paraId="6ED102A9" w14:textId="77777777" w:rsidR="00C032AB" w:rsidRPr="007C747A" w:rsidRDefault="00C032AB" w:rsidP="00555780">
      <w:pPr>
        <w:numPr>
          <w:ilvl w:val="0"/>
          <w:numId w:val="8"/>
        </w:numPr>
        <w:spacing w:before="120" w:after="120" w:line="240" w:lineRule="auto"/>
        <w:ind w:left="1134" w:hanging="357"/>
        <w:rPr>
          <w:rFonts w:eastAsiaTheme="minorEastAsia" w:cs="Arial"/>
          <w:sz w:val="22"/>
          <w:szCs w:val="22"/>
          <w:lang w:val="en-AU"/>
        </w:rPr>
      </w:pPr>
      <w:r w:rsidRPr="007C747A">
        <w:rPr>
          <w:rFonts w:eastAsiaTheme="minorEastAsia" w:cs="Arial"/>
          <w:sz w:val="22"/>
          <w:szCs w:val="22"/>
          <w:lang w:val="en-AU"/>
        </w:rPr>
        <w:t>section 17 of the Public Governance, Performance and Accountability Rule 2014 (PGPA Rule)</w:t>
      </w:r>
    </w:p>
    <w:p w14:paraId="63600102" w14:textId="77777777" w:rsidR="00C032AB" w:rsidRPr="007C747A" w:rsidRDefault="00C032AB" w:rsidP="00555780">
      <w:pPr>
        <w:numPr>
          <w:ilvl w:val="0"/>
          <w:numId w:val="8"/>
        </w:numPr>
        <w:spacing w:before="120" w:after="120" w:line="240" w:lineRule="auto"/>
        <w:ind w:left="1134" w:hanging="357"/>
        <w:rPr>
          <w:rFonts w:eastAsiaTheme="minorEastAsia" w:cs="Arial"/>
          <w:sz w:val="22"/>
          <w:szCs w:val="22"/>
          <w:lang w:val="en-AU"/>
        </w:rPr>
      </w:pPr>
      <w:r w:rsidRPr="007C747A">
        <w:rPr>
          <w:rFonts w:eastAsiaTheme="minorEastAsia" w:cs="Arial"/>
          <w:sz w:val="22"/>
          <w:szCs w:val="22"/>
          <w:lang w:val="en-AU"/>
        </w:rPr>
        <w:t>the NDIS Act.</w:t>
      </w:r>
    </w:p>
    <w:p w14:paraId="402009AF" w14:textId="1C7641FF" w:rsidR="006826D9" w:rsidRPr="007C747A" w:rsidRDefault="006826D9" w:rsidP="00555780">
      <w:pPr>
        <w:pStyle w:val="FGCBULLET1"/>
        <w:numPr>
          <w:ilvl w:val="0"/>
          <w:numId w:val="0"/>
        </w:numPr>
        <w:spacing w:line="240" w:lineRule="auto"/>
        <w:ind w:left="777"/>
      </w:pPr>
      <w:r w:rsidRPr="007C747A">
        <w:t xml:space="preserve">For details of members’ qualifications, knowledge, skills or experience, refer to section </w:t>
      </w:r>
      <w:r w:rsidR="00FF776C" w:rsidRPr="007C747A">
        <w:t>5.2.</w:t>
      </w:r>
      <w:r w:rsidR="009433C5" w:rsidRPr="007C747A">
        <w:t xml:space="preserve">1. </w:t>
      </w:r>
      <w:r w:rsidRPr="007C747A">
        <w:t>For information on the number of meetings attended / total number of meetings, refer to section</w:t>
      </w:r>
      <w:r w:rsidR="00A21F93" w:rsidRPr="007C747A">
        <w:t xml:space="preserve"> </w:t>
      </w:r>
      <w:r w:rsidR="00E9099F" w:rsidRPr="007C747A">
        <w:t>5.</w:t>
      </w:r>
      <w:r w:rsidR="00C6328E" w:rsidRPr="007C747A">
        <w:t>2.3</w:t>
      </w:r>
    </w:p>
    <w:p w14:paraId="0A3D913F" w14:textId="0B28027F" w:rsidR="00C032AB" w:rsidRPr="007C747A" w:rsidRDefault="00C032AB" w:rsidP="001A0235">
      <w:pPr>
        <w:pStyle w:val="Heading43"/>
        <w:rPr>
          <w:bCs/>
          <w:i/>
          <w:iCs/>
          <w:color w:val="0070C0"/>
        </w:rPr>
      </w:pPr>
      <w:r w:rsidRPr="007C747A">
        <w:rPr>
          <w:bCs/>
        </w:rPr>
        <w:t>Table 6.2A:</w:t>
      </w:r>
      <w:r w:rsidRPr="007C747A">
        <w:t xml:space="preserve"> Audit Committee remuneration in 2022–23</w:t>
      </w:r>
    </w:p>
    <w:tbl>
      <w:tblPr>
        <w:tblStyle w:val="GridTable2-Accent312"/>
        <w:tblW w:w="9214" w:type="dxa"/>
        <w:tblInd w:w="703" w:type="dxa"/>
        <w:tblLook w:val="04A0" w:firstRow="1" w:lastRow="0" w:firstColumn="1" w:lastColumn="0" w:noHBand="0" w:noVBand="1"/>
      </w:tblPr>
      <w:tblGrid>
        <w:gridCol w:w="7227"/>
        <w:gridCol w:w="1987"/>
      </w:tblGrid>
      <w:tr w:rsidR="00211B2C" w:rsidRPr="007C747A" w14:paraId="74253D2E" w14:textId="77777777" w:rsidTr="00B84B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hideMark/>
          </w:tcPr>
          <w:p w14:paraId="4495BDA5" w14:textId="77777777" w:rsidR="00211B2C" w:rsidRPr="007C747A" w:rsidRDefault="00211B2C">
            <w:pPr>
              <w:pStyle w:val="Tableformat"/>
            </w:pPr>
            <w:r w:rsidRPr="007C747A">
              <w:t>Member</w:t>
            </w:r>
          </w:p>
        </w:tc>
        <w:tc>
          <w:tcPr>
            <w:tcW w:w="1987" w:type="dxa"/>
            <w:hideMark/>
          </w:tcPr>
          <w:p w14:paraId="3F9938CF" w14:textId="77777777" w:rsidR="00211B2C" w:rsidRPr="007C747A" w:rsidRDefault="00211B2C" w:rsidP="00E077DA">
            <w:pPr>
              <w:pStyle w:val="Tableformat"/>
              <w:jc w:val="right"/>
              <w:cnfStyle w:val="100000000000" w:firstRow="1" w:lastRow="0" w:firstColumn="0" w:lastColumn="0" w:oddVBand="0" w:evenVBand="0" w:oddHBand="0" w:evenHBand="0" w:firstRowFirstColumn="0" w:firstRowLastColumn="0" w:lastRowFirstColumn="0" w:lastRowLastColumn="0"/>
            </w:pPr>
            <w:r w:rsidRPr="007C747A">
              <w:t>Total annual remuneration</w:t>
            </w:r>
          </w:p>
        </w:tc>
      </w:tr>
      <w:tr w:rsidR="00B84B06" w:rsidRPr="007C747A" w14:paraId="1196CF6D" w14:textId="77777777" w:rsidTr="00B84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tcBorders>
              <w:top w:val="nil"/>
              <w:bottom w:val="nil"/>
              <w:right w:val="nil"/>
            </w:tcBorders>
          </w:tcPr>
          <w:p w14:paraId="53A901B3" w14:textId="77777777" w:rsidR="00B84B06" w:rsidRPr="007C747A" w:rsidRDefault="00B84B06" w:rsidP="00B84B06">
            <w:pPr>
              <w:pStyle w:val="Tableformat"/>
              <w:rPr>
                <w:sz w:val="22"/>
                <w:szCs w:val="22"/>
              </w:rPr>
            </w:pPr>
            <w:r w:rsidRPr="007C747A">
              <w:rPr>
                <w:sz w:val="22"/>
                <w:szCs w:val="22"/>
              </w:rPr>
              <w:t>Mrs Sandra Birkensleigh (Chair)</w:t>
            </w:r>
          </w:p>
        </w:tc>
        <w:tc>
          <w:tcPr>
            <w:tcW w:w="1987" w:type="dxa"/>
            <w:tcBorders>
              <w:top w:val="nil"/>
              <w:left w:val="nil"/>
              <w:bottom w:val="nil"/>
              <w:right w:val="nil"/>
            </w:tcBorders>
          </w:tcPr>
          <w:p w14:paraId="15B310C3" w14:textId="52A26013" w:rsidR="00B84B06" w:rsidRPr="007C747A" w:rsidRDefault="00B84B06" w:rsidP="00AE321D">
            <w:pPr>
              <w:pStyle w:val="Tableformat"/>
              <w:jc w:val="right"/>
              <w:cnfStyle w:val="000000100000" w:firstRow="0" w:lastRow="0" w:firstColumn="0" w:lastColumn="0" w:oddVBand="0" w:evenVBand="0" w:oddHBand="1" w:evenHBand="0" w:firstRowFirstColumn="0" w:firstRowLastColumn="0" w:lastRowFirstColumn="0" w:lastRowLastColumn="0"/>
              <w:rPr>
                <w:sz w:val="22"/>
                <w:szCs w:val="22"/>
              </w:rPr>
            </w:pPr>
            <w:r w:rsidRPr="007C747A">
              <w:rPr>
                <w:sz w:val="22"/>
                <w:szCs w:val="22"/>
              </w:rPr>
              <w:t>$16,781</w:t>
            </w:r>
          </w:p>
        </w:tc>
      </w:tr>
      <w:tr w:rsidR="00B84B06" w:rsidRPr="007C747A" w14:paraId="3D0514E3" w14:textId="77777777" w:rsidTr="00B84B06">
        <w:tc>
          <w:tcPr>
            <w:cnfStyle w:val="001000000000" w:firstRow="0" w:lastRow="0" w:firstColumn="1" w:lastColumn="0" w:oddVBand="0" w:evenVBand="0" w:oddHBand="0" w:evenHBand="0" w:firstRowFirstColumn="0" w:firstRowLastColumn="0" w:lastRowFirstColumn="0" w:lastRowLastColumn="0"/>
            <w:tcW w:w="7227" w:type="dxa"/>
            <w:tcBorders>
              <w:top w:val="nil"/>
              <w:bottom w:val="nil"/>
              <w:right w:val="nil"/>
            </w:tcBorders>
          </w:tcPr>
          <w:p w14:paraId="61A0401E" w14:textId="77777777" w:rsidR="00B84B06" w:rsidRPr="007C747A" w:rsidRDefault="00B84B06" w:rsidP="00B84B06">
            <w:pPr>
              <w:pStyle w:val="Tableformat"/>
              <w:rPr>
                <w:sz w:val="22"/>
                <w:szCs w:val="22"/>
              </w:rPr>
            </w:pPr>
            <w:r w:rsidRPr="007C747A">
              <w:rPr>
                <w:sz w:val="22"/>
                <w:szCs w:val="22"/>
              </w:rPr>
              <w:t xml:space="preserve">Ms Meredith Allan </w:t>
            </w:r>
          </w:p>
        </w:tc>
        <w:tc>
          <w:tcPr>
            <w:tcW w:w="1987" w:type="dxa"/>
            <w:tcBorders>
              <w:top w:val="nil"/>
              <w:left w:val="nil"/>
              <w:bottom w:val="nil"/>
              <w:right w:val="nil"/>
            </w:tcBorders>
          </w:tcPr>
          <w:p w14:paraId="5BC8AF97" w14:textId="3A4C88A0" w:rsidR="00B84B06" w:rsidRPr="007C747A" w:rsidRDefault="00B84B06" w:rsidP="00AE321D">
            <w:pPr>
              <w:pStyle w:val="Tableformat"/>
              <w:jc w:val="right"/>
              <w:cnfStyle w:val="000000000000" w:firstRow="0" w:lastRow="0" w:firstColumn="0" w:lastColumn="0" w:oddVBand="0" w:evenVBand="0" w:oddHBand="0" w:evenHBand="0" w:firstRowFirstColumn="0" w:firstRowLastColumn="0" w:lastRowFirstColumn="0" w:lastRowLastColumn="0"/>
              <w:rPr>
                <w:sz w:val="22"/>
                <w:szCs w:val="22"/>
              </w:rPr>
            </w:pPr>
            <w:r w:rsidRPr="007C747A">
              <w:rPr>
                <w:sz w:val="22"/>
                <w:szCs w:val="22"/>
              </w:rPr>
              <w:t>$8,395</w:t>
            </w:r>
          </w:p>
        </w:tc>
      </w:tr>
      <w:tr w:rsidR="00B84B06" w:rsidRPr="007C747A" w14:paraId="584DA38B" w14:textId="77777777" w:rsidTr="00B84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tcBorders>
              <w:top w:val="nil"/>
              <w:bottom w:val="nil"/>
              <w:right w:val="nil"/>
            </w:tcBorders>
          </w:tcPr>
          <w:p w14:paraId="06FF2AED" w14:textId="77777777" w:rsidR="00B84B06" w:rsidRPr="007C747A" w:rsidRDefault="00B84B06" w:rsidP="00B84B06">
            <w:pPr>
              <w:pStyle w:val="Tableformat"/>
              <w:rPr>
                <w:sz w:val="22"/>
                <w:szCs w:val="22"/>
              </w:rPr>
            </w:pPr>
            <w:r w:rsidRPr="007C747A">
              <w:rPr>
                <w:sz w:val="22"/>
                <w:szCs w:val="22"/>
              </w:rPr>
              <w:t xml:space="preserve">Mr Jim Minto  </w:t>
            </w:r>
          </w:p>
        </w:tc>
        <w:tc>
          <w:tcPr>
            <w:tcW w:w="1987" w:type="dxa"/>
            <w:tcBorders>
              <w:top w:val="nil"/>
              <w:left w:val="nil"/>
              <w:bottom w:val="nil"/>
              <w:right w:val="nil"/>
            </w:tcBorders>
          </w:tcPr>
          <w:p w14:paraId="061E6D24" w14:textId="25224628" w:rsidR="00B84B06" w:rsidRPr="007C747A" w:rsidRDefault="00B84B06" w:rsidP="00AE321D">
            <w:pPr>
              <w:pStyle w:val="Tableformat"/>
              <w:jc w:val="right"/>
              <w:cnfStyle w:val="000000100000" w:firstRow="0" w:lastRow="0" w:firstColumn="0" w:lastColumn="0" w:oddVBand="0" w:evenVBand="0" w:oddHBand="1" w:evenHBand="0" w:firstRowFirstColumn="0" w:firstRowLastColumn="0" w:lastRowFirstColumn="0" w:lastRowLastColumn="0"/>
              <w:rPr>
                <w:sz w:val="22"/>
                <w:szCs w:val="22"/>
              </w:rPr>
            </w:pPr>
            <w:r w:rsidRPr="007C747A">
              <w:rPr>
                <w:sz w:val="22"/>
                <w:szCs w:val="22"/>
              </w:rPr>
              <w:t>$8,395</w:t>
            </w:r>
          </w:p>
        </w:tc>
      </w:tr>
      <w:tr w:rsidR="00B84B06" w:rsidRPr="007C747A" w14:paraId="59B40D74" w14:textId="77777777" w:rsidTr="00B84B06">
        <w:tc>
          <w:tcPr>
            <w:cnfStyle w:val="001000000000" w:firstRow="0" w:lastRow="0" w:firstColumn="1" w:lastColumn="0" w:oddVBand="0" w:evenVBand="0" w:oddHBand="0" w:evenHBand="0" w:firstRowFirstColumn="0" w:firstRowLastColumn="0" w:lastRowFirstColumn="0" w:lastRowLastColumn="0"/>
            <w:tcW w:w="7227" w:type="dxa"/>
            <w:tcBorders>
              <w:top w:val="nil"/>
              <w:bottom w:val="nil"/>
              <w:right w:val="nil"/>
            </w:tcBorders>
          </w:tcPr>
          <w:p w14:paraId="3587DE71" w14:textId="79AB0A06" w:rsidR="00B84B06" w:rsidRPr="007C747A" w:rsidRDefault="00B84B06" w:rsidP="00B84B06">
            <w:pPr>
              <w:pStyle w:val="Tableformat"/>
              <w:rPr>
                <w:sz w:val="22"/>
                <w:szCs w:val="22"/>
              </w:rPr>
            </w:pPr>
            <w:r w:rsidRPr="007C747A">
              <w:rPr>
                <w:sz w:val="22"/>
                <w:szCs w:val="22"/>
              </w:rPr>
              <w:t xml:space="preserve">Dr </w:t>
            </w:r>
            <w:r w:rsidR="00B0124D" w:rsidRPr="007C747A">
              <w:rPr>
                <w:sz w:val="22"/>
                <w:szCs w:val="22"/>
              </w:rPr>
              <w:t>Denis</w:t>
            </w:r>
            <w:r w:rsidRPr="007C747A">
              <w:rPr>
                <w:sz w:val="22"/>
                <w:szCs w:val="22"/>
              </w:rPr>
              <w:t xml:space="preserve"> Napthine AO</w:t>
            </w:r>
            <w:bookmarkStart w:id="749" w:name="_Ref146198096"/>
            <w:r w:rsidR="00EC1CED" w:rsidRPr="007C747A">
              <w:rPr>
                <w:rStyle w:val="FootnoteReference"/>
                <w:sz w:val="22"/>
                <w:szCs w:val="22"/>
              </w:rPr>
              <w:footnoteReference w:customMarkFollows="1" w:id="16"/>
              <w:t>*</w:t>
            </w:r>
            <w:bookmarkEnd w:id="749"/>
          </w:p>
        </w:tc>
        <w:tc>
          <w:tcPr>
            <w:tcW w:w="1987" w:type="dxa"/>
            <w:tcBorders>
              <w:top w:val="nil"/>
              <w:left w:val="nil"/>
              <w:bottom w:val="nil"/>
              <w:right w:val="nil"/>
            </w:tcBorders>
          </w:tcPr>
          <w:p w14:paraId="386D71D0" w14:textId="2EEA32D1" w:rsidR="00B84B06" w:rsidRPr="007C747A" w:rsidRDefault="00B84B06" w:rsidP="00AE321D">
            <w:pPr>
              <w:pStyle w:val="Tableformat"/>
              <w:jc w:val="right"/>
              <w:cnfStyle w:val="000000000000" w:firstRow="0" w:lastRow="0" w:firstColumn="0" w:lastColumn="0" w:oddVBand="0" w:evenVBand="0" w:oddHBand="0" w:evenHBand="0" w:firstRowFirstColumn="0" w:firstRowLastColumn="0" w:lastRowFirstColumn="0" w:lastRowLastColumn="0"/>
              <w:rPr>
                <w:sz w:val="22"/>
                <w:szCs w:val="22"/>
              </w:rPr>
            </w:pPr>
            <w:r w:rsidRPr="007C747A">
              <w:rPr>
                <w:sz w:val="22"/>
                <w:szCs w:val="22"/>
              </w:rPr>
              <w:t>$3,152</w:t>
            </w:r>
          </w:p>
        </w:tc>
      </w:tr>
      <w:tr w:rsidR="00B84B06" w:rsidRPr="007C747A" w14:paraId="6A4A624D" w14:textId="77777777" w:rsidTr="00B84B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7" w:type="dxa"/>
            <w:tcBorders>
              <w:top w:val="nil"/>
              <w:bottom w:val="nil"/>
              <w:right w:val="nil"/>
            </w:tcBorders>
          </w:tcPr>
          <w:p w14:paraId="6B75139F" w14:textId="77777777" w:rsidR="00B84B06" w:rsidRPr="007C747A" w:rsidRDefault="00B84B06" w:rsidP="00B84B06">
            <w:pPr>
              <w:pStyle w:val="Tableformat"/>
              <w:rPr>
                <w:sz w:val="22"/>
                <w:szCs w:val="22"/>
              </w:rPr>
            </w:pPr>
            <w:r w:rsidRPr="007C747A">
              <w:rPr>
                <w:sz w:val="22"/>
                <w:szCs w:val="22"/>
              </w:rPr>
              <w:t>Ms Estelle Pearson</w:t>
            </w:r>
          </w:p>
        </w:tc>
        <w:tc>
          <w:tcPr>
            <w:tcW w:w="1987" w:type="dxa"/>
            <w:tcBorders>
              <w:top w:val="nil"/>
              <w:left w:val="nil"/>
              <w:bottom w:val="nil"/>
              <w:right w:val="nil"/>
            </w:tcBorders>
          </w:tcPr>
          <w:p w14:paraId="057EBDF7" w14:textId="69AC3DEF" w:rsidR="00B84B06" w:rsidRPr="007C747A" w:rsidRDefault="00B84B06" w:rsidP="00AE321D">
            <w:pPr>
              <w:pStyle w:val="Tableformat"/>
              <w:jc w:val="right"/>
              <w:cnfStyle w:val="000000100000" w:firstRow="0" w:lastRow="0" w:firstColumn="0" w:lastColumn="0" w:oddVBand="0" w:evenVBand="0" w:oddHBand="1" w:evenHBand="0" w:firstRowFirstColumn="0" w:firstRowLastColumn="0" w:lastRowFirstColumn="0" w:lastRowLastColumn="0"/>
              <w:rPr>
                <w:sz w:val="22"/>
                <w:szCs w:val="22"/>
              </w:rPr>
            </w:pPr>
            <w:r w:rsidRPr="007C747A">
              <w:rPr>
                <w:sz w:val="22"/>
                <w:szCs w:val="22"/>
              </w:rPr>
              <w:t>$8,395</w:t>
            </w:r>
          </w:p>
        </w:tc>
      </w:tr>
    </w:tbl>
    <w:p w14:paraId="24A2909C" w14:textId="49A3EA67" w:rsidR="00C032AB" w:rsidRPr="007C747A" w:rsidRDefault="00C032AB" w:rsidP="001A0235">
      <w:pPr>
        <w:pStyle w:val="Style3-NoNumbering"/>
      </w:pPr>
      <w:bookmarkStart w:id="750" w:name="_Toc83907150"/>
      <w:bookmarkStart w:id="751" w:name="_Toc84258381"/>
      <w:bookmarkStart w:id="752" w:name="_Toc84258535"/>
      <w:bookmarkStart w:id="753" w:name="_Toc84270282"/>
      <w:bookmarkStart w:id="754" w:name="_Toc85122142"/>
      <w:bookmarkStart w:id="755" w:name="_Toc85462240"/>
      <w:bookmarkStart w:id="756" w:name="_Toc116414728"/>
      <w:bookmarkStart w:id="757" w:name="_Toc116473922"/>
      <w:bookmarkStart w:id="758" w:name="_Toc142573743"/>
      <w:r w:rsidRPr="007C747A">
        <w:t>Charter</w:t>
      </w:r>
      <w:bookmarkEnd w:id="750"/>
      <w:bookmarkEnd w:id="751"/>
      <w:bookmarkEnd w:id="752"/>
      <w:bookmarkEnd w:id="753"/>
      <w:bookmarkEnd w:id="754"/>
      <w:bookmarkEnd w:id="755"/>
      <w:bookmarkEnd w:id="756"/>
      <w:bookmarkEnd w:id="757"/>
      <w:bookmarkEnd w:id="758"/>
    </w:p>
    <w:p w14:paraId="0B927409" w14:textId="7DEE60B7" w:rsidR="00C032AB" w:rsidRPr="007C747A" w:rsidRDefault="00C032AB" w:rsidP="00C1011B">
      <w:pPr>
        <w:pStyle w:val="FGCNORMAL"/>
        <w:spacing w:line="240" w:lineRule="auto"/>
      </w:pPr>
      <w:r w:rsidRPr="007C747A">
        <w:t>The Audit Committee Charter details the committee’s purpose</w:t>
      </w:r>
      <w:r w:rsidR="00F5483D" w:rsidRPr="007C747A">
        <w:t>:</w:t>
      </w:r>
      <w:r w:rsidRPr="007C747A">
        <w:t xml:space="preserve"> to oversee the appropriateness of the NDIA’s:</w:t>
      </w:r>
    </w:p>
    <w:p w14:paraId="0C7A3C10" w14:textId="77777777" w:rsidR="00C032AB" w:rsidRPr="007C747A" w:rsidRDefault="00C032AB" w:rsidP="00610494">
      <w:pPr>
        <w:pStyle w:val="FGCBULLET1"/>
        <w:spacing w:line="240" w:lineRule="auto"/>
        <w:ind w:left="1366" w:hanging="357"/>
      </w:pPr>
      <w:r w:rsidRPr="007C747A">
        <w:t xml:space="preserve">management of the internal and external audit processes </w:t>
      </w:r>
    </w:p>
    <w:p w14:paraId="485EED88" w14:textId="77777777" w:rsidR="00C032AB" w:rsidRPr="007C747A" w:rsidRDefault="00C032AB" w:rsidP="00610494">
      <w:pPr>
        <w:pStyle w:val="FGCBULLET1"/>
        <w:spacing w:line="240" w:lineRule="auto"/>
        <w:ind w:left="1366" w:hanging="357"/>
      </w:pPr>
      <w:r w:rsidRPr="007C747A">
        <w:t xml:space="preserve">financial reporting processes </w:t>
      </w:r>
    </w:p>
    <w:p w14:paraId="7CCB4B53" w14:textId="77777777" w:rsidR="00C032AB" w:rsidRPr="007C747A" w:rsidRDefault="00C032AB" w:rsidP="00610494">
      <w:pPr>
        <w:pStyle w:val="FGCBULLET1"/>
        <w:spacing w:line="240" w:lineRule="auto"/>
        <w:ind w:left="1366" w:hanging="357"/>
      </w:pPr>
      <w:r w:rsidRPr="007C747A">
        <w:t xml:space="preserve">performance reporting processes </w:t>
      </w:r>
    </w:p>
    <w:p w14:paraId="1E15B5F3" w14:textId="77777777" w:rsidR="00C032AB" w:rsidRPr="007C747A" w:rsidRDefault="00C032AB" w:rsidP="00610494">
      <w:pPr>
        <w:pStyle w:val="FGCBULLET1"/>
        <w:spacing w:line="240" w:lineRule="auto"/>
        <w:ind w:left="1366" w:hanging="357"/>
      </w:pPr>
      <w:r w:rsidRPr="007C747A">
        <w:t xml:space="preserve">system of risk oversight and management </w:t>
      </w:r>
    </w:p>
    <w:p w14:paraId="41F1FC6D" w14:textId="77777777" w:rsidR="00C032AB" w:rsidRPr="007C747A" w:rsidRDefault="00C032AB" w:rsidP="00610494">
      <w:pPr>
        <w:pStyle w:val="FGCBULLET1"/>
        <w:spacing w:line="240" w:lineRule="auto"/>
        <w:ind w:left="1366" w:hanging="357"/>
      </w:pPr>
      <w:r w:rsidRPr="007C747A">
        <w:t xml:space="preserve">system of internal control </w:t>
      </w:r>
    </w:p>
    <w:p w14:paraId="7B6DB092" w14:textId="77777777" w:rsidR="00C032AB" w:rsidRPr="007C747A" w:rsidRDefault="00C032AB" w:rsidP="00610494">
      <w:pPr>
        <w:pStyle w:val="FGCBULLET1"/>
        <w:spacing w:line="240" w:lineRule="auto"/>
        <w:ind w:left="1366" w:hanging="357"/>
      </w:pPr>
      <w:r w:rsidRPr="007C747A">
        <w:t>process for monitoring compliance with laws and regulations and the Code of Conduct.</w:t>
      </w:r>
    </w:p>
    <w:p w14:paraId="3A1BBC1D" w14:textId="77777777" w:rsidR="00C032AB" w:rsidRPr="007C747A" w:rsidRDefault="00C032AB" w:rsidP="00C1011B">
      <w:pPr>
        <w:pStyle w:val="FGCNORMAL"/>
        <w:spacing w:line="240" w:lineRule="auto"/>
      </w:pPr>
      <w:r w:rsidRPr="007C747A">
        <w:t xml:space="preserve">The Audit Committee Charter is available to view on the </w:t>
      </w:r>
      <w:hyperlink r:id="rId66" w:history="1">
        <w:r w:rsidRPr="00B74C35">
          <w:rPr>
            <w:color w:val="6B2876" w:themeColor="text1"/>
            <w:u w:val="single"/>
          </w:rPr>
          <w:t>NDIS website</w:t>
        </w:r>
      </w:hyperlink>
      <w:r w:rsidRPr="007C747A">
        <w:t>.</w:t>
      </w:r>
    </w:p>
    <w:p w14:paraId="550C6DBD" w14:textId="77777777" w:rsidR="00C032AB" w:rsidRPr="007C747A" w:rsidRDefault="00C032AB" w:rsidP="00C0661F">
      <w:pPr>
        <w:pStyle w:val="FGCHEADING2"/>
      </w:pPr>
      <w:bookmarkStart w:id="759" w:name="_Toc142039657"/>
      <w:bookmarkStart w:id="760" w:name="_Toc142047765"/>
      <w:bookmarkStart w:id="761" w:name="_Toc142563019"/>
      <w:bookmarkStart w:id="762" w:name="_Toc142573744"/>
      <w:bookmarkStart w:id="763" w:name="_Toc146289476"/>
      <w:bookmarkStart w:id="764" w:name="_Toc148108431"/>
      <w:r w:rsidRPr="007C747A">
        <w:t>Work health and safety</w:t>
      </w:r>
      <w:bookmarkEnd w:id="759"/>
      <w:bookmarkEnd w:id="760"/>
      <w:bookmarkEnd w:id="761"/>
      <w:bookmarkEnd w:id="762"/>
      <w:bookmarkEnd w:id="763"/>
      <w:bookmarkEnd w:id="764"/>
    </w:p>
    <w:p w14:paraId="58DAD742" w14:textId="77777777" w:rsidR="00C032AB" w:rsidRPr="007C747A" w:rsidRDefault="00C032AB" w:rsidP="00C1011B">
      <w:pPr>
        <w:pStyle w:val="FGCNORMAL"/>
        <w:spacing w:line="240" w:lineRule="auto"/>
      </w:pPr>
      <w:r w:rsidRPr="007C747A">
        <w:t xml:space="preserve">The NDIA acknowledges its obligations under the </w:t>
      </w:r>
      <w:r w:rsidRPr="007C747A">
        <w:rPr>
          <w:i/>
          <w:iCs/>
        </w:rPr>
        <w:t>Work Health and Safety Act 2011</w:t>
      </w:r>
      <w:r w:rsidRPr="007C747A">
        <w:t xml:space="preserve"> (Cth) (WHS Act) and the </w:t>
      </w:r>
      <w:r w:rsidRPr="007C747A">
        <w:rPr>
          <w:i/>
          <w:iCs/>
        </w:rPr>
        <w:t>Safety, Rehabilitation and Compensation Act 1988</w:t>
      </w:r>
      <w:r w:rsidRPr="007C747A">
        <w:t xml:space="preserve"> and takes proactive steps to ensure a positive and effective safety culture.</w:t>
      </w:r>
    </w:p>
    <w:p w14:paraId="5E80D285" w14:textId="77777777" w:rsidR="00C032AB" w:rsidRPr="007C747A" w:rsidRDefault="00C032AB" w:rsidP="00C1011B">
      <w:pPr>
        <w:pStyle w:val="FGCNORMAL"/>
        <w:spacing w:line="240" w:lineRule="auto"/>
      </w:pPr>
      <w:r w:rsidRPr="007C747A">
        <w:t xml:space="preserve">The NDIA continues to promote consultation, prevention and early intervention in cases of illness and injury and is aligned with a steadfast commitment to safeguard and value NDIA workers. The NDIA continues to review the </w:t>
      </w:r>
      <w:r w:rsidRPr="007C747A">
        <w:rPr>
          <w:i/>
          <w:iCs/>
        </w:rPr>
        <w:t>Work Health and Safety Management System</w:t>
      </w:r>
      <w:r w:rsidRPr="007C747A">
        <w:t xml:space="preserve"> in line with legislative updates and contemporary health, safety and wellbeing practices.</w:t>
      </w:r>
    </w:p>
    <w:p w14:paraId="0F192677" w14:textId="77777777" w:rsidR="00C032AB" w:rsidRPr="007C747A" w:rsidRDefault="00C032AB" w:rsidP="00C1011B">
      <w:pPr>
        <w:pStyle w:val="FGCNORMAL"/>
        <w:spacing w:line="240" w:lineRule="auto"/>
      </w:pPr>
      <w:r w:rsidRPr="007C747A">
        <w:t>The NDIA’s safety culture continues to mature, with a strong focus on psychosocial risk awareness. The NDIA was proactive in preparing for amendments to the Work Health and Safety (Managing Psychosocial Risk and Other Matters) Regulations 2022, which came into effect on 1 April 2023. The NDIA is administering risk assessment tools to identify and manage psychosocial hazards with business areas, and has supporting policies, procedures and guidelines. </w:t>
      </w:r>
    </w:p>
    <w:p w14:paraId="52E55728" w14:textId="3D01457D" w:rsidR="00C032AB" w:rsidRPr="007C747A" w:rsidRDefault="00C032AB" w:rsidP="00C1011B">
      <w:pPr>
        <w:pStyle w:val="FGCNORMAL"/>
        <w:spacing w:line="240" w:lineRule="auto"/>
      </w:pPr>
      <w:r w:rsidRPr="007C747A">
        <w:t xml:space="preserve">The NDIA supports workers to use flexible working arrangements and takes all reasonably practicable measures to protect </w:t>
      </w:r>
      <w:r w:rsidR="00F5483D" w:rsidRPr="007C747A">
        <w:t xml:space="preserve">its </w:t>
      </w:r>
      <w:r w:rsidRPr="007C747A">
        <w:t>workers by providing a healthy and safe work environment, whether working in the office or working from home.</w:t>
      </w:r>
    </w:p>
    <w:p w14:paraId="434D6EA6" w14:textId="74D3B3BC" w:rsidR="00C032AB" w:rsidRPr="007C747A" w:rsidRDefault="00C032AB" w:rsidP="00C1011B">
      <w:pPr>
        <w:pStyle w:val="FGCNORMAL"/>
        <w:spacing w:line="240" w:lineRule="auto"/>
      </w:pPr>
      <w:r w:rsidRPr="007C747A">
        <w:t xml:space="preserve">To support workers impacted by bullying, harassment, discrimination, sexual harassment, violence, aggression and victimisation in the workplace, the NDIA has developed a Safe and Respectful Workplace </w:t>
      </w:r>
      <w:r w:rsidR="001958C8" w:rsidRPr="007C747A">
        <w:t>F</w:t>
      </w:r>
      <w:r w:rsidRPr="007C747A">
        <w:t>ramework, which strengthens our approach to managing unacceptable behaviours. This ensures that the NDIA is a safe and respectful workplace that is free from physical and psychosocial harm.</w:t>
      </w:r>
    </w:p>
    <w:p w14:paraId="0C9ABD56" w14:textId="77777777" w:rsidR="00C032AB" w:rsidRPr="007C747A" w:rsidRDefault="00C032AB" w:rsidP="00C1011B">
      <w:pPr>
        <w:pStyle w:val="FGCNORMAL"/>
        <w:spacing w:line="240" w:lineRule="auto"/>
      </w:pPr>
      <w:r w:rsidRPr="007C747A">
        <w:t>The NDIA’s Family, Domestic and Intimate Partner Violence Support Policy has been revised to strengthen the provisions for all NDIA workers who are experiencing family and domestic violence. These provisions include the availability of a minimum of 10 days paid leave.</w:t>
      </w:r>
    </w:p>
    <w:p w14:paraId="275E365B" w14:textId="77777777" w:rsidR="00C032AB" w:rsidRPr="007C747A" w:rsidRDefault="00C032AB" w:rsidP="00C1011B">
      <w:pPr>
        <w:pStyle w:val="FGCNORMAL"/>
        <w:spacing w:line="240" w:lineRule="auto"/>
      </w:pPr>
      <w:r w:rsidRPr="007C747A">
        <w:t>In 2022–23 the NDIA reported 3 incidents to Comcare pursuant to section 38 of the WHS Act. All incidents were closed by Comcare without further action being required of the NDIA.</w:t>
      </w:r>
    </w:p>
    <w:p w14:paraId="1DC5B803" w14:textId="3E808F62" w:rsidR="00C032AB" w:rsidRPr="007C747A" w:rsidRDefault="00C032AB" w:rsidP="001A0235">
      <w:pPr>
        <w:pStyle w:val="Heading43"/>
        <w:rPr>
          <w:rFonts w:ascii="Segoe UI" w:hAnsi="Segoe UI" w:cs="Segoe UI"/>
          <w:sz w:val="18"/>
          <w:szCs w:val="18"/>
        </w:rPr>
      </w:pPr>
      <w:r w:rsidRPr="007C747A">
        <w:rPr>
          <w:bCs/>
        </w:rPr>
        <w:t xml:space="preserve">Table </w:t>
      </w:r>
      <w:r w:rsidR="007461F9" w:rsidRPr="007C747A">
        <w:rPr>
          <w:bCs/>
        </w:rPr>
        <w:t>6</w:t>
      </w:r>
      <w:r w:rsidRPr="007C747A">
        <w:rPr>
          <w:bCs/>
        </w:rPr>
        <w:t xml:space="preserve">.3A: </w:t>
      </w:r>
      <w:r w:rsidRPr="007C747A">
        <w:t>Summary of incidents pursuant to section 38 of the WHS Act, 2022–23</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20"/>
        <w:gridCol w:w="1125"/>
      </w:tblGrid>
      <w:tr w:rsidR="00C032AB" w:rsidRPr="007C747A" w14:paraId="3389670B" w14:textId="77777777" w:rsidTr="00806BD0">
        <w:trPr>
          <w:trHeight w:val="300"/>
          <w:tblHeader/>
        </w:trPr>
        <w:tc>
          <w:tcPr>
            <w:tcW w:w="8220" w:type="dxa"/>
            <w:tcBorders>
              <w:top w:val="nil"/>
              <w:left w:val="nil"/>
              <w:bottom w:val="nil"/>
              <w:right w:val="nil"/>
            </w:tcBorders>
            <w:shd w:val="clear" w:color="auto" w:fill="6B2976"/>
            <w:hideMark/>
          </w:tcPr>
          <w:p w14:paraId="453110D9" w14:textId="77777777" w:rsidR="00C032AB" w:rsidRPr="007C747A" w:rsidRDefault="00C032AB">
            <w:pPr>
              <w:textAlignment w:val="baseline"/>
              <w:rPr>
                <w:rFonts w:ascii="Times New Roman" w:eastAsia="Times New Roman" w:hAnsi="Times New Roman"/>
                <w:b/>
                <w:bCs/>
                <w:color w:val="FFFFFF"/>
                <w:lang w:val="en-AU" w:eastAsia="en-AU"/>
              </w:rPr>
            </w:pPr>
            <w:r w:rsidRPr="007C747A">
              <w:rPr>
                <w:rFonts w:eastAsia="Times New Roman" w:cs="Arial"/>
                <w:b/>
                <w:bCs/>
                <w:color w:val="FFFFFF"/>
                <w:sz w:val="20"/>
                <w:szCs w:val="20"/>
                <w:lang w:val="en-AU" w:eastAsia="en-AU"/>
              </w:rPr>
              <w:t>Action </w:t>
            </w:r>
          </w:p>
        </w:tc>
        <w:tc>
          <w:tcPr>
            <w:tcW w:w="1125" w:type="dxa"/>
            <w:tcBorders>
              <w:top w:val="nil"/>
              <w:left w:val="nil"/>
              <w:bottom w:val="nil"/>
              <w:right w:val="nil"/>
            </w:tcBorders>
            <w:shd w:val="clear" w:color="auto" w:fill="6B2976"/>
            <w:hideMark/>
          </w:tcPr>
          <w:p w14:paraId="066032CC" w14:textId="77777777" w:rsidR="00C032AB" w:rsidRPr="007C747A" w:rsidRDefault="00C032AB" w:rsidP="00AE321D">
            <w:pPr>
              <w:jc w:val="right"/>
              <w:textAlignment w:val="baseline"/>
              <w:rPr>
                <w:rFonts w:ascii="Times New Roman" w:eastAsia="Times New Roman" w:hAnsi="Times New Roman"/>
                <w:b/>
                <w:bCs/>
                <w:color w:val="FFFFFF"/>
                <w:lang w:val="en-AU" w:eastAsia="en-AU"/>
              </w:rPr>
            </w:pPr>
            <w:r w:rsidRPr="007C747A">
              <w:rPr>
                <w:rFonts w:eastAsia="Times New Roman" w:cs="Arial"/>
                <w:b/>
                <w:bCs/>
                <w:color w:val="FFFFFF"/>
                <w:sz w:val="20"/>
                <w:szCs w:val="20"/>
                <w:lang w:val="en-AU" w:eastAsia="en-AU"/>
              </w:rPr>
              <w:t>Number </w:t>
            </w:r>
          </w:p>
        </w:tc>
      </w:tr>
      <w:tr w:rsidR="00C032AB" w:rsidRPr="007C747A" w14:paraId="3FAFE26A" w14:textId="77777777">
        <w:trPr>
          <w:trHeight w:val="300"/>
        </w:trPr>
        <w:tc>
          <w:tcPr>
            <w:tcW w:w="8220" w:type="dxa"/>
            <w:tcBorders>
              <w:top w:val="single" w:sz="6" w:space="0" w:color="C9C9C9"/>
              <w:left w:val="nil"/>
              <w:bottom w:val="single" w:sz="6" w:space="0" w:color="C9C9C9"/>
              <w:right w:val="single" w:sz="6" w:space="0" w:color="C9C9C9"/>
            </w:tcBorders>
            <w:shd w:val="clear" w:color="auto" w:fill="EDEDED"/>
            <w:hideMark/>
          </w:tcPr>
          <w:p w14:paraId="3942EDE8"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Death of a person that required notice to Comcare under s 35 </w:t>
            </w:r>
          </w:p>
        </w:tc>
        <w:tc>
          <w:tcPr>
            <w:tcW w:w="1125" w:type="dxa"/>
            <w:tcBorders>
              <w:top w:val="single" w:sz="6" w:space="0" w:color="C9C9C9"/>
              <w:left w:val="single" w:sz="6" w:space="0" w:color="C9C9C9"/>
              <w:bottom w:val="single" w:sz="6" w:space="0" w:color="C9C9C9"/>
              <w:right w:val="nil"/>
            </w:tcBorders>
            <w:shd w:val="clear" w:color="auto" w:fill="EDEDED"/>
            <w:hideMark/>
          </w:tcPr>
          <w:p w14:paraId="57ADC01C" w14:textId="719A8987"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0</w:t>
            </w:r>
          </w:p>
        </w:tc>
      </w:tr>
      <w:tr w:rsidR="00C032AB" w:rsidRPr="007C747A" w14:paraId="10993C4A" w14:textId="77777777">
        <w:trPr>
          <w:trHeight w:val="300"/>
        </w:trPr>
        <w:tc>
          <w:tcPr>
            <w:tcW w:w="8220" w:type="dxa"/>
            <w:tcBorders>
              <w:top w:val="single" w:sz="6" w:space="0" w:color="C9C9C9"/>
              <w:left w:val="nil"/>
              <w:bottom w:val="single" w:sz="6" w:space="0" w:color="C9C9C9"/>
              <w:right w:val="single" w:sz="6" w:space="0" w:color="C9C9C9"/>
            </w:tcBorders>
            <w:shd w:val="clear" w:color="auto" w:fill="auto"/>
            <w:hideMark/>
          </w:tcPr>
          <w:p w14:paraId="598DDA18"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Serious injury or illness of a person that required notification to Comcare under s 35 </w:t>
            </w:r>
          </w:p>
        </w:tc>
        <w:tc>
          <w:tcPr>
            <w:tcW w:w="1125" w:type="dxa"/>
            <w:tcBorders>
              <w:top w:val="single" w:sz="6" w:space="0" w:color="C9C9C9"/>
              <w:left w:val="single" w:sz="6" w:space="0" w:color="C9C9C9"/>
              <w:bottom w:val="single" w:sz="6" w:space="0" w:color="C9C9C9"/>
              <w:right w:val="nil"/>
            </w:tcBorders>
            <w:shd w:val="clear" w:color="auto" w:fill="auto"/>
            <w:hideMark/>
          </w:tcPr>
          <w:p w14:paraId="31F49F8A" w14:textId="6477A468"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1</w:t>
            </w:r>
          </w:p>
        </w:tc>
      </w:tr>
      <w:tr w:rsidR="00C032AB" w:rsidRPr="007C747A" w14:paraId="5C8BD2B8" w14:textId="77777777">
        <w:trPr>
          <w:trHeight w:val="300"/>
        </w:trPr>
        <w:tc>
          <w:tcPr>
            <w:tcW w:w="8220" w:type="dxa"/>
            <w:tcBorders>
              <w:top w:val="single" w:sz="6" w:space="0" w:color="C9C9C9"/>
              <w:left w:val="nil"/>
              <w:bottom w:val="single" w:sz="6" w:space="0" w:color="C9C9C9"/>
              <w:right w:val="single" w:sz="6" w:space="0" w:color="C9C9C9"/>
            </w:tcBorders>
            <w:shd w:val="clear" w:color="auto" w:fill="EDEDED"/>
            <w:hideMark/>
          </w:tcPr>
          <w:p w14:paraId="61AA9D7A"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Dangerous incident that required notification to Comcare under s 35 </w:t>
            </w:r>
          </w:p>
        </w:tc>
        <w:tc>
          <w:tcPr>
            <w:tcW w:w="1125" w:type="dxa"/>
            <w:tcBorders>
              <w:top w:val="single" w:sz="6" w:space="0" w:color="C9C9C9"/>
              <w:left w:val="single" w:sz="6" w:space="0" w:color="C9C9C9"/>
              <w:bottom w:val="single" w:sz="6" w:space="0" w:color="C9C9C9"/>
              <w:right w:val="nil"/>
            </w:tcBorders>
            <w:shd w:val="clear" w:color="auto" w:fill="EDEDED"/>
            <w:hideMark/>
          </w:tcPr>
          <w:p w14:paraId="69682CCE" w14:textId="13B30FFF"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2</w:t>
            </w:r>
          </w:p>
        </w:tc>
      </w:tr>
      <w:tr w:rsidR="00C032AB" w:rsidRPr="007C747A" w14:paraId="7B2F8C6F" w14:textId="77777777">
        <w:trPr>
          <w:trHeight w:val="300"/>
        </w:trPr>
        <w:tc>
          <w:tcPr>
            <w:tcW w:w="8220" w:type="dxa"/>
            <w:tcBorders>
              <w:top w:val="single" w:sz="6" w:space="0" w:color="C9C9C9"/>
              <w:left w:val="nil"/>
              <w:bottom w:val="single" w:sz="6" w:space="0" w:color="C9C9C9"/>
              <w:right w:val="single" w:sz="6" w:space="0" w:color="C9C9C9"/>
            </w:tcBorders>
            <w:shd w:val="clear" w:color="auto" w:fill="auto"/>
            <w:hideMark/>
          </w:tcPr>
          <w:p w14:paraId="7B1FCEA8"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Investigation conducted under Part 10 </w:t>
            </w:r>
          </w:p>
        </w:tc>
        <w:tc>
          <w:tcPr>
            <w:tcW w:w="1125" w:type="dxa"/>
            <w:tcBorders>
              <w:top w:val="single" w:sz="6" w:space="0" w:color="C9C9C9"/>
              <w:left w:val="single" w:sz="6" w:space="0" w:color="C9C9C9"/>
              <w:bottom w:val="single" w:sz="6" w:space="0" w:color="C9C9C9"/>
              <w:right w:val="nil"/>
            </w:tcBorders>
            <w:shd w:val="clear" w:color="auto" w:fill="auto"/>
            <w:hideMark/>
          </w:tcPr>
          <w:p w14:paraId="0E47FFDD" w14:textId="777BD867"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0</w:t>
            </w:r>
          </w:p>
        </w:tc>
      </w:tr>
      <w:tr w:rsidR="00C032AB" w:rsidRPr="007C747A" w14:paraId="44449B39" w14:textId="77777777">
        <w:trPr>
          <w:trHeight w:val="300"/>
        </w:trPr>
        <w:tc>
          <w:tcPr>
            <w:tcW w:w="8220" w:type="dxa"/>
            <w:tcBorders>
              <w:top w:val="single" w:sz="6" w:space="0" w:color="C9C9C9"/>
              <w:left w:val="nil"/>
              <w:bottom w:val="single" w:sz="6" w:space="0" w:color="C9C9C9"/>
              <w:right w:val="single" w:sz="6" w:space="0" w:color="C9C9C9"/>
            </w:tcBorders>
            <w:shd w:val="clear" w:color="auto" w:fill="EDEDED"/>
            <w:hideMark/>
          </w:tcPr>
          <w:p w14:paraId="6A2B85A4"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Notice given to Agency under s 90 (provisional improvement notice) </w:t>
            </w:r>
          </w:p>
        </w:tc>
        <w:tc>
          <w:tcPr>
            <w:tcW w:w="1125" w:type="dxa"/>
            <w:tcBorders>
              <w:top w:val="single" w:sz="6" w:space="0" w:color="C9C9C9"/>
              <w:left w:val="single" w:sz="6" w:space="0" w:color="C9C9C9"/>
              <w:bottom w:val="single" w:sz="6" w:space="0" w:color="C9C9C9"/>
              <w:right w:val="nil"/>
            </w:tcBorders>
            <w:shd w:val="clear" w:color="auto" w:fill="EDEDED"/>
            <w:hideMark/>
          </w:tcPr>
          <w:p w14:paraId="22B2E695" w14:textId="04D4C51D"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0</w:t>
            </w:r>
          </w:p>
        </w:tc>
      </w:tr>
      <w:tr w:rsidR="00C032AB" w:rsidRPr="007C747A" w14:paraId="4A81BED6" w14:textId="77777777">
        <w:trPr>
          <w:trHeight w:val="300"/>
        </w:trPr>
        <w:tc>
          <w:tcPr>
            <w:tcW w:w="8220" w:type="dxa"/>
            <w:tcBorders>
              <w:top w:val="single" w:sz="6" w:space="0" w:color="C9C9C9"/>
              <w:left w:val="nil"/>
              <w:bottom w:val="single" w:sz="6" w:space="0" w:color="C9C9C9"/>
              <w:right w:val="single" w:sz="6" w:space="0" w:color="C9C9C9"/>
            </w:tcBorders>
            <w:shd w:val="clear" w:color="auto" w:fill="auto"/>
            <w:hideMark/>
          </w:tcPr>
          <w:p w14:paraId="1703C349" w14:textId="14D6258F"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Notice given to Agency under s 191</w:t>
            </w:r>
            <w:r w:rsidR="000B2BEC" w:rsidRPr="007C747A">
              <w:rPr>
                <w:rStyle w:val="FootnoteReference"/>
                <w:rFonts w:eastAsia="Times New Roman" w:cs="Arial"/>
                <w:b/>
                <w:bCs/>
                <w:sz w:val="20"/>
                <w:szCs w:val="20"/>
                <w:lang w:val="en-AU" w:eastAsia="en-AU"/>
              </w:rPr>
              <w:footnoteReference w:id="17"/>
            </w:r>
            <w:r w:rsidRPr="007C747A">
              <w:rPr>
                <w:rFonts w:eastAsia="Times New Roman" w:cs="Arial"/>
                <w:b/>
                <w:bCs/>
                <w:sz w:val="20"/>
                <w:szCs w:val="20"/>
                <w:lang w:val="en-AU" w:eastAsia="en-AU"/>
              </w:rPr>
              <w:t xml:space="preserve"> (improvement notice) </w:t>
            </w:r>
          </w:p>
        </w:tc>
        <w:tc>
          <w:tcPr>
            <w:tcW w:w="1125" w:type="dxa"/>
            <w:tcBorders>
              <w:top w:val="single" w:sz="6" w:space="0" w:color="C9C9C9"/>
              <w:left w:val="single" w:sz="6" w:space="0" w:color="C9C9C9"/>
              <w:bottom w:val="single" w:sz="6" w:space="0" w:color="C9C9C9"/>
              <w:right w:val="nil"/>
            </w:tcBorders>
            <w:shd w:val="clear" w:color="auto" w:fill="auto"/>
            <w:hideMark/>
          </w:tcPr>
          <w:p w14:paraId="06677860" w14:textId="384F0533"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sz w:val="20"/>
                <w:szCs w:val="20"/>
                <w:lang w:val="en-AU" w:eastAsia="en-AU"/>
              </w:rPr>
              <w:t>0</w:t>
            </w:r>
          </w:p>
        </w:tc>
      </w:tr>
      <w:tr w:rsidR="00C032AB" w:rsidRPr="007C747A" w14:paraId="5CAEE00A" w14:textId="77777777">
        <w:trPr>
          <w:trHeight w:val="300"/>
        </w:trPr>
        <w:tc>
          <w:tcPr>
            <w:tcW w:w="8220" w:type="dxa"/>
            <w:tcBorders>
              <w:top w:val="single" w:sz="6" w:space="0" w:color="C9C9C9"/>
              <w:left w:val="nil"/>
              <w:bottom w:val="single" w:sz="6" w:space="0" w:color="C9C9C9"/>
              <w:right w:val="single" w:sz="6" w:space="0" w:color="C9C9C9"/>
            </w:tcBorders>
            <w:shd w:val="clear" w:color="auto" w:fill="EDEDED"/>
            <w:hideMark/>
          </w:tcPr>
          <w:p w14:paraId="6E82E7EA"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Notice given to Agency under s 195 (prohibition notice) </w:t>
            </w:r>
          </w:p>
        </w:tc>
        <w:tc>
          <w:tcPr>
            <w:tcW w:w="1125" w:type="dxa"/>
            <w:tcBorders>
              <w:top w:val="single" w:sz="6" w:space="0" w:color="C9C9C9"/>
              <w:left w:val="single" w:sz="6" w:space="0" w:color="C9C9C9"/>
              <w:bottom w:val="single" w:sz="6" w:space="0" w:color="C9C9C9"/>
              <w:right w:val="nil"/>
            </w:tcBorders>
            <w:shd w:val="clear" w:color="auto" w:fill="EDEDED"/>
            <w:hideMark/>
          </w:tcPr>
          <w:p w14:paraId="2F07E37C" w14:textId="3B569D13"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0</w:t>
            </w:r>
          </w:p>
        </w:tc>
      </w:tr>
      <w:tr w:rsidR="00C032AB" w:rsidRPr="007C747A" w14:paraId="6609A137" w14:textId="77777777">
        <w:trPr>
          <w:trHeight w:val="300"/>
        </w:trPr>
        <w:tc>
          <w:tcPr>
            <w:tcW w:w="8220" w:type="dxa"/>
            <w:tcBorders>
              <w:top w:val="single" w:sz="6" w:space="0" w:color="C9C9C9"/>
              <w:left w:val="nil"/>
              <w:bottom w:val="single" w:sz="6" w:space="0" w:color="C9C9C9"/>
              <w:right w:val="single" w:sz="6" w:space="0" w:color="C9C9C9"/>
            </w:tcBorders>
            <w:shd w:val="clear" w:color="auto" w:fill="auto"/>
            <w:hideMark/>
          </w:tcPr>
          <w:p w14:paraId="3BD5D13A" w14:textId="77777777" w:rsidR="00C032AB" w:rsidRPr="007C747A" w:rsidRDefault="00C032AB">
            <w:pPr>
              <w:textAlignment w:val="baseline"/>
              <w:rPr>
                <w:rFonts w:ascii="Times New Roman" w:eastAsia="Times New Roman" w:hAnsi="Times New Roman"/>
                <w:b/>
                <w:bCs/>
                <w:lang w:val="en-AU" w:eastAsia="en-AU"/>
              </w:rPr>
            </w:pPr>
            <w:r w:rsidRPr="007C747A">
              <w:rPr>
                <w:rFonts w:eastAsia="Times New Roman" w:cs="Arial"/>
                <w:b/>
                <w:bCs/>
                <w:sz w:val="20"/>
                <w:szCs w:val="20"/>
                <w:lang w:val="en-AU" w:eastAsia="en-AU"/>
              </w:rPr>
              <w:t>Directions given to Agency under s 198 (non-disturbance)  </w:t>
            </w:r>
          </w:p>
        </w:tc>
        <w:tc>
          <w:tcPr>
            <w:tcW w:w="1125" w:type="dxa"/>
            <w:tcBorders>
              <w:top w:val="single" w:sz="6" w:space="0" w:color="C9C9C9"/>
              <w:left w:val="single" w:sz="6" w:space="0" w:color="C9C9C9"/>
              <w:bottom w:val="single" w:sz="6" w:space="0" w:color="C9C9C9"/>
              <w:right w:val="nil"/>
            </w:tcBorders>
            <w:shd w:val="clear" w:color="auto" w:fill="auto"/>
            <w:hideMark/>
          </w:tcPr>
          <w:p w14:paraId="14C85FA3" w14:textId="1E225A1E" w:rsidR="00C032AB" w:rsidRPr="007C747A" w:rsidRDefault="00933C5B" w:rsidP="00933C5B">
            <w:pPr>
              <w:jc w:val="right"/>
              <w:textAlignment w:val="baseline"/>
              <w:rPr>
                <w:rFonts w:ascii="Times New Roman" w:eastAsia="Times New Roman" w:hAnsi="Times New Roman"/>
                <w:sz w:val="20"/>
                <w:szCs w:val="20"/>
                <w:lang w:val="en-AU" w:eastAsia="en-AU"/>
              </w:rPr>
            </w:pPr>
            <w:r w:rsidRPr="007C747A">
              <w:rPr>
                <w:rFonts w:eastAsia="Times New Roman" w:cs="Arial"/>
                <w:sz w:val="20"/>
                <w:szCs w:val="20"/>
                <w:lang w:val="en-AU" w:eastAsia="en-AU"/>
              </w:rPr>
              <w:t>0</w:t>
            </w:r>
          </w:p>
        </w:tc>
      </w:tr>
    </w:tbl>
    <w:p w14:paraId="1A7AB33E" w14:textId="77777777" w:rsidR="00C032AB" w:rsidRPr="007C747A" w:rsidRDefault="00C032AB" w:rsidP="004168E7">
      <w:pPr>
        <w:pStyle w:val="FGCHEADING2"/>
        <w:sectPr w:rsidR="00C032AB" w:rsidRPr="007C747A" w:rsidSect="00DB1E26">
          <w:headerReference w:type="default" r:id="rId67"/>
          <w:footnotePr>
            <w:pos w:val="beneathText"/>
            <w:numRestart w:val="eachSect"/>
          </w:footnotePr>
          <w:pgSz w:w="11907" w:h="16840" w:code="9"/>
          <w:pgMar w:top="1021" w:right="567" w:bottom="1440" w:left="964" w:header="0" w:footer="0" w:gutter="0"/>
          <w:cols w:space="708"/>
          <w:titlePg/>
          <w:docGrid w:linePitch="360"/>
        </w:sectPr>
      </w:pPr>
    </w:p>
    <w:p w14:paraId="684FEEC0" w14:textId="78A31FA4" w:rsidR="000854E5" w:rsidRPr="007C747A" w:rsidRDefault="00C032AB" w:rsidP="004168E7">
      <w:pPr>
        <w:pStyle w:val="FGCHEADING2"/>
        <w:rPr>
          <w:sz w:val="30"/>
          <w:szCs w:val="30"/>
        </w:rPr>
      </w:pPr>
      <w:bookmarkStart w:id="765" w:name="_Toc142039658"/>
      <w:bookmarkStart w:id="766" w:name="_Toc142047766"/>
      <w:bookmarkStart w:id="767" w:name="_Toc142478419"/>
      <w:bookmarkStart w:id="768" w:name="_Toc142573745"/>
      <w:bookmarkStart w:id="769" w:name="_Toc146289477"/>
      <w:bookmarkStart w:id="770" w:name="_Toc148108432"/>
      <w:r w:rsidRPr="007C747A">
        <w:t>W</w:t>
      </w:r>
      <w:r w:rsidR="007E30D3" w:rsidRPr="007C747A">
        <w:t xml:space="preserve">orkforce </w:t>
      </w:r>
      <w:r w:rsidR="00F5483D" w:rsidRPr="007C747A">
        <w:t>s</w:t>
      </w:r>
      <w:r w:rsidR="007E30D3" w:rsidRPr="007C747A">
        <w:t>tatistics</w:t>
      </w:r>
      <w:r w:rsidR="00AE4B27" w:rsidRPr="007C747A">
        <w:rPr>
          <w:rStyle w:val="FootnoteReference"/>
          <w:sz w:val="30"/>
          <w:szCs w:val="30"/>
        </w:rPr>
        <w:footnoteReference w:id="18"/>
      </w:r>
      <w:bookmarkEnd w:id="765"/>
      <w:bookmarkEnd w:id="766"/>
      <w:bookmarkEnd w:id="767"/>
      <w:bookmarkEnd w:id="768"/>
      <w:bookmarkEnd w:id="769"/>
      <w:bookmarkEnd w:id="770"/>
    </w:p>
    <w:p w14:paraId="4836B726" w14:textId="75375F4C" w:rsidR="006E7D92" w:rsidRPr="007C747A" w:rsidRDefault="006E7D92" w:rsidP="001A0235">
      <w:pPr>
        <w:pStyle w:val="Heading43"/>
        <w:ind w:left="0"/>
      </w:pPr>
      <w:r w:rsidRPr="007C747A">
        <w:rPr>
          <w:bCs/>
        </w:rPr>
        <w:t>Table 6.4A</w:t>
      </w:r>
      <w:r w:rsidRPr="007C747A">
        <w:t>: All ongoing employees current reporting period (2022–23)</w:t>
      </w:r>
    </w:p>
    <w:tbl>
      <w:tblPr>
        <w:tblStyle w:val="GridTable2-Accent312"/>
        <w:tblW w:w="14737" w:type="dxa"/>
        <w:tblLayout w:type="fixed"/>
        <w:tblLook w:val="04A0" w:firstRow="1" w:lastRow="0" w:firstColumn="1" w:lastColumn="0" w:noHBand="0" w:noVBand="1"/>
      </w:tblPr>
      <w:tblGrid>
        <w:gridCol w:w="1254"/>
        <w:gridCol w:w="849"/>
        <w:gridCol w:w="849"/>
        <w:gridCol w:w="849"/>
        <w:gridCol w:w="850"/>
        <w:gridCol w:w="850"/>
        <w:gridCol w:w="850"/>
        <w:gridCol w:w="850"/>
        <w:gridCol w:w="850"/>
        <w:gridCol w:w="850"/>
        <w:gridCol w:w="850"/>
        <w:gridCol w:w="850"/>
        <w:gridCol w:w="850"/>
        <w:gridCol w:w="850"/>
        <w:gridCol w:w="850"/>
        <w:gridCol w:w="850"/>
        <w:gridCol w:w="736"/>
      </w:tblGrid>
      <w:tr w:rsidR="00D21FDE" w:rsidRPr="007C747A" w14:paraId="4AE59006" w14:textId="77777777" w:rsidTr="00F508D9">
        <w:trPr>
          <w:cnfStyle w:val="100000000000" w:firstRow="1" w:lastRow="0" w:firstColumn="0" w:lastColumn="0" w:oddVBand="0" w:evenVBand="0" w:oddHBand="0" w:evenHBand="0" w:firstRowFirstColumn="0" w:firstRowLastColumn="0" w:lastRowFirstColumn="0" w:lastRowLastColumn="0"/>
          <w:trHeight w:val="2268"/>
          <w:tblHead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noWrap/>
            <w:textDirection w:val="btLr"/>
            <w:hideMark/>
          </w:tcPr>
          <w:p w14:paraId="51138AF1" w14:textId="13FC9719" w:rsidR="00AA5CEC" w:rsidRPr="007C747A" w:rsidRDefault="000072A6" w:rsidP="00AA5CEC">
            <w:pPr>
              <w:suppressAutoHyphens/>
              <w:spacing w:before="180" w:after="60" w:line="280" w:lineRule="atLeast"/>
              <w:rPr>
                <w:rFonts w:eastAsia="Times New Roman" w:cs="Arial"/>
                <w:b w:val="0"/>
                <w:bCs w:val="0"/>
                <w:sz w:val="20"/>
                <w:szCs w:val="20"/>
                <w:lang w:val="en-AU" w:eastAsia="en-AU"/>
              </w:rPr>
            </w:pPr>
            <w:bookmarkStart w:id="771" w:name="_Hlk144912293"/>
            <w:bookmarkStart w:id="772" w:name="_Hlk132717974"/>
            <w:r w:rsidRPr="007C747A">
              <w:rPr>
                <w:rFonts w:eastAsia="Times New Roman" w:cs="Arial"/>
                <w:color w:val="6B2876" w:themeColor="accent1"/>
                <w:sz w:val="20"/>
                <w:szCs w:val="20"/>
                <w:lang w:val="en-AU" w:eastAsia="en-AU"/>
              </w:rPr>
              <w:t>Blank</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noWrap/>
            <w:textDirection w:val="btLr"/>
          </w:tcPr>
          <w:p w14:paraId="7728D61C" w14:textId="1A95EF86" w:rsidR="00AA5CEC" w:rsidRPr="007C747A" w:rsidRDefault="004902AA"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 xml:space="preserve">Male </w:t>
            </w:r>
            <w:r w:rsidR="00AA5CEC" w:rsidRPr="007C747A">
              <w:rPr>
                <w:rFonts w:eastAsia="Times New Roman" w:cs="Arial"/>
                <w:sz w:val="20"/>
                <w:szCs w:val="20"/>
                <w:lang w:val="en-AU" w:eastAsia="en-AU"/>
              </w:rPr>
              <w:t>Full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74AAEB80" w14:textId="35B780A0" w:rsidR="00AA5CEC" w:rsidRPr="007C747A" w:rsidRDefault="004902AA"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 xml:space="preserve">Male </w:t>
            </w:r>
            <w:r w:rsidR="00AA5CEC" w:rsidRPr="007C747A">
              <w:rPr>
                <w:rFonts w:eastAsia="Times New Roman" w:cs="Arial"/>
                <w:sz w:val="20"/>
                <w:szCs w:val="20"/>
                <w:lang w:val="en-AU" w:eastAsia="en-AU"/>
              </w:rPr>
              <w:t>Part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75C62813" w14:textId="16721127" w:rsidR="00AA5CEC" w:rsidRPr="007C747A" w:rsidRDefault="004902AA"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b w:val="0"/>
                <w:bCs w:val="0"/>
                <w:sz w:val="20"/>
                <w:szCs w:val="20"/>
                <w:lang w:val="en-AU" w:eastAsia="en-AU"/>
              </w:rPr>
              <w:t>Male</w:t>
            </w:r>
            <w:r w:rsidRPr="007C747A">
              <w:rPr>
                <w:rFonts w:eastAsia="Times New Roman" w:cs="Arial"/>
                <w:sz w:val="20"/>
                <w:szCs w:val="20"/>
                <w:lang w:val="en-AU" w:eastAsia="en-AU"/>
              </w:rPr>
              <w:t xml:space="preserve"> </w:t>
            </w:r>
            <w:r w:rsidR="00AA5CEC" w:rsidRPr="007C747A">
              <w:rPr>
                <w:rFonts w:eastAsia="Times New Roman" w:cs="Arial"/>
                <w:sz w:val="20"/>
                <w:szCs w:val="20"/>
                <w:lang w:val="en-AU" w:eastAsia="en-AU"/>
              </w:rPr>
              <w:t>Total</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noWrap/>
            <w:textDirection w:val="btLr"/>
          </w:tcPr>
          <w:p w14:paraId="57C8C921" w14:textId="14E92E08" w:rsidR="00AA5CEC" w:rsidRPr="007C747A" w:rsidRDefault="00EF16EF"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Female</w:t>
            </w:r>
            <w:r w:rsidR="00AA5CEC" w:rsidRPr="007C747A">
              <w:rPr>
                <w:rFonts w:eastAsia="Times New Roman" w:cs="Arial"/>
                <w:b w:val="0"/>
                <w:bCs w:val="0"/>
                <w:sz w:val="20"/>
                <w:szCs w:val="20"/>
                <w:lang w:val="en-AU" w:eastAsia="en-AU"/>
              </w:rPr>
              <w:t xml:space="preserve"> </w:t>
            </w:r>
            <w:r w:rsidR="00AA5CEC" w:rsidRPr="007C747A">
              <w:rPr>
                <w:rFonts w:eastAsia="Times New Roman" w:cs="Arial"/>
                <w:sz w:val="20"/>
                <w:szCs w:val="20"/>
                <w:lang w:val="en-AU" w:eastAsia="en-AU"/>
              </w:rPr>
              <w:t>Full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4CD8E582" w14:textId="5097A12D" w:rsidR="00AA5CEC" w:rsidRPr="007C747A" w:rsidRDefault="00EF16EF"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Female</w:t>
            </w:r>
            <w:r w:rsidR="00AA5CEC" w:rsidRPr="007C747A">
              <w:rPr>
                <w:rFonts w:eastAsia="Times New Roman" w:cs="Arial"/>
                <w:b w:val="0"/>
                <w:bCs w:val="0"/>
                <w:sz w:val="20"/>
                <w:szCs w:val="20"/>
                <w:lang w:val="en-AU" w:eastAsia="en-AU"/>
              </w:rPr>
              <w:t xml:space="preserve"> </w:t>
            </w:r>
            <w:r w:rsidR="00AA5CEC" w:rsidRPr="007C747A">
              <w:rPr>
                <w:rFonts w:eastAsia="Times New Roman" w:cs="Arial"/>
                <w:sz w:val="20"/>
                <w:szCs w:val="20"/>
                <w:lang w:val="en-AU" w:eastAsia="en-AU"/>
              </w:rPr>
              <w:t>Part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4DFC49A7" w14:textId="640F24FF" w:rsidR="00AA5CEC" w:rsidRPr="007C747A" w:rsidRDefault="00EF16EF"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Female</w:t>
            </w:r>
            <w:r w:rsidR="00AA5CEC" w:rsidRPr="007C747A">
              <w:rPr>
                <w:rFonts w:eastAsia="Times New Roman" w:cs="Arial"/>
                <w:sz w:val="20"/>
                <w:szCs w:val="20"/>
                <w:lang w:val="en-AU" w:eastAsia="en-AU"/>
              </w:rPr>
              <w:t xml:space="preserve"> Total</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noWrap/>
            <w:textDirection w:val="btLr"/>
          </w:tcPr>
          <w:p w14:paraId="1149DF2D" w14:textId="18D04A82"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 xml:space="preserve">Non-binary </w:t>
            </w:r>
            <w:r w:rsidRPr="007C747A">
              <w:rPr>
                <w:rFonts w:eastAsia="Times New Roman" w:cs="Arial"/>
                <w:sz w:val="20"/>
                <w:szCs w:val="20"/>
                <w:lang w:val="en-AU" w:eastAsia="en-AU"/>
              </w:rPr>
              <w:t>Full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5A038AC7" w14:textId="308C1048"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 xml:space="preserve">Non-binary </w:t>
            </w:r>
            <w:r w:rsidRPr="007C747A">
              <w:rPr>
                <w:rFonts w:eastAsia="Times New Roman" w:cs="Arial"/>
                <w:sz w:val="20"/>
                <w:szCs w:val="20"/>
                <w:lang w:val="en-AU" w:eastAsia="en-AU"/>
              </w:rPr>
              <w:t>Part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62A2631C" w14:textId="3E405D62"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Non binary Total</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13B26674" w14:textId="09C720D1"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Prefers not to answer Full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3E11281D" w14:textId="5BBED9D4"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Prefers not to answer Part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0AC1020A" w14:textId="464B59A2"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Prefers not to answer Total</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05897FA7" w14:textId="37429F42"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Uses different term Full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06F2D6C7" w14:textId="0C973F8B"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Uses different term Part time</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2977FD72" w14:textId="53BA7E4E"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Uses different term Total</w:t>
            </w:r>
          </w:p>
        </w:tc>
        <w:tc>
          <w:tcPr>
            <w:tcW w:w="0" w:type="dxa"/>
            <w:tcBorders>
              <w:top w:val="single" w:sz="4" w:space="0" w:color="F9F9F9" w:themeColor="background1"/>
              <w:left w:val="single" w:sz="4" w:space="0" w:color="F9F9F9" w:themeColor="background1"/>
              <w:bottom w:val="single" w:sz="4" w:space="0" w:color="F9F9F9" w:themeColor="background1"/>
              <w:right w:val="single" w:sz="4" w:space="0" w:color="F9F9F9" w:themeColor="background1"/>
            </w:tcBorders>
            <w:shd w:val="clear" w:color="auto" w:fill="6B2876" w:themeFill="text1"/>
            <w:textDirection w:val="btLr"/>
          </w:tcPr>
          <w:p w14:paraId="7B42C0A6" w14:textId="11E47CB3" w:rsidR="00AA5CEC" w:rsidRPr="007C747A" w:rsidRDefault="00AA5CEC" w:rsidP="005A123D">
            <w:pPr>
              <w:suppressAutoHyphens/>
              <w:spacing w:before="180" w:after="60" w:line="28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Total</w:t>
            </w:r>
          </w:p>
        </w:tc>
      </w:tr>
      <w:bookmarkEnd w:id="771"/>
      <w:tr w:rsidR="00AA5CEC" w:rsidRPr="007C747A" w14:paraId="2EDCD16A" w14:textId="77777777" w:rsidTr="00F508D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tcBorders>
              <w:top w:val="single" w:sz="4" w:space="0" w:color="F9F9F9" w:themeColor="background1"/>
            </w:tcBorders>
            <w:hideMark/>
          </w:tcPr>
          <w:p w14:paraId="25C5721F"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NSW</w:t>
            </w:r>
          </w:p>
        </w:tc>
        <w:tc>
          <w:tcPr>
            <w:tcW w:w="849" w:type="dxa"/>
            <w:tcBorders>
              <w:top w:val="single" w:sz="4" w:space="0" w:color="F9F9F9" w:themeColor="background1"/>
            </w:tcBorders>
            <w:noWrap/>
          </w:tcPr>
          <w:p w14:paraId="22B7C729" w14:textId="40E68DC4"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244</w:t>
            </w:r>
          </w:p>
        </w:tc>
        <w:tc>
          <w:tcPr>
            <w:tcW w:w="849" w:type="dxa"/>
            <w:tcBorders>
              <w:top w:val="single" w:sz="4" w:space="0" w:color="F9F9F9" w:themeColor="background1"/>
            </w:tcBorders>
            <w:noWrap/>
            <w:hideMark/>
          </w:tcPr>
          <w:p w14:paraId="7F6036B3" w14:textId="67D9720A"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20</w:t>
            </w:r>
          </w:p>
        </w:tc>
        <w:tc>
          <w:tcPr>
            <w:tcW w:w="849" w:type="dxa"/>
            <w:tcBorders>
              <w:top w:val="single" w:sz="4" w:space="0" w:color="F9F9F9" w:themeColor="background1"/>
            </w:tcBorders>
            <w:noWrap/>
            <w:hideMark/>
          </w:tcPr>
          <w:p w14:paraId="291F63D2" w14:textId="1BF8E1AC"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264</w:t>
            </w:r>
          </w:p>
        </w:tc>
        <w:tc>
          <w:tcPr>
            <w:tcW w:w="850" w:type="dxa"/>
            <w:tcBorders>
              <w:top w:val="single" w:sz="4" w:space="0" w:color="F9F9F9" w:themeColor="background1"/>
            </w:tcBorders>
            <w:noWrap/>
            <w:hideMark/>
          </w:tcPr>
          <w:p w14:paraId="34452D41" w14:textId="35F63683"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780</w:t>
            </w:r>
          </w:p>
        </w:tc>
        <w:tc>
          <w:tcPr>
            <w:tcW w:w="850" w:type="dxa"/>
            <w:tcBorders>
              <w:top w:val="single" w:sz="4" w:space="0" w:color="F9F9F9" w:themeColor="background1"/>
            </w:tcBorders>
            <w:noWrap/>
            <w:hideMark/>
          </w:tcPr>
          <w:p w14:paraId="5CE5F8C5" w14:textId="41960DD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179</w:t>
            </w:r>
          </w:p>
        </w:tc>
        <w:tc>
          <w:tcPr>
            <w:tcW w:w="850" w:type="dxa"/>
            <w:tcBorders>
              <w:top w:val="single" w:sz="4" w:space="0" w:color="F9F9F9" w:themeColor="background1"/>
            </w:tcBorders>
            <w:noWrap/>
            <w:hideMark/>
          </w:tcPr>
          <w:p w14:paraId="7D857574" w14:textId="349CD6A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959</w:t>
            </w:r>
          </w:p>
        </w:tc>
        <w:tc>
          <w:tcPr>
            <w:tcW w:w="850" w:type="dxa"/>
            <w:tcBorders>
              <w:top w:val="single" w:sz="4" w:space="0" w:color="F9F9F9" w:themeColor="background1"/>
            </w:tcBorders>
            <w:noWrap/>
            <w:hideMark/>
          </w:tcPr>
          <w:p w14:paraId="03F7E5D2" w14:textId="7FE49D2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9F9" w:themeColor="background1"/>
            </w:tcBorders>
            <w:noWrap/>
            <w:hideMark/>
          </w:tcPr>
          <w:p w14:paraId="5838545F" w14:textId="006F1B53"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9F9" w:themeColor="background1"/>
            </w:tcBorders>
            <w:noWrap/>
            <w:hideMark/>
          </w:tcPr>
          <w:p w14:paraId="0409AB5D" w14:textId="4177ED6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9F9" w:themeColor="background1"/>
            </w:tcBorders>
          </w:tcPr>
          <w:p w14:paraId="01FFC304" w14:textId="30DAA537"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9F9" w:themeColor="background1"/>
            </w:tcBorders>
          </w:tcPr>
          <w:p w14:paraId="4BE914B8" w14:textId="4F010167"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9F9" w:themeColor="background1"/>
            </w:tcBorders>
          </w:tcPr>
          <w:p w14:paraId="47CCAD63" w14:textId="749F9EC3"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9F9" w:themeColor="background1"/>
            </w:tcBorders>
          </w:tcPr>
          <w:p w14:paraId="122497F1" w14:textId="2A9A9095"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w:t>
            </w:r>
          </w:p>
        </w:tc>
        <w:tc>
          <w:tcPr>
            <w:tcW w:w="850" w:type="dxa"/>
            <w:tcBorders>
              <w:top w:val="single" w:sz="4" w:space="0" w:color="F9F9F9" w:themeColor="background1"/>
            </w:tcBorders>
          </w:tcPr>
          <w:p w14:paraId="20E5BE63" w14:textId="06A973C8"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w:t>
            </w:r>
          </w:p>
        </w:tc>
        <w:tc>
          <w:tcPr>
            <w:tcW w:w="850" w:type="dxa"/>
            <w:tcBorders>
              <w:top w:val="single" w:sz="4" w:space="0" w:color="F9F9F9" w:themeColor="background1"/>
            </w:tcBorders>
          </w:tcPr>
          <w:p w14:paraId="28C59A88" w14:textId="2DCB765B"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w:t>
            </w:r>
          </w:p>
        </w:tc>
        <w:tc>
          <w:tcPr>
            <w:tcW w:w="736" w:type="dxa"/>
            <w:tcBorders>
              <w:top w:val="single" w:sz="4" w:space="0" w:color="F9F9F9" w:themeColor="background1"/>
            </w:tcBorders>
          </w:tcPr>
          <w:p w14:paraId="3FC62095" w14:textId="71884B7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1,226</w:t>
            </w:r>
          </w:p>
        </w:tc>
      </w:tr>
      <w:tr w:rsidR="00AA5CEC" w:rsidRPr="007C747A" w14:paraId="491D5FD4" w14:textId="77777777" w:rsidTr="006E7D92">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685AAED1"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Qld</w:t>
            </w:r>
          </w:p>
        </w:tc>
        <w:tc>
          <w:tcPr>
            <w:tcW w:w="849" w:type="dxa"/>
            <w:noWrap/>
          </w:tcPr>
          <w:p w14:paraId="79F1638F" w14:textId="14C3D5DF"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217</w:t>
            </w:r>
          </w:p>
        </w:tc>
        <w:tc>
          <w:tcPr>
            <w:tcW w:w="849" w:type="dxa"/>
            <w:noWrap/>
            <w:hideMark/>
          </w:tcPr>
          <w:p w14:paraId="3C856AC6" w14:textId="37F083F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7</w:t>
            </w:r>
          </w:p>
        </w:tc>
        <w:tc>
          <w:tcPr>
            <w:tcW w:w="849" w:type="dxa"/>
            <w:noWrap/>
            <w:hideMark/>
          </w:tcPr>
          <w:p w14:paraId="655DF14A" w14:textId="21042853"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224</w:t>
            </w:r>
          </w:p>
        </w:tc>
        <w:tc>
          <w:tcPr>
            <w:tcW w:w="850" w:type="dxa"/>
            <w:noWrap/>
            <w:hideMark/>
          </w:tcPr>
          <w:p w14:paraId="5FFE8909" w14:textId="378BC07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636</w:t>
            </w:r>
          </w:p>
        </w:tc>
        <w:tc>
          <w:tcPr>
            <w:tcW w:w="850" w:type="dxa"/>
            <w:noWrap/>
            <w:hideMark/>
          </w:tcPr>
          <w:p w14:paraId="42DC005A" w14:textId="07632D3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119</w:t>
            </w:r>
          </w:p>
        </w:tc>
        <w:tc>
          <w:tcPr>
            <w:tcW w:w="850" w:type="dxa"/>
            <w:noWrap/>
            <w:hideMark/>
          </w:tcPr>
          <w:p w14:paraId="0D064D9F" w14:textId="02CA28E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755</w:t>
            </w:r>
          </w:p>
        </w:tc>
        <w:tc>
          <w:tcPr>
            <w:tcW w:w="850" w:type="dxa"/>
            <w:noWrap/>
            <w:hideMark/>
          </w:tcPr>
          <w:p w14:paraId="45DC86D5" w14:textId="208F761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noWrap/>
            <w:hideMark/>
          </w:tcPr>
          <w:p w14:paraId="382D6A74" w14:textId="3AB314B9"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noWrap/>
            <w:hideMark/>
          </w:tcPr>
          <w:p w14:paraId="4159AC26" w14:textId="032ED40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282DF6A3" w14:textId="3689BE3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065B93F9" w14:textId="5D52B5A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02487940" w14:textId="49105DBA"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1602BCC" w14:textId="13E88509"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w:t>
            </w:r>
          </w:p>
        </w:tc>
        <w:tc>
          <w:tcPr>
            <w:tcW w:w="850" w:type="dxa"/>
          </w:tcPr>
          <w:p w14:paraId="517CF6A5" w14:textId="5A44634A"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420EF800" w14:textId="0CA1F07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w:t>
            </w:r>
          </w:p>
        </w:tc>
        <w:tc>
          <w:tcPr>
            <w:tcW w:w="736" w:type="dxa"/>
          </w:tcPr>
          <w:p w14:paraId="534CEC98" w14:textId="3B93C6C0"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982</w:t>
            </w:r>
          </w:p>
        </w:tc>
      </w:tr>
      <w:tr w:rsidR="00AA5CEC" w:rsidRPr="007C747A" w14:paraId="67EF375A" w14:textId="77777777" w:rsidTr="006E7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06F23557"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SA</w:t>
            </w:r>
          </w:p>
        </w:tc>
        <w:tc>
          <w:tcPr>
            <w:tcW w:w="849" w:type="dxa"/>
            <w:noWrap/>
            <w:hideMark/>
          </w:tcPr>
          <w:p w14:paraId="14F4FE9C" w14:textId="2F3C775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108</w:t>
            </w:r>
          </w:p>
        </w:tc>
        <w:tc>
          <w:tcPr>
            <w:tcW w:w="849" w:type="dxa"/>
            <w:noWrap/>
            <w:hideMark/>
          </w:tcPr>
          <w:p w14:paraId="15D85C66" w14:textId="3DBAF1F0"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4</w:t>
            </w:r>
          </w:p>
        </w:tc>
        <w:tc>
          <w:tcPr>
            <w:tcW w:w="849" w:type="dxa"/>
            <w:noWrap/>
            <w:hideMark/>
          </w:tcPr>
          <w:p w14:paraId="285D7199" w14:textId="47E059E8"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112</w:t>
            </w:r>
          </w:p>
        </w:tc>
        <w:tc>
          <w:tcPr>
            <w:tcW w:w="850" w:type="dxa"/>
            <w:noWrap/>
            <w:hideMark/>
          </w:tcPr>
          <w:p w14:paraId="23DBCB6F" w14:textId="04E5EB55"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251</w:t>
            </w:r>
          </w:p>
        </w:tc>
        <w:tc>
          <w:tcPr>
            <w:tcW w:w="850" w:type="dxa"/>
            <w:noWrap/>
            <w:hideMark/>
          </w:tcPr>
          <w:p w14:paraId="4218146D" w14:textId="0381CB63"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90</w:t>
            </w:r>
          </w:p>
        </w:tc>
        <w:tc>
          <w:tcPr>
            <w:tcW w:w="850" w:type="dxa"/>
            <w:noWrap/>
            <w:hideMark/>
          </w:tcPr>
          <w:p w14:paraId="30D46ECB" w14:textId="25644E9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341</w:t>
            </w:r>
          </w:p>
        </w:tc>
        <w:tc>
          <w:tcPr>
            <w:tcW w:w="850" w:type="dxa"/>
            <w:noWrap/>
            <w:hideMark/>
          </w:tcPr>
          <w:p w14:paraId="60AB2960" w14:textId="14279E1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215F3A98" w14:textId="4EE9C5A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5D579037" w14:textId="794F9E6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03447443" w14:textId="7E7DE635"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742CDF7D" w14:textId="3EF57005"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7886C49B" w14:textId="68D757E4"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65316B5D" w14:textId="2853AB2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w:t>
            </w:r>
          </w:p>
        </w:tc>
        <w:tc>
          <w:tcPr>
            <w:tcW w:w="850" w:type="dxa"/>
          </w:tcPr>
          <w:p w14:paraId="33F0AEC5" w14:textId="2CD9010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336D8931" w14:textId="1C087269"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w:t>
            </w:r>
          </w:p>
        </w:tc>
        <w:tc>
          <w:tcPr>
            <w:tcW w:w="736" w:type="dxa"/>
          </w:tcPr>
          <w:p w14:paraId="0C34FD89" w14:textId="0B19E0F8"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454</w:t>
            </w:r>
          </w:p>
        </w:tc>
      </w:tr>
      <w:tr w:rsidR="00AA5CEC" w:rsidRPr="007C747A" w14:paraId="5E0E3EF5" w14:textId="77777777" w:rsidTr="006E7D92">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5F2B5594"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Tas</w:t>
            </w:r>
          </w:p>
        </w:tc>
        <w:tc>
          <w:tcPr>
            <w:tcW w:w="849" w:type="dxa"/>
            <w:noWrap/>
            <w:hideMark/>
          </w:tcPr>
          <w:p w14:paraId="1C7EFF76" w14:textId="7AD82DC2"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34</w:t>
            </w:r>
          </w:p>
        </w:tc>
        <w:tc>
          <w:tcPr>
            <w:tcW w:w="849" w:type="dxa"/>
            <w:noWrap/>
            <w:hideMark/>
          </w:tcPr>
          <w:p w14:paraId="4F1B0C89" w14:textId="526056FF"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w:t>
            </w:r>
          </w:p>
        </w:tc>
        <w:tc>
          <w:tcPr>
            <w:tcW w:w="849" w:type="dxa"/>
            <w:noWrap/>
            <w:hideMark/>
          </w:tcPr>
          <w:p w14:paraId="5BBCC639" w14:textId="54F667A7"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36</w:t>
            </w:r>
          </w:p>
        </w:tc>
        <w:tc>
          <w:tcPr>
            <w:tcW w:w="850" w:type="dxa"/>
            <w:noWrap/>
            <w:hideMark/>
          </w:tcPr>
          <w:p w14:paraId="740D6C78" w14:textId="0BF3448B"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68</w:t>
            </w:r>
          </w:p>
        </w:tc>
        <w:tc>
          <w:tcPr>
            <w:tcW w:w="850" w:type="dxa"/>
            <w:noWrap/>
            <w:hideMark/>
          </w:tcPr>
          <w:p w14:paraId="420729C9" w14:textId="0E9937E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17</w:t>
            </w:r>
          </w:p>
        </w:tc>
        <w:tc>
          <w:tcPr>
            <w:tcW w:w="850" w:type="dxa"/>
            <w:noWrap/>
            <w:hideMark/>
          </w:tcPr>
          <w:p w14:paraId="27DAD6F8" w14:textId="2703581D"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85</w:t>
            </w:r>
          </w:p>
        </w:tc>
        <w:tc>
          <w:tcPr>
            <w:tcW w:w="850" w:type="dxa"/>
            <w:noWrap/>
            <w:hideMark/>
          </w:tcPr>
          <w:p w14:paraId="11759E7F" w14:textId="46582248"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684E1CAA" w14:textId="3E28048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17AE9E3F" w14:textId="2042060F"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20F98D5D" w14:textId="1FEF399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20B0DE49" w14:textId="3780AB39"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C4C6485" w14:textId="5E3575F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59B91F87" w14:textId="43FC1AF0"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2DFB5663" w14:textId="39A2539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1E2DCD5D" w14:textId="236D78A3"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736" w:type="dxa"/>
          </w:tcPr>
          <w:p w14:paraId="5E2C2181" w14:textId="39B9C23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121</w:t>
            </w:r>
          </w:p>
        </w:tc>
      </w:tr>
      <w:tr w:rsidR="00AA5CEC" w:rsidRPr="007C747A" w14:paraId="6F0B5DB5" w14:textId="77777777" w:rsidTr="006E7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639228D3"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Vic</w:t>
            </w:r>
          </w:p>
        </w:tc>
        <w:tc>
          <w:tcPr>
            <w:tcW w:w="849" w:type="dxa"/>
            <w:noWrap/>
            <w:hideMark/>
          </w:tcPr>
          <w:p w14:paraId="79350F19" w14:textId="265C3F8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487</w:t>
            </w:r>
          </w:p>
        </w:tc>
        <w:tc>
          <w:tcPr>
            <w:tcW w:w="849" w:type="dxa"/>
            <w:noWrap/>
            <w:hideMark/>
          </w:tcPr>
          <w:p w14:paraId="03913A3B" w14:textId="3BFEC4F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29</w:t>
            </w:r>
          </w:p>
        </w:tc>
        <w:tc>
          <w:tcPr>
            <w:tcW w:w="849" w:type="dxa"/>
            <w:noWrap/>
            <w:hideMark/>
          </w:tcPr>
          <w:p w14:paraId="75739E8E" w14:textId="37D6E8C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516</w:t>
            </w:r>
          </w:p>
        </w:tc>
        <w:tc>
          <w:tcPr>
            <w:tcW w:w="850" w:type="dxa"/>
            <w:noWrap/>
            <w:hideMark/>
          </w:tcPr>
          <w:p w14:paraId="6F96A578" w14:textId="4AAE2610"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1,082</w:t>
            </w:r>
          </w:p>
        </w:tc>
        <w:tc>
          <w:tcPr>
            <w:tcW w:w="850" w:type="dxa"/>
            <w:noWrap/>
            <w:hideMark/>
          </w:tcPr>
          <w:p w14:paraId="0156DE6A" w14:textId="15F71DF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258</w:t>
            </w:r>
          </w:p>
        </w:tc>
        <w:tc>
          <w:tcPr>
            <w:tcW w:w="850" w:type="dxa"/>
            <w:noWrap/>
            <w:hideMark/>
          </w:tcPr>
          <w:p w14:paraId="7C9F38AF" w14:textId="4446352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1,340</w:t>
            </w:r>
          </w:p>
        </w:tc>
        <w:tc>
          <w:tcPr>
            <w:tcW w:w="850" w:type="dxa"/>
            <w:noWrap/>
            <w:hideMark/>
          </w:tcPr>
          <w:p w14:paraId="034E89EA" w14:textId="5471BC29"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770D8A14" w14:textId="2A4C441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5D772AAF" w14:textId="4ADC0B7A"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3FAD7170" w14:textId="76B1363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7BE5A4CF" w14:textId="0779AF3B"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3F09236" w14:textId="6244166A"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2F25E295" w14:textId="691CD23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6</w:t>
            </w:r>
          </w:p>
        </w:tc>
        <w:tc>
          <w:tcPr>
            <w:tcW w:w="850" w:type="dxa"/>
          </w:tcPr>
          <w:p w14:paraId="5B72341C" w14:textId="11BAB0C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47460909" w14:textId="421B84E0"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6</w:t>
            </w:r>
          </w:p>
        </w:tc>
        <w:tc>
          <w:tcPr>
            <w:tcW w:w="736" w:type="dxa"/>
          </w:tcPr>
          <w:p w14:paraId="64D58991" w14:textId="34C5580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1,862</w:t>
            </w:r>
          </w:p>
        </w:tc>
      </w:tr>
      <w:tr w:rsidR="00AA5CEC" w:rsidRPr="007C747A" w14:paraId="4106CD08" w14:textId="77777777" w:rsidTr="006E7D92">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2216E763"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WA</w:t>
            </w:r>
          </w:p>
        </w:tc>
        <w:tc>
          <w:tcPr>
            <w:tcW w:w="849" w:type="dxa"/>
            <w:noWrap/>
            <w:hideMark/>
          </w:tcPr>
          <w:p w14:paraId="63B7738A" w14:textId="11CE9F12"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74</w:t>
            </w:r>
          </w:p>
        </w:tc>
        <w:tc>
          <w:tcPr>
            <w:tcW w:w="849" w:type="dxa"/>
            <w:noWrap/>
            <w:hideMark/>
          </w:tcPr>
          <w:p w14:paraId="0FD86647" w14:textId="3EB9348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6</w:t>
            </w:r>
          </w:p>
        </w:tc>
        <w:tc>
          <w:tcPr>
            <w:tcW w:w="849" w:type="dxa"/>
            <w:noWrap/>
            <w:hideMark/>
          </w:tcPr>
          <w:p w14:paraId="7BD86FE8" w14:textId="6221FC3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80</w:t>
            </w:r>
          </w:p>
        </w:tc>
        <w:tc>
          <w:tcPr>
            <w:tcW w:w="850" w:type="dxa"/>
            <w:noWrap/>
            <w:hideMark/>
          </w:tcPr>
          <w:p w14:paraId="394A0760" w14:textId="4CD5682D"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223</w:t>
            </w:r>
          </w:p>
        </w:tc>
        <w:tc>
          <w:tcPr>
            <w:tcW w:w="850" w:type="dxa"/>
            <w:noWrap/>
            <w:hideMark/>
          </w:tcPr>
          <w:p w14:paraId="6809BD86" w14:textId="320A67E8"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34</w:t>
            </w:r>
          </w:p>
        </w:tc>
        <w:tc>
          <w:tcPr>
            <w:tcW w:w="850" w:type="dxa"/>
            <w:noWrap/>
            <w:hideMark/>
          </w:tcPr>
          <w:p w14:paraId="58B89ABD" w14:textId="5440F5CA"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257</w:t>
            </w:r>
          </w:p>
        </w:tc>
        <w:tc>
          <w:tcPr>
            <w:tcW w:w="850" w:type="dxa"/>
            <w:noWrap/>
            <w:hideMark/>
          </w:tcPr>
          <w:p w14:paraId="3D15356E" w14:textId="5B221D4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71AF7E98" w14:textId="46CAE16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749891EA" w14:textId="7036CCE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1C22B239" w14:textId="015F2CCF"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7A1C040E" w14:textId="3B46BCEB"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1FD474A4" w14:textId="23CA544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48B6C41" w14:textId="2410AD2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63C4C7B0" w14:textId="2ECF2D7F"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0F2D8F1F" w14:textId="5D113EC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736" w:type="dxa"/>
          </w:tcPr>
          <w:p w14:paraId="61D8461E" w14:textId="79A2F3E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337</w:t>
            </w:r>
          </w:p>
        </w:tc>
      </w:tr>
      <w:tr w:rsidR="00AA5CEC" w:rsidRPr="007C747A" w14:paraId="398059E9" w14:textId="77777777" w:rsidTr="006E7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3CF48778"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ACT</w:t>
            </w:r>
          </w:p>
        </w:tc>
        <w:tc>
          <w:tcPr>
            <w:tcW w:w="849" w:type="dxa"/>
            <w:noWrap/>
            <w:hideMark/>
          </w:tcPr>
          <w:p w14:paraId="0BFDDF16" w14:textId="7B738595"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102</w:t>
            </w:r>
          </w:p>
        </w:tc>
        <w:tc>
          <w:tcPr>
            <w:tcW w:w="849" w:type="dxa"/>
            <w:noWrap/>
            <w:hideMark/>
          </w:tcPr>
          <w:p w14:paraId="25641653" w14:textId="19D8ACD4"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3</w:t>
            </w:r>
          </w:p>
        </w:tc>
        <w:tc>
          <w:tcPr>
            <w:tcW w:w="849" w:type="dxa"/>
            <w:noWrap/>
            <w:hideMark/>
          </w:tcPr>
          <w:p w14:paraId="0BB944FF" w14:textId="286AF2B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105</w:t>
            </w:r>
          </w:p>
        </w:tc>
        <w:tc>
          <w:tcPr>
            <w:tcW w:w="850" w:type="dxa"/>
            <w:noWrap/>
            <w:hideMark/>
          </w:tcPr>
          <w:p w14:paraId="5D98B21E" w14:textId="29ED5A8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148</w:t>
            </w:r>
          </w:p>
        </w:tc>
        <w:tc>
          <w:tcPr>
            <w:tcW w:w="850" w:type="dxa"/>
            <w:noWrap/>
            <w:hideMark/>
          </w:tcPr>
          <w:p w14:paraId="45F60DAD" w14:textId="11B79C6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17</w:t>
            </w:r>
          </w:p>
        </w:tc>
        <w:tc>
          <w:tcPr>
            <w:tcW w:w="850" w:type="dxa"/>
            <w:noWrap/>
            <w:hideMark/>
          </w:tcPr>
          <w:p w14:paraId="0B778B74" w14:textId="4BF8ED3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165</w:t>
            </w:r>
          </w:p>
        </w:tc>
        <w:tc>
          <w:tcPr>
            <w:tcW w:w="850" w:type="dxa"/>
            <w:noWrap/>
            <w:hideMark/>
          </w:tcPr>
          <w:p w14:paraId="042DA04F" w14:textId="27B06AB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656BAEE5" w14:textId="35FA8FE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6F2169DF" w14:textId="686F44D7"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6FE77251" w14:textId="0FB0E797"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1D197341" w14:textId="10B14C8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746758C1" w14:textId="7CD15AC9"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BC4E3A4" w14:textId="0694D45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w:t>
            </w:r>
          </w:p>
        </w:tc>
        <w:tc>
          <w:tcPr>
            <w:tcW w:w="850" w:type="dxa"/>
          </w:tcPr>
          <w:p w14:paraId="0B5DEA6A" w14:textId="16A4040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2CF6A433" w14:textId="2D3B26E8"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2</w:t>
            </w:r>
          </w:p>
        </w:tc>
        <w:tc>
          <w:tcPr>
            <w:tcW w:w="736" w:type="dxa"/>
          </w:tcPr>
          <w:p w14:paraId="0D05FB24" w14:textId="51506C1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272</w:t>
            </w:r>
          </w:p>
        </w:tc>
      </w:tr>
      <w:tr w:rsidR="00AA5CEC" w:rsidRPr="007C747A" w14:paraId="17A392FD" w14:textId="77777777" w:rsidTr="006E7D92">
        <w:trPr>
          <w:trHeight w:val="315"/>
        </w:trPr>
        <w:tc>
          <w:tcPr>
            <w:cnfStyle w:val="001000000000" w:firstRow="0" w:lastRow="0" w:firstColumn="1" w:lastColumn="0" w:oddVBand="0" w:evenVBand="0" w:oddHBand="0" w:evenHBand="0" w:firstRowFirstColumn="0" w:firstRowLastColumn="0" w:lastRowFirstColumn="0" w:lastRowLastColumn="0"/>
            <w:tcW w:w="1254" w:type="dxa"/>
          </w:tcPr>
          <w:p w14:paraId="0C062494"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NT</w:t>
            </w:r>
          </w:p>
        </w:tc>
        <w:tc>
          <w:tcPr>
            <w:tcW w:w="849" w:type="dxa"/>
            <w:noWrap/>
          </w:tcPr>
          <w:p w14:paraId="62B5E894" w14:textId="1550B2F0"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15</w:t>
            </w:r>
          </w:p>
        </w:tc>
        <w:tc>
          <w:tcPr>
            <w:tcW w:w="849" w:type="dxa"/>
            <w:noWrap/>
          </w:tcPr>
          <w:p w14:paraId="77A8530C" w14:textId="53ED543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49" w:type="dxa"/>
            <w:noWrap/>
          </w:tcPr>
          <w:p w14:paraId="0F86F909" w14:textId="52C4903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15</w:t>
            </w:r>
          </w:p>
        </w:tc>
        <w:tc>
          <w:tcPr>
            <w:tcW w:w="850" w:type="dxa"/>
            <w:noWrap/>
          </w:tcPr>
          <w:p w14:paraId="480C838B" w14:textId="59DD0D01"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51</w:t>
            </w:r>
          </w:p>
        </w:tc>
        <w:tc>
          <w:tcPr>
            <w:tcW w:w="850" w:type="dxa"/>
            <w:noWrap/>
          </w:tcPr>
          <w:p w14:paraId="231F4AF5" w14:textId="1048D1B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7</w:t>
            </w:r>
          </w:p>
        </w:tc>
        <w:tc>
          <w:tcPr>
            <w:tcW w:w="850" w:type="dxa"/>
            <w:noWrap/>
          </w:tcPr>
          <w:p w14:paraId="028B5C38" w14:textId="54A1C74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58</w:t>
            </w:r>
          </w:p>
        </w:tc>
        <w:tc>
          <w:tcPr>
            <w:tcW w:w="850" w:type="dxa"/>
            <w:noWrap/>
          </w:tcPr>
          <w:p w14:paraId="375D8133" w14:textId="5D669CF3"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tcPr>
          <w:p w14:paraId="1932457E" w14:textId="449FEBE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tcPr>
          <w:p w14:paraId="38A0B396" w14:textId="462A87D0"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08165FE8" w14:textId="68A9108D"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5D69F5A9" w14:textId="38ECD0D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45023EF1" w14:textId="70144C8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023588A2" w14:textId="55C8A60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w:t>
            </w:r>
          </w:p>
        </w:tc>
        <w:tc>
          <w:tcPr>
            <w:tcW w:w="850" w:type="dxa"/>
          </w:tcPr>
          <w:p w14:paraId="5AC7639A" w14:textId="0D95D2A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2E44DFFE" w14:textId="47C00DEA"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1</w:t>
            </w:r>
          </w:p>
        </w:tc>
        <w:tc>
          <w:tcPr>
            <w:tcW w:w="736" w:type="dxa"/>
          </w:tcPr>
          <w:p w14:paraId="2351E3F9" w14:textId="2DE2A66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74</w:t>
            </w:r>
          </w:p>
        </w:tc>
      </w:tr>
      <w:tr w:rsidR="00AA5CEC" w:rsidRPr="007C747A" w14:paraId="44EF0374" w14:textId="77777777" w:rsidTr="006E7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tcPr>
          <w:p w14:paraId="794AAAFB"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External Territories</w:t>
            </w:r>
          </w:p>
        </w:tc>
        <w:tc>
          <w:tcPr>
            <w:tcW w:w="849" w:type="dxa"/>
            <w:noWrap/>
          </w:tcPr>
          <w:p w14:paraId="408E4C6E" w14:textId="6B16491B"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49" w:type="dxa"/>
            <w:noWrap/>
          </w:tcPr>
          <w:p w14:paraId="2E16EB82" w14:textId="50FF7789"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49" w:type="dxa"/>
            <w:noWrap/>
          </w:tcPr>
          <w:p w14:paraId="4055A202" w14:textId="73999DC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tcPr>
          <w:p w14:paraId="30350104" w14:textId="6747DC4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tcPr>
          <w:p w14:paraId="7C74CB91" w14:textId="4ADA4DC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tcPr>
          <w:p w14:paraId="27B28711" w14:textId="33E5EDA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tcPr>
          <w:p w14:paraId="06F467BA" w14:textId="16DA37B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noWrap/>
          </w:tcPr>
          <w:p w14:paraId="693C0829" w14:textId="4C99505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noWrap/>
          </w:tcPr>
          <w:p w14:paraId="3F11F293" w14:textId="30ABC4B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2E93B789" w14:textId="48A57EC9"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73F4DD35" w14:textId="0FFDBF9C"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13D71D50" w14:textId="14AC8E4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E8C3EA2" w14:textId="3ADBF684"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254BAC03" w14:textId="238CF7E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6312BCCA" w14:textId="72100DF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736" w:type="dxa"/>
          </w:tcPr>
          <w:p w14:paraId="60E17915" w14:textId="6CF5D3B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0</w:t>
            </w:r>
          </w:p>
        </w:tc>
      </w:tr>
      <w:tr w:rsidR="00AA5CEC" w:rsidRPr="007C747A" w14:paraId="402B7829" w14:textId="77777777" w:rsidTr="006E7D92">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20645767" w14:textId="77777777" w:rsidR="00AA5CEC" w:rsidRPr="007C747A" w:rsidRDefault="00AA5CEC" w:rsidP="00AA5CEC">
            <w:pPr>
              <w:suppressAutoHyphens/>
              <w:spacing w:before="180" w:after="60" w:line="280" w:lineRule="atLeast"/>
              <w:rPr>
                <w:rFonts w:eastAsia="Times New Roman" w:cs="Arial"/>
                <w:sz w:val="20"/>
                <w:szCs w:val="20"/>
                <w:lang w:val="en-AU" w:eastAsia="en-AU"/>
              </w:rPr>
            </w:pPr>
            <w:r w:rsidRPr="007C747A">
              <w:rPr>
                <w:rFonts w:eastAsia="Times New Roman" w:cs="Arial"/>
                <w:sz w:val="20"/>
                <w:szCs w:val="20"/>
                <w:lang w:val="en-AU" w:eastAsia="en-AU"/>
              </w:rPr>
              <w:t>Overseas</w:t>
            </w:r>
          </w:p>
        </w:tc>
        <w:tc>
          <w:tcPr>
            <w:tcW w:w="849" w:type="dxa"/>
            <w:noWrap/>
            <w:hideMark/>
          </w:tcPr>
          <w:p w14:paraId="4479D13A" w14:textId="2DC8ED47"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49" w:type="dxa"/>
            <w:noWrap/>
            <w:hideMark/>
          </w:tcPr>
          <w:p w14:paraId="105C6A80" w14:textId="10437AC3"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49" w:type="dxa"/>
            <w:noWrap/>
            <w:hideMark/>
          </w:tcPr>
          <w:p w14:paraId="446E6E77" w14:textId="07C946A3"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hideMark/>
          </w:tcPr>
          <w:p w14:paraId="5B90AD63" w14:textId="4FA78CB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hideMark/>
          </w:tcPr>
          <w:p w14:paraId="585886DB" w14:textId="69CF3155"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hideMark/>
          </w:tcPr>
          <w:p w14:paraId="573A5BDF" w14:textId="4CA481B0"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noWrap/>
            <w:hideMark/>
          </w:tcPr>
          <w:p w14:paraId="74E34B75" w14:textId="5E1027C9"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4ED2B25A" w14:textId="2CD3249C"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noWrap/>
            <w:hideMark/>
          </w:tcPr>
          <w:p w14:paraId="04110170" w14:textId="3B303F4D"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0</w:t>
            </w:r>
          </w:p>
        </w:tc>
        <w:tc>
          <w:tcPr>
            <w:tcW w:w="850" w:type="dxa"/>
          </w:tcPr>
          <w:p w14:paraId="1B70D7E4" w14:textId="44F94384"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53171421" w14:textId="299FF0ED"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376C08B6" w14:textId="77EA82FE"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0</w:t>
            </w:r>
          </w:p>
        </w:tc>
        <w:tc>
          <w:tcPr>
            <w:tcW w:w="850" w:type="dxa"/>
          </w:tcPr>
          <w:p w14:paraId="4696F5F9" w14:textId="7AB054BD"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286732B7" w14:textId="59AFCA46"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850" w:type="dxa"/>
          </w:tcPr>
          <w:p w14:paraId="1A11677B" w14:textId="47EFC3C2"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Arial" w:cs="Arial"/>
                <w:sz w:val="20"/>
                <w:szCs w:val="20"/>
                <w:lang w:val="en-AU" w:eastAsia="en-US"/>
              </w:rPr>
              <w:t>0</w:t>
            </w:r>
          </w:p>
        </w:tc>
        <w:tc>
          <w:tcPr>
            <w:tcW w:w="736" w:type="dxa"/>
          </w:tcPr>
          <w:p w14:paraId="28BB9AB9" w14:textId="5435CBA2" w:rsidR="00AA5CEC" w:rsidRPr="007C747A" w:rsidRDefault="00AA5CEC"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cs="Arial"/>
                <w:b/>
                <w:bCs/>
                <w:sz w:val="20"/>
                <w:szCs w:val="20"/>
                <w:lang w:val="en-AU" w:eastAsia="en-AU"/>
              </w:rPr>
            </w:pPr>
            <w:r w:rsidRPr="007C747A">
              <w:rPr>
                <w:rFonts w:eastAsia="Arial" w:cs="Arial"/>
                <w:b/>
                <w:bCs/>
                <w:sz w:val="20"/>
                <w:szCs w:val="20"/>
                <w:lang w:val="en-AU" w:eastAsia="en-US"/>
              </w:rPr>
              <w:t>0</w:t>
            </w:r>
          </w:p>
        </w:tc>
      </w:tr>
      <w:tr w:rsidR="00AA5CEC" w:rsidRPr="007C747A" w14:paraId="4B491E2A" w14:textId="77777777" w:rsidTr="006E7D9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tcPr>
          <w:p w14:paraId="5EAD8546" w14:textId="77777777" w:rsidR="00AA5CEC" w:rsidRPr="007C747A" w:rsidRDefault="00AA5CEC" w:rsidP="00AA5CEC">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 xml:space="preserve">Total </w:t>
            </w:r>
          </w:p>
        </w:tc>
        <w:tc>
          <w:tcPr>
            <w:tcW w:w="849" w:type="dxa"/>
            <w:noWrap/>
          </w:tcPr>
          <w:p w14:paraId="41DEBA1A" w14:textId="2ED1DDB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color w:val="000000"/>
                <w:sz w:val="20"/>
                <w:szCs w:val="20"/>
                <w:lang w:val="en-AU" w:eastAsia="en-US"/>
              </w:rPr>
              <w:t>1,281</w:t>
            </w:r>
          </w:p>
        </w:tc>
        <w:tc>
          <w:tcPr>
            <w:tcW w:w="849" w:type="dxa"/>
            <w:noWrap/>
          </w:tcPr>
          <w:p w14:paraId="189651F6" w14:textId="44349E56"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color w:val="000000"/>
                <w:sz w:val="20"/>
                <w:szCs w:val="20"/>
                <w:lang w:val="en-AU" w:eastAsia="en-US"/>
              </w:rPr>
              <w:t>71</w:t>
            </w:r>
          </w:p>
        </w:tc>
        <w:tc>
          <w:tcPr>
            <w:tcW w:w="849" w:type="dxa"/>
            <w:noWrap/>
          </w:tcPr>
          <w:p w14:paraId="59D30E07" w14:textId="31AB1AB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color w:val="000000"/>
                <w:sz w:val="20"/>
                <w:szCs w:val="20"/>
                <w:lang w:val="en-AU" w:eastAsia="en-US"/>
              </w:rPr>
              <w:t>1,352</w:t>
            </w:r>
          </w:p>
        </w:tc>
        <w:tc>
          <w:tcPr>
            <w:tcW w:w="850" w:type="dxa"/>
            <w:noWrap/>
          </w:tcPr>
          <w:p w14:paraId="10CDFD36" w14:textId="0C2BBCCA"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3,239</w:t>
            </w:r>
          </w:p>
        </w:tc>
        <w:tc>
          <w:tcPr>
            <w:tcW w:w="850" w:type="dxa"/>
            <w:noWrap/>
          </w:tcPr>
          <w:p w14:paraId="4977ABDA" w14:textId="04F6459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721</w:t>
            </w:r>
          </w:p>
        </w:tc>
        <w:tc>
          <w:tcPr>
            <w:tcW w:w="850" w:type="dxa"/>
            <w:noWrap/>
          </w:tcPr>
          <w:p w14:paraId="0F089C9F" w14:textId="76D93C4C"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3,960</w:t>
            </w:r>
          </w:p>
        </w:tc>
        <w:tc>
          <w:tcPr>
            <w:tcW w:w="850" w:type="dxa"/>
            <w:noWrap/>
          </w:tcPr>
          <w:p w14:paraId="586D2BBE" w14:textId="06EB2C85"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b/>
                <w:bCs/>
                <w:sz w:val="20"/>
                <w:szCs w:val="20"/>
                <w:lang w:val="en-AU" w:eastAsia="en-AU"/>
              </w:rPr>
              <w:t>0</w:t>
            </w:r>
          </w:p>
        </w:tc>
        <w:tc>
          <w:tcPr>
            <w:tcW w:w="850" w:type="dxa"/>
            <w:noWrap/>
          </w:tcPr>
          <w:p w14:paraId="6F3409C3" w14:textId="07179601"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b/>
                <w:bCs/>
                <w:sz w:val="20"/>
                <w:szCs w:val="20"/>
                <w:lang w:val="en-AU" w:eastAsia="en-AU"/>
              </w:rPr>
              <w:t>0</w:t>
            </w:r>
          </w:p>
        </w:tc>
        <w:tc>
          <w:tcPr>
            <w:tcW w:w="850" w:type="dxa"/>
            <w:noWrap/>
          </w:tcPr>
          <w:p w14:paraId="3A6773B4" w14:textId="2EE253D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b/>
                <w:bCs/>
                <w:sz w:val="20"/>
                <w:szCs w:val="20"/>
                <w:lang w:val="en-AU" w:eastAsia="en-AU"/>
              </w:rPr>
              <w:t>0</w:t>
            </w:r>
          </w:p>
        </w:tc>
        <w:tc>
          <w:tcPr>
            <w:tcW w:w="850" w:type="dxa"/>
          </w:tcPr>
          <w:p w14:paraId="2DCE8F97" w14:textId="3BB84BA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b/>
                <w:bCs/>
                <w:sz w:val="20"/>
                <w:szCs w:val="20"/>
                <w:lang w:val="en-AU" w:eastAsia="en-AU"/>
              </w:rPr>
              <w:t>0</w:t>
            </w:r>
          </w:p>
        </w:tc>
        <w:tc>
          <w:tcPr>
            <w:tcW w:w="850" w:type="dxa"/>
          </w:tcPr>
          <w:p w14:paraId="68676D78" w14:textId="283A537B"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b/>
                <w:bCs/>
                <w:sz w:val="20"/>
                <w:szCs w:val="20"/>
                <w:lang w:val="en-AU" w:eastAsia="en-AU"/>
              </w:rPr>
              <w:t>0</w:t>
            </w:r>
          </w:p>
        </w:tc>
        <w:tc>
          <w:tcPr>
            <w:tcW w:w="850" w:type="dxa"/>
          </w:tcPr>
          <w:p w14:paraId="62DF77B9" w14:textId="60A1500D"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b/>
                <w:bCs/>
                <w:sz w:val="20"/>
                <w:szCs w:val="20"/>
                <w:lang w:val="en-AU" w:eastAsia="en-AU"/>
              </w:rPr>
              <w:t>0</w:t>
            </w:r>
          </w:p>
        </w:tc>
        <w:tc>
          <w:tcPr>
            <w:tcW w:w="850" w:type="dxa"/>
          </w:tcPr>
          <w:p w14:paraId="3200D9F6" w14:textId="2788EFAC"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15</w:t>
            </w:r>
          </w:p>
        </w:tc>
        <w:tc>
          <w:tcPr>
            <w:tcW w:w="850" w:type="dxa"/>
          </w:tcPr>
          <w:p w14:paraId="65B67F77" w14:textId="4B5F5102"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1</w:t>
            </w:r>
          </w:p>
        </w:tc>
        <w:tc>
          <w:tcPr>
            <w:tcW w:w="850" w:type="dxa"/>
          </w:tcPr>
          <w:p w14:paraId="2544F4EA" w14:textId="22B3840F"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16</w:t>
            </w:r>
          </w:p>
        </w:tc>
        <w:tc>
          <w:tcPr>
            <w:tcW w:w="736" w:type="dxa"/>
          </w:tcPr>
          <w:p w14:paraId="61747213" w14:textId="5BDDEE1E" w:rsidR="00AA5CEC" w:rsidRPr="007C747A" w:rsidRDefault="00AA5CEC"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b/>
                <w:bCs/>
                <w:sz w:val="20"/>
                <w:szCs w:val="20"/>
                <w:lang w:val="en-AU" w:eastAsia="en-US"/>
              </w:rPr>
              <w:t>5,328</w:t>
            </w:r>
          </w:p>
        </w:tc>
      </w:tr>
      <w:bookmarkEnd w:id="772"/>
    </w:tbl>
    <w:p w14:paraId="57573B7C" w14:textId="77777777" w:rsidR="006E7D92" w:rsidRPr="007C747A" w:rsidRDefault="006E7D92">
      <w:pPr>
        <w:spacing w:after="0" w:line="240" w:lineRule="auto"/>
        <w:rPr>
          <w:lang w:val="en-AU"/>
        </w:rPr>
        <w:sectPr w:rsidR="006E7D92" w:rsidRPr="007C747A" w:rsidSect="00DB1E26">
          <w:headerReference w:type="first" r:id="rId68"/>
          <w:pgSz w:w="16840" w:h="11907" w:orient="landscape" w:code="9"/>
          <w:pgMar w:top="284" w:right="720" w:bottom="284" w:left="1440" w:header="57" w:footer="0" w:gutter="0"/>
          <w:cols w:space="708"/>
          <w:titlePg/>
          <w:docGrid w:linePitch="360"/>
        </w:sectPr>
      </w:pPr>
    </w:p>
    <w:p w14:paraId="7A86D671" w14:textId="77777777" w:rsidR="00AE4B27" w:rsidRPr="007C747A" w:rsidRDefault="00AE4B27" w:rsidP="001A0235">
      <w:pPr>
        <w:pStyle w:val="Heading43"/>
        <w:ind w:left="0"/>
      </w:pPr>
      <w:r w:rsidRPr="007C747A">
        <w:t>Table 6.4B: All non-ongoing employees current reporting period (2022–23)</w:t>
      </w:r>
    </w:p>
    <w:tbl>
      <w:tblPr>
        <w:tblStyle w:val="GridTable2-Accent312"/>
        <w:tblW w:w="14737" w:type="dxa"/>
        <w:tblLayout w:type="fixed"/>
        <w:tblLook w:val="04A0" w:firstRow="1" w:lastRow="0" w:firstColumn="1" w:lastColumn="0" w:noHBand="0" w:noVBand="1"/>
      </w:tblPr>
      <w:tblGrid>
        <w:gridCol w:w="1254"/>
        <w:gridCol w:w="849"/>
        <w:gridCol w:w="849"/>
        <w:gridCol w:w="849"/>
        <w:gridCol w:w="850"/>
        <w:gridCol w:w="850"/>
        <w:gridCol w:w="850"/>
        <w:gridCol w:w="850"/>
        <w:gridCol w:w="850"/>
        <w:gridCol w:w="850"/>
        <w:gridCol w:w="850"/>
        <w:gridCol w:w="850"/>
        <w:gridCol w:w="850"/>
        <w:gridCol w:w="850"/>
        <w:gridCol w:w="850"/>
        <w:gridCol w:w="850"/>
        <w:gridCol w:w="736"/>
      </w:tblGrid>
      <w:tr w:rsidR="00384FD2" w:rsidRPr="007C747A" w14:paraId="059E88D9" w14:textId="77777777" w:rsidTr="00AF7482">
        <w:trPr>
          <w:cnfStyle w:val="100000000000" w:firstRow="1" w:lastRow="0" w:firstColumn="0" w:lastColumn="0" w:oddVBand="0" w:evenVBand="0" w:oddHBand="0" w:evenHBand="0" w:firstRowFirstColumn="0" w:firstRowLastColumn="0" w:lastRowFirstColumn="0" w:lastRowLastColumn="0"/>
          <w:cantSplit/>
          <w:trHeight w:hRule="exact" w:val="2268"/>
          <w:tblHead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noWrap/>
            <w:textDirection w:val="btLr"/>
            <w:hideMark/>
          </w:tcPr>
          <w:p w14:paraId="3C9933E7" w14:textId="2EB471C8" w:rsidR="00384FD2" w:rsidRPr="007C747A" w:rsidRDefault="005C3EC4" w:rsidP="00806BD0">
            <w:pPr>
              <w:suppressAutoHyphens/>
              <w:spacing w:before="180" w:after="60" w:line="240" w:lineRule="auto"/>
              <w:ind w:left="113" w:right="113"/>
              <w:rPr>
                <w:rFonts w:eastAsia="Times New Roman" w:cs="Arial"/>
                <w:b w:val="0"/>
                <w:bCs w:val="0"/>
                <w:sz w:val="20"/>
                <w:szCs w:val="20"/>
                <w:lang w:val="en-AU" w:eastAsia="en-AU"/>
              </w:rPr>
            </w:pPr>
            <w:r w:rsidRPr="007C747A">
              <w:rPr>
                <w:rFonts w:eastAsia="Times New Roman" w:cs="Arial"/>
                <w:color w:val="6B2876" w:themeColor="accent1"/>
                <w:sz w:val="20"/>
                <w:szCs w:val="20"/>
                <w:lang w:val="en-AU" w:eastAsia="en-AU"/>
              </w:rPr>
              <w:t>Blank</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noWrap/>
            <w:textDirection w:val="btLr"/>
            <w:hideMark/>
          </w:tcPr>
          <w:p w14:paraId="41F6D62D" w14:textId="545C76CC" w:rsidR="00384FD2" w:rsidRPr="007C747A" w:rsidRDefault="00EF16EF"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Male</w:t>
            </w:r>
            <w:r w:rsidR="00384FD2" w:rsidRPr="007C747A">
              <w:rPr>
                <w:rFonts w:eastAsia="Times New Roman" w:cs="Arial"/>
                <w:sz w:val="20"/>
                <w:szCs w:val="20"/>
                <w:lang w:val="en-AU" w:eastAsia="en-AU"/>
              </w:rPr>
              <w:t xml:space="preserve"> Full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A6EA289" w14:textId="5C550048" w:rsidR="00384FD2" w:rsidRPr="007C747A" w:rsidRDefault="00EF16EF"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b w:val="0"/>
                <w:bCs w:val="0"/>
                <w:sz w:val="20"/>
                <w:szCs w:val="20"/>
                <w:lang w:val="en-AU" w:eastAsia="en-AU"/>
              </w:rPr>
              <w:t>Male</w:t>
            </w:r>
            <w:r w:rsidR="00384FD2" w:rsidRPr="007C747A">
              <w:rPr>
                <w:rFonts w:eastAsia="Times New Roman" w:cs="Arial"/>
                <w:sz w:val="20"/>
                <w:szCs w:val="20"/>
                <w:lang w:val="en-AU" w:eastAsia="en-AU"/>
              </w:rPr>
              <w:t xml:space="preserve"> Part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25BF84F" w14:textId="7958D681" w:rsidR="00384FD2" w:rsidRPr="007C747A" w:rsidRDefault="00EF16EF"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b w:val="0"/>
                <w:bCs w:val="0"/>
                <w:sz w:val="20"/>
                <w:szCs w:val="20"/>
                <w:lang w:val="en-AU" w:eastAsia="en-AU"/>
              </w:rPr>
              <w:t>Male</w:t>
            </w:r>
            <w:r w:rsidR="00384FD2" w:rsidRPr="007C747A">
              <w:rPr>
                <w:rFonts w:eastAsia="Times New Roman" w:cs="Arial"/>
                <w:sz w:val="20"/>
                <w:szCs w:val="20"/>
                <w:lang w:val="en-AU" w:eastAsia="en-AU"/>
              </w:rPr>
              <w:t xml:space="preserve"> Total </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noWrap/>
            <w:textDirection w:val="btLr"/>
            <w:hideMark/>
          </w:tcPr>
          <w:p w14:paraId="3D51BAD4" w14:textId="605CADF0" w:rsidR="00384FD2" w:rsidRPr="007C747A" w:rsidRDefault="00EF16EF"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Female</w:t>
            </w:r>
            <w:r w:rsidR="005B3040" w:rsidRPr="007C747A">
              <w:rPr>
                <w:rFonts w:eastAsia="Times New Roman" w:cs="Arial"/>
                <w:b w:val="0"/>
                <w:bCs w:val="0"/>
                <w:sz w:val="20"/>
                <w:szCs w:val="20"/>
                <w:lang w:val="en-AU" w:eastAsia="en-AU"/>
              </w:rPr>
              <w:t xml:space="preserve"> </w:t>
            </w:r>
            <w:r w:rsidR="00384FD2" w:rsidRPr="007C747A">
              <w:rPr>
                <w:rFonts w:eastAsia="Times New Roman" w:cs="Arial"/>
                <w:sz w:val="20"/>
                <w:szCs w:val="20"/>
                <w:lang w:val="en-AU" w:eastAsia="en-AU"/>
              </w:rPr>
              <w:t>Full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3791F7A" w14:textId="45D53E49" w:rsidR="00384FD2" w:rsidRPr="007C747A" w:rsidRDefault="00EF16EF"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Female</w:t>
            </w:r>
            <w:r w:rsidR="00384FD2" w:rsidRPr="007C747A">
              <w:rPr>
                <w:rFonts w:eastAsia="Times New Roman" w:cs="Arial"/>
                <w:sz w:val="20"/>
                <w:szCs w:val="20"/>
                <w:lang w:val="en-AU" w:eastAsia="en-AU"/>
              </w:rPr>
              <w:t xml:space="preserve"> Part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8B9313C" w14:textId="0DAF069A" w:rsidR="00384FD2" w:rsidRPr="007C747A" w:rsidRDefault="00EF16EF"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Female</w:t>
            </w:r>
            <w:r w:rsidR="00384FD2" w:rsidRPr="007C747A">
              <w:rPr>
                <w:rFonts w:eastAsia="Times New Roman" w:cs="Arial"/>
                <w:sz w:val="20"/>
                <w:szCs w:val="20"/>
                <w:lang w:val="en-AU" w:eastAsia="en-AU"/>
              </w:rPr>
              <w:t xml:space="preserve"> Total </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noWrap/>
            <w:textDirection w:val="btLr"/>
            <w:hideMark/>
          </w:tcPr>
          <w:p w14:paraId="53A2A130"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Non-binary Full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10E98D6"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Non-binary Part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480A20E2"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xml:space="preserve">Non binary Total </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479C6175"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Prefers not to answer Full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55399CC"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Prefers not to answer Part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3400E37"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xml:space="preserve">Prefers not to answer Total </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4B6E050F"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Uses different term Full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6C4E951"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val="en-AU" w:eastAsia="en-AU"/>
              </w:rPr>
            </w:pPr>
            <w:r w:rsidRPr="007C747A">
              <w:rPr>
                <w:rFonts w:eastAsia="Times New Roman" w:cs="Arial"/>
                <w:sz w:val="20"/>
                <w:szCs w:val="20"/>
                <w:lang w:val="en-AU" w:eastAsia="en-AU"/>
              </w:rPr>
              <w:t>Uses different term Part time</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B37A33D"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 xml:space="preserve">Uses different term Total </w:t>
            </w:r>
          </w:p>
        </w:tc>
        <w:tc>
          <w:tcPr>
            <w:tcW w:w="0"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07E3AB3" w14:textId="77777777" w:rsidR="00384FD2" w:rsidRPr="007C747A" w:rsidRDefault="00384FD2" w:rsidP="00806BD0">
            <w:pPr>
              <w:suppressAutoHyphens/>
              <w:spacing w:before="180" w:after="6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val="en-AU" w:eastAsia="en-AU"/>
              </w:rPr>
            </w:pPr>
            <w:r w:rsidRPr="007C747A">
              <w:rPr>
                <w:rFonts w:eastAsia="Times New Roman" w:cs="Arial"/>
                <w:sz w:val="20"/>
                <w:szCs w:val="20"/>
                <w:lang w:val="en-AU" w:eastAsia="en-AU"/>
              </w:rPr>
              <w:t>Total</w:t>
            </w:r>
          </w:p>
        </w:tc>
      </w:tr>
      <w:tr w:rsidR="00FE4D96" w:rsidRPr="007C747A" w14:paraId="39C8AAEC" w14:textId="77777777" w:rsidTr="00AF748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tcBorders>
              <w:top w:val="single" w:sz="4" w:space="0" w:color="F9FAF9" w:themeColor="background2"/>
            </w:tcBorders>
            <w:hideMark/>
          </w:tcPr>
          <w:p w14:paraId="7D368300"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NSW</w:t>
            </w:r>
          </w:p>
        </w:tc>
        <w:tc>
          <w:tcPr>
            <w:tcW w:w="849" w:type="dxa"/>
            <w:tcBorders>
              <w:top w:val="single" w:sz="4" w:space="0" w:color="F9FAF9" w:themeColor="background2"/>
            </w:tcBorders>
            <w:noWrap/>
          </w:tcPr>
          <w:p w14:paraId="2F4C9601" w14:textId="0513760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15</w:t>
            </w:r>
          </w:p>
        </w:tc>
        <w:tc>
          <w:tcPr>
            <w:tcW w:w="849" w:type="dxa"/>
            <w:tcBorders>
              <w:top w:val="single" w:sz="4" w:space="0" w:color="F9FAF9" w:themeColor="background2"/>
            </w:tcBorders>
            <w:noWrap/>
            <w:hideMark/>
          </w:tcPr>
          <w:p w14:paraId="282379B5" w14:textId="56A3C6E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w:t>
            </w:r>
          </w:p>
        </w:tc>
        <w:tc>
          <w:tcPr>
            <w:tcW w:w="849" w:type="dxa"/>
            <w:tcBorders>
              <w:top w:val="single" w:sz="4" w:space="0" w:color="F9FAF9" w:themeColor="background2"/>
            </w:tcBorders>
            <w:noWrap/>
            <w:hideMark/>
          </w:tcPr>
          <w:p w14:paraId="7400EA52" w14:textId="641370E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17</w:t>
            </w:r>
          </w:p>
        </w:tc>
        <w:tc>
          <w:tcPr>
            <w:tcW w:w="850" w:type="dxa"/>
            <w:tcBorders>
              <w:top w:val="single" w:sz="4" w:space="0" w:color="F9FAF9" w:themeColor="background2"/>
            </w:tcBorders>
            <w:noWrap/>
            <w:hideMark/>
          </w:tcPr>
          <w:p w14:paraId="622A3643" w14:textId="58DE281A"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28</w:t>
            </w:r>
          </w:p>
        </w:tc>
        <w:tc>
          <w:tcPr>
            <w:tcW w:w="850" w:type="dxa"/>
            <w:tcBorders>
              <w:top w:val="single" w:sz="4" w:space="0" w:color="F9FAF9" w:themeColor="background2"/>
            </w:tcBorders>
            <w:noWrap/>
            <w:hideMark/>
          </w:tcPr>
          <w:p w14:paraId="08708687" w14:textId="5DB5486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tcBorders>
              <w:top w:val="single" w:sz="4" w:space="0" w:color="F9FAF9" w:themeColor="background2"/>
            </w:tcBorders>
            <w:noWrap/>
            <w:hideMark/>
          </w:tcPr>
          <w:p w14:paraId="5FE5A8E1" w14:textId="0EA7AB4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29</w:t>
            </w:r>
          </w:p>
        </w:tc>
        <w:tc>
          <w:tcPr>
            <w:tcW w:w="850" w:type="dxa"/>
            <w:tcBorders>
              <w:top w:val="single" w:sz="4" w:space="0" w:color="F9FAF9" w:themeColor="background2"/>
            </w:tcBorders>
            <w:noWrap/>
            <w:hideMark/>
          </w:tcPr>
          <w:p w14:paraId="088CB6A7" w14:textId="51619E8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AF9" w:themeColor="background2"/>
            </w:tcBorders>
            <w:noWrap/>
            <w:hideMark/>
          </w:tcPr>
          <w:p w14:paraId="1947E243" w14:textId="290C5B12"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AF9" w:themeColor="background2"/>
            </w:tcBorders>
            <w:noWrap/>
            <w:hideMark/>
          </w:tcPr>
          <w:p w14:paraId="75BFE3A7" w14:textId="5A0E7ED4"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AF9" w:themeColor="background2"/>
            </w:tcBorders>
          </w:tcPr>
          <w:p w14:paraId="5D8D6A2A" w14:textId="79247B2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AF9" w:themeColor="background2"/>
            </w:tcBorders>
          </w:tcPr>
          <w:p w14:paraId="152EA7B3" w14:textId="079690B2"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AF9" w:themeColor="background2"/>
            </w:tcBorders>
          </w:tcPr>
          <w:p w14:paraId="39E43AB8" w14:textId="3639AF3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Borders>
              <w:top w:val="single" w:sz="4" w:space="0" w:color="F9FAF9" w:themeColor="background2"/>
            </w:tcBorders>
          </w:tcPr>
          <w:p w14:paraId="03AD83A2" w14:textId="5E04A84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Borders>
              <w:top w:val="single" w:sz="4" w:space="0" w:color="F9FAF9" w:themeColor="background2"/>
            </w:tcBorders>
          </w:tcPr>
          <w:p w14:paraId="329F88B6" w14:textId="73B97673"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Borders>
              <w:top w:val="single" w:sz="4" w:space="0" w:color="F9FAF9" w:themeColor="background2"/>
            </w:tcBorders>
          </w:tcPr>
          <w:p w14:paraId="2D4C8410" w14:textId="2D0209D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Borders>
              <w:top w:val="single" w:sz="4" w:space="0" w:color="F9FAF9" w:themeColor="background2"/>
            </w:tcBorders>
          </w:tcPr>
          <w:p w14:paraId="6B731A66" w14:textId="42417FA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46</w:t>
            </w:r>
          </w:p>
        </w:tc>
      </w:tr>
      <w:tr w:rsidR="00FE4D96" w:rsidRPr="007C747A" w14:paraId="7D97702F" w14:textId="77777777" w:rsidTr="00AE4B27">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625200EA"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Qld</w:t>
            </w:r>
          </w:p>
        </w:tc>
        <w:tc>
          <w:tcPr>
            <w:tcW w:w="849" w:type="dxa"/>
            <w:noWrap/>
          </w:tcPr>
          <w:p w14:paraId="7EFA0166" w14:textId="65CB5374"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15</w:t>
            </w:r>
          </w:p>
        </w:tc>
        <w:tc>
          <w:tcPr>
            <w:tcW w:w="849" w:type="dxa"/>
            <w:noWrap/>
            <w:hideMark/>
          </w:tcPr>
          <w:p w14:paraId="58149193" w14:textId="444D79E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49" w:type="dxa"/>
            <w:noWrap/>
            <w:hideMark/>
          </w:tcPr>
          <w:p w14:paraId="2821A76B" w14:textId="6B4AA14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16</w:t>
            </w:r>
          </w:p>
        </w:tc>
        <w:tc>
          <w:tcPr>
            <w:tcW w:w="850" w:type="dxa"/>
            <w:noWrap/>
            <w:hideMark/>
          </w:tcPr>
          <w:p w14:paraId="2E2086BE" w14:textId="291A257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70</w:t>
            </w:r>
          </w:p>
        </w:tc>
        <w:tc>
          <w:tcPr>
            <w:tcW w:w="850" w:type="dxa"/>
            <w:noWrap/>
            <w:hideMark/>
          </w:tcPr>
          <w:p w14:paraId="30DDFCD1" w14:textId="6B1D209F"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5</w:t>
            </w:r>
          </w:p>
        </w:tc>
        <w:tc>
          <w:tcPr>
            <w:tcW w:w="850" w:type="dxa"/>
            <w:noWrap/>
            <w:hideMark/>
          </w:tcPr>
          <w:p w14:paraId="4F38B6F1" w14:textId="57796966"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75</w:t>
            </w:r>
          </w:p>
        </w:tc>
        <w:tc>
          <w:tcPr>
            <w:tcW w:w="850" w:type="dxa"/>
            <w:noWrap/>
            <w:hideMark/>
          </w:tcPr>
          <w:p w14:paraId="4DCF0D4C" w14:textId="67CD4EC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noWrap/>
            <w:hideMark/>
          </w:tcPr>
          <w:p w14:paraId="1B3DFCF8" w14:textId="4A5461F7"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noWrap/>
            <w:hideMark/>
          </w:tcPr>
          <w:p w14:paraId="341E8033" w14:textId="223F1E9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tcPr>
          <w:p w14:paraId="1128F0A8" w14:textId="6A865DBA"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6AA5257C" w14:textId="3FC6899A"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5C9BF8B0" w14:textId="3E99BB67"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66A04E54" w14:textId="2AB72BD2"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2EE9D6EA" w14:textId="5018E31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5BE6A626" w14:textId="65CDC8D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3A80E329" w14:textId="229EE33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91</w:t>
            </w:r>
          </w:p>
        </w:tc>
      </w:tr>
      <w:tr w:rsidR="00FE4D96" w:rsidRPr="007C747A" w14:paraId="5F8DD90D" w14:textId="77777777" w:rsidTr="00AE4B2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35B7C88A"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SA</w:t>
            </w:r>
          </w:p>
        </w:tc>
        <w:tc>
          <w:tcPr>
            <w:tcW w:w="849" w:type="dxa"/>
            <w:noWrap/>
            <w:hideMark/>
          </w:tcPr>
          <w:p w14:paraId="66952D92" w14:textId="44802354"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5</w:t>
            </w:r>
          </w:p>
        </w:tc>
        <w:tc>
          <w:tcPr>
            <w:tcW w:w="849" w:type="dxa"/>
            <w:noWrap/>
            <w:hideMark/>
          </w:tcPr>
          <w:p w14:paraId="04023945" w14:textId="02D81FA4"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hideMark/>
          </w:tcPr>
          <w:p w14:paraId="645BCFE0" w14:textId="38428D0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5</w:t>
            </w:r>
          </w:p>
        </w:tc>
        <w:tc>
          <w:tcPr>
            <w:tcW w:w="850" w:type="dxa"/>
            <w:noWrap/>
            <w:hideMark/>
          </w:tcPr>
          <w:p w14:paraId="3142ACFA" w14:textId="6C2A0796"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7</w:t>
            </w:r>
          </w:p>
        </w:tc>
        <w:tc>
          <w:tcPr>
            <w:tcW w:w="850" w:type="dxa"/>
            <w:noWrap/>
            <w:hideMark/>
          </w:tcPr>
          <w:p w14:paraId="65F2BC2C" w14:textId="2371EA7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noWrap/>
            <w:hideMark/>
          </w:tcPr>
          <w:p w14:paraId="2C29DD85" w14:textId="643DDE4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8</w:t>
            </w:r>
          </w:p>
        </w:tc>
        <w:tc>
          <w:tcPr>
            <w:tcW w:w="850" w:type="dxa"/>
            <w:noWrap/>
            <w:hideMark/>
          </w:tcPr>
          <w:p w14:paraId="5D24029E" w14:textId="34854952"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4985564B" w14:textId="785AAE7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1B4C4E7E" w14:textId="49E43013"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596C0A0B" w14:textId="521513C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20CA32C5" w14:textId="0DA3BE9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080A8331" w14:textId="5DD25FEB"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16579731" w14:textId="6AB6B0C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394FE29B" w14:textId="7DA7DC03"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48B529CD" w14:textId="2BB0619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691180FA" w14:textId="289DAE0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13</w:t>
            </w:r>
          </w:p>
        </w:tc>
      </w:tr>
      <w:tr w:rsidR="00FE4D96" w:rsidRPr="007C747A" w14:paraId="7FDA2EEB" w14:textId="77777777" w:rsidTr="00AE4B27">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5FCCA695"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Tas</w:t>
            </w:r>
          </w:p>
        </w:tc>
        <w:tc>
          <w:tcPr>
            <w:tcW w:w="849" w:type="dxa"/>
            <w:noWrap/>
            <w:hideMark/>
          </w:tcPr>
          <w:p w14:paraId="491F7A52" w14:textId="442B501D"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49" w:type="dxa"/>
            <w:noWrap/>
            <w:hideMark/>
          </w:tcPr>
          <w:p w14:paraId="57A46D9C" w14:textId="4CAD3A22"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hideMark/>
          </w:tcPr>
          <w:p w14:paraId="5A0DE0FF" w14:textId="2C9BFCC6"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noWrap/>
            <w:hideMark/>
          </w:tcPr>
          <w:p w14:paraId="617D82FB" w14:textId="773D0A46"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hideMark/>
          </w:tcPr>
          <w:p w14:paraId="2716CA0D" w14:textId="7BC0112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noWrap/>
            <w:hideMark/>
          </w:tcPr>
          <w:p w14:paraId="305219A8" w14:textId="125F94A3"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noWrap/>
            <w:hideMark/>
          </w:tcPr>
          <w:p w14:paraId="58AF2011" w14:textId="77D5E7FC"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516E0471" w14:textId="6431A64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04AD3BD8" w14:textId="5FC4FC2F"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04DD8A51" w14:textId="230B83B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420FE56C" w14:textId="0BC9123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76E12936" w14:textId="3BCCC92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36F6F9AC" w14:textId="3A4DE311"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3BD51B78" w14:textId="590CCD5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798B9837" w14:textId="5B2EEF27"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7B5B7D13" w14:textId="329995D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2</w:t>
            </w:r>
          </w:p>
        </w:tc>
      </w:tr>
      <w:tr w:rsidR="00FE4D96" w:rsidRPr="007C747A" w14:paraId="128BFB86" w14:textId="77777777" w:rsidTr="00AE4B2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7046F8A9"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Vic</w:t>
            </w:r>
          </w:p>
        </w:tc>
        <w:tc>
          <w:tcPr>
            <w:tcW w:w="849" w:type="dxa"/>
            <w:noWrap/>
            <w:hideMark/>
          </w:tcPr>
          <w:p w14:paraId="6DBE5F02" w14:textId="4917324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29</w:t>
            </w:r>
          </w:p>
        </w:tc>
        <w:tc>
          <w:tcPr>
            <w:tcW w:w="849" w:type="dxa"/>
            <w:noWrap/>
            <w:hideMark/>
          </w:tcPr>
          <w:p w14:paraId="3B4FB40E" w14:textId="19F186D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w:t>
            </w:r>
          </w:p>
        </w:tc>
        <w:tc>
          <w:tcPr>
            <w:tcW w:w="849" w:type="dxa"/>
            <w:noWrap/>
            <w:hideMark/>
          </w:tcPr>
          <w:p w14:paraId="7BBB5F50" w14:textId="61CEE243"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31</w:t>
            </w:r>
          </w:p>
        </w:tc>
        <w:tc>
          <w:tcPr>
            <w:tcW w:w="850" w:type="dxa"/>
            <w:noWrap/>
            <w:hideMark/>
          </w:tcPr>
          <w:p w14:paraId="5E448549" w14:textId="58CAFD5A"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74</w:t>
            </w:r>
          </w:p>
        </w:tc>
        <w:tc>
          <w:tcPr>
            <w:tcW w:w="850" w:type="dxa"/>
            <w:noWrap/>
            <w:hideMark/>
          </w:tcPr>
          <w:p w14:paraId="05BA19DD" w14:textId="7E665DC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7</w:t>
            </w:r>
          </w:p>
        </w:tc>
        <w:tc>
          <w:tcPr>
            <w:tcW w:w="850" w:type="dxa"/>
            <w:noWrap/>
            <w:hideMark/>
          </w:tcPr>
          <w:p w14:paraId="4F7EECAE" w14:textId="38298832"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81</w:t>
            </w:r>
          </w:p>
        </w:tc>
        <w:tc>
          <w:tcPr>
            <w:tcW w:w="850" w:type="dxa"/>
            <w:noWrap/>
            <w:hideMark/>
          </w:tcPr>
          <w:p w14:paraId="534AAE4B" w14:textId="2C5AB06B"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730D6057" w14:textId="2E2ED2F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6335D56D" w14:textId="555F0166"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23499F20" w14:textId="38C59972"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5A6A5103" w14:textId="0F9C79C4"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3BB2B762" w14:textId="00F81565"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5231F587" w14:textId="48597837"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4</w:t>
            </w:r>
          </w:p>
        </w:tc>
        <w:tc>
          <w:tcPr>
            <w:tcW w:w="850" w:type="dxa"/>
          </w:tcPr>
          <w:p w14:paraId="61A52E75" w14:textId="2B65BC7C"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18F4265B" w14:textId="78FCB29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4</w:t>
            </w:r>
          </w:p>
        </w:tc>
        <w:tc>
          <w:tcPr>
            <w:tcW w:w="736" w:type="dxa"/>
          </w:tcPr>
          <w:p w14:paraId="69704174" w14:textId="115B567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116</w:t>
            </w:r>
          </w:p>
        </w:tc>
      </w:tr>
      <w:tr w:rsidR="00FE4D96" w:rsidRPr="007C747A" w14:paraId="487C1E17" w14:textId="77777777" w:rsidTr="00AE4B27">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1F3D0B3D"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WA</w:t>
            </w:r>
          </w:p>
        </w:tc>
        <w:tc>
          <w:tcPr>
            <w:tcW w:w="849" w:type="dxa"/>
            <w:noWrap/>
            <w:hideMark/>
          </w:tcPr>
          <w:p w14:paraId="03E4E88C" w14:textId="7811F650"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5</w:t>
            </w:r>
          </w:p>
        </w:tc>
        <w:tc>
          <w:tcPr>
            <w:tcW w:w="849" w:type="dxa"/>
            <w:noWrap/>
            <w:hideMark/>
          </w:tcPr>
          <w:p w14:paraId="7FB9FDF9" w14:textId="64235365"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hideMark/>
          </w:tcPr>
          <w:p w14:paraId="1D5145BA" w14:textId="3A433F1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5</w:t>
            </w:r>
          </w:p>
        </w:tc>
        <w:tc>
          <w:tcPr>
            <w:tcW w:w="850" w:type="dxa"/>
            <w:noWrap/>
            <w:hideMark/>
          </w:tcPr>
          <w:p w14:paraId="51ECA53E" w14:textId="40D8BA7D"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21</w:t>
            </w:r>
          </w:p>
        </w:tc>
        <w:tc>
          <w:tcPr>
            <w:tcW w:w="850" w:type="dxa"/>
            <w:noWrap/>
            <w:hideMark/>
          </w:tcPr>
          <w:p w14:paraId="7E8C2FF5" w14:textId="5577126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noWrap/>
            <w:hideMark/>
          </w:tcPr>
          <w:p w14:paraId="6318D48B" w14:textId="540A77E0"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22</w:t>
            </w:r>
          </w:p>
        </w:tc>
        <w:tc>
          <w:tcPr>
            <w:tcW w:w="850" w:type="dxa"/>
            <w:noWrap/>
            <w:hideMark/>
          </w:tcPr>
          <w:p w14:paraId="4A9ED327" w14:textId="30A5A085"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4A176645" w14:textId="5D0BE77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7EBB3C81" w14:textId="2CBC395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700D2017" w14:textId="4BF1A344"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4294FCAE" w14:textId="1011328F"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68AE6F75" w14:textId="7ECD5D0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06F6C9F4" w14:textId="2776E7E1"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44AE3F13" w14:textId="17AA72D7"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6BB6A6E6" w14:textId="01045C41"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592DAE14" w14:textId="1F53DB4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27</w:t>
            </w:r>
          </w:p>
        </w:tc>
      </w:tr>
      <w:tr w:rsidR="00FE4D96" w:rsidRPr="007C747A" w14:paraId="4917E42B" w14:textId="77777777" w:rsidTr="00AE4B2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5C9B369D"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ACT</w:t>
            </w:r>
          </w:p>
        </w:tc>
        <w:tc>
          <w:tcPr>
            <w:tcW w:w="849" w:type="dxa"/>
            <w:noWrap/>
            <w:hideMark/>
          </w:tcPr>
          <w:p w14:paraId="498B1235" w14:textId="6F10902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4</w:t>
            </w:r>
          </w:p>
        </w:tc>
        <w:tc>
          <w:tcPr>
            <w:tcW w:w="849" w:type="dxa"/>
            <w:noWrap/>
            <w:hideMark/>
          </w:tcPr>
          <w:p w14:paraId="774647AD" w14:textId="69763D0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hideMark/>
          </w:tcPr>
          <w:p w14:paraId="5E38C28A" w14:textId="78113C7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4</w:t>
            </w:r>
          </w:p>
        </w:tc>
        <w:tc>
          <w:tcPr>
            <w:tcW w:w="850" w:type="dxa"/>
            <w:noWrap/>
            <w:hideMark/>
          </w:tcPr>
          <w:p w14:paraId="428C0A5D" w14:textId="4848ACA4"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9</w:t>
            </w:r>
          </w:p>
        </w:tc>
        <w:tc>
          <w:tcPr>
            <w:tcW w:w="850" w:type="dxa"/>
            <w:noWrap/>
            <w:hideMark/>
          </w:tcPr>
          <w:p w14:paraId="117670A6" w14:textId="2713F78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w:t>
            </w:r>
          </w:p>
        </w:tc>
        <w:tc>
          <w:tcPr>
            <w:tcW w:w="850" w:type="dxa"/>
            <w:noWrap/>
            <w:hideMark/>
          </w:tcPr>
          <w:p w14:paraId="07CC4223" w14:textId="440AE73B"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10</w:t>
            </w:r>
          </w:p>
        </w:tc>
        <w:tc>
          <w:tcPr>
            <w:tcW w:w="850" w:type="dxa"/>
            <w:noWrap/>
            <w:hideMark/>
          </w:tcPr>
          <w:p w14:paraId="4211E42C" w14:textId="71559454"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436B5350" w14:textId="7B2848C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0767EA0D" w14:textId="537E156C"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388A9ADD" w14:textId="2708C38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3863D538" w14:textId="1642C09B"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68F7A360" w14:textId="19E3BF9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7F439880" w14:textId="513AEAE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5F3E65A7" w14:textId="5C52D6AB"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77CE9AF2" w14:textId="710238C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4C1B299A" w14:textId="7D49489D"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14</w:t>
            </w:r>
          </w:p>
        </w:tc>
      </w:tr>
      <w:tr w:rsidR="00FE4D96" w:rsidRPr="007C747A" w14:paraId="40CB6A8C" w14:textId="77777777" w:rsidTr="00AE4B27">
        <w:trPr>
          <w:trHeight w:val="315"/>
        </w:trPr>
        <w:tc>
          <w:tcPr>
            <w:cnfStyle w:val="001000000000" w:firstRow="0" w:lastRow="0" w:firstColumn="1" w:lastColumn="0" w:oddVBand="0" w:evenVBand="0" w:oddHBand="0" w:evenHBand="0" w:firstRowFirstColumn="0" w:firstRowLastColumn="0" w:lastRowFirstColumn="0" w:lastRowLastColumn="0"/>
            <w:tcW w:w="1254" w:type="dxa"/>
          </w:tcPr>
          <w:p w14:paraId="34991CB0"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NT</w:t>
            </w:r>
          </w:p>
        </w:tc>
        <w:tc>
          <w:tcPr>
            <w:tcW w:w="849" w:type="dxa"/>
            <w:noWrap/>
          </w:tcPr>
          <w:p w14:paraId="70EE6852" w14:textId="7F73A7E4"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4</w:t>
            </w:r>
          </w:p>
        </w:tc>
        <w:tc>
          <w:tcPr>
            <w:tcW w:w="849" w:type="dxa"/>
            <w:noWrap/>
          </w:tcPr>
          <w:p w14:paraId="05251092" w14:textId="12FCD595"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tcPr>
          <w:p w14:paraId="79F97166" w14:textId="089A836F"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4</w:t>
            </w:r>
          </w:p>
        </w:tc>
        <w:tc>
          <w:tcPr>
            <w:tcW w:w="850" w:type="dxa"/>
            <w:noWrap/>
          </w:tcPr>
          <w:p w14:paraId="71805761" w14:textId="2AB0E5AF"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11</w:t>
            </w:r>
          </w:p>
        </w:tc>
        <w:tc>
          <w:tcPr>
            <w:tcW w:w="850" w:type="dxa"/>
            <w:noWrap/>
          </w:tcPr>
          <w:p w14:paraId="63A511DB" w14:textId="5F68326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tcPr>
          <w:p w14:paraId="4EAAF4DF" w14:textId="3B638738"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11</w:t>
            </w:r>
          </w:p>
        </w:tc>
        <w:tc>
          <w:tcPr>
            <w:tcW w:w="850" w:type="dxa"/>
            <w:noWrap/>
          </w:tcPr>
          <w:p w14:paraId="0F80E196" w14:textId="74474057"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tcPr>
          <w:p w14:paraId="5E5AF169" w14:textId="6C7C3101"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tcPr>
          <w:p w14:paraId="61EC32A4" w14:textId="7370E6AD"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3D5FB431" w14:textId="4D4E69A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iCs/>
                <w:sz w:val="20"/>
                <w:szCs w:val="20"/>
                <w:lang w:val="en-AU" w:eastAsia="en-AU"/>
              </w:rPr>
            </w:pPr>
            <w:r w:rsidRPr="007C747A">
              <w:rPr>
                <w:rFonts w:eastAsia="Times New Roman" w:cs="Arial"/>
                <w:sz w:val="20"/>
                <w:szCs w:val="20"/>
                <w:lang w:val="en-AU" w:eastAsia="en-AU"/>
              </w:rPr>
              <w:t>0</w:t>
            </w:r>
          </w:p>
        </w:tc>
        <w:tc>
          <w:tcPr>
            <w:tcW w:w="850" w:type="dxa"/>
          </w:tcPr>
          <w:p w14:paraId="1B9083E2" w14:textId="5438917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iCs/>
                <w:sz w:val="20"/>
                <w:szCs w:val="20"/>
                <w:lang w:val="en-AU" w:eastAsia="en-AU"/>
              </w:rPr>
            </w:pPr>
            <w:r w:rsidRPr="007C747A">
              <w:rPr>
                <w:rFonts w:eastAsia="Times New Roman" w:cs="Arial"/>
                <w:sz w:val="20"/>
                <w:szCs w:val="20"/>
                <w:lang w:val="en-AU" w:eastAsia="en-AU"/>
              </w:rPr>
              <w:t>0</w:t>
            </w:r>
          </w:p>
        </w:tc>
        <w:tc>
          <w:tcPr>
            <w:tcW w:w="850" w:type="dxa"/>
          </w:tcPr>
          <w:p w14:paraId="122044E7" w14:textId="1931AC52"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iCs/>
                <w:sz w:val="20"/>
                <w:szCs w:val="20"/>
                <w:lang w:val="en-AU" w:eastAsia="en-AU"/>
              </w:rPr>
            </w:pPr>
            <w:r w:rsidRPr="007C747A">
              <w:rPr>
                <w:rFonts w:eastAsia="Times New Roman" w:cs="Arial"/>
                <w:sz w:val="20"/>
                <w:szCs w:val="20"/>
                <w:lang w:val="en-AU" w:eastAsia="en-AU"/>
              </w:rPr>
              <w:t>0</w:t>
            </w:r>
          </w:p>
        </w:tc>
        <w:tc>
          <w:tcPr>
            <w:tcW w:w="850" w:type="dxa"/>
          </w:tcPr>
          <w:p w14:paraId="7B00168D" w14:textId="21AC85B4"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iCs/>
                <w:sz w:val="20"/>
                <w:szCs w:val="20"/>
                <w:lang w:val="en-AU" w:eastAsia="en-AU"/>
              </w:rPr>
            </w:pPr>
            <w:r w:rsidRPr="007C747A">
              <w:rPr>
                <w:rFonts w:eastAsia="Arial" w:cs="Arial"/>
                <w:sz w:val="20"/>
                <w:szCs w:val="20"/>
                <w:lang w:val="en-AU" w:eastAsia="en-US"/>
              </w:rPr>
              <w:t>0</w:t>
            </w:r>
          </w:p>
        </w:tc>
        <w:tc>
          <w:tcPr>
            <w:tcW w:w="850" w:type="dxa"/>
          </w:tcPr>
          <w:p w14:paraId="4D6E07BF" w14:textId="729221E7"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iCs/>
                <w:sz w:val="20"/>
                <w:szCs w:val="20"/>
                <w:lang w:val="en-AU" w:eastAsia="en-AU"/>
              </w:rPr>
            </w:pPr>
            <w:r w:rsidRPr="007C747A">
              <w:rPr>
                <w:rFonts w:eastAsia="Arial" w:cs="Arial"/>
                <w:sz w:val="20"/>
                <w:szCs w:val="20"/>
                <w:lang w:val="en-AU" w:eastAsia="en-US"/>
              </w:rPr>
              <w:t>0</w:t>
            </w:r>
          </w:p>
        </w:tc>
        <w:tc>
          <w:tcPr>
            <w:tcW w:w="850" w:type="dxa"/>
          </w:tcPr>
          <w:p w14:paraId="112C1337" w14:textId="6B2BA11D"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iCs/>
                <w:sz w:val="20"/>
                <w:szCs w:val="20"/>
                <w:lang w:val="en-AU" w:eastAsia="en-AU"/>
              </w:rPr>
            </w:pPr>
            <w:r w:rsidRPr="007C747A">
              <w:rPr>
                <w:rFonts w:eastAsia="Arial" w:cs="Arial"/>
                <w:sz w:val="20"/>
                <w:szCs w:val="20"/>
                <w:lang w:val="en-AU" w:eastAsia="en-US"/>
              </w:rPr>
              <w:t>0</w:t>
            </w:r>
          </w:p>
        </w:tc>
        <w:tc>
          <w:tcPr>
            <w:tcW w:w="736" w:type="dxa"/>
          </w:tcPr>
          <w:p w14:paraId="62E9DCE0" w14:textId="03D0BBA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15</w:t>
            </w:r>
          </w:p>
        </w:tc>
      </w:tr>
      <w:tr w:rsidR="00FE4D96" w:rsidRPr="007C747A" w14:paraId="006320E7" w14:textId="77777777" w:rsidTr="00AE4B2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tcPr>
          <w:p w14:paraId="56C34949"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External Territories</w:t>
            </w:r>
          </w:p>
        </w:tc>
        <w:tc>
          <w:tcPr>
            <w:tcW w:w="849" w:type="dxa"/>
            <w:noWrap/>
          </w:tcPr>
          <w:p w14:paraId="1CDF59DA" w14:textId="79BC326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tcPr>
          <w:p w14:paraId="3F86BBFD" w14:textId="43E6D53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tcPr>
          <w:p w14:paraId="2EE6B0CD" w14:textId="098D73C6"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tcPr>
          <w:p w14:paraId="631984C8" w14:textId="129F248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tcPr>
          <w:p w14:paraId="6507E477" w14:textId="7E4958A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tcPr>
          <w:p w14:paraId="7AD49413" w14:textId="5EDC2543"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tcPr>
          <w:p w14:paraId="48419DDB" w14:textId="3E8E669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noWrap/>
          </w:tcPr>
          <w:p w14:paraId="1851A544" w14:textId="7801796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noWrap/>
          </w:tcPr>
          <w:p w14:paraId="0F3DD8DB" w14:textId="6B9A5A9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0</w:t>
            </w:r>
          </w:p>
        </w:tc>
        <w:tc>
          <w:tcPr>
            <w:tcW w:w="850" w:type="dxa"/>
          </w:tcPr>
          <w:p w14:paraId="52B4F10C" w14:textId="1B93849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029028A3" w14:textId="055368C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6F73AF6E" w14:textId="6BE884A5"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441E1456" w14:textId="523597AA"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50FEFE15" w14:textId="6D0839FC"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61665979" w14:textId="6FA5619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2E835BBD" w14:textId="369DF78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0</w:t>
            </w:r>
          </w:p>
        </w:tc>
      </w:tr>
      <w:tr w:rsidR="00FE4D96" w:rsidRPr="007C747A" w14:paraId="027F517B" w14:textId="77777777" w:rsidTr="00AE4B27">
        <w:trPr>
          <w:trHeight w:val="315"/>
        </w:trPr>
        <w:tc>
          <w:tcPr>
            <w:cnfStyle w:val="001000000000" w:firstRow="0" w:lastRow="0" w:firstColumn="1" w:lastColumn="0" w:oddVBand="0" w:evenVBand="0" w:oddHBand="0" w:evenHBand="0" w:firstRowFirstColumn="0" w:firstRowLastColumn="0" w:lastRowFirstColumn="0" w:lastRowLastColumn="0"/>
            <w:tcW w:w="1254" w:type="dxa"/>
            <w:hideMark/>
          </w:tcPr>
          <w:p w14:paraId="75F1FD14"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sz w:val="20"/>
                <w:szCs w:val="20"/>
                <w:lang w:val="en-AU" w:eastAsia="en-AU"/>
              </w:rPr>
              <w:t>Overseas</w:t>
            </w:r>
          </w:p>
        </w:tc>
        <w:tc>
          <w:tcPr>
            <w:tcW w:w="849" w:type="dxa"/>
            <w:noWrap/>
            <w:hideMark/>
          </w:tcPr>
          <w:p w14:paraId="5F86ED30" w14:textId="652E0B3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hideMark/>
          </w:tcPr>
          <w:p w14:paraId="56463B81" w14:textId="32717C5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49" w:type="dxa"/>
            <w:noWrap/>
            <w:hideMark/>
          </w:tcPr>
          <w:p w14:paraId="5F65A15F" w14:textId="46BC38B9"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hideMark/>
          </w:tcPr>
          <w:p w14:paraId="58ECADB9" w14:textId="3DD8FB9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hideMark/>
          </w:tcPr>
          <w:p w14:paraId="0AD187D9" w14:textId="48394073"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hideMark/>
          </w:tcPr>
          <w:p w14:paraId="23554A0E" w14:textId="576A5F22"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Arial" w:cs="Arial"/>
                <w:sz w:val="20"/>
                <w:szCs w:val="20"/>
                <w:lang w:val="en-AU" w:eastAsia="en-US"/>
              </w:rPr>
              <w:t>0</w:t>
            </w:r>
          </w:p>
        </w:tc>
        <w:tc>
          <w:tcPr>
            <w:tcW w:w="850" w:type="dxa"/>
            <w:noWrap/>
            <w:hideMark/>
          </w:tcPr>
          <w:p w14:paraId="1A06B3BC" w14:textId="26D06FA6"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0E29F310" w14:textId="2557F40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noWrap/>
            <w:hideMark/>
          </w:tcPr>
          <w:p w14:paraId="7A5E7664" w14:textId="3A3A2170"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AU" w:eastAsia="en-AU"/>
              </w:rPr>
            </w:pPr>
            <w:r w:rsidRPr="007C747A">
              <w:rPr>
                <w:rFonts w:eastAsia="Times New Roman" w:cs="Arial"/>
                <w:sz w:val="20"/>
                <w:szCs w:val="20"/>
                <w:lang w:val="en-AU" w:eastAsia="en-AU"/>
              </w:rPr>
              <w:t> 0</w:t>
            </w:r>
          </w:p>
        </w:tc>
        <w:tc>
          <w:tcPr>
            <w:tcW w:w="850" w:type="dxa"/>
          </w:tcPr>
          <w:p w14:paraId="14F0C268" w14:textId="63219E8D"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735ECECB" w14:textId="1BCC7166"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173038BC" w14:textId="0D27184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Times New Roman" w:cs="Arial"/>
                <w:sz w:val="20"/>
                <w:szCs w:val="20"/>
                <w:lang w:val="en-AU" w:eastAsia="en-AU"/>
              </w:rPr>
              <w:t>0</w:t>
            </w:r>
          </w:p>
        </w:tc>
        <w:tc>
          <w:tcPr>
            <w:tcW w:w="850" w:type="dxa"/>
          </w:tcPr>
          <w:p w14:paraId="2FFD48DC" w14:textId="2FDBBE9A"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22E0DB1E" w14:textId="1C2BED1E"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850" w:type="dxa"/>
          </w:tcPr>
          <w:p w14:paraId="2742D468" w14:textId="5C346333"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i/>
                <w:sz w:val="20"/>
                <w:szCs w:val="20"/>
                <w:lang w:val="en-AU" w:eastAsia="en-AU"/>
              </w:rPr>
            </w:pPr>
            <w:r w:rsidRPr="007C747A">
              <w:rPr>
                <w:rFonts w:eastAsia="Arial" w:cs="Arial"/>
                <w:sz w:val="20"/>
                <w:szCs w:val="20"/>
                <w:lang w:val="en-AU" w:eastAsia="en-US"/>
              </w:rPr>
              <w:t>0</w:t>
            </w:r>
          </w:p>
        </w:tc>
        <w:tc>
          <w:tcPr>
            <w:tcW w:w="736" w:type="dxa"/>
          </w:tcPr>
          <w:p w14:paraId="49DB70B3" w14:textId="60CE8A6B" w:rsidR="00FE4D96" w:rsidRPr="007C747A" w:rsidRDefault="00FE4D96" w:rsidP="00AE321D">
            <w:pPr>
              <w:suppressAutoHyphens/>
              <w:spacing w:before="180" w:after="60" w:line="280" w:lineRule="atLeast"/>
              <w:jc w:val="right"/>
              <w:cnfStyle w:val="000000000000" w:firstRow="0" w:lastRow="0" w:firstColumn="0" w:lastColumn="0" w:oddVBand="0" w:evenVBand="0" w:oddHBand="0"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0</w:t>
            </w:r>
          </w:p>
        </w:tc>
      </w:tr>
      <w:tr w:rsidR="00213879" w:rsidRPr="007C747A" w14:paraId="2223D149" w14:textId="77777777" w:rsidTr="00AE4B2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54" w:type="dxa"/>
          </w:tcPr>
          <w:p w14:paraId="696595FA" w14:textId="77777777" w:rsidR="00FE4D96" w:rsidRPr="007C747A" w:rsidRDefault="00FE4D96" w:rsidP="00FE4D96">
            <w:pPr>
              <w:suppressAutoHyphens/>
              <w:spacing w:before="180" w:after="60" w:line="280" w:lineRule="atLeast"/>
              <w:rPr>
                <w:rFonts w:eastAsia="Times New Roman"/>
                <w:sz w:val="20"/>
                <w:szCs w:val="20"/>
                <w:lang w:val="en-AU" w:eastAsia="en-AU"/>
              </w:rPr>
            </w:pPr>
            <w:r w:rsidRPr="007C747A">
              <w:rPr>
                <w:rFonts w:eastAsia="Times New Roman"/>
                <w:i/>
                <w:iCs/>
                <w:sz w:val="20"/>
                <w:szCs w:val="20"/>
                <w:lang w:val="en-AU" w:eastAsia="en-AU"/>
              </w:rPr>
              <w:t xml:space="preserve">Total </w:t>
            </w:r>
          </w:p>
        </w:tc>
        <w:tc>
          <w:tcPr>
            <w:tcW w:w="849" w:type="dxa"/>
            <w:noWrap/>
          </w:tcPr>
          <w:p w14:paraId="79377DCC" w14:textId="6EA1247A"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cs="Arial"/>
                <w:b/>
                <w:bCs/>
                <w:color w:val="000000"/>
                <w:sz w:val="20"/>
                <w:szCs w:val="20"/>
                <w:lang w:val="en-AU" w:eastAsia="en-US"/>
              </w:rPr>
              <w:t>78</w:t>
            </w:r>
          </w:p>
        </w:tc>
        <w:tc>
          <w:tcPr>
            <w:tcW w:w="849" w:type="dxa"/>
            <w:noWrap/>
          </w:tcPr>
          <w:p w14:paraId="60E1F41E" w14:textId="370154F5"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cs="Arial"/>
                <w:b/>
                <w:bCs/>
                <w:color w:val="000000"/>
                <w:sz w:val="20"/>
                <w:szCs w:val="20"/>
                <w:lang w:val="en-AU" w:eastAsia="en-US"/>
              </w:rPr>
              <w:t>5</w:t>
            </w:r>
          </w:p>
        </w:tc>
        <w:tc>
          <w:tcPr>
            <w:tcW w:w="849" w:type="dxa"/>
            <w:noWrap/>
          </w:tcPr>
          <w:p w14:paraId="575F0A39" w14:textId="4924FF9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cs="Arial"/>
                <w:b/>
                <w:bCs/>
                <w:color w:val="000000"/>
                <w:sz w:val="20"/>
                <w:szCs w:val="20"/>
                <w:lang w:val="en-AU" w:eastAsia="en-US"/>
              </w:rPr>
              <w:t>83</w:t>
            </w:r>
          </w:p>
        </w:tc>
        <w:tc>
          <w:tcPr>
            <w:tcW w:w="850" w:type="dxa"/>
            <w:noWrap/>
          </w:tcPr>
          <w:p w14:paraId="7418190D" w14:textId="2B6D18D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cs="Arial"/>
                <w:b/>
                <w:bCs/>
                <w:color w:val="000000"/>
                <w:sz w:val="20"/>
                <w:szCs w:val="20"/>
                <w:lang w:val="en-AU" w:eastAsia="en-US"/>
              </w:rPr>
              <w:t>220</w:t>
            </w:r>
          </w:p>
        </w:tc>
        <w:tc>
          <w:tcPr>
            <w:tcW w:w="850" w:type="dxa"/>
            <w:noWrap/>
          </w:tcPr>
          <w:p w14:paraId="5B85FA96" w14:textId="135FE986"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cs="Arial"/>
                <w:b/>
                <w:bCs/>
                <w:color w:val="000000"/>
                <w:sz w:val="20"/>
                <w:szCs w:val="20"/>
                <w:lang w:val="en-AU" w:eastAsia="en-US"/>
              </w:rPr>
              <w:t>17</w:t>
            </w:r>
          </w:p>
        </w:tc>
        <w:tc>
          <w:tcPr>
            <w:tcW w:w="850" w:type="dxa"/>
            <w:noWrap/>
          </w:tcPr>
          <w:p w14:paraId="3DEB37DD" w14:textId="618E6A3B"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Arial" w:cs="Arial"/>
                <w:b/>
                <w:bCs/>
                <w:color w:val="000000"/>
                <w:sz w:val="20"/>
                <w:szCs w:val="20"/>
                <w:lang w:val="en-AU" w:eastAsia="en-US"/>
              </w:rPr>
              <w:t>237</w:t>
            </w:r>
          </w:p>
        </w:tc>
        <w:tc>
          <w:tcPr>
            <w:tcW w:w="850" w:type="dxa"/>
            <w:noWrap/>
          </w:tcPr>
          <w:p w14:paraId="03CAFE4B" w14:textId="2F8E4E40"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cs="Arial"/>
                <w:b/>
                <w:bCs/>
                <w:sz w:val="20"/>
                <w:szCs w:val="20"/>
                <w:lang w:val="en-AU" w:eastAsia="en-AU"/>
              </w:rPr>
              <w:t>0</w:t>
            </w:r>
          </w:p>
        </w:tc>
        <w:tc>
          <w:tcPr>
            <w:tcW w:w="850" w:type="dxa"/>
            <w:noWrap/>
          </w:tcPr>
          <w:p w14:paraId="1D8A3108" w14:textId="015CA78C"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cs="Arial"/>
                <w:b/>
                <w:bCs/>
                <w:sz w:val="20"/>
                <w:szCs w:val="20"/>
                <w:lang w:val="en-AU" w:eastAsia="en-AU"/>
              </w:rPr>
              <w:t>0</w:t>
            </w:r>
          </w:p>
        </w:tc>
        <w:tc>
          <w:tcPr>
            <w:tcW w:w="850" w:type="dxa"/>
            <w:noWrap/>
          </w:tcPr>
          <w:p w14:paraId="5987B2B5" w14:textId="5A946579"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sz w:val="20"/>
                <w:szCs w:val="20"/>
                <w:lang w:val="en-AU" w:eastAsia="en-AU"/>
              </w:rPr>
            </w:pPr>
            <w:r w:rsidRPr="007C747A">
              <w:rPr>
                <w:rFonts w:eastAsia="Times New Roman" w:cs="Arial"/>
                <w:b/>
                <w:bCs/>
                <w:sz w:val="20"/>
                <w:szCs w:val="20"/>
                <w:lang w:val="en-AU" w:eastAsia="en-AU"/>
              </w:rPr>
              <w:t>0</w:t>
            </w:r>
          </w:p>
        </w:tc>
        <w:tc>
          <w:tcPr>
            <w:tcW w:w="850" w:type="dxa"/>
          </w:tcPr>
          <w:p w14:paraId="45DFA970" w14:textId="0A05B4F8"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Times New Roman" w:cs="Arial"/>
                <w:b/>
                <w:bCs/>
                <w:sz w:val="20"/>
                <w:szCs w:val="20"/>
                <w:lang w:val="en-AU" w:eastAsia="en-AU"/>
              </w:rPr>
              <w:t>0</w:t>
            </w:r>
          </w:p>
        </w:tc>
        <w:tc>
          <w:tcPr>
            <w:tcW w:w="850" w:type="dxa"/>
          </w:tcPr>
          <w:p w14:paraId="307405CE" w14:textId="17FC3D27"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Times New Roman" w:cs="Arial"/>
                <w:b/>
                <w:bCs/>
                <w:sz w:val="20"/>
                <w:szCs w:val="20"/>
                <w:lang w:val="en-AU" w:eastAsia="en-AU"/>
              </w:rPr>
              <w:t>0</w:t>
            </w:r>
          </w:p>
        </w:tc>
        <w:tc>
          <w:tcPr>
            <w:tcW w:w="850" w:type="dxa"/>
          </w:tcPr>
          <w:p w14:paraId="6E0F7AB0" w14:textId="42C2B757"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Times New Roman" w:cs="Arial"/>
                <w:b/>
                <w:bCs/>
                <w:sz w:val="20"/>
                <w:szCs w:val="20"/>
                <w:lang w:val="en-AU" w:eastAsia="en-AU"/>
              </w:rPr>
              <w:t>0</w:t>
            </w:r>
          </w:p>
        </w:tc>
        <w:tc>
          <w:tcPr>
            <w:tcW w:w="850" w:type="dxa"/>
          </w:tcPr>
          <w:p w14:paraId="62E29D62" w14:textId="43006AF5"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4</w:t>
            </w:r>
          </w:p>
        </w:tc>
        <w:tc>
          <w:tcPr>
            <w:tcW w:w="850" w:type="dxa"/>
          </w:tcPr>
          <w:p w14:paraId="2ABCA4BA" w14:textId="0214177E"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0</w:t>
            </w:r>
          </w:p>
        </w:tc>
        <w:tc>
          <w:tcPr>
            <w:tcW w:w="850" w:type="dxa"/>
          </w:tcPr>
          <w:p w14:paraId="22082B2B" w14:textId="57D5F21F"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4</w:t>
            </w:r>
          </w:p>
        </w:tc>
        <w:tc>
          <w:tcPr>
            <w:tcW w:w="736" w:type="dxa"/>
          </w:tcPr>
          <w:p w14:paraId="2E6CE1EB" w14:textId="45B675B1" w:rsidR="00FE4D96" w:rsidRPr="007C747A" w:rsidRDefault="00FE4D96" w:rsidP="00AE321D">
            <w:pPr>
              <w:suppressAutoHyphens/>
              <w:spacing w:before="180" w:after="60" w:line="280" w:lineRule="atLeast"/>
              <w:jc w:val="right"/>
              <w:cnfStyle w:val="000000100000" w:firstRow="0" w:lastRow="0" w:firstColumn="0" w:lastColumn="0" w:oddVBand="0" w:evenVBand="0" w:oddHBand="1" w:evenHBand="0" w:firstRowFirstColumn="0" w:firstRowLastColumn="0" w:lastRowFirstColumn="0" w:lastRowLastColumn="0"/>
              <w:rPr>
                <w:rFonts w:eastAsia="Times New Roman"/>
                <w:b/>
                <w:bCs/>
                <w:i/>
                <w:sz w:val="20"/>
                <w:szCs w:val="20"/>
                <w:lang w:val="en-AU" w:eastAsia="en-AU"/>
              </w:rPr>
            </w:pPr>
            <w:r w:rsidRPr="007C747A">
              <w:rPr>
                <w:rFonts w:eastAsia="Arial" w:cs="Arial"/>
                <w:b/>
                <w:bCs/>
                <w:sz w:val="20"/>
                <w:szCs w:val="20"/>
                <w:lang w:val="en-AU" w:eastAsia="en-US"/>
              </w:rPr>
              <w:t>324</w:t>
            </w:r>
          </w:p>
        </w:tc>
      </w:tr>
    </w:tbl>
    <w:p w14:paraId="293294E8" w14:textId="77777777" w:rsidR="006E7D92" w:rsidRPr="007C747A" w:rsidRDefault="006E7D92" w:rsidP="00806BD0">
      <w:pPr>
        <w:spacing w:after="0" w:line="240" w:lineRule="auto"/>
        <w:rPr>
          <w:rStyle w:val="FGCEMPHASIS"/>
          <w:lang w:val="en-AU"/>
        </w:rPr>
        <w:sectPr w:rsidR="006E7D92" w:rsidRPr="007C747A" w:rsidSect="00DB1E26">
          <w:pgSz w:w="16840" w:h="11907" w:orient="landscape" w:code="9"/>
          <w:pgMar w:top="964" w:right="1021" w:bottom="1440" w:left="1440" w:header="709" w:footer="737" w:gutter="0"/>
          <w:cols w:space="708"/>
          <w:titlePg/>
          <w:docGrid w:linePitch="360"/>
        </w:sectPr>
      </w:pPr>
    </w:p>
    <w:p w14:paraId="28378485" w14:textId="0E9CFC05" w:rsidR="0017686C" w:rsidRPr="007C747A" w:rsidRDefault="00E16B3B" w:rsidP="001A0235">
      <w:pPr>
        <w:pStyle w:val="Heading43"/>
        <w:ind w:left="0"/>
      </w:pPr>
      <w:r w:rsidRPr="007C747A">
        <w:rPr>
          <w:rStyle w:val="FGCEMPHASIS"/>
          <w:b/>
          <w:bCs w:val="0"/>
          <w:color w:val="6A2875"/>
          <w:sz w:val="24"/>
        </w:rPr>
        <w:t>T</w:t>
      </w:r>
      <w:r w:rsidR="0017686C" w:rsidRPr="007C747A">
        <w:rPr>
          <w:rStyle w:val="FGCEMPHASIS"/>
          <w:b/>
          <w:bCs w:val="0"/>
          <w:color w:val="6A2875"/>
          <w:sz w:val="24"/>
        </w:rPr>
        <w:t xml:space="preserve">able </w:t>
      </w:r>
      <w:r w:rsidR="00536407" w:rsidRPr="007C747A">
        <w:rPr>
          <w:rStyle w:val="FGCEMPHASIS"/>
          <w:b/>
          <w:bCs w:val="0"/>
          <w:color w:val="6A2875"/>
          <w:sz w:val="24"/>
        </w:rPr>
        <w:t>6</w:t>
      </w:r>
      <w:r w:rsidR="00191DED" w:rsidRPr="007C747A">
        <w:rPr>
          <w:rStyle w:val="FGCEMPHASIS"/>
          <w:b/>
          <w:bCs w:val="0"/>
          <w:color w:val="6A2875"/>
          <w:sz w:val="24"/>
        </w:rPr>
        <w:t>.</w:t>
      </w:r>
      <w:r w:rsidR="00CE7576" w:rsidRPr="007C747A">
        <w:rPr>
          <w:rStyle w:val="FGCEMPHASIS"/>
          <w:b/>
          <w:bCs w:val="0"/>
          <w:color w:val="6A2875"/>
          <w:sz w:val="24"/>
        </w:rPr>
        <w:t>4</w:t>
      </w:r>
      <w:r w:rsidR="00191DED" w:rsidRPr="007C747A">
        <w:rPr>
          <w:rStyle w:val="FGCEMPHASIS"/>
          <w:b/>
          <w:bCs w:val="0"/>
          <w:color w:val="6A2875"/>
          <w:sz w:val="24"/>
        </w:rPr>
        <w:t>C</w:t>
      </w:r>
      <w:r w:rsidR="0017686C" w:rsidRPr="007C747A">
        <w:t>: All ongoing employees previous reporting period (</w:t>
      </w:r>
      <w:r w:rsidR="0093277D" w:rsidRPr="007C747A">
        <w:t>20</w:t>
      </w:r>
      <w:r w:rsidR="00313551" w:rsidRPr="007C747A">
        <w:t>21</w:t>
      </w:r>
      <w:r w:rsidR="00271B50" w:rsidRPr="007C747A">
        <w:t>–2</w:t>
      </w:r>
      <w:r w:rsidR="00313551" w:rsidRPr="007C747A">
        <w:t>2</w:t>
      </w:r>
      <w:r w:rsidR="0017686C" w:rsidRPr="007C747A">
        <w:t>)</w:t>
      </w:r>
    </w:p>
    <w:tbl>
      <w:tblPr>
        <w:tblStyle w:val="GridTable2-Accent312"/>
        <w:tblW w:w="10206" w:type="dxa"/>
        <w:tblLayout w:type="fixed"/>
        <w:tblLook w:val="01E0" w:firstRow="1" w:lastRow="1" w:firstColumn="1" w:lastColumn="1" w:noHBand="0" w:noVBand="0"/>
      </w:tblPr>
      <w:tblGrid>
        <w:gridCol w:w="1276"/>
        <w:gridCol w:w="992"/>
        <w:gridCol w:w="709"/>
        <w:gridCol w:w="733"/>
        <w:gridCol w:w="928"/>
        <w:gridCol w:w="928"/>
        <w:gridCol w:w="928"/>
        <w:gridCol w:w="928"/>
        <w:gridCol w:w="928"/>
        <w:gridCol w:w="928"/>
        <w:gridCol w:w="928"/>
      </w:tblGrid>
      <w:tr w:rsidR="00F84584" w:rsidRPr="007C747A" w14:paraId="28A99DDE" w14:textId="77777777" w:rsidTr="00AF7482">
        <w:trPr>
          <w:cnfStyle w:val="100000000000" w:firstRow="1" w:lastRow="0" w:firstColumn="0" w:lastColumn="0" w:oddVBand="0" w:evenVBand="0" w:oddHBand="0" w:evenHBand="0" w:firstRowFirstColumn="0" w:firstRowLastColumn="0" w:lastRowFirstColumn="0" w:lastRowLastColumn="0"/>
          <w:cantSplit/>
          <w:trHeight w:val="1588"/>
          <w:tblHead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9B1EFA6" w14:textId="06455B8A" w:rsidR="009703CC" w:rsidRPr="007C747A" w:rsidRDefault="00F115C0">
            <w:pPr>
              <w:keepNext/>
              <w:widowControl w:val="0"/>
              <w:autoSpaceDE w:val="0"/>
              <w:autoSpaceDN w:val="0"/>
              <w:spacing w:after="0" w:line="256" w:lineRule="auto"/>
              <w:ind w:left="113" w:right="113"/>
              <w:rPr>
                <w:rFonts w:cs="Arial"/>
                <w:color w:val="F9FAF9" w:themeColor="background2"/>
                <w:sz w:val="20"/>
                <w:szCs w:val="20"/>
                <w:lang w:val="en-AU" w:eastAsia="en-US"/>
              </w:rPr>
            </w:pPr>
            <w:r w:rsidRPr="007C747A">
              <w:rPr>
                <w:rFonts w:cs="Arial"/>
                <w:color w:val="6B2876" w:themeColor="accent2"/>
                <w:sz w:val="20"/>
                <w:szCs w:val="20"/>
                <w:lang w:val="en-AU" w:eastAsia="en-US"/>
              </w:rPr>
              <w:t>Blank</w:t>
            </w:r>
          </w:p>
        </w:tc>
        <w:tc>
          <w:tcPr>
            <w:tcW w:w="992"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1A43898D"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Full</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Male</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C009C53"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Part</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Male</w:t>
            </w:r>
          </w:p>
        </w:tc>
        <w:tc>
          <w:tcPr>
            <w:tcW w:w="733"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E79D52D" w14:textId="0BBE1A0C"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color w:val="F9FAF9" w:themeColor="background2"/>
                <w:sz w:val="20"/>
                <w:szCs w:val="20"/>
                <w:lang w:val="en-AU" w:eastAsia="en-US"/>
              </w:rPr>
            </w:pPr>
            <w:r w:rsidRPr="007C747A">
              <w:rPr>
                <w:rFonts w:cs="Arial"/>
                <w:i/>
                <w:sz w:val="20"/>
                <w:szCs w:val="20"/>
                <w:lang w:val="en-AU" w:eastAsia="en-US"/>
              </w:rPr>
              <w:t>Total</w:t>
            </w:r>
            <w:r w:rsidR="00F84584" w:rsidRPr="007C747A">
              <w:rPr>
                <w:rFonts w:cs="Arial"/>
                <w:i/>
                <w:sz w:val="20"/>
                <w:szCs w:val="20"/>
                <w:lang w:val="en-AU" w:eastAsia="en-US"/>
              </w:rPr>
              <w:t xml:space="preserve"> </w:t>
            </w:r>
            <w:r w:rsidRPr="007C747A">
              <w:rPr>
                <w:rFonts w:cs="Arial"/>
                <w:i/>
                <w:spacing w:val="-43"/>
                <w:sz w:val="20"/>
                <w:szCs w:val="20"/>
                <w:lang w:val="en-AU" w:eastAsia="en-US"/>
              </w:rPr>
              <w:t xml:space="preserve"> </w:t>
            </w:r>
            <w:r w:rsidRPr="007C747A">
              <w:rPr>
                <w:rFonts w:cs="Arial"/>
                <w:i/>
                <w:sz w:val="20"/>
                <w:szCs w:val="20"/>
                <w:lang w:val="en-AU" w:eastAsia="en-US"/>
              </w:rPr>
              <w:t>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12F3DB98"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Full</w:t>
            </w:r>
            <w:r w:rsidRPr="007C747A">
              <w:rPr>
                <w:rFonts w:cs="Arial"/>
                <w:sz w:val="20"/>
                <w:szCs w:val="20"/>
                <w:lang w:val="en-AU" w:eastAsia="en-US"/>
              </w:rPr>
              <w:br/>
              <w:t>time</w:t>
            </w:r>
            <w:r w:rsidRPr="007C747A">
              <w:rPr>
                <w:rFonts w:cs="Arial"/>
                <w:b w:val="0"/>
                <w:sz w:val="20"/>
                <w:szCs w:val="20"/>
                <w:lang w:val="en-AU" w:eastAsia="en-US"/>
              </w:rPr>
              <w:t xml:space="preserve"> Female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303C0B32"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Part</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Female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A8640C1"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color w:val="F9FAF9" w:themeColor="background2"/>
                <w:sz w:val="20"/>
                <w:szCs w:val="20"/>
                <w:lang w:val="en-AU" w:eastAsia="en-US"/>
              </w:rPr>
            </w:pPr>
            <w:r w:rsidRPr="007C747A">
              <w:rPr>
                <w:rFonts w:cs="Arial"/>
                <w:i/>
                <w:sz w:val="20"/>
                <w:szCs w:val="20"/>
                <w:lang w:val="en-AU" w:eastAsia="en-US"/>
              </w:rPr>
              <w:t>Total</w:t>
            </w:r>
            <w:r w:rsidRPr="007C747A">
              <w:rPr>
                <w:rFonts w:cs="Arial"/>
                <w:i/>
                <w:spacing w:val="1"/>
                <w:sz w:val="20"/>
                <w:szCs w:val="20"/>
                <w:lang w:val="en-AU" w:eastAsia="en-US"/>
              </w:rPr>
              <w:t xml:space="preserve"> </w:t>
            </w:r>
            <w:r w:rsidRPr="007C747A">
              <w:rPr>
                <w:rFonts w:cs="Arial"/>
                <w:i/>
                <w:sz w:val="20"/>
                <w:szCs w:val="20"/>
                <w:lang w:val="en-AU" w:eastAsia="en-US"/>
              </w:rPr>
              <w:t>female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5B6ED972"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Full</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Indeterminate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4698C022"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Part</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Indeterminate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6D0FAA65" w14:textId="77777777" w:rsidR="009703CC" w:rsidRPr="007C747A" w:rsidRDefault="009703CC">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color w:val="F9FAF9" w:themeColor="background2"/>
                <w:sz w:val="20"/>
                <w:szCs w:val="20"/>
                <w:lang w:val="en-AU" w:eastAsia="en-US"/>
              </w:rPr>
            </w:pPr>
            <w:r w:rsidRPr="007C747A">
              <w:rPr>
                <w:rFonts w:cs="Arial"/>
                <w:i/>
                <w:sz w:val="20"/>
                <w:szCs w:val="20"/>
                <w:lang w:val="en-AU" w:eastAsia="en-US"/>
              </w:rPr>
              <w:t>Total</w:t>
            </w:r>
            <w:r w:rsidRPr="007C747A">
              <w:rPr>
                <w:rFonts w:cs="Arial"/>
                <w:i/>
                <w:spacing w:val="1"/>
                <w:sz w:val="20"/>
                <w:szCs w:val="20"/>
                <w:lang w:val="en-AU" w:eastAsia="en-US"/>
              </w:rPr>
              <w:t xml:space="preserve"> </w:t>
            </w:r>
            <w:r w:rsidRPr="007C747A">
              <w:rPr>
                <w:rFonts w:cs="Arial"/>
                <w:i/>
                <w:sz w:val="20"/>
                <w:szCs w:val="20"/>
                <w:lang w:val="en-AU" w:eastAsia="en-US"/>
              </w:rPr>
              <w:t>indeterminate</w:t>
            </w:r>
          </w:p>
        </w:tc>
        <w:tc>
          <w:tcPr>
            <w:cnfStyle w:val="000100000000" w:firstRow="0" w:lastRow="0" w:firstColumn="0" w:lastColumn="1" w:oddVBand="0" w:evenVBand="0" w:oddHBand="0" w:evenHBand="0" w:firstRowFirstColumn="0" w:firstRowLastColumn="0" w:lastRowFirstColumn="0" w:lastRowLastColumn="0"/>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0D08E0ED" w14:textId="77777777" w:rsidR="009703CC" w:rsidRPr="007C747A" w:rsidRDefault="009703CC">
            <w:pPr>
              <w:keepNext/>
              <w:widowControl w:val="0"/>
              <w:autoSpaceDE w:val="0"/>
              <w:autoSpaceDN w:val="0"/>
              <w:spacing w:before="1" w:after="0" w:line="256" w:lineRule="auto"/>
              <w:ind w:left="113" w:right="206"/>
              <w:rPr>
                <w:rFonts w:cs="Arial"/>
                <w:iCs/>
                <w:color w:val="F9FAF9" w:themeColor="background2"/>
                <w:sz w:val="20"/>
                <w:szCs w:val="20"/>
                <w:lang w:val="en-AU" w:eastAsia="en-US"/>
              </w:rPr>
            </w:pPr>
            <w:r w:rsidRPr="007C747A">
              <w:rPr>
                <w:rFonts w:cs="Arial"/>
                <w:sz w:val="20"/>
                <w:szCs w:val="20"/>
                <w:lang w:val="en-AU" w:eastAsia="en-US"/>
              </w:rPr>
              <w:t>Total</w:t>
            </w:r>
          </w:p>
        </w:tc>
      </w:tr>
      <w:tr w:rsidR="002C3165" w:rsidRPr="007C747A" w14:paraId="75DD1DBB" w14:textId="77777777" w:rsidTr="00AF74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9FAF9" w:themeColor="background2"/>
            </w:tcBorders>
            <w:vAlign w:val="center"/>
          </w:tcPr>
          <w:p w14:paraId="0E1A2937" w14:textId="77777777" w:rsidR="002C3165" w:rsidRPr="007C747A" w:rsidRDefault="002C3165" w:rsidP="002C3165">
            <w:pPr>
              <w:keepNext/>
              <w:widowControl w:val="0"/>
              <w:autoSpaceDE w:val="0"/>
              <w:autoSpaceDN w:val="0"/>
              <w:spacing w:after="0" w:line="256" w:lineRule="auto"/>
              <w:ind w:right="39"/>
              <w:rPr>
                <w:rFonts w:cs="Arial"/>
                <w:sz w:val="20"/>
                <w:szCs w:val="20"/>
                <w:lang w:val="en-AU" w:eastAsia="en-US"/>
              </w:rPr>
            </w:pPr>
            <w:r w:rsidRPr="007C747A">
              <w:rPr>
                <w:rFonts w:cs="Arial"/>
                <w:color w:val="212121"/>
                <w:sz w:val="20"/>
                <w:szCs w:val="20"/>
                <w:lang w:val="en-AU" w:eastAsia="en-US"/>
              </w:rPr>
              <w:t>NSW</w:t>
            </w:r>
          </w:p>
        </w:tc>
        <w:tc>
          <w:tcPr>
            <w:tcW w:w="992" w:type="dxa"/>
            <w:tcBorders>
              <w:top w:val="single" w:sz="4" w:space="0" w:color="F9FAF9" w:themeColor="background2"/>
            </w:tcBorders>
            <w:vAlign w:val="center"/>
          </w:tcPr>
          <w:p w14:paraId="1CABD51C" w14:textId="7B92D255" w:rsidR="002C3165" w:rsidRPr="007C747A" w:rsidRDefault="002C3165" w:rsidP="00AE321D">
            <w:pPr>
              <w:keepNext/>
              <w:widowControl w:val="0"/>
              <w:autoSpaceDE w:val="0"/>
              <w:autoSpaceDN w:val="0"/>
              <w:spacing w:after="0" w:line="256" w:lineRule="auto"/>
              <w:ind w:right="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214</w:t>
            </w:r>
          </w:p>
        </w:tc>
        <w:tc>
          <w:tcPr>
            <w:tcW w:w="709" w:type="dxa"/>
            <w:tcBorders>
              <w:top w:val="single" w:sz="4" w:space="0" w:color="F9FAF9" w:themeColor="background2"/>
            </w:tcBorders>
            <w:vAlign w:val="center"/>
          </w:tcPr>
          <w:p w14:paraId="071B5A82" w14:textId="4A9C04AF" w:rsidR="002C3165" w:rsidRPr="007C747A" w:rsidRDefault="002C3165" w:rsidP="00AE321D">
            <w:pPr>
              <w:keepNext/>
              <w:widowControl w:val="0"/>
              <w:autoSpaceDE w:val="0"/>
              <w:autoSpaceDN w:val="0"/>
              <w:spacing w:after="0" w:line="256" w:lineRule="auto"/>
              <w:ind w:right="35"/>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17</w:t>
            </w:r>
          </w:p>
        </w:tc>
        <w:tc>
          <w:tcPr>
            <w:tcW w:w="733" w:type="dxa"/>
            <w:tcBorders>
              <w:top w:val="single" w:sz="4" w:space="0" w:color="F9FAF9" w:themeColor="background2"/>
            </w:tcBorders>
            <w:vAlign w:val="center"/>
          </w:tcPr>
          <w:p w14:paraId="3F6BDDB5" w14:textId="5E6C8683"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231</w:t>
            </w:r>
          </w:p>
        </w:tc>
        <w:tc>
          <w:tcPr>
            <w:tcW w:w="928" w:type="dxa"/>
            <w:tcBorders>
              <w:top w:val="single" w:sz="4" w:space="0" w:color="F9FAF9" w:themeColor="background2"/>
            </w:tcBorders>
            <w:vAlign w:val="center"/>
          </w:tcPr>
          <w:p w14:paraId="2825303D" w14:textId="047140BC"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697</w:t>
            </w:r>
          </w:p>
        </w:tc>
        <w:tc>
          <w:tcPr>
            <w:tcW w:w="928" w:type="dxa"/>
            <w:tcBorders>
              <w:top w:val="single" w:sz="4" w:space="0" w:color="F9FAF9" w:themeColor="background2"/>
            </w:tcBorders>
            <w:vAlign w:val="center"/>
          </w:tcPr>
          <w:p w14:paraId="35B85294" w14:textId="07CD2A6B"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152</w:t>
            </w:r>
          </w:p>
        </w:tc>
        <w:tc>
          <w:tcPr>
            <w:tcW w:w="928" w:type="dxa"/>
            <w:tcBorders>
              <w:top w:val="single" w:sz="4" w:space="0" w:color="F9FAF9" w:themeColor="background2"/>
            </w:tcBorders>
            <w:vAlign w:val="center"/>
          </w:tcPr>
          <w:p w14:paraId="7B44B700" w14:textId="64E0EE3C"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849</w:t>
            </w:r>
          </w:p>
        </w:tc>
        <w:tc>
          <w:tcPr>
            <w:tcW w:w="928" w:type="dxa"/>
            <w:tcBorders>
              <w:top w:val="single" w:sz="4" w:space="0" w:color="F9FAF9" w:themeColor="background2"/>
            </w:tcBorders>
            <w:vAlign w:val="center"/>
          </w:tcPr>
          <w:p w14:paraId="162D86E5" w14:textId="242069D0"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928" w:type="dxa"/>
            <w:tcBorders>
              <w:top w:val="single" w:sz="4" w:space="0" w:color="F9FAF9" w:themeColor="background2"/>
            </w:tcBorders>
            <w:vAlign w:val="center"/>
          </w:tcPr>
          <w:p w14:paraId="6B9CB776" w14:textId="0A880744"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tcW w:w="928" w:type="dxa"/>
            <w:tcBorders>
              <w:top w:val="single" w:sz="4" w:space="0" w:color="F9FAF9" w:themeColor="background2"/>
            </w:tcBorders>
            <w:vAlign w:val="center"/>
          </w:tcPr>
          <w:p w14:paraId="76371383" w14:textId="1F8B5FBF"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p>
        </w:tc>
        <w:tc>
          <w:tcPr>
            <w:cnfStyle w:val="000100000000" w:firstRow="0" w:lastRow="0" w:firstColumn="0" w:lastColumn="1" w:oddVBand="0" w:evenVBand="0" w:oddHBand="0" w:evenHBand="0" w:firstRowFirstColumn="0" w:firstRowLastColumn="0" w:lastRowFirstColumn="0" w:lastRowLastColumn="0"/>
            <w:tcW w:w="928" w:type="dxa"/>
            <w:tcBorders>
              <w:top w:val="single" w:sz="4" w:space="0" w:color="F9FAF9" w:themeColor="background2"/>
            </w:tcBorders>
            <w:vAlign w:val="center"/>
          </w:tcPr>
          <w:p w14:paraId="39F48D4A" w14:textId="40E4E406" w:rsidR="002C3165" w:rsidRPr="007C747A" w:rsidRDefault="002C3165" w:rsidP="00AE321D">
            <w:pPr>
              <w:keepNext/>
              <w:widowControl w:val="0"/>
              <w:autoSpaceDE w:val="0"/>
              <w:autoSpaceDN w:val="0"/>
              <w:spacing w:after="0" w:line="256" w:lineRule="auto"/>
              <w:ind w:right="29"/>
              <w:jc w:val="right"/>
              <w:rPr>
                <w:rFonts w:cs="Arial"/>
                <w:sz w:val="20"/>
                <w:szCs w:val="20"/>
                <w:lang w:val="en-AU" w:eastAsia="en-US"/>
              </w:rPr>
            </w:pPr>
            <w:r w:rsidRPr="007C747A">
              <w:rPr>
                <w:rFonts w:cs="Arial"/>
                <w:sz w:val="20"/>
                <w:szCs w:val="20"/>
                <w:lang w:val="en-AU" w:eastAsia="en-US"/>
              </w:rPr>
              <w:t>1,083</w:t>
            </w:r>
          </w:p>
        </w:tc>
      </w:tr>
      <w:tr w:rsidR="002C3165" w:rsidRPr="007C747A" w14:paraId="06C25C30"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ECA8492" w14:textId="77777777" w:rsidR="002C3165" w:rsidRPr="007C747A" w:rsidRDefault="002C3165" w:rsidP="002C3165">
            <w:pPr>
              <w:keepNext/>
              <w:widowControl w:val="0"/>
              <w:autoSpaceDE w:val="0"/>
              <w:autoSpaceDN w:val="0"/>
              <w:spacing w:before="1" w:after="0" w:line="256" w:lineRule="auto"/>
              <w:ind w:right="39"/>
              <w:rPr>
                <w:rFonts w:cs="Arial"/>
                <w:sz w:val="20"/>
                <w:szCs w:val="20"/>
                <w:lang w:val="en-AU" w:eastAsia="en-US"/>
              </w:rPr>
            </w:pPr>
            <w:r w:rsidRPr="007C747A">
              <w:rPr>
                <w:rFonts w:cs="Arial"/>
                <w:color w:val="212121"/>
                <w:sz w:val="20"/>
                <w:szCs w:val="20"/>
                <w:lang w:val="en-AU" w:eastAsia="en-US"/>
              </w:rPr>
              <w:t>Qld</w:t>
            </w:r>
          </w:p>
        </w:tc>
        <w:tc>
          <w:tcPr>
            <w:tcW w:w="992" w:type="dxa"/>
            <w:vAlign w:val="center"/>
          </w:tcPr>
          <w:p w14:paraId="7A4CB5C5" w14:textId="280C9884" w:rsidR="002C3165" w:rsidRPr="007C747A" w:rsidRDefault="002C3165" w:rsidP="00AE321D">
            <w:pPr>
              <w:keepNext/>
              <w:widowControl w:val="0"/>
              <w:autoSpaceDE w:val="0"/>
              <w:autoSpaceDN w:val="0"/>
              <w:spacing w:before="1" w:after="0" w:line="256" w:lineRule="auto"/>
              <w:ind w:right="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158</w:t>
            </w:r>
          </w:p>
        </w:tc>
        <w:tc>
          <w:tcPr>
            <w:tcW w:w="709" w:type="dxa"/>
            <w:vAlign w:val="center"/>
          </w:tcPr>
          <w:p w14:paraId="6BE63383" w14:textId="0643CDBC" w:rsidR="002C3165" w:rsidRPr="007C747A" w:rsidRDefault="002C3165" w:rsidP="00AE321D">
            <w:pPr>
              <w:keepNext/>
              <w:widowControl w:val="0"/>
              <w:autoSpaceDE w:val="0"/>
              <w:autoSpaceDN w:val="0"/>
              <w:spacing w:before="1" w:after="0" w:line="256" w:lineRule="auto"/>
              <w:ind w:right="35"/>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w:t>
            </w:r>
          </w:p>
        </w:tc>
        <w:tc>
          <w:tcPr>
            <w:tcW w:w="733" w:type="dxa"/>
            <w:vAlign w:val="center"/>
          </w:tcPr>
          <w:p w14:paraId="7953069F" w14:textId="7238473D"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165</w:t>
            </w:r>
          </w:p>
        </w:tc>
        <w:tc>
          <w:tcPr>
            <w:tcW w:w="928" w:type="dxa"/>
            <w:vAlign w:val="center"/>
          </w:tcPr>
          <w:p w14:paraId="01320078" w14:textId="7411D3DC"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512</w:t>
            </w:r>
          </w:p>
        </w:tc>
        <w:tc>
          <w:tcPr>
            <w:tcW w:w="928" w:type="dxa"/>
            <w:vAlign w:val="center"/>
          </w:tcPr>
          <w:p w14:paraId="7648B510" w14:textId="6AF9A3EB"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87</w:t>
            </w:r>
          </w:p>
        </w:tc>
        <w:tc>
          <w:tcPr>
            <w:tcW w:w="928" w:type="dxa"/>
            <w:vAlign w:val="center"/>
          </w:tcPr>
          <w:p w14:paraId="5E570CDD" w14:textId="06125819"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599</w:t>
            </w:r>
          </w:p>
        </w:tc>
        <w:tc>
          <w:tcPr>
            <w:tcW w:w="928" w:type="dxa"/>
            <w:vAlign w:val="center"/>
          </w:tcPr>
          <w:p w14:paraId="4C956ECC" w14:textId="08CA75F3" w:rsidR="002C3165" w:rsidRPr="007C747A" w:rsidRDefault="002C3165" w:rsidP="00AE321D">
            <w:pPr>
              <w:keepNext/>
              <w:widowControl w:val="0"/>
              <w:autoSpaceDE w:val="0"/>
              <w:autoSpaceDN w:val="0"/>
              <w:spacing w:before="1" w:after="0" w:line="256" w:lineRule="auto"/>
              <w:ind w:right="1"/>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1BC87342" w14:textId="5A1BADF6"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73FA7B12" w14:textId="72EDA987"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6B506868" w14:textId="228DA737" w:rsidR="002C3165" w:rsidRPr="007C747A" w:rsidRDefault="002C3165" w:rsidP="00AE321D">
            <w:pPr>
              <w:keepNext/>
              <w:widowControl w:val="0"/>
              <w:autoSpaceDE w:val="0"/>
              <w:autoSpaceDN w:val="0"/>
              <w:spacing w:before="1" w:after="0" w:line="256" w:lineRule="auto"/>
              <w:ind w:right="29"/>
              <w:jc w:val="right"/>
              <w:rPr>
                <w:rFonts w:cs="Arial"/>
                <w:sz w:val="20"/>
                <w:szCs w:val="20"/>
                <w:lang w:val="en-AU" w:eastAsia="en-US"/>
              </w:rPr>
            </w:pPr>
            <w:r w:rsidRPr="007C747A">
              <w:rPr>
                <w:rFonts w:cs="Arial"/>
                <w:sz w:val="20"/>
                <w:szCs w:val="20"/>
                <w:lang w:val="en-AU" w:eastAsia="en-US"/>
              </w:rPr>
              <w:t>764</w:t>
            </w:r>
          </w:p>
        </w:tc>
      </w:tr>
      <w:tr w:rsidR="002C3165" w:rsidRPr="007C747A" w14:paraId="1CF5AAC9"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9576165" w14:textId="77777777" w:rsidR="002C3165" w:rsidRPr="007C747A" w:rsidRDefault="002C3165" w:rsidP="002C3165">
            <w:pPr>
              <w:keepNext/>
              <w:widowControl w:val="0"/>
              <w:autoSpaceDE w:val="0"/>
              <w:autoSpaceDN w:val="0"/>
              <w:spacing w:before="1" w:after="0" w:line="256" w:lineRule="auto"/>
              <w:ind w:right="40"/>
              <w:rPr>
                <w:rFonts w:cs="Arial"/>
                <w:sz w:val="20"/>
                <w:szCs w:val="20"/>
                <w:lang w:val="en-AU" w:eastAsia="en-US"/>
              </w:rPr>
            </w:pPr>
            <w:r w:rsidRPr="007C747A">
              <w:rPr>
                <w:rFonts w:cs="Arial"/>
                <w:color w:val="212121"/>
                <w:sz w:val="20"/>
                <w:szCs w:val="20"/>
                <w:lang w:val="en-AU" w:eastAsia="en-US"/>
              </w:rPr>
              <w:t>SA</w:t>
            </w:r>
          </w:p>
        </w:tc>
        <w:tc>
          <w:tcPr>
            <w:tcW w:w="992" w:type="dxa"/>
            <w:vAlign w:val="center"/>
          </w:tcPr>
          <w:p w14:paraId="5840563A" w14:textId="2F54B688"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83</w:t>
            </w:r>
          </w:p>
        </w:tc>
        <w:tc>
          <w:tcPr>
            <w:tcW w:w="709" w:type="dxa"/>
            <w:vAlign w:val="center"/>
          </w:tcPr>
          <w:p w14:paraId="3738D68C" w14:textId="5FEB592B" w:rsidR="002C3165" w:rsidRPr="007C747A" w:rsidRDefault="002C3165" w:rsidP="00AE321D">
            <w:pPr>
              <w:keepNext/>
              <w:widowControl w:val="0"/>
              <w:autoSpaceDE w:val="0"/>
              <w:autoSpaceDN w:val="0"/>
              <w:spacing w:before="1" w:after="0" w:line="256" w:lineRule="auto"/>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w:t>
            </w:r>
          </w:p>
        </w:tc>
        <w:tc>
          <w:tcPr>
            <w:tcW w:w="733" w:type="dxa"/>
            <w:vAlign w:val="center"/>
          </w:tcPr>
          <w:p w14:paraId="1A8B8CC8" w14:textId="62C8B7B0"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89</w:t>
            </w:r>
          </w:p>
        </w:tc>
        <w:tc>
          <w:tcPr>
            <w:tcW w:w="928" w:type="dxa"/>
            <w:vAlign w:val="center"/>
          </w:tcPr>
          <w:p w14:paraId="76A498EA" w14:textId="493BB873"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206</w:t>
            </w:r>
          </w:p>
        </w:tc>
        <w:tc>
          <w:tcPr>
            <w:tcW w:w="928" w:type="dxa"/>
            <w:vAlign w:val="center"/>
          </w:tcPr>
          <w:p w14:paraId="238B350E" w14:textId="131FE1A2"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78</w:t>
            </w:r>
          </w:p>
        </w:tc>
        <w:tc>
          <w:tcPr>
            <w:tcW w:w="928" w:type="dxa"/>
            <w:vAlign w:val="center"/>
          </w:tcPr>
          <w:p w14:paraId="2E7F313B" w14:textId="491FACC3"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284</w:t>
            </w:r>
          </w:p>
        </w:tc>
        <w:tc>
          <w:tcPr>
            <w:tcW w:w="928" w:type="dxa"/>
            <w:vAlign w:val="center"/>
          </w:tcPr>
          <w:p w14:paraId="6090616C" w14:textId="5F33956C"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1DF666E5" w14:textId="58F82F3E"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10D61FEF" w14:textId="443943A7"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0193C4E8" w14:textId="63E5273F" w:rsidR="002C3165" w:rsidRPr="007C747A" w:rsidRDefault="002C3165"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373</w:t>
            </w:r>
          </w:p>
        </w:tc>
      </w:tr>
      <w:tr w:rsidR="002C3165" w:rsidRPr="007C747A" w14:paraId="52AF9784"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7A5A4D5" w14:textId="77777777" w:rsidR="002C3165" w:rsidRPr="007C747A" w:rsidRDefault="002C3165" w:rsidP="002C3165">
            <w:pPr>
              <w:keepNext/>
              <w:widowControl w:val="0"/>
              <w:autoSpaceDE w:val="0"/>
              <w:autoSpaceDN w:val="0"/>
              <w:spacing w:after="0" w:line="256" w:lineRule="auto"/>
              <w:ind w:right="40"/>
              <w:rPr>
                <w:rFonts w:cs="Arial"/>
                <w:sz w:val="20"/>
                <w:szCs w:val="20"/>
                <w:lang w:val="en-AU" w:eastAsia="en-US"/>
              </w:rPr>
            </w:pPr>
            <w:r w:rsidRPr="007C747A">
              <w:rPr>
                <w:rFonts w:cs="Arial"/>
                <w:color w:val="212121"/>
                <w:sz w:val="20"/>
                <w:szCs w:val="20"/>
                <w:lang w:val="en-AU" w:eastAsia="en-US"/>
              </w:rPr>
              <w:t>Tas</w:t>
            </w:r>
          </w:p>
        </w:tc>
        <w:tc>
          <w:tcPr>
            <w:tcW w:w="992" w:type="dxa"/>
            <w:vAlign w:val="center"/>
          </w:tcPr>
          <w:p w14:paraId="48B14D1E" w14:textId="691F83F6"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22</w:t>
            </w:r>
          </w:p>
        </w:tc>
        <w:tc>
          <w:tcPr>
            <w:tcW w:w="709" w:type="dxa"/>
            <w:vAlign w:val="center"/>
          </w:tcPr>
          <w:p w14:paraId="54E84FE7" w14:textId="791659AB" w:rsidR="002C3165" w:rsidRPr="007C747A" w:rsidRDefault="002C3165" w:rsidP="00AE321D">
            <w:pPr>
              <w:keepNext/>
              <w:widowControl w:val="0"/>
              <w:autoSpaceDE w:val="0"/>
              <w:autoSpaceDN w:val="0"/>
              <w:spacing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733" w:type="dxa"/>
            <w:vAlign w:val="center"/>
          </w:tcPr>
          <w:p w14:paraId="6F4E2489" w14:textId="697AE523"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24</w:t>
            </w:r>
          </w:p>
        </w:tc>
        <w:tc>
          <w:tcPr>
            <w:tcW w:w="928" w:type="dxa"/>
            <w:vAlign w:val="center"/>
          </w:tcPr>
          <w:p w14:paraId="23DC90E2" w14:textId="2AB55ED6"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47</w:t>
            </w:r>
          </w:p>
        </w:tc>
        <w:tc>
          <w:tcPr>
            <w:tcW w:w="928" w:type="dxa"/>
            <w:vAlign w:val="center"/>
          </w:tcPr>
          <w:p w14:paraId="5FAF0458" w14:textId="0B03F988"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17</w:t>
            </w:r>
          </w:p>
        </w:tc>
        <w:tc>
          <w:tcPr>
            <w:tcW w:w="928" w:type="dxa"/>
            <w:vAlign w:val="center"/>
          </w:tcPr>
          <w:p w14:paraId="5846806E" w14:textId="32889C51"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64</w:t>
            </w:r>
          </w:p>
        </w:tc>
        <w:tc>
          <w:tcPr>
            <w:tcW w:w="928" w:type="dxa"/>
            <w:vAlign w:val="center"/>
          </w:tcPr>
          <w:p w14:paraId="23B9DB59" w14:textId="3DE194F6"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C20A193" w14:textId="121C6A6D"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7AE35FBD" w14:textId="672B8EE5"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7FDCBF9B" w14:textId="0D15C2FB" w:rsidR="002C3165" w:rsidRPr="007C747A" w:rsidRDefault="002C3165" w:rsidP="00AE321D">
            <w:pPr>
              <w:keepNext/>
              <w:widowControl w:val="0"/>
              <w:autoSpaceDE w:val="0"/>
              <w:autoSpaceDN w:val="0"/>
              <w:spacing w:after="0" w:line="256" w:lineRule="auto"/>
              <w:jc w:val="right"/>
              <w:rPr>
                <w:rFonts w:cs="Arial"/>
                <w:sz w:val="20"/>
                <w:szCs w:val="20"/>
                <w:lang w:val="en-AU" w:eastAsia="en-US"/>
              </w:rPr>
            </w:pPr>
            <w:r w:rsidRPr="007C747A">
              <w:rPr>
                <w:rFonts w:cs="Arial"/>
                <w:sz w:val="20"/>
                <w:szCs w:val="20"/>
                <w:lang w:val="en-AU" w:eastAsia="en-US"/>
              </w:rPr>
              <w:t>88</w:t>
            </w:r>
          </w:p>
        </w:tc>
      </w:tr>
      <w:tr w:rsidR="002C3165" w:rsidRPr="007C747A" w14:paraId="43E29A76"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55486AF" w14:textId="77777777" w:rsidR="002C3165" w:rsidRPr="007C747A" w:rsidRDefault="002C3165" w:rsidP="002C3165">
            <w:pPr>
              <w:keepNext/>
              <w:widowControl w:val="0"/>
              <w:autoSpaceDE w:val="0"/>
              <w:autoSpaceDN w:val="0"/>
              <w:spacing w:before="1" w:after="0" w:line="256" w:lineRule="auto"/>
              <w:ind w:right="39"/>
              <w:rPr>
                <w:rFonts w:cs="Arial"/>
                <w:sz w:val="20"/>
                <w:szCs w:val="20"/>
                <w:lang w:val="en-AU" w:eastAsia="en-US"/>
              </w:rPr>
            </w:pPr>
            <w:r w:rsidRPr="007C747A">
              <w:rPr>
                <w:rFonts w:cs="Arial"/>
                <w:color w:val="212121"/>
                <w:sz w:val="20"/>
                <w:szCs w:val="20"/>
                <w:lang w:val="en-AU" w:eastAsia="en-US"/>
              </w:rPr>
              <w:t>Vic</w:t>
            </w:r>
          </w:p>
        </w:tc>
        <w:tc>
          <w:tcPr>
            <w:tcW w:w="992" w:type="dxa"/>
            <w:vAlign w:val="center"/>
          </w:tcPr>
          <w:p w14:paraId="06BFB85A" w14:textId="16E5DE38"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418</w:t>
            </w:r>
          </w:p>
        </w:tc>
        <w:tc>
          <w:tcPr>
            <w:tcW w:w="709" w:type="dxa"/>
            <w:vAlign w:val="center"/>
          </w:tcPr>
          <w:p w14:paraId="041000D5" w14:textId="0B8AC551" w:rsidR="002C3165" w:rsidRPr="007C747A" w:rsidRDefault="002C3165" w:rsidP="00AE321D">
            <w:pPr>
              <w:keepNext/>
              <w:widowControl w:val="0"/>
              <w:autoSpaceDE w:val="0"/>
              <w:autoSpaceDN w:val="0"/>
              <w:spacing w:before="1" w:after="0" w:line="256" w:lineRule="auto"/>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27</w:t>
            </w:r>
          </w:p>
        </w:tc>
        <w:tc>
          <w:tcPr>
            <w:tcW w:w="733" w:type="dxa"/>
            <w:vAlign w:val="center"/>
          </w:tcPr>
          <w:p w14:paraId="74FC9E54" w14:textId="65C06607"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445</w:t>
            </w:r>
          </w:p>
        </w:tc>
        <w:tc>
          <w:tcPr>
            <w:tcW w:w="928" w:type="dxa"/>
            <w:vAlign w:val="center"/>
          </w:tcPr>
          <w:p w14:paraId="1A52EA23" w14:textId="2116FDD3"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938</w:t>
            </w:r>
          </w:p>
        </w:tc>
        <w:tc>
          <w:tcPr>
            <w:tcW w:w="928" w:type="dxa"/>
            <w:vAlign w:val="center"/>
          </w:tcPr>
          <w:p w14:paraId="79ED10A9" w14:textId="0A1454FB"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242</w:t>
            </w:r>
          </w:p>
        </w:tc>
        <w:tc>
          <w:tcPr>
            <w:tcW w:w="928" w:type="dxa"/>
            <w:vAlign w:val="center"/>
          </w:tcPr>
          <w:p w14:paraId="16A51C55" w14:textId="490CE60B"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1,180</w:t>
            </w:r>
          </w:p>
        </w:tc>
        <w:tc>
          <w:tcPr>
            <w:tcW w:w="928" w:type="dxa"/>
            <w:vAlign w:val="center"/>
          </w:tcPr>
          <w:p w14:paraId="573CA2F2" w14:textId="0EE20B11"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928" w:type="dxa"/>
            <w:vAlign w:val="center"/>
          </w:tcPr>
          <w:p w14:paraId="4C441559" w14:textId="10CF4134"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AF3E5B3" w14:textId="7A0519F1"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29BFF339" w14:textId="30C11947" w:rsidR="002C3165" w:rsidRPr="007C747A" w:rsidRDefault="002C3165"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1,627</w:t>
            </w:r>
          </w:p>
        </w:tc>
      </w:tr>
      <w:tr w:rsidR="002C3165" w:rsidRPr="007C747A" w14:paraId="0C221A1D"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74C8904" w14:textId="77777777" w:rsidR="002C3165" w:rsidRPr="007C747A" w:rsidRDefault="002C3165" w:rsidP="002C3165">
            <w:pPr>
              <w:keepNext/>
              <w:widowControl w:val="0"/>
              <w:autoSpaceDE w:val="0"/>
              <w:autoSpaceDN w:val="0"/>
              <w:spacing w:before="1" w:after="0" w:line="256" w:lineRule="auto"/>
              <w:ind w:right="40"/>
              <w:rPr>
                <w:rFonts w:cs="Arial"/>
                <w:sz w:val="20"/>
                <w:szCs w:val="20"/>
                <w:lang w:val="en-AU" w:eastAsia="en-US"/>
              </w:rPr>
            </w:pPr>
            <w:r w:rsidRPr="007C747A">
              <w:rPr>
                <w:rFonts w:cs="Arial"/>
                <w:color w:val="212121"/>
                <w:sz w:val="20"/>
                <w:szCs w:val="20"/>
                <w:lang w:val="en-AU" w:eastAsia="en-US"/>
              </w:rPr>
              <w:t>WA</w:t>
            </w:r>
          </w:p>
        </w:tc>
        <w:tc>
          <w:tcPr>
            <w:tcW w:w="992" w:type="dxa"/>
            <w:vAlign w:val="center"/>
          </w:tcPr>
          <w:p w14:paraId="7E314AB9" w14:textId="7AF393D4"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64</w:t>
            </w:r>
          </w:p>
        </w:tc>
        <w:tc>
          <w:tcPr>
            <w:tcW w:w="709" w:type="dxa"/>
            <w:vAlign w:val="center"/>
          </w:tcPr>
          <w:p w14:paraId="440C871B" w14:textId="6D7B2074" w:rsidR="002C3165" w:rsidRPr="007C747A" w:rsidRDefault="002C3165" w:rsidP="00AE321D">
            <w:pPr>
              <w:keepNext/>
              <w:widowControl w:val="0"/>
              <w:autoSpaceDE w:val="0"/>
              <w:autoSpaceDN w:val="0"/>
              <w:spacing w:before="1"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w:t>
            </w:r>
          </w:p>
        </w:tc>
        <w:tc>
          <w:tcPr>
            <w:tcW w:w="733" w:type="dxa"/>
            <w:vAlign w:val="center"/>
          </w:tcPr>
          <w:p w14:paraId="2FA7DFDD" w14:textId="2798E679"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68</w:t>
            </w:r>
          </w:p>
        </w:tc>
        <w:tc>
          <w:tcPr>
            <w:tcW w:w="928" w:type="dxa"/>
            <w:vAlign w:val="center"/>
          </w:tcPr>
          <w:p w14:paraId="5643FEF2" w14:textId="2FCE6BD3"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188</w:t>
            </w:r>
          </w:p>
        </w:tc>
        <w:tc>
          <w:tcPr>
            <w:tcW w:w="928" w:type="dxa"/>
            <w:vAlign w:val="center"/>
          </w:tcPr>
          <w:p w14:paraId="099865B4" w14:textId="1D0B5C84"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29</w:t>
            </w:r>
          </w:p>
        </w:tc>
        <w:tc>
          <w:tcPr>
            <w:tcW w:w="928" w:type="dxa"/>
            <w:vAlign w:val="center"/>
          </w:tcPr>
          <w:p w14:paraId="3682716C" w14:textId="57E8E5C8"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217</w:t>
            </w:r>
          </w:p>
        </w:tc>
        <w:tc>
          <w:tcPr>
            <w:tcW w:w="928" w:type="dxa"/>
            <w:vAlign w:val="center"/>
          </w:tcPr>
          <w:p w14:paraId="45461D91" w14:textId="1CC3FB7B"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DE91BA5" w14:textId="25935EA6"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2D645DB" w14:textId="21A2CC4A"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5142D63F" w14:textId="7D83FF62" w:rsidR="002C3165" w:rsidRPr="007C747A" w:rsidRDefault="002C3165"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285</w:t>
            </w:r>
          </w:p>
        </w:tc>
      </w:tr>
      <w:tr w:rsidR="002C3165" w:rsidRPr="007C747A" w14:paraId="1FA7120C"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3507B3E" w14:textId="77777777" w:rsidR="002C3165" w:rsidRPr="007C747A" w:rsidRDefault="002C3165" w:rsidP="002C3165">
            <w:pPr>
              <w:keepNext/>
              <w:widowControl w:val="0"/>
              <w:autoSpaceDE w:val="0"/>
              <w:autoSpaceDN w:val="0"/>
              <w:spacing w:after="0" w:line="256" w:lineRule="auto"/>
              <w:ind w:right="41"/>
              <w:rPr>
                <w:rFonts w:cs="Arial"/>
                <w:sz w:val="20"/>
                <w:szCs w:val="20"/>
                <w:lang w:val="en-AU" w:eastAsia="en-US"/>
              </w:rPr>
            </w:pPr>
            <w:r w:rsidRPr="007C747A">
              <w:rPr>
                <w:rFonts w:cs="Arial"/>
                <w:color w:val="212121"/>
                <w:sz w:val="20"/>
                <w:szCs w:val="20"/>
                <w:lang w:val="en-AU" w:eastAsia="en-US"/>
              </w:rPr>
              <w:t>ACT</w:t>
            </w:r>
          </w:p>
        </w:tc>
        <w:tc>
          <w:tcPr>
            <w:tcW w:w="992" w:type="dxa"/>
            <w:vAlign w:val="center"/>
          </w:tcPr>
          <w:p w14:paraId="1194AF8D" w14:textId="4BE93DE6"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78</w:t>
            </w:r>
          </w:p>
        </w:tc>
        <w:tc>
          <w:tcPr>
            <w:tcW w:w="709" w:type="dxa"/>
            <w:vAlign w:val="center"/>
          </w:tcPr>
          <w:p w14:paraId="101F6647" w14:textId="4DF87E97" w:rsidR="002C3165" w:rsidRPr="007C747A" w:rsidRDefault="002C3165" w:rsidP="00AE321D">
            <w:pPr>
              <w:keepNext/>
              <w:widowControl w:val="0"/>
              <w:autoSpaceDE w:val="0"/>
              <w:autoSpaceDN w:val="0"/>
              <w:spacing w:after="0" w:line="256" w:lineRule="auto"/>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w:t>
            </w:r>
          </w:p>
        </w:tc>
        <w:tc>
          <w:tcPr>
            <w:tcW w:w="733" w:type="dxa"/>
            <w:vAlign w:val="center"/>
          </w:tcPr>
          <w:p w14:paraId="1FA37229" w14:textId="511D3F1F"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84</w:t>
            </w:r>
          </w:p>
        </w:tc>
        <w:tc>
          <w:tcPr>
            <w:tcW w:w="928" w:type="dxa"/>
            <w:vAlign w:val="center"/>
          </w:tcPr>
          <w:p w14:paraId="5C5F437E" w14:textId="6A0B610D"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120</w:t>
            </w:r>
          </w:p>
        </w:tc>
        <w:tc>
          <w:tcPr>
            <w:tcW w:w="928" w:type="dxa"/>
            <w:vAlign w:val="center"/>
          </w:tcPr>
          <w:p w14:paraId="4DAD263E" w14:textId="519712ED"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19</w:t>
            </w:r>
          </w:p>
        </w:tc>
        <w:tc>
          <w:tcPr>
            <w:tcW w:w="928" w:type="dxa"/>
            <w:vAlign w:val="center"/>
          </w:tcPr>
          <w:p w14:paraId="06A100D4" w14:textId="2BBDFAD2"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139</w:t>
            </w:r>
          </w:p>
        </w:tc>
        <w:tc>
          <w:tcPr>
            <w:tcW w:w="928" w:type="dxa"/>
            <w:vAlign w:val="center"/>
          </w:tcPr>
          <w:p w14:paraId="69A9727F" w14:textId="324C1345"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tcW w:w="928" w:type="dxa"/>
            <w:vAlign w:val="center"/>
          </w:tcPr>
          <w:p w14:paraId="249A55CB" w14:textId="2B8C14C3"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4FDA168D" w14:textId="38053663"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7C9FF5D6" w14:textId="3B043A9F" w:rsidR="002C3165" w:rsidRPr="007C747A" w:rsidRDefault="002C3165" w:rsidP="00AE321D">
            <w:pPr>
              <w:keepNext/>
              <w:widowControl w:val="0"/>
              <w:autoSpaceDE w:val="0"/>
              <w:autoSpaceDN w:val="0"/>
              <w:spacing w:after="0" w:line="256" w:lineRule="auto"/>
              <w:jc w:val="right"/>
              <w:rPr>
                <w:rFonts w:cs="Arial"/>
                <w:sz w:val="20"/>
                <w:szCs w:val="20"/>
                <w:lang w:val="en-AU" w:eastAsia="en-US"/>
              </w:rPr>
            </w:pPr>
            <w:r w:rsidRPr="007C747A">
              <w:rPr>
                <w:rFonts w:cs="Arial"/>
                <w:sz w:val="20"/>
                <w:szCs w:val="20"/>
                <w:lang w:val="en-AU" w:eastAsia="en-US"/>
              </w:rPr>
              <w:t>224</w:t>
            </w:r>
          </w:p>
        </w:tc>
      </w:tr>
      <w:tr w:rsidR="002C3165" w:rsidRPr="007C747A" w14:paraId="7A1F9C6C"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676C2136" w14:textId="77777777" w:rsidR="002C3165" w:rsidRPr="007C747A" w:rsidRDefault="002C3165" w:rsidP="002C3165">
            <w:pPr>
              <w:keepNext/>
              <w:widowControl w:val="0"/>
              <w:autoSpaceDE w:val="0"/>
              <w:autoSpaceDN w:val="0"/>
              <w:spacing w:before="1" w:after="0" w:line="256" w:lineRule="auto"/>
              <w:ind w:right="39"/>
              <w:rPr>
                <w:rFonts w:cs="Arial"/>
                <w:sz w:val="20"/>
                <w:szCs w:val="20"/>
                <w:lang w:val="en-AU" w:eastAsia="en-US"/>
              </w:rPr>
            </w:pPr>
            <w:r w:rsidRPr="007C747A">
              <w:rPr>
                <w:rFonts w:cs="Arial"/>
                <w:color w:val="212121"/>
                <w:sz w:val="20"/>
                <w:szCs w:val="20"/>
                <w:lang w:val="en-AU" w:eastAsia="en-US"/>
              </w:rPr>
              <w:t>NT</w:t>
            </w:r>
          </w:p>
        </w:tc>
        <w:tc>
          <w:tcPr>
            <w:tcW w:w="992" w:type="dxa"/>
            <w:vAlign w:val="center"/>
          </w:tcPr>
          <w:p w14:paraId="3A430011" w14:textId="2C49CA9E"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15</w:t>
            </w:r>
          </w:p>
        </w:tc>
        <w:tc>
          <w:tcPr>
            <w:tcW w:w="709" w:type="dxa"/>
            <w:vAlign w:val="center"/>
          </w:tcPr>
          <w:p w14:paraId="376651C9" w14:textId="25EED59C" w:rsidR="002C3165" w:rsidRPr="007C747A" w:rsidRDefault="002C3165" w:rsidP="00AE321D">
            <w:pPr>
              <w:keepNext/>
              <w:widowControl w:val="0"/>
              <w:autoSpaceDE w:val="0"/>
              <w:autoSpaceDN w:val="0"/>
              <w:spacing w:before="1"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6B5C5C0A" w14:textId="56857CB7"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15</w:t>
            </w:r>
          </w:p>
        </w:tc>
        <w:tc>
          <w:tcPr>
            <w:tcW w:w="928" w:type="dxa"/>
            <w:vAlign w:val="center"/>
          </w:tcPr>
          <w:p w14:paraId="5143EB89" w14:textId="5A0E576A"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53</w:t>
            </w:r>
          </w:p>
        </w:tc>
        <w:tc>
          <w:tcPr>
            <w:tcW w:w="928" w:type="dxa"/>
            <w:vAlign w:val="center"/>
          </w:tcPr>
          <w:p w14:paraId="35AFC302" w14:textId="733C5CAA"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w:t>
            </w:r>
          </w:p>
        </w:tc>
        <w:tc>
          <w:tcPr>
            <w:tcW w:w="928" w:type="dxa"/>
            <w:vAlign w:val="center"/>
          </w:tcPr>
          <w:p w14:paraId="32D8EE35" w14:textId="6DBBD9D2"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60</w:t>
            </w:r>
          </w:p>
        </w:tc>
        <w:tc>
          <w:tcPr>
            <w:tcW w:w="928" w:type="dxa"/>
            <w:vAlign w:val="center"/>
          </w:tcPr>
          <w:p w14:paraId="47372FDC" w14:textId="5AA03510"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B33E523" w14:textId="4F2096AE"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0EA3DDF" w14:textId="30417252"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3554326F" w14:textId="59CB76D9" w:rsidR="002C3165" w:rsidRPr="007C747A" w:rsidRDefault="002C3165"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75</w:t>
            </w:r>
          </w:p>
        </w:tc>
      </w:tr>
      <w:tr w:rsidR="002C3165" w:rsidRPr="007C747A" w14:paraId="0F26230B"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9C0C73F" w14:textId="77777777" w:rsidR="002C3165" w:rsidRPr="007C747A" w:rsidRDefault="002C3165" w:rsidP="002C3165">
            <w:pPr>
              <w:keepNext/>
              <w:widowControl w:val="0"/>
              <w:autoSpaceDE w:val="0"/>
              <w:autoSpaceDN w:val="0"/>
              <w:spacing w:before="1" w:after="0" w:line="276" w:lineRule="auto"/>
              <w:ind w:right="24"/>
              <w:rPr>
                <w:rFonts w:cs="Arial"/>
                <w:sz w:val="20"/>
                <w:szCs w:val="20"/>
                <w:lang w:val="en-AU" w:eastAsia="en-US"/>
              </w:rPr>
            </w:pPr>
            <w:r w:rsidRPr="007C747A">
              <w:rPr>
                <w:rFonts w:cs="Arial"/>
                <w:color w:val="212121"/>
                <w:sz w:val="20"/>
                <w:szCs w:val="20"/>
                <w:lang w:val="en-AU" w:eastAsia="en-US"/>
              </w:rPr>
              <w:t>External</w:t>
            </w:r>
            <w:r w:rsidRPr="007C747A">
              <w:rPr>
                <w:rFonts w:cs="Arial"/>
                <w:color w:val="212121"/>
                <w:spacing w:val="-43"/>
                <w:sz w:val="20"/>
                <w:szCs w:val="20"/>
                <w:lang w:val="en-AU" w:eastAsia="en-US"/>
              </w:rPr>
              <w:t xml:space="preserve"> </w:t>
            </w:r>
            <w:r w:rsidRPr="007C747A">
              <w:rPr>
                <w:rFonts w:cs="Arial"/>
                <w:color w:val="212121"/>
                <w:spacing w:val="-1"/>
                <w:sz w:val="20"/>
                <w:szCs w:val="20"/>
                <w:lang w:val="en-AU" w:eastAsia="en-US"/>
              </w:rPr>
              <w:t>territories</w:t>
            </w:r>
          </w:p>
        </w:tc>
        <w:tc>
          <w:tcPr>
            <w:tcW w:w="992" w:type="dxa"/>
            <w:vAlign w:val="center"/>
          </w:tcPr>
          <w:p w14:paraId="63A87C40" w14:textId="6D9B5279" w:rsidR="002C3165" w:rsidRPr="007C747A" w:rsidRDefault="002C3165" w:rsidP="00AE321D">
            <w:pPr>
              <w:keepNext/>
              <w:widowControl w:val="0"/>
              <w:autoSpaceDE w:val="0"/>
              <w:autoSpaceDN w:val="0"/>
              <w:spacing w:before="1" w:after="0" w:line="256" w:lineRule="auto"/>
              <w:ind w:right="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09" w:type="dxa"/>
            <w:vAlign w:val="center"/>
          </w:tcPr>
          <w:p w14:paraId="51B37E36" w14:textId="7AB7DE85" w:rsidR="002C3165" w:rsidRPr="007C747A" w:rsidRDefault="002C3165" w:rsidP="00AE321D">
            <w:pPr>
              <w:keepNext/>
              <w:widowControl w:val="0"/>
              <w:autoSpaceDE w:val="0"/>
              <w:autoSpaceDN w:val="0"/>
              <w:spacing w:before="1" w:after="0" w:line="256" w:lineRule="auto"/>
              <w:ind w:right="11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6DFDCB16" w14:textId="7AE08A2D"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3C64F34B" w14:textId="1321D5EA"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7D65818" w14:textId="14182556" w:rsidR="002C3165" w:rsidRPr="007C747A" w:rsidRDefault="002C3165"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44FE4E03" w14:textId="7D5D17F9"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B0392E4" w14:textId="776DB373"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32731D0" w14:textId="468A36B1"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11AEAB24" w14:textId="3F60FE24" w:rsidR="002C3165" w:rsidRPr="007C747A" w:rsidRDefault="002C3165"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74E84EDB" w14:textId="07027CC1" w:rsidR="002C3165" w:rsidRPr="007C747A" w:rsidRDefault="002C3165" w:rsidP="00AE321D">
            <w:pPr>
              <w:keepNext/>
              <w:widowControl w:val="0"/>
              <w:autoSpaceDE w:val="0"/>
              <w:autoSpaceDN w:val="0"/>
              <w:spacing w:before="1" w:after="0" w:line="256" w:lineRule="auto"/>
              <w:ind w:right="29"/>
              <w:jc w:val="right"/>
              <w:rPr>
                <w:rFonts w:cs="Arial"/>
                <w:sz w:val="20"/>
                <w:szCs w:val="20"/>
                <w:lang w:val="en-AU" w:eastAsia="en-US"/>
              </w:rPr>
            </w:pPr>
            <w:r w:rsidRPr="007C747A">
              <w:rPr>
                <w:rFonts w:cs="Arial"/>
                <w:sz w:val="20"/>
                <w:szCs w:val="20"/>
                <w:lang w:val="en-AU" w:eastAsia="en-US"/>
              </w:rPr>
              <w:t>0</w:t>
            </w:r>
          </w:p>
        </w:tc>
      </w:tr>
      <w:tr w:rsidR="002C3165" w:rsidRPr="007C747A" w14:paraId="0E7C841D"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51B1DA9" w14:textId="77777777" w:rsidR="002C3165" w:rsidRPr="007C747A" w:rsidRDefault="002C3165" w:rsidP="002C3165">
            <w:pPr>
              <w:keepNext/>
              <w:widowControl w:val="0"/>
              <w:autoSpaceDE w:val="0"/>
              <w:autoSpaceDN w:val="0"/>
              <w:spacing w:before="1" w:after="0" w:line="256" w:lineRule="auto"/>
              <w:ind w:right="40"/>
              <w:rPr>
                <w:rFonts w:cs="Arial"/>
                <w:sz w:val="20"/>
                <w:szCs w:val="20"/>
                <w:lang w:val="en-AU" w:eastAsia="en-US"/>
              </w:rPr>
            </w:pPr>
            <w:r w:rsidRPr="007C747A">
              <w:rPr>
                <w:rFonts w:cs="Arial"/>
                <w:color w:val="212121"/>
                <w:sz w:val="20"/>
                <w:szCs w:val="20"/>
                <w:lang w:val="en-AU" w:eastAsia="en-US"/>
              </w:rPr>
              <w:t>Overseas</w:t>
            </w:r>
          </w:p>
        </w:tc>
        <w:tc>
          <w:tcPr>
            <w:tcW w:w="992" w:type="dxa"/>
            <w:vAlign w:val="center"/>
          </w:tcPr>
          <w:p w14:paraId="3C4DACDE" w14:textId="0578AB25"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09" w:type="dxa"/>
            <w:vAlign w:val="center"/>
          </w:tcPr>
          <w:p w14:paraId="0AED9DA3" w14:textId="014A524F" w:rsidR="002C3165" w:rsidRPr="007C747A" w:rsidRDefault="002C3165" w:rsidP="00AE321D">
            <w:pPr>
              <w:keepNext/>
              <w:widowControl w:val="0"/>
              <w:autoSpaceDE w:val="0"/>
              <w:autoSpaceDN w:val="0"/>
              <w:spacing w:before="1"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58C539A6" w14:textId="1B444617"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141816E" w14:textId="2541AC56"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90F108E" w14:textId="637D2543" w:rsidR="002C3165" w:rsidRPr="007C747A" w:rsidRDefault="002C3165"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1FB0F40" w14:textId="530B5E82"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1784C0CD" w14:textId="7635773E"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5AE534F1" w14:textId="7C2C7371"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62CE26F" w14:textId="5055A1DF" w:rsidR="002C3165" w:rsidRPr="007C747A" w:rsidRDefault="002C3165"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22F790D8" w14:textId="002FD08A" w:rsidR="002C3165" w:rsidRPr="007C747A" w:rsidRDefault="002C3165"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0</w:t>
            </w:r>
          </w:p>
        </w:tc>
      </w:tr>
      <w:tr w:rsidR="002C3165" w:rsidRPr="007C747A" w14:paraId="254BABBA" w14:textId="77777777" w:rsidTr="00F84584">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59E5179D" w14:textId="77777777" w:rsidR="002C3165" w:rsidRPr="007C747A" w:rsidRDefault="002C3165" w:rsidP="002C3165">
            <w:pPr>
              <w:keepNext/>
              <w:widowControl w:val="0"/>
              <w:autoSpaceDE w:val="0"/>
              <w:autoSpaceDN w:val="0"/>
              <w:spacing w:after="0" w:line="256" w:lineRule="auto"/>
              <w:ind w:right="40"/>
              <w:rPr>
                <w:rFonts w:cs="Arial"/>
                <w:iCs/>
                <w:sz w:val="20"/>
                <w:szCs w:val="20"/>
                <w:lang w:val="en-AU" w:eastAsia="en-US"/>
              </w:rPr>
            </w:pPr>
            <w:r w:rsidRPr="007C747A">
              <w:rPr>
                <w:rFonts w:cs="Arial"/>
                <w:iCs/>
                <w:sz w:val="20"/>
                <w:szCs w:val="20"/>
                <w:lang w:val="en-AU" w:eastAsia="en-US"/>
              </w:rPr>
              <w:t>Total</w:t>
            </w:r>
          </w:p>
        </w:tc>
        <w:tc>
          <w:tcPr>
            <w:tcW w:w="992" w:type="dxa"/>
            <w:vAlign w:val="center"/>
          </w:tcPr>
          <w:p w14:paraId="44C7BC06" w14:textId="45600085" w:rsidR="002C3165" w:rsidRPr="007C747A" w:rsidRDefault="002C3165" w:rsidP="00AE321D">
            <w:pPr>
              <w:keepNext/>
              <w:widowControl w:val="0"/>
              <w:autoSpaceDE w:val="0"/>
              <w:autoSpaceDN w:val="0"/>
              <w:spacing w:after="0" w:line="256" w:lineRule="auto"/>
              <w:ind w:right="3"/>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1,052</w:t>
            </w:r>
          </w:p>
        </w:tc>
        <w:tc>
          <w:tcPr>
            <w:tcW w:w="709" w:type="dxa"/>
            <w:vAlign w:val="center"/>
          </w:tcPr>
          <w:p w14:paraId="3D8511CA" w14:textId="0F00C59D" w:rsidR="002C3165" w:rsidRPr="007C747A" w:rsidRDefault="002C3165" w:rsidP="00AE321D">
            <w:pPr>
              <w:keepNext/>
              <w:widowControl w:val="0"/>
              <w:autoSpaceDE w:val="0"/>
              <w:autoSpaceDN w:val="0"/>
              <w:spacing w:after="0" w:line="256" w:lineRule="auto"/>
              <w:ind w:right="117"/>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69</w:t>
            </w:r>
          </w:p>
        </w:tc>
        <w:tc>
          <w:tcPr>
            <w:tcW w:w="733" w:type="dxa"/>
            <w:vAlign w:val="center"/>
          </w:tcPr>
          <w:p w14:paraId="35084388" w14:textId="2BA9CAFD"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1,121</w:t>
            </w:r>
          </w:p>
        </w:tc>
        <w:tc>
          <w:tcPr>
            <w:tcW w:w="928" w:type="dxa"/>
            <w:vAlign w:val="center"/>
          </w:tcPr>
          <w:p w14:paraId="19138762" w14:textId="2BDD132B"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2,761</w:t>
            </w:r>
          </w:p>
        </w:tc>
        <w:tc>
          <w:tcPr>
            <w:tcW w:w="928" w:type="dxa"/>
            <w:vAlign w:val="center"/>
          </w:tcPr>
          <w:p w14:paraId="1D3D7F50" w14:textId="5B35287E"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631</w:t>
            </w:r>
          </w:p>
        </w:tc>
        <w:tc>
          <w:tcPr>
            <w:tcW w:w="928" w:type="dxa"/>
            <w:vAlign w:val="center"/>
          </w:tcPr>
          <w:p w14:paraId="5B49E931" w14:textId="0148360A"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r w:rsidR="008F1C08" w:rsidRPr="007C747A">
              <w:rPr>
                <w:rFonts w:cs="Arial"/>
                <w:sz w:val="20"/>
                <w:szCs w:val="20"/>
                <w:lang w:val="en-AU" w:eastAsia="en-US"/>
              </w:rPr>
              <w:t>,</w:t>
            </w:r>
            <w:r w:rsidRPr="007C747A">
              <w:rPr>
                <w:rFonts w:cs="Arial"/>
                <w:sz w:val="20"/>
                <w:szCs w:val="20"/>
                <w:lang w:val="en-AU" w:eastAsia="en-US"/>
              </w:rPr>
              <w:t>392</w:t>
            </w:r>
          </w:p>
        </w:tc>
        <w:tc>
          <w:tcPr>
            <w:tcW w:w="928" w:type="dxa"/>
            <w:vAlign w:val="center"/>
          </w:tcPr>
          <w:p w14:paraId="3D83E16E" w14:textId="624F4610"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w:t>
            </w:r>
          </w:p>
        </w:tc>
        <w:tc>
          <w:tcPr>
            <w:tcW w:w="928" w:type="dxa"/>
            <w:vAlign w:val="center"/>
          </w:tcPr>
          <w:p w14:paraId="076C10A1" w14:textId="163FBCF1"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tcW w:w="928" w:type="dxa"/>
            <w:vAlign w:val="center"/>
          </w:tcPr>
          <w:p w14:paraId="57C6B7E5" w14:textId="264016F6" w:rsidR="002C3165" w:rsidRPr="007C747A" w:rsidRDefault="002C3165"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6</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7D89AA00" w14:textId="03BD91B2" w:rsidR="002C3165" w:rsidRPr="007C747A" w:rsidRDefault="002C3165" w:rsidP="00AE321D">
            <w:pPr>
              <w:keepNext/>
              <w:widowControl w:val="0"/>
              <w:autoSpaceDE w:val="0"/>
              <w:autoSpaceDN w:val="0"/>
              <w:spacing w:after="0" w:line="256" w:lineRule="auto"/>
              <w:ind w:right="29"/>
              <w:jc w:val="right"/>
              <w:rPr>
                <w:rFonts w:cs="Arial"/>
                <w:sz w:val="20"/>
                <w:szCs w:val="20"/>
                <w:lang w:val="en-AU" w:eastAsia="en-US"/>
              </w:rPr>
            </w:pPr>
            <w:r w:rsidRPr="007C747A">
              <w:rPr>
                <w:rFonts w:cs="Arial"/>
                <w:sz w:val="20"/>
                <w:szCs w:val="20"/>
                <w:lang w:val="en-AU" w:eastAsia="en-US"/>
              </w:rPr>
              <w:t>4,519</w:t>
            </w:r>
          </w:p>
        </w:tc>
      </w:tr>
    </w:tbl>
    <w:p w14:paraId="3521824F" w14:textId="377D0207" w:rsidR="0087652E" w:rsidRPr="007C747A" w:rsidRDefault="0087652E" w:rsidP="001A0235">
      <w:pPr>
        <w:pStyle w:val="Heading43"/>
        <w:ind w:left="0"/>
      </w:pPr>
      <w:r w:rsidRPr="007C747A">
        <w:t xml:space="preserve">Table </w:t>
      </w:r>
      <w:r w:rsidR="00536407" w:rsidRPr="007C747A">
        <w:t>6</w:t>
      </w:r>
      <w:r w:rsidRPr="007C747A">
        <w:t>.</w:t>
      </w:r>
      <w:r w:rsidR="00603DC1" w:rsidRPr="007C747A">
        <w:t>4</w:t>
      </w:r>
      <w:r w:rsidRPr="007C747A">
        <w:t>D: All non-ongoing employees previous reporting period (</w:t>
      </w:r>
      <w:r w:rsidR="00313551" w:rsidRPr="007C747A">
        <w:t>2021</w:t>
      </w:r>
      <w:r w:rsidR="00271B50" w:rsidRPr="007C747A">
        <w:t>–2</w:t>
      </w:r>
      <w:r w:rsidR="00313551" w:rsidRPr="007C747A">
        <w:t>2</w:t>
      </w:r>
      <w:r w:rsidRPr="007C747A">
        <w:t>)</w:t>
      </w:r>
    </w:p>
    <w:tbl>
      <w:tblPr>
        <w:tblStyle w:val="GridTable2-Accent312"/>
        <w:tblW w:w="10206" w:type="dxa"/>
        <w:tblLayout w:type="fixed"/>
        <w:tblLook w:val="01E0" w:firstRow="1" w:lastRow="1" w:firstColumn="1" w:lastColumn="1" w:noHBand="0" w:noVBand="0"/>
      </w:tblPr>
      <w:tblGrid>
        <w:gridCol w:w="1276"/>
        <w:gridCol w:w="992"/>
        <w:gridCol w:w="709"/>
        <w:gridCol w:w="733"/>
        <w:gridCol w:w="928"/>
        <w:gridCol w:w="928"/>
        <w:gridCol w:w="928"/>
        <w:gridCol w:w="928"/>
        <w:gridCol w:w="928"/>
        <w:gridCol w:w="928"/>
        <w:gridCol w:w="928"/>
      </w:tblGrid>
      <w:tr w:rsidR="00DD2459" w:rsidRPr="007C747A" w14:paraId="6B076DA3" w14:textId="77777777" w:rsidTr="00AF7482">
        <w:trPr>
          <w:cnfStyle w:val="100000000000" w:firstRow="1" w:lastRow="0" w:firstColumn="0" w:lastColumn="0" w:oddVBand="0" w:evenVBand="0" w:oddHBand="0" w:evenHBand="0" w:firstRowFirstColumn="0" w:firstRowLastColumn="0" w:lastRowFirstColumn="0" w:lastRowLastColumn="0"/>
          <w:cantSplit/>
          <w:trHeight w:val="1588"/>
          <w:tblHead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9D89BA4" w14:textId="09DBEA6A" w:rsidR="00DD2459" w:rsidRPr="007C747A" w:rsidRDefault="002C3165" w:rsidP="007E1CDD">
            <w:pPr>
              <w:keepNext/>
              <w:widowControl w:val="0"/>
              <w:autoSpaceDE w:val="0"/>
              <w:autoSpaceDN w:val="0"/>
              <w:spacing w:after="0" w:line="256" w:lineRule="auto"/>
              <w:ind w:left="113" w:right="113"/>
              <w:jc w:val="both"/>
              <w:rPr>
                <w:rFonts w:cs="Arial"/>
                <w:color w:val="F9FAF9" w:themeColor="background2"/>
                <w:sz w:val="20"/>
                <w:szCs w:val="20"/>
                <w:lang w:val="en-AU" w:eastAsia="en-US"/>
              </w:rPr>
            </w:pPr>
            <w:r w:rsidRPr="00B001F8">
              <w:rPr>
                <w:rFonts w:cs="Arial"/>
                <w:color w:val="6B2876" w:themeColor="text2"/>
                <w:sz w:val="20"/>
                <w:szCs w:val="20"/>
                <w:lang w:val="en-AU" w:eastAsia="en-US"/>
              </w:rPr>
              <w:t>Blank</w:t>
            </w:r>
          </w:p>
        </w:tc>
        <w:tc>
          <w:tcPr>
            <w:tcW w:w="992"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65D7BE8D"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Full</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Male</w:t>
            </w:r>
          </w:p>
        </w:tc>
        <w:tc>
          <w:tcPr>
            <w:tcW w:w="709"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20B612D2"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Part</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Male</w:t>
            </w:r>
          </w:p>
        </w:tc>
        <w:tc>
          <w:tcPr>
            <w:tcW w:w="733"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03FCD5D7"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color w:val="F9FAF9" w:themeColor="background2"/>
                <w:sz w:val="20"/>
                <w:szCs w:val="20"/>
                <w:lang w:val="en-AU" w:eastAsia="en-US"/>
              </w:rPr>
            </w:pPr>
            <w:r w:rsidRPr="007C747A">
              <w:rPr>
                <w:rFonts w:cs="Arial"/>
                <w:i/>
                <w:sz w:val="20"/>
                <w:szCs w:val="20"/>
                <w:lang w:val="en-AU" w:eastAsia="en-US"/>
              </w:rPr>
              <w:t>Total</w:t>
            </w:r>
            <w:r w:rsidRPr="007C747A">
              <w:rPr>
                <w:rFonts w:cs="Arial"/>
                <w:i/>
                <w:spacing w:val="-43"/>
                <w:sz w:val="20"/>
                <w:szCs w:val="20"/>
                <w:lang w:val="en-AU" w:eastAsia="en-US"/>
              </w:rPr>
              <w:t xml:space="preserve"> </w:t>
            </w:r>
            <w:r w:rsidRPr="007C747A">
              <w:rPr>
                <w:rFonts w:cs="Arial"/>
                <w:i/>
                <w:sz w:val="20"/>
                <w:szCs w:val="20"/>
                <w:lang w:val="en-AU" w:eastAsia="en-US"/>
              </w:rPr>
              <w:t>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15A43A87"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Full</w:t>
            </w:r>
            <w:r w:rsidRPr="007C747A">
              <w:rPr>
                <w:rFonts w:cs="Arial"/>
                <w:sz w:val="20"/>
                <w:szCs w:val="20"/>
                <w:lang w:val="en-AU" w:eastAsia="en-US"/>
              </w:rPr>
              <w:br/>
              <w:t>time</w:t>
            </w:r>
            <w:r w:rsidRPr="007C747A">
              <w:rPr>
                <w:rFonts w:cs="Arial"/>
                <w:b w:val="0"/>
                <w:sz w:val="20"/>
                <w:szCs w:val="20"/>
                <w:lang w:val="en-AU" w:eastAsia="en-US"/>
              </w:rPr>
              <w:t xml:space="preserve"> Female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86600F8"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Part</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Female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5C3FFF36"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color w:val="F9FAF9" w:themeColor="background2"/>
                <w:sz w:val="20"/>
                <w:szCs w:val="20"/>
                <w:lang w:val="en-AU" w:eastAsia="en-US"/>
              </w:rPr>
            </w:pPr>
            <w:r w:rsidRPr="007C747A">
              <w:rPr>
                <w:rFonts w:cs="Arial"/>
                <w:i/>
                <w:sz w:val="20"/>
                <w:szCs w:val="20"/>
                <w:lang w:val="en-AU" w:eastAsia="en-US"/>
              </w:rPr>
              <w:t>Total</w:t>
            </w:r>
            <w:r w:rsidRPr="007C747A">
              <w:rPr>
                <w:rFonts w:cs="Arial"/>
                <w:i/>
                <w:spacing w:val="1"/>
                <w:sz w:val="20"/>
                <w:szCs w:val="20"/>
                <w:lang w:val="en-AU" w:eastAsia="en-US"/>
              </w:rPr>
              <w:t xml:space="preserve"> </w:t>
            </w:r>
            <w:r w:rsidRPr="007C747A">
              <w:rPr>
                <w:rFonts w:cs="Arial"/>
                <w:i/>
                <w:sz w:val="20"/>
                <w:szCs w:val="20"/>
                <w:lang w:val="en-AU" w:eastAsia="en-US"/>
              </w:rPr>
              <w:t>female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1E2EA1A5"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Full</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Indeterminate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7DFC0769"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b w:val="0"/>
                <w:bCs w:val="0"/>
                <w:color w:val="F9FAF9" w:themeColor="background2"/>
                <w:sz w:val="20"/>
                <w:szCs w:val="20"/>
                <w:lang w:val="en-AU" w:eastAsia="en-US"/>
              </w:rPr>
            </w:pPr>
            <w:r w:rsidRPr="007C747A">
              <w:rPr>
                <w:rFonts w:cs="Arial"/>
                <w:sz w:val="20"/>
                <w:szCs w:val="20"/>
                <w:lang w:val="en-AU" w:eastAsia="en-US"/>
              </w:rPr>
              <w:t>Part</w:t>
            </w:r>
            <w:r w:rsidRPr="007C747A">
              <w:rPr>
                <w:rFonts w:cs="Arial"/>
                <w:spacing w:val="-1"/>
                <w:sz w:val="20"/>
                <w:szCs w:val="20"/>
                <w:lang w:val="en-AU" w:eastAsia="en-US"/>
              </w:rPr>
              <w:t xml:space="preserve"> </w:t>
            </w:r>
            <w:r w:rsidRPr="007C747A">
              <w:rPr>
                <w:rFonts w:cs="Arial"/>
                <w:sz w:val="20"/>
                <w:szCs w:val="20"/>
                <w:lang w:val="en-AU" w:eastAsia="en-US"/>
              </w:rPr>
              <w:t>time</w:t>
            </w:r>
            <w:r w:rsidRPr="007C747A">
              <w:rPr>
                <w:rFonts w:cs="Arial"/>
                <w:b w:val="0"/>
                <w:sz w:val="20"/>
                <w:szCs w:val="20"/>
                <w:lang w:val="en-AU" w:eastAsia="en-US"/>
              </w:rPr>
              <w:t xml:space="preserve"> Indeterminate</w:t>
            </w:r>
          </w:p>
        </w:tc>
        <w:tc>
          <w:tcPr>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tcPr>
          <w:p w14:paraId="48B54A7E" w14:textId="77777777" w:rsidR="00DD2459" w:rsidRPr="007C747A" w:rsidRDefault="00DD2459">
            <w:pPr>
              <w:keepNext/>
              <w:widowControl w:val="0"/>
              <w:autoSpaceDE w:val="0"/>
              <w:autoSpaceDN w:val="0"/>
              <w:spacing w:before="1" w:after="0" w:line="256" w:lineRule="auto"/>
              <w:ind w:left="113" w:right="113"/>
              <w:cnfStyle w:val="100000000000" w:firstRow="1" w:lastRow="0" w:firstColumn="0" w:lastColumn="0" w:oddVBand="0" w:evenVBand="0" w:oddHBand="0" w:evenHBand="0" w:firstRowFirstColumn="0" w:firstRowLastColumn="0" w:lastRowFirstColumn="0" w:lastRowLastColumn="0"/>
              <w:rPr>
                <w:rFonts w:cs="Arial"/>
                <w:color w:val="F9FAF9" w:themeColor="background2"/>
                <w:sz w:val="20"/>
                <w:szCs w:val="20"/>
                <w:lang w:val="en-AU" w:eastAsia="en-US"/>
              </w:rPr>
            </w:pPr>
            <w:r w:rsidRPr="007C747A">
              <w:rPr>
                <w:rFonts w:cs="Arial"/>
                <w:i/>
                <w:sz w:val="20"/>
                <w:szCs w:val="20"/>
                <w:lang w:val="en-AU" w:eastAsia="en-US"/>
              </w:rPr>
              <w:t>Total</w:t>
            </w:r>
            <w:r w:rsidRPr="007C747A">
              <w:rPr>
                <w:rFonts w:cs="Arial"/>
                <w:i/>
                <w:spacing w:val="1"/>
                <w:sz w:val="20"/>
                <w:szCs w:val="20"/>
                <w:lang w:val="en-AU" w:eastAsia="en-US"/>
              </w:rPr>
              <w:t xml:space="preserve"> </w:t>
            </w:r>
            <w:r w:rsidRPr="007C747A">
              <w:rPr>
                <w:rFonts w:cs="Arial"/>
                <w:i/>
                <w:sz w:val="20"/>
                <w:szCs w:val="20"/>
                <w:lang w:val="en-AU" w:eastAsia="en-US"/>
              </w:rPr>
              <w:t>indeterminate</w:t>
            </w:r>
          </w:p>
        </w:tc>
        <w:tc>
          <w:tcPr>
            <w:cnfStyle w:val="000100000000" w:firstRow="0" w:lastRow="0" w:firstColumn="0" w:lastColumn="1" w:oddVBand="0" w:evenVBand="0" w:oddHBand="0" w:evenHBand="0" w:firstRowFirstColumn="0" w:firstRowLastColumn="0" w:lastRowFirstColumn="0" w:lastRowLastColumn="0"/>
            <w:tcW w:w="928" w:type="dxa"/>
            <w:tcBorders>
              <w:top w:val="single" w:sz="4" w:space="0" w:color="F9FAF9" w:themeColor="background2"/>
              <w:left w:val="single" w:sz="4" w:space="0" w:color="F9FAF9" w:themeColor="background2"/>
              <w:bottom w:val="single" w:sz="4" w:space="0" w:color="F9FAF9" w:themeColor="background2"/>
              <w:right w:val="single" w:sz="4" w:space="0" w:color="F9FAF9" w:themeColor="background2"/>
            </w:tcBorders>
            <w:textDirection w:val="btLr"/>
            <w:hideMark/>
          </w:tcPr>
          <w:p w14:paraId="6DF7ADA5" w14:textId="77777777" w:rsidR="00DD2459" w:rsidRPr="007C747A" w:rsidRDefault="00DD2459">
            <w:pPr>
              <w:keepNext/>
              <w:widowControl w:val="0"/>
              <w:autoSpaceDE w:val="0"/>
              <w:autoSpaceDN w:val="0"/>
              <w:spacing w:before="1" w:after="0" w:line="256" w:lineRule="auto"/>
              <w:ind w:left="113" w:right="206"/>
              <w:rPr>
                <w:rFonts w:cs="Arial"/>
                <w:iCs/>
                <w:color w:val="F9FAF9" w:themeColor="background2"/>
                <w:sz w:val="20"/>
                <w:szCs w:val="20"/>
                <w:lang w:val="en-AU" w:eastAsia="en-US"/>
              </w:rPr>
            </w:pPr>
            <w:r w:rsidRPr="007C747A">
              <w:rPr>
                <w:rFonts w:cs="Arial"/>
                <w:sz w:val="20"/>
                <w:szCs w:val="20"/>
                <w:lang w:val="en-AU" w:eastAsia="en-US"/>
              </w:rPr>
              <w:t>Total</w:t>
            </w:r>
          </w:p>
        </w:tc>
      </w:tr>
      <w:tr w:rsidR="005B3040" w:rsidRPr="007C747A" w14:paraId="60BE36A9" w14:textId="77777777" w:rsidTr="00AF748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F9FAF9" w:themeColor="background2"/>
            </w:tcBorders>
            <w:vAlign w:val="center"/>
          </w:tcPr>
          <w:p w14:paraId="549BBABF" w14:textId="77777777" w:rsidR="005B3040" w:rsidRPr="007C747A" w:rsidRDefault="005B3040" w:rsidP="005B3040">
            <w:pPr>
              <w:keepNext/>
              <w:widowControl w:val="0"/>
              <w:autoSpaceDE w:val="0"/>
              <w:autoSpaceDN w:val="0"/>
              <w:spacing w:after="0" w:line="256" w:lineRule="auto"/>
              <w:ind w:right="39"/>
              <w:rPr>
                <w:rFonts w:cs="Arial"/>
                <w:sz w:val="20"/>
                <w:szCs w:val="20"/>
                <w:lang w:val="en-AU" w:eastAsia="en-US"/>
              </w:rPr>
            </w:pPr>
            <w:r w:rsidRPr="007C747A">
              <w:rPr>
                <w:rFonts w:cs="Arial"/>
                <w:color w:val="212121"/>
                <w:sz w:val="20"/>
                <w:szCs w:val="20"/>
                <w:lang w:val="en-AU" w:eastAsia="en-US"/>
              </w:rPr>
              <w:t>NSW</w:t>
            </w:r>
          </w:p>
        </w:tc>
        <w:tc>
          <w:tcPr>
            <w:tcW w:w="992" w:type="dxa"/>
            <w:tcBorders>
              <w:top w:val="single" w:sz="4" w:space="0" w:color="F9FAF9" w:themeColor="background2"/>
            </w:tcBorders>
            <w:vAlign w:val="center"/>
          </w:tcPr>
          <w:p w14:paraId="7558030E" w14:textId="58CFA435" w:rsidR="005B3040" w:rsidRPr="007C747A" w:rsidRDefault="005B3040" w:rsidP="00AE321D">
            <w:pPr>
              <w:keepNext/>
              <w:widowControl w:val="0"/>
              <w:autoSpaceDE w:val="0"/>
              <w:autoSpaceDN w:val="0"/>
              <w:spacing w:after="0" w:line="256" w:lineRule="auto"/>
              <w:ind w:right="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22</w:t>
            </w:r>
          </w:p>
        </w:tc>
        <w:tc>
          <w:tcPr>
            <w:tcW w:w="709" w:type="dxa"/>
            <w:tcBorders>
              <w:top w:val="single" w:sz="4" w:space="0" w:color="F9FAF9" w:themeColor="background2"/>
            </w:tcBorders>
            <w:vAlign w:val="center"/>
          </w:tcPr>
          <w:p w14:paraId="4C7A2FD7" w14:textId="30DB6A09" w:rsidR="005B3040" w:rsidRPr="007C747A" w:rsidRDefault="005B3040" w:rsidP="00AE321D">
            <w:pPr>
              <w:keepNext/>
              <w:widowControl w:val="0"/>
              <w:autoSpaceDE w:val="0"/>
              <w:autoSpaceDN w:val="0"/>
              <w:spacing w:after="0" w:line="256" w:lineRule="auto"/>
              <w:ind w:right="35"/>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tcW w:w="733" w:type="dxa"/>
            <w:tcBorders>
              <w:top w:val="single" w:sz="4" w:space="0" w:color="F9FAF9" w:themeColor="background2"/>
            </w:tcBorders>
            <w:vAlign w:val="center"/>
          </w:tcPr>
          <w:p w14:paraId="068A1969" w14:textId="6C7F9A82"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23</w:t>
            </w:r>
          </w:p>
        </w:tc>
        <w:tc>
          <w:tcPr>
            <w:tcW w:w="928" w:type="dxa"/>
            <w:tcBorders>
              <w:top w:val="single" w:sz="4" w:space="0" w:color="F9FAF9" w:themeColor="background2"/>
            </w:tcBorders>
            <w:vAlign w:val="center"/>
          </w:tcPr>
          <w:p w14:paraId="7AFD7D80" w14:textId="765752C0"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76</w:t>
            </w:r>
          </w:p>
        </w:tc>
        <w:tc>
          <w:tcPr>
            <w:tcW w:w="928" w:type="dxa"/>
            <w:tcBorders>
              <w:top w:val="single" w:sz="4" w:space="0" w:color="F9FAF9" w:themeColor="background2"/>
            </w:tcBorders>
            <w:vAlign w:val="center"/>
          </w:tcPr>
          <w:p w14:paraId="69C485B8" w14:textId="0F0E94C0"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w:t>
            </w:r>
          </w:p>
        </w:tc>
        <w:tc>
          <w:tcPr>
            <w:tcW w:w="928" w:type="dxa"/>
            <w:tcBorders>
              <w:top w:val="single" w:sz="4" w:space="0" w:color="F9FAF9" w:themeColor="background2"/>
            </w:tcBorders>
            <w:vAlign w:val="center"/>
          </w:tcPr>
          <w:p w14:paraId="334AC52D" w14:textId="3D6D4D1C"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83</w:t>
            </w:r>
          </w:p>
        </w:tc>
        <w:tc>
          <w:tcPr>
            <w:tcW w:w="928" w:type="dxa"/>
            <w:tcBorders>
              <w:top w:val="single" w:sz="4" w:space="0" w:color="F9FAF9" w:themeColor="background2"/>
            </w:tcBorders>
            <w:vAlign w:val="center"/>
          </w:tcPr>
          <w:p w14:paraId="567B2750" w14:textId="25341054"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tcBorders>
              <w:top w:val="single" w:sz="4" w:space="0" w:color="F9FAF9" w:themeColor="background2"/>
            </w:tcBorders>
            <w:vAlign w:val="center"/>
          </w:tcPr>
          <w:p w14:paraId="4DA00B58" w14:textId="5963223B"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tcBorders>
              <w:top w:val="single" w:sz="4" w:space="0" w:color="F9FAF9" w:themeColor="background2"/>
            </w:tcBorders>
            <w:vAlign w:val="center"/>
          </w:tcPr>
          <w:p w14:paraId="0FDFFC4C" w14:textId="4B2528B8"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tcBorders>
              <w:top w:val="single" w:sz="4" w:space="0" w:color="F9FAF9" w:themeColor="background2"/>
            </w:tcBorders>
            <w:vAlign w:val="center"/>
          </w:tcPr>
          <w:p w14:paraId="1EDEB479" w14:textId="6B97FB46" w:rsidR="005B3040" w:rsidRPr="007C747A" w:rsidRDefault="005B3040" w:rsidP="00AE321D">
            <w:pPr>
              <w:keepNext/>
              <w:widowControl w:val="0"/>
              <w:autoSpaceDE w:val="0"/>
              <w:autoSpaceDN w:val="0"/>
              <w:spacing w:after="0" w:line="256" w:lineRule="auto"/>
              <w:ind w:right="29"/>
              <w:jc w:val="right"/>
              <w:rPr>
                <w:rFonts w:cs="Arial"/>
                <w:sz w:val="20"/>
                <w:szCs w:val="20"/>
                <w:lang w:val="en-AU" w:eastAsia="en-US"/>
              </w:rPr>
            </w:pPr>
            <w:r w:rsidRPr="007C747A">
              <w:rPr>
                <w:rFonts w:cs="Arial"/>
                <w:sz w:val="20"/>
                <w:szCs w:val="20"/>
                <w:lang w:val="en-AU" w:eastAsia="en-US"/>
              </w:rPr>
              <w:t>106</w:t>
            </w:r>
          </w:p>
        </w:tc>
      </w:tr>
      <w:tr w:rsidR="005B3040" w:rsidRPr="007C747A" w14:paraId="48E5D3D6"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C43CDC7" w14:textId="77777777" w:rsidR="005B3040" w:rsidRPr="007C747A" w:rsidRDefault="005B3040" w:rsidP="005B3040">
            <w:pPr>
              <w:keepNext/>
              <w:widowControl w:val="0"/>
              <w:autoSpaceDE w:val="0"/>
              <w:autoSpaceDN w:val="0"/>
              <w:spacing w:before="1" w:after="0" w:line="256" w:lineRule="auto"/>
              <w:ind w:right="39"/>
              <w:rPr>
                <w:rFonts w:cs="Arial"/>
                <w:sz w:val="20"/>
                <w:szCs w:val="20"/>
                <w:lang w:val="en-AU" w:eastAsia="en-US"/>
              </w:rPr>
            </w:pPr>
            <w:r w:rsidRPr="007C747A">
              <w:rPr>
                <w:rFonts w:cs="Arial"/>
                <w:color w:val="212121"/>
                <w:sz w:val="20"/>
                <w:szCs w:val="20"/>
                <w:lang w:val="en-AU" w:eastAsia="en-US"/>
              </w:rPr>
              <w:t>Qld</w:t>
            </w:r>
          </w:p>
        </w:tc>
        <w:tc>
          <w:tcPr>
            <w:tcW w:w="992" w:type="dxa"/>
            <w:vAlign w:val="center"/>
          </w:tcPr>
          <w:p w14:paraId="503A4A12" w14:textId="408FA3DE" w:rsidR="005B3040" w:rsidRPr="007C747A" w:rsidRDefault="005B3040" w:rsidP="00AE321D">
            <w:pPr>
              <w:keepNext/>
              <w:widowControl w:val="0"/>
              <w:autoSpaceDE w:val="0"/>
              <w:autoSpaceDN w:val="0"/>
              <w:spacing w:before="1" w:after="0" w:line="256" w:lineRule="auto"/>
              <w:ind w:right="3"/>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38</w:t>
            </w:r>
          </w:p>
        </w:tc>
        <w:tc>
          <w:tcPr>
            <w:tcW w:w="709" w:type="dxa"/>
            <w:vAlign w:val="center"/>
          </w:tcPr>
          <w:p w14:paraId="67387B44" w14:textId="618E43CD" w:rsidR="005B3040" w:rsidRPr="007C747A" w:rsidRDefault="005B3040" w:rsidP="00AE321D">
            <w:pPr>
              <w:keepNext/>
              <w:widowControl w:val="0"/>
              <w:autoSpaceDE w:val="0"/>
              <w:autoSpaceDN w:val="0"/>
              <w:spacing w:before="1" w:after="0" w:line="256" w:lineRule="auto"/>
              <w:ind w:right="35"/>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tcW w:w="733" w:type="dxa"/>
            <w:vAlign w:val="center"/>
          </w:tcPr>
          <w:p w14:paraId="7CDDBAAA" w14:textId="29CC0C9B"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39</w:t>
            </w:r>
          </w:p>
        </w:tc>
        <w:tc>
          <w:tcPr>
            <w:tcW w:w="928" w:type="dxa"/>
            <w:vAlign w:val="center"/>
          </w:tcPr>
          <w:p w14:paraId="614EF93A" w14:textId="140C56D3"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102</w:t>
            </w:r>
          </w:p>
        </w:tc>
        <w:tc>
          <w:tcPr>
            <w:tcW w:w="928" w:type="dxa"/>
            <w:vAlign w:val="center"/>
          </w:tcPr>
          <w:p w14:paraId="2DBC0E72" w14:textId="386B9F31"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10</w:t>
            </w:r>
          </w:p>
        </w:tc>
        <w:tc>
          <w:tcPr>
            <w:tcW w:w="928" w:type="dxa"/>
            <w:vAlign w:val="center"/>
          </w:tcPr>
          <w:p w14:paraId="2283063B" w14:textId="13C6D9AB"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112</w:t>
            </w:r>
          </w:p>
        </w:tc>
        <w:tc>
          <w:tcPr>
            <w:tcW w:w="928" w:type="dxa"/>
            <w:vAlign w:val="center"/>
          </w:tcPr>
          <w:p w14:paraId="1792BE9B" w14:textId="4E9937CF" w:rsidR="005B3040" w:rsidRPr="007C747A" w:rsidRDefault="005B3040" w:rsidP="00AE321D">
            <w:pPr>
              <w:keepNext/>
              <w:widowControl w:val="0"/>
              <w:autoSpaceDE w:val="0"/>
              <w:autoSpaceDN w:val="0"/>
              <w:spacing w:before="1" w:after="0" w:line="256" w:lineRule="auto"/>
              <w:ind w:right="1"/>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73A70A7C" w14:textId="66FECD00"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A4A3081" w14:textId="580B59CE"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3B33AFA3" w14:textId="468127C0" w:rsidR="005B3040" w:rsidRPr="007C747A" w:rsidRDefault="005B3040" w:rsidP="00AE321D">
            <w:pPr>
              <w:keepNext/>
              <w:widowControl w:val="0"/>
              <w:autoSpaceDE w:val="0"/>
              <w:autoSpaceDN w:val="0"/>
              <w:spacing w:before="1" w:after="0" w:line="256" w:lineRule="auto"/>
              <w:ind w:right="29"/>
              <w:jc w:val="right"/>
              <w:rPr>
                <w:rFonts w:cs="Arial"/>
                <w:sz w:val="20"/>
                <w:szCs w:val="20"/>
                <w:lang w:val="en-AU" w:eastAsia="en-US"/>
              </w:rPr>
            </w:pPr>
            <w:r w:rsidRPr="007C747A">
              <w:rPr>
                <w:rFonts w:cs="Arial"/>
                <w:sz w:val="20"/>
                <w:szCs w:val="20"/>
                <w:lang w:val="en-AU" w:eastAsia="en-US"/>
              </w:rPr>
              <w:t>151</w:t>
            </w:r>
          </w:p>
        </w:tc>
      </w:tr>
      <w:tr w:rsidR="005B3040" w:rsidRPr="007C747A" w14:paraId="677D15E2"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33FC877E" w14:textId="77777777" w:rsidR="005B3040" w:rsidRPr="007C747A" w:rsidRDefault="005B3040" w:rsidP="005B3040">
            <w:pPr>
              <w:keepNext/>
              <w:widowControl w:val="0"/>
              <w:autoSpaceDE w:val="0"/>
              <w:autoSpaceDN w:val="0"/>
              <w:spacing w:before="1" w:after="0" w:line="256" w:lineRule="auto"/>
              <w:ind w:right="40"/>
              <w:rPr>
                <w:rFonts w:cs="Arial"/>
                <w:sz w:val="20"/>
                <w:szCs w:val="20"/>
                <w:lang w:val="en-AU" w:eastAsia="en-US"/>
              </w:rPr>
            </w:pPr>
            <w:r w:rsidRPr="007C747A">
              <w:rPr>
                <w:rFonts w:cs="Arial"/>
                <w:color w:val="212121"/>
                <w:sz w:val="20"/>
                <w:szCs w:val="20"/>
                <w:lang w:val="en-AU" w:eastAsia="en-US"/>
              </w:rPr>
              <w:t>SA</w:t>
            </w:r>
          </w:p>
        </w:tc>
        <w:tc>
          <w:tcPr>
            <w:tcW w:w="992" w:type="dxa"/>
            <w:vAlign w:val="center"/>
          </w:tcPr>
          <w:p w14:paraId="79E6C2F0" w14:textId="63DECA83"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12</w:t>
            </w:r>
          </w:p>
        </w:tc>
        <w:tc>
          <w:tcPr>
            <w:tcW w:w="709" w:type="dxa"/>
            <w:vAlign w:val="center"/>
          </w:tcPr>
          <w:p w14:paraId="24D16D0C" w14:textId="750BF4A7" w:rsidR="005B3040" w:rsidRPr="007C747A" w:rsidRDefault="005B3040" w:rsidP="00AE321D">
            <w:pPr>
              <w:keepNext/>
              <w:widowControl w:val="0"/>
              <w:autoSpaceDE w:val="0"/>
              <w:autoSpaceDN w:val="0"/>
              <w:spacing w:before="1" w:after="0" w:line="256" w:lineRule="auto"/>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11512294" w14:textId="66B5AE8A"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12</w:t>
            </w:r>
          </w:p>
        </w:tc>
        <w:tc>
          <w:tcPr>
            <w:tcW w:w="928" w:type="dxa"/>
            <w:vAlign w:val="center"/>
          </w:tcPr>
          <w:p w14:paraId="70A84A99" w14:textId="62F5D858"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21</w:t>
            </w:r>
          </w:p>
        </w:tc>
        <w:tc>
          <w:tcPr>
            <w:tcW w:w="928" w:type="dxa"/>
            <w:vAlign w:val="center"/>
          </w:tcPr>
          <w:p w14:paraId="0342D0B0" w14:textId="0C799D9C"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w:t>
            </w:r>
          </w:p>
        </w:tc>
        <w:tc>
          <w:tcPr>
            <w:tcW w:w="928" w:type="dxa"/>
            <w:vAlign w:val="center"/>
          </w:tcPr>
          <w:p w14:paraId="354CA237" w14:textId="30A023E4"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26</w:t>
            </w:r>
          </w:p>
        </w:tc>
        <w:tc>
          <w:tcPr>
            <w:tcW w:w="928" w:type="dxa"/>
            <w:vAlign w:val="center"/>
          </w:tcPr>
          <w:p w14:paraId="57F7ED40" w14:textId="0A8DC0D7"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5D5595DA" w14:textId="7B2BB7DE"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3762B1B9" w14:textId="5739AF97"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6048E4C4" w14:textId="5B121C14" w:rsidR="005B3040" w:rsidRPr="007C747A" w:rsidRDefault="005B3040"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38</w:t>
            </w:r>
          </w:p>
        </w:tc>
      </w:tr>
      <w:tr w:rsidR="005B3040" w:rsidRPr="007C747A" w14:paraId="0242A60A"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4BD6168" w14:textId="77777777" w:rsidR="005B3040" w:rsidRPr="007C747A" w:rsidRDefault="005B3040" w:rsidP="005B3040">
            <w:pPr>
              <w:keepNext/>
              <w:widowControl w:val="0"/>
              <w:autoSpaceDE w:val="0"/>
              <w:autoSpaceDN w:val="0"/>
              <w:spacing w:after="0" w:line="256" w:lineRule="auto"/>
              <w:ind w:right="40"/>
              <w:rPr>
                <w:rFonts w:cs="Arial"/>
                <w:sz w:val="20"/>
                <w:szCs w:val="20"/>
                <w:lang w:val="en-AU" w:eastAsia="en-US"/>
              </w:rPr>
            </w:pPr>
            <w:r w:rsidRPr="007C747A">
              <w:rPr>
                <w:rFonts w:cs="Arial"/>
                <w:color w:val="212121"/>
                <w:sz w:val="20"/>
                <w:szCs w:val="20"/>
                <w:lang w:val="en-AU" w:eastAsia="en-US"/>
              </w:rPr>
              <w:t>Tas</w:t>
            </w:r>
          </w:p>
        </w:tc>
        <w:tc>
          <w:tcPr>
            <w:tcW w:w="992" w:type="dxa"/>
            <w:vAlign w:val="center"/>
          </w:tcPr>
          <w:p w14:paraId="304EB89C" w14:textId="60CC1E81"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709" w:type="dxa"/>
            <w:vAlign w:val="center"/>
          </w:tcPr>
          <w:p w14:paraId="570D0CBE" w14:textId="11BB22A4" w:rsidR="005B3040" w:rsidRPr="007C747A" w:rsidRDefault="005B3040" w:rsidP="00AE321D">
            <w:pPr>
              <w:keepNext/>
              <w:widowControl w:val="0"/>
              <w:autoSpaceDE w:val="0"/>
              <w:autoSpaceDN w:val="0"/>
              <w:spacing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2AAEA739" w14:textId="532CB702"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928" w:type="dxa"/>
            <w:vAlign w:val="center"/>
          </w:tcPr>
          <w:p w14:paraId="0951F327" w14:textId="7575A1DD"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p>
        </w:tc>
        <w:tc>
          <w:tcPr>
            <w:tcW w:w="928" w:type="dxa"/>
            <w:vAlign w:val="center"/>
          </w:tcPr>
          <w:p w14:paraId="27E9D08C" w14:textId="3CCF88D5"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928" w:type="dxa"/>
            <w:vAlign w:val="center"/>
          </w:tcPr>
          <w:p w14:paraId="4FF2593C" w14:textId="00C11C70"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w:t>
            </w:r>
          </w:p>
        </w:tc>
        <w:tc>
          <w:tcPr>
            <w:tcW w:w="928" w:type="dxa"/>
            <w:vAlign w:val="center"/>
          </w:tcPr>
          <w:p w14:paraId="1F562C7D" w14:textId="0B6CABFD"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47F57B25" w14:textId="630EBE55"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F821C13" w14:textId="47A8BBC7"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2D7BD261" w14:textId="2F388AE0" w:rsidR="005B3040" w:rsidRPr="007C747A" w:rsidRDefault="005B3040" w:rsidP="00AE321D">
            <w:pPr>
              <w:keepNext/>
              <w:widowControl w:val="0"/>
              <w:autoSpaceDE w:val="0"/>
              <w:autoSpaceDN w:val="0"/>
              <w:spacing w:after="0" w:line="256" w:lineRule="auto"/>
              <w:jc w:val="right"/>
              <w:rPr>
                <w:rFonts w:cs="Arial"/>
                <w:sz w:val="20"/>
                <w:szCs w:val="20"/>
                <w:lang w:val="en-AU" w:eastAsia="en-US"/>
              </w:rPr>
            </w:pPr>
            <w:r w:rsidRPr="007C747A">
              <w:rPr>
                <w:rFonts w:cs="Arial"/>
                <w:sz w:val="20"/>
                <w:szCs w:val="20"/>
                <w:lang w:val="en-AU" w:eastAsia="en-US"/>
              </w:rPr>
              <w:t>7</w:t>
            </w:r>
          </w:p>
        </w:tc>
      </w:tr>
      <w:tr w:rsidR="005B3040" w:rsidRPr="007C747A" w14:paraId="28F37127"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51E87618" w14:textId="77777777" w:rsidR="005B3040" w:rsidRPr="007C747A" w:rsidRDefault="005B3040" w:rsidP="005B3040">
            <w:pPr>
              <w:keepNext/>
              <w:widowControl w:val="0"/>
              <w:autoSpaceDE w:val="0"/>
              <w:autoSpaceDN w:val="0"/>
              <w:spacing w:before="1" w:after="0" w:line="256" w:lineRule="auto"/>
              <w:ind w:right="39"/>
              <w:rPr>
                <w:rFonts w:cs="Arial"/>
                <w:sz w:val="20"/>
                <w:szCs w:val="20"/>
                <w:lang w:val="en-AU" w:eastAsia="en-US"/>
              </w:rPr>
            </w:pPr>
            <w:r w:rsidRPr="007C747A">
              <w:rPr>
                <w:rFonts w:cs="Arial"/>
                <w:color w:val="212121"/>
                <w:sz w:val="20"/>
                <w:szCs w:val="20"/>
                <w:lang w:val="en-AU" w:eastAsia="en-US"/>
              </w:rPr>
              <w:t>Vic</w:t>
            </w:r>
          </w:p>
        </w:tc>
        <w:tc>
          <w:tcPr>
            <w:tcW w:w="992" w:type="dxa"/>
            <w:vAlign w:val="center"/>
          </w:tcPr>
          <w:p w14:paraId="5E0753DB" w14:textId="27347517"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46</w:t>
            </w:r>
          </w:p>
        </w:tc>
        <w:tc>
          <w:tcPr>
            <w:tcW w:w="709" w:type="dxa"/>
            <w:vAlign w:val="center"/>
          </w:tcPr>
          <w:p w14:paraId="5A28E0EF" w14:textId="227CB24C" w:rsidR="005B3040" w:rsidRPr="007C747A" w:rsidRDefault="005B3040" w:rsidP="00AE321D">
            <w:pPr>
              <w:keepNext/>
              <w:widowControl w:val="0"/>
              <w:autoSpaceDE w:val="0"/>
              <w:autoSpaceDN w:val="0"/>
              <w:spacing w:before="1" w:after="0" w:line="256" w:lineRule="auto"/>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w:t>
            </w:r>
          </w:p>
        </w:tc>
        <w:tc>
          <w:tcPr>
            <w:tcW w:w="733" w:type="dxa"/>
            <w:vAlign w:val="center"/>
          </w:tcPr>
          <w:p w14:paraId="6D4A0BA3" w14:textId="24D0D744"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48</w:t>
            </w:r>
          </w:p>
        </w:tc>
        <w:tc>
          <w:tcPr>
            <w:tcW w:w="928" w:type="dxa"/>
            <w:vAlign w:val="center"/>
          </w:tcPr>
          <w:p w14:paraId="4CAD4BBF" w14:textId="7ADF1461"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108</w:t>
            </w:r>
          </w:p>
        </w:tc>
        <w:tc>
          <w:tcPr>
            <w:tcW w:w="928" w:type="dxa"/>
            <w:vAlign w:val="center"/>
          </w:tcPr>
          <w:p w14:paraId="2F3FCF01" w14:textId="5B1DD4C8"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17</w:t>
            </w:r>
          </w:p>
        </w:tc>
        <w:tc>
          <w:tcPr>
            <w:tcW w:w="928" w:type="dxa"/>
            <w:vAlign w:val="center"/>
          </w:tcPr>
          <w:p w14:paraId="3DF5336D" w14:textId="2278ED20"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125</w:t>
            </w:r>
          </w:p>
        </w:tc>
        <w:tc>
          <w:tcPr>
            <w:tcW w:w="928" w:type="dxa"/>
            <w:vAlign w:val="center"/>
          </w:tcPr>
          <w:p w14:paraId="02C2C32E" w14:textId="142DB0C1"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4C66261" w14:textId="37E2A492"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49B8CC3A" w14:textId="0CD04152"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517FA540" w14:textId="2C6696D2" w:rsidR="005B3040" w:rsidRPr="007C747A" w:rsidRDefault="005B3040"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173</w:t>
            </w:r>
          </w:p>
        </w:tc>
      </w:tr>
      <w:tr w:rsidR="005B3040" w:rsidRPr="007C747A" w14:paraId="3E0B1A6C"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E48A409" w14:textId="77777777" w:rsidR="005B3040" w:rsidRPr="007C747A" w:rsidRDefault="005B3040" w:rsidP="005B3040">
            <w:pPr>
              <w:keepNext/>
              <w:widowControl w:val="0"/>
              <w:autoSpaceDE w:val="0"/>
              <w:autoSpaceDN w:val="0"/>
              <w:spacing w:before="1" w:after="0" w:line="256" w:lineRule="auto"/>
              <w:ind w:right="40"/>
              <w:rPr>
                <w:rFonts w:cs="Arial"/>
                <w:sz w:val="20"/>
                <w:szCs w:val="20"/>
                <w:lang w:val="en-AU" w:eastAsia="en-US"/>
              </w:rPr>
            </w:pPr>
            <w:r w:rsidRPr="007C747A">
              <w:rPr>
                <w:rFonts w:cs="Arial"/>
                <w:color w:val="212121"/>
                <w:sz w:val="20"/>
                <w:szCs w:val="20"/>
                <w:lang w:val="en-AU" w:eastAsia="en-US"/>
              </w:rPr>
              <w:t>WA</w:t>
            </w:r>
          </w:p>
        </w:tc>
        <w:tc>
          <w:tcPr>
            <w:tcW w:w="992" w:type="dxa"/>
            <w:vAlign w:val="center"/>
          </w:tcPr>
          <w:p w14:paraId="63C9AFF4" w14:textId="76B4BA52"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9</w:t>
            </w:r>
          </w:p>
        </w:tc>
        <w:tc>
          <w:tcPr>
            <w:tcW w:w="709" w:type="dxa"/>
            <w:vAlign w:val="center"/>
          </w:tcPr>
          <w:p w14:paraId="4B7016CE" w14:textId="0E5CD94C" w:rsidR="005B3040" w:rsidRPr="007C747A" w:rsidRDefault="005B3040" w:rsidP="00AE321D">
            <w:pPr>
              <w:keepNext/>
              <w:widowControl w:val="0"/>
              <w:autoSpaceDE w:val="0"/>
              <w:autoSpaceDN w:val="0"/>
              <w:spacing w:before="1"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w:t>
            </w:r>
          </w:p>
        </w:tc>
        <w:tc>
          <w:tcPr>
            <w:tcW w:w="733" w:type="dxa"/>
            <w:vAlign w:val="center"/>
          </w:tcPr>
          <w:p w14:paraId="2627BDA5" w14:textId="1B08F5AE"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10</w:t>
            </w:r>
          </w:p>
        </w:tc>
        <w:tc>
          <w:tcPr>
            <w:tcW w:w="928" w:type="dxa"/>
            <w:vAlign w:val="center"/>
          </w:tcPr>
          <w:p w14:paraId="5DA3307E" w14:textId="41C5C91C"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29</w:t>
            </w:r>
          </w:p>
        </w:tc>
        <w:tc>
          <w:tcPr>
            <w:tcW w:w="928" w:type="dxa"/>
            <w:vAlign w:val="center"/>
          </w:tcPr>
          <w:p w14:paraId="58882B89" w14:textId="5BC11A27"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p>
        </w:tc>
        <w:tc>
          <w:tcPr>
            <w:tcW w:w="928" w:type="dxa"/>
            <w:vAlign w:val="center"/>
          </w:tcPr>
          <w:p w14:paraId="7AFB17D5" w14:textId="1A1521FD"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32</w:t>
            </w:r>
          </w:p>
        </w:tc>
        <w:tc>
          <w:tcPr>
            <w:tcW w:w="928" w:type="dxa"/>
            <w:vAlign w:val="center"/>
          </w:tcPr>
          <w:p w14:paraId="0DCE4A42" w14:textId="37C595E4"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3E036D77" w14:textId="32142166"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48B3D82" w14:textId="49520A2A"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0CC35E73" w14:textId="6B5CCB5E" w:rsidR="005B3040" w:rsidRPr="007C747A" w:rsidRDefault="005B3040"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42</w:t>
            </w:r>
          </w:p>
        </w:tc>
      </w:tr>
      <w:tr w:rsidR="005B3040" w:rsidRPr="007C747A" w14:paraId="7E49EE33"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B01875C" w14:textId="77777777" w:rsidR="005B3040" w:rsidRPr="007C747A" w:rsidRDefault="005B3040" w:rsidP="005B3040">
            <w:pPr>
              <w:keepNext/>
              <w:widowControl w:val="0"/>
              <w:autoSpaceDE w:val="0"/>
              <w:autoSpaceDN w:val="0"/>
              <w:spacing w:after="0" w:line="256" w:lineRule="auto"/>
              <w:ind w:right="41"/>
              <w:rPr>
                <w:rFonts w:cs="Arial"/>
                <w:sz w:val="20"/>
                <w:szCs w:val="20"/>
                <w:lang w:val="en-AU" w:eastAsia="en-US"/>
              </w:rPr>
            </w:pPr>
            <w:r w:rsidRPr="007C747A">
              <w:rPr>
                <w:rFonts w:cs="Arial"/>
                <w:color w:val="212121"/>
                <w:sz w:val="20"/>
                <w:szCs w:val="20"/>
                <w:lang w:val="en-AU" w:eastAsia="en-US"/>
              </w:rPr>
              <w:t>ACT</w:t>
            </w:r>
          </w:p>
        </w:tc>
        <w:tc>
          <w:tcPr>
            <w:tcW w:w="992" w:type="dxa"/>
            <w:vAlign w:val="center"/>
          </w:tcPr>
          <w:p w14:paraId="14B2C45E" w14:textId="61F2B461"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p>
        </w:tc>
        <w:tc>
          <w:tcPr>
            <w:tcW w:w="709" w:type="dxa"/>
            <w:vAlign w:val="center"/>
          </w:tcPr>
          <w:p w14:paraId="29240BDD" w14:textId="36FEE859" w:rsidR="005B3040" w:rsidRPr="007C747A" w:rsidRDefault="005B3040" w:rsidP="00AE321D">
            <w:pPr>
              <w:keepNext/>
              <w:widowControl w:val="0"/>
              <w:autoSpaceDE w:val="0"/>
              <w:autoSpaceDN w:val="0"/>
              <w:spacing w:after="0" w:line="256" w:lineRule="auto"/>
              <w:ind w:right="72"/>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66E7DC39" w14:textId="6C246284"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p>
        </w:tc>
        <w:tc>
          <w:tcPr>
            <w:tcW w:w="928" w:type="dxa"/>
            <w:vAlign w:val="center"/>
          </w:tcPr>
          <w:p w14:paraId="67F866B9" w14:textId="4AE44708"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13</w:t>
            </w:r>
          </w:p>
        </w:tc>
        <w:tc>
          <w:tcPr>
            <w:tcW w:w="928" w:type="dxa"/>
            <w:vAlign w:val="center"/>
          </w:tcPr>
          <w:p w14:paraId="3F89B640" w14:textId="3285D918"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w:t>
            </w:r>
          </w:p>
        </w:tc>
        <w:tc>
          <w:tcPr>
            <w:tcW w:w="928" w:type="dxa"/>
            <w:vAlign w:val="center"/>
          </w:tcPr>
          <w:p w14:paraId="2121966F" w14:textId="53E649BB"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16</w:t>
            </w:r>
          </w:p>
        </w:tc>
        <w:tc>
          <w:tcPr>
            <w:tcW w:w="928" w:type="dxa"/>
            <w:vAlign w:val="center"/>
          </w:tcPr>
          <w:p w14:paraId="2094EA5B" w14:textId="44A766DF"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BEF6A39" w14:textId="65224DFA"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7ACAB2EB" w14:textId="70166F45"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4D3ED3A3" w14:textId="27B7A926" w:rsidR="005B3040" w:rsidRPr="007C747A" w:rsidRDefault="005B3040" w:rsidP="00AE321D">
            <w:pPr>
              <w:keepNext/>
              <w:widowControl w:val="0"/>
              <w:autoSpaceDE w:val="0"/>
              <w:autoSpaceDN w:val="0"/>
              <w:spacing w:after="0" w:line="256" w:lineRule="auto"/>
              <w:jc w:val="right"/>
              <w:rPr>
                <w:rFonts w:cs="Arial"/>
                <w:sz w:val="20"/>
                <w:szCs w:val="20"/>
                <w:lang w:val="en-AU" w:eastAsia="en-US"/>
              </w:rPr>
            </w:pPr>
            <w:r w:rsidRPr="007C747A">
              <w:rPr>
                <w:rFonts w:cs="Arial"/>
                <w:sz w:val="20"/>
                <w:szCs w:val="20"/>
                <w:lang w:val="en-AU" w:eastAsia="en-US"/>
              </w:rPr>
              <w:t>19</w:t>
            </w:r>
          </w:p>
        </w:tc>
      </w:tr>
      <w:tr w:rsidR="005B3040" w:rsidRPr="007C747A" w14:paraId="101542F2"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7544207F" w14:textId="77777777" w:rsidR="005B3040" w:rsidRPr="007C747A" w:rsidRDefault="005B3040" w:rsidP="005B3040">
            <w:pPr>
              <w:keepNext/>
              <w:widowControl w:val="0"/>
              <w:autoSpaceDE w:val="0"/>
              <w:autoSpaceDN w:val="0"/>
              <w:spacing w:before="1" w:after="0" w:line="256" w:lineRule="auto"/>
              <w:ind w:right="39"/>
              <w:rPr>
                <w:rFonts w:cs="Arial"/>
                <w:sz w:val="20"/>
                <w:szCs w:val="20"/>
                <w:lang w:val="en-AU" w:eastAsia="en-US"/>
              </w:rPr>
            </w:pPr>
            <w:r w:rsidRPr="007C747A">
              <w:rPr>
                <w:rFonts w:cs="Arial"/>
                <w:color w:val="212121"/>
                <w:sz w:val="20"/>
                <w:szCs w:val="20"/>
                <w:lang w:val="en-AU" w:eastAsia="en-US"/>
              </w:rPr>
              <w:t>NT</w:t>
            </w:r>
          </w:p>
        </w:tc>
        <w:tc>
          <w:tcPr>
            <w:tcW w:w="992" w:type="dxa"/>
            <w:vAlign w:val="center"/>
          </w:tcPr>
          <w:p w14:paraId="519F9FA6" w14:textId="4BE0CCAD"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w:t>
            </w:r>
          </w:p>
        </w:tc>
        <w:tc>
          <w:tcPr>
            <w:tcW w:w="709" w:type="dxa"/>
            <w:vAlign w:val="center"/>
          </w:tcPr>
          <w:p w14:paraId="73BC725A" w14:textId="0A18F9B1" w:rsidR="005B3040" w:rsidRPr="007C747A" w:rsidRDefault="005B3040" w:rsidP="00AE321D">
            <w:pPr>
              <w:keepNext/>
              <w:widowControl w:val="0"/>
              <w:autoSpaceDE w:val="0"/>
              <w:autoSpaceDN w:val="0"/>
              <w:spacing w:before="1"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1F7BD8BD" w14:textId="7B2FC3E7"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7</w:t>
            </w:r>
          </w:p>
        </w:tc>
        <w:tc>
          <w:tcPr>
            <w:tcW w:w="928" w:type="dxa"/>
            <w:vAlign w:val="center"/>
          </w:tcPr>
          <w:p w14:paraId="6D368FD1" w14:textId="727B757E"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w:t>
            </w:r>
          </w:p>
        </w:tc>
        <w:tc>
          <w:tcPr>
            <w:tcW w:w="928" w:type="dxa"/>
            <w:vAlign w:val="center"/>
          </w:tcPr>
          <w:p w14:paraId="613837DD" w14:textId="0557574A"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44C40BB3" w14:textId="02BC76BF"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8</w:t>
            </w:r>
          </w:p>
        </w:tc>
        <w:tc>
          <w:tcPr>
            <w:tcW w:w="928" w:type="dxa"/>
            <w:vAlign w:val="center"/>
          </w:tcPr>
          <w:p w14:paraId="3001B9E1" w14:textId="13242E18"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4D44BD23" w14:textId="6E0904BE"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118BDBB" w14:textId="6B07DC71"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0D339CDB" w14:textId="27A0B8CA" w:rsidR="005B3040" w:rsidRPr="007C747A" w:rsidRDefault="005B3040"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15</w:t>
            </w:r>
          </w:p>
        </w:tc>
      </w:tr>
      <w:tr w:rsidR="005B3040" w:rsidRPr="007C747A" w14:paraId="28826931" w14:textId="77777777" w:rsidTr="00F8458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1AB5F909" w14:textId="77777777" w:rsidR="005B3040" w:rsidRPr="007C747A" w:rsidRDefault="005B3040" w:rsidP="005B3040">
            <w:pPr>
              <w:keepNext/>
              <w:widowControl w:val="0"/>
              <w:autoSpaceDE w:val="0"/>
              <w:autoSpaceDN w:val="0"/>
              <w:spacing w:before="1" w:after="0" w:line="276" w:lineRule="auto"/>
              <w:ind w:right="24"/>
              <w:rPr>
                <w:rFonts w:cs="Arial"/>
                <w:sz w:val="20"/>
                <w:szCs w:val="20"/>
                <w:lang w:val="en-AU" w:eastAsia="en-US"/>
              </w:rPr>
            </w:pPr>
            <w:r w:rsidRPr="007C747A">
              <w:rPr>
                <w:rFonts w:cs="Arial"/>
                <w:color w:val="212121"/>
                <w:sz w:val="20"/>
                <w:szCs w:val="20"/>
                <w:lang w:val="en-AU" w:eastAsia="en-US"/>
              </w:rPr>
              <w:t>External</w:t>
            </w:r>
            <w:r w:rsidRPr="007C747A">
              <w:rPr>
                <w:rFonts w:cs="Arial"/>
                <w:color w:val="212121"/>
                <w:spacing w:val="-43"/>
                <w:sz w:val="20"/>
                <w:szCs w:val="20"/>
                <w:lang w:val="en-AU" w:eastAsia="en-US"/>
              </w:rPr>
              <w:t xml:space="preserve"> </w:t>
            </w:r>
            <w:r w:rsidRPr="007C747A">
              <w:rPr>
                <w:rFonts w:cs="Arial"/>
                <w:color w:val="212121"/>
                <w:spacing w:val="-1"/>
                <w:sz w:val="20"/>
                <w:szCs w:val="20"/>
                <w:lang w:val="en-AU" w:eastAsia="en-US"/>
              </w:rPr>
              <w:t>territories</w:t>
            </w:r>
          </w:p>
        </w:tc>
        <w:tc>
          <w:tcPr>
            <w:tcW w:w="992" w:type="dxa"/>
            <w:vAlign w:val="center"/>
          </w:tcPr>
          <w:p w14:paraId="521F8DCF" w14:textId="5BDDD9D9" w:rsidR="005B3040" w:rsidRPr="007C747A" w:rsidRDefault="005B3040" w:rsidP="00AE321D">
            <w:pPr>
              <w:keepNext/>
              <w:widowControl w:val="0"/>
              <w:autoSpaceDE w:val="0"/>
              <w:autoSpaceDN w:val="0"/>
              <w:spacing w:before="1" w:after="0" w:line="256" w:lineRule="auto"/>
              <w:ind w:right="3"/>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09" w:type="dxa"/>
            <w:vAlign w:val="center"/>
          </w:tcPr>
          <w:p w14:paraId="1F90193D" w14:textId="68FB4A13" w:rsidR="005B3040" w:rsidRPr="007C747A" w:rsidRDefault="005B3040" w:rsidP="00AE321D">
            <w:pPr>
              <w:keepNext/>
              <w:widowControl w:val="0"/>
              <w:autoSpaceDE w:val="0"/>
              <w:autoSpaceDN w:val="0"/>
              <w:spacing w:before="1" w:after="0" w:line="256" w:lineRule="auto"/>
              <w:ind w:right="117"/>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7625073C" w14:textId="0B55987E"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5936CFB" w14:textId="6DC7C83A"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3C8871E" w14:textId="24594A97" w:rsidR="005B3040" w:rsidRPr="007C747A" w:rsidRDefault="005B3040" w:rsidP="00AE321D">
            <w:pPr>
              <w:keepNext/>
              <w:widowControl w:val="0"/>
              <w:autoSpaceDE w:val="0"/>
              <w:autoSpaceDN w:val="0"/>
              <w:spacing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3EF44AA3" w14:textId="108F3D87"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3CE026A8" w14:textId="62382022"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7E37D3E5" w14:textId="1E35AC1E"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3EC8E25D" w14:textId="0C18C6BB" w:rsidR="005B3040" w:rsidRPr="007C747A" w:rsidRDefault="005B3040" w:rsidP="00AE321D">
            <w:pPr>
              <w:keepNext/>
              <w:widowControl w:val="0"/>
              <w:autoSpaceDE w:val="0"/>
              <w:autoSpaceDN w:val="0"/>
              <w:spacing w:before="1" w:after="0" w:line="256" w:lineRule="auto"/>
              <w:jc w:val="right"/>
              <w:cnfStyle w:val="000000100000" w:firstRow="0" w:lastRow="0" w:firstColumn="0" w:lastColumn="0" w:oddVBand="0" w:evenVBand="0" w:oddHBand="1"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3BA0F276" w14:textId="333AF297" w:rsidR="005B3040" w:rsidRPr="007C747A" w:rsidRDefault="00CB6586" w:rsidP="00AE321D">
            <w:pPr>
              <w:keepNext/>
              <w:widowControl w:val="0"/>
              <w:autoSpaceDE w:val="0"/>
              <w:autoSpaceDN w:val="0"/>
              <w:spacing w:before="1" w:after="0" w:line="256" w:lineRule="auto"/>
              <w:ind w:right="29"/>
              <w:jc w:val="right"/>
              <w:rPr>
                <w:rFonts w:cs="Arial"/>
                <w:sz w:val="20"/>
                <w:szCs w:val="20"/>
                <w:lang w:val="en-AU" w:eastAsia="en-US"/>
              </w:rPr>
            </w:pPr>
            <w:r w:rsidRPr="007C747A">
              <w:rPr>
                <w:rFonts w:cs="Arial"/>
                <w:sz w:val="20"/>
                <w:szCs w:val="20"/>
                <w:lang w:val="en-AU" w:eastAsia="en-US"/>
              </w:rPr>
              <w:t>0</w:t>
            </w:r>
          </w:p>
        </w:tc>
      </w:tr>
      <w:tr w:rsidR="005B3040" w:rsidRPr="007C747A" w14:paraId="1F63875F" w14:textId="77777777" w:rsidTr="00F84584">
        <w:trPr>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2E0A4BDA" w14:textId="77777777" w:rsidR="005B3040" w:rsidRPr="007C747A" w:rsidRDefault="005B3040" w:rsidP="005B3040">
            <w:pPr>
              <w:keepNext/>
              <w:widowControl w:val="0"/>
              <w:autoSpaceDE w:val="0"/>
              <w:autoSpaceDN w:val="0"/>
              <w:spacing w:before="1" w:after="0" w:line="256" w:lineRule="auto"/>
              <w:ind w:right="40"/>
              <w:rPr>
                <w:rFonts w:cs="Arial"/>
                <w:sz w:val="20"/>
                <w:szCs w:val="20"/>
                <w:lang w:val="en-AU" w:eastAsia="en-US"/>
              </w:rPr>
            </w:pPr>
            <w:r w:rsidRPr="007C747A">
              <w:rPr>
                <w:rFonts w:cs="Arial"/>
                <w:color w:val="212121"/>
                <w:sz w:val="20"/>
                <w:szCs w:val="20"/>
                <w:lang w:val="en-AU" w:eastAsia="en-US"/>
              </w:rPr>
              <w:t>Overseas</w:t>
            </w:r>
          </w:p>
        </w:tc>
        <w:tc>
          <w:tcPr>
            <w:tcW w:w="992" w:type="dxa"/>
            <w:vAlign w:val="center"/>
          </w:tcPr>
          <w:p w14:paraId="5C0CB5DF" w14:textId="06F6C4B8"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09" w:type="dxa"/>
            <w:vAlign w:val="center"/>
          </w:tcPr>
          <w:p w14:paraId="6EAA1762" w14:textId="43E57560" w:rsidR="005B3040" w:rsidRPr="007C747A" w:rsidRDefault="005B3040" w:rsidP="00AE321D">
            <w:pPr>
              <w:keepNext/>
              <w:widowControl w:val="0"/>
              <w:autoSpaceDE w:val="0"/>
              <w:autoSpaceDN w:val="0"/>
              <w:spacing w:before="1" w:after="0" w:line="256" w:lineRule="auto"/>
              <w:ind w:right="72"/>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733" w:type="dxa"/>
            <w:vAlign w:val="center"/>
          </w:tcPr>
          <w:p w14:paraId="0E4FEF9C" w14:textId="54D4B5FF"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BA7E174" w14:textId="7F56D478"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280F84E" w14:textId="412201D2" w:rsidR="005B3040" w:rsidRPr="007C747A" w:rsidRDefault="005B3040" w:rsidP="00AE321D">
            <w:pPr>
              <w:keepNext/>
              <w:widowControl w:val="0"/>
              <w:autoSpaceDE w:val="0"/>
              <w:autoSpaceDN w:val="0"/>
              <w:spacing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08C2A806" w14:textId="50ACA370"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2EB49FEF" w14:textId="0A06EAD7"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62685EAD" w14:textId="466BE3D7"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5904FE4B" w14:textId="34108F9D" w:rsidR="005B3040" w:rsidRPr="007C747A" w:rsidRDefault="005B3040" w:rsidP="00AE321D">
            <w:pPr>
              <w:keepNext/>
              <w:widowControl w:val="0"/>
              <w:autoSpaceDE w:val="0"/>
              <w:autoSpaceDN w:val="0"/>
              <w:spacing w:before="1" w:after="0" w:line="256" w:lineRule="auto"/>
              <w:jc w:val="right"/>
              <w:cnfStyle w:val="000000000000" w:firstRow="0" w:lastRow="0"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2F9C6F38" w14:textId="7A625213" w:rsidR="005B3040" w:rsidRPr="007C747A" w:rsidRDefault="005B3040" w:rsidP="00AE321D">
            <w:pPr>
              <w:keepNext/>
              <w:widowControl w:val="0"/>
              <w:autoSpaceDE w:val="0"/>
              <w:autoSpaceDN w:val="0"/>
              <w:spacing w:before="1" w:after="0" w:line="256" w:lineRule="auto"/>
              <w:jc w:val="right"/>
              <w:rPr>
                <w:rFonts w:cs="Arial"/>
                <w:sz w:val="20"/>
                <w:szCs w:val="20"/>
                <w:lang w:val="en-AU" w:eastAsia="en-US"/>
              </w:rPr>
            </w:pPr>
            <w:r w:rsidRPr="007C747A">
              <w:rPr>
                <w:rFonts w:cs="Arial"/>
                <w:sz w:val="20"/>
                <w:szCs w:val="20"/>
                <w:lang w:val="en-AU" w:eastAsia="en-US"/>
              </w:rPr>
              <w:t>0</w:t>
            </w:r>
          </w:p>
        </w:tc>
      </w:tr>
      <w:tr w:rsidR="00806BD0" w:rsidRPr="007C747A" w14:paraId="37FFCBB9" w14:textId="77777777" w:rsidTr="00F84584">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276" w:type="dxa"/>
            <w:vAlign w:val="center"/>
          </w:tcPr>
          <w:p w14:paraId="484CFAB0" w14:textId="77777777" w:rsidR="005B3040" w:rsidRPr="007C747A" w:rsidRDefault="005B3040" w:rsidP="005B3040">
            <w:pPr>
              <w:keepNext/>
              <w:widowControl w:val="0"/>
              <w:autoSpaceDE w:val="0"/>
              <w:autoSpaceDN w:val="0"/>
              <w:spacing w:after="0" w:line="256" w:lineRule="auto"/>
              <w:ind w:right="40"/>
              <w:rPr>
                <w:rFonts w:cs="Arial"/>
                <w:iCs/>
                <w:sz w:val="20"/>
                <w:szCs w:val="20"/>
                <w:lang w:val="en-AU" w:eastAsia="en-US"/>
              </w:rPr>
            </w:pPr>
            <w:r w:rsidRPr="007C747A">
              <w:rPr>
                <w:rFonts w:cs="Arial"/>
                <w:iCs/>
                <w:sz w:val="20"/>
                <w:szCs w:val="20"/>
                <w:lang w:val="en-AU" w:eastAsia="en-US"/>
              </w:rPr>
              <w:t>Total</w:t>
            </w:r>
          </w:p>
        </w:tc>
        <w:tc>
          <w:tcPr>
            <w:tcW w:w="992" w:type="dxa"/>
            <w:vAlign w:val="center"/>
          </w:tcPr>
          <w:p w14:paraId="4C3A0E19" w14:textId="28F38D27" w:rsidR="005B3040" w:rsidRPr="007C747A" w:rsidRDefault="005B3040" w:rsidP="00AE321D">
            <w:pPr>
              <w:keepNext/>
              <w:widowControl w:val="0"/>
              <w:autoSpaceDE w:val="0"/>
              <w:autoSpaceDN w:val="0"/>
              <w:spacing w:after="0" w:line="256" w:lineRule="auto"/>
              <w:ind w:right="3"/>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139</w:t>
            </w:r>
          </w:p>
        </w:tc>
        <w:tc>
          <w:tcPr>
            <w:tcW w:w="709" w:type="dxa"/>
            <w:vAlign w:val="center"/>
          </w:tcPr>
          <w:p w14:paraId="6A3BBEF4" w14:textId="227ADA86" w:rsidR="005B3040" w:rsidRPr="007C747A" w:rsidRDefault="005B3040" w:rsidP="00AE321D">
            <w:pPr>
              <w:keepNext/>
              <w:widowControl w:val="0"/>
              <w:autoSpaceDE w:val="0"/>
              <w:autoSpaceDN w:val="0"/>
              <w:spacing w:after="0" w:line="256" w:lineRule="auto"/>
              <w:ind w:right="117"/>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5</w:t>
            </w:r>
          </w:p>
        </w:tc>
        <w:tc>
          <w:tcPr>
            <w:tcW w:w="733" w:type="dxa"/>
            <w:vAlign w:val="center"/>
          </w:tcPr>
          <w:p w14:paraId="111989BC" w14:textId="5E1E19D9"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144</w:t>
            </w:r>
          </w:p>
        </w:tc>
        <w:tc>
          <w:tcPr>
            <w:tcW w:w="928" w:type="dxa"/>
            <w:vAlign w:val="center"/>
          </w:tcPr>
          <w:p w14:paraId="1BC5A4C6" w14:textId="43D28B80"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360</w:t>
            </w:r>
          </w:p>
        </w:tc>
        <w:tc>
          <w:tcPr>
            <w:tcW w:w="928" w:type="dxa"/>
            <w:vAlign w:val="center"/>
          </w:tcPr>
          <w:p w14:paraId="084F119B" w14:textId="7F3E7607"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47</w:t>
            </w:r>
          </w:p>
        </w:tc>
        <w:tc>
          <w:tcPr>
            <w:tcW w:w="928" w:type="dxa"/>
            <w:vAlign w:val="center"/>
          </w:tcPr>
          <w:p w14:paraId="5C631A55" w14:textId="1A42E427"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407</w:t>
            </w:r>
          </w:p>
        </w:tc>
        <w:tc>
          <w:tcPr>
            <w:tcW w:w="928" w:type="dxa"/>
            <w:vAlign w:val="center"/>
          </w:tcPr>
          <w:p w14:paraId="60F62377" w14:textId="13377E84"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5DBB7E58" w14:textId="52FD5955"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tcW w:w="928" w:type="dxa"/>
            <w:vAlign w:val="center"/>
          </w:tcPr>
          <w:p w14:paraId="7CEAE84E" w14:textId="5C58E160" w:rsidR="005B3040" w:rsidRPr="007C747A" w:rsidRDefault="005B3040" w:rsidP="00AE321D">
            <w:pPr>
              <w:keepNext/>
              <w:widowControl w:val="0"/>
              <w:autoSpaceDE w:val="0"/>
              <w:autoSpaceDN w:val="0"/>
              <w:spacing w:after="0" w:line="256" w:lineRule="auto"/>
              <w:jc w:val="right"/>
              <w:cnfStyle w:val="010000000000" w:firstRow="0" w:lastRow="1" w:firstColumn="0" w:lastColumn="0" w:oddVBand="0" w:evenVBand="0" w:oddHBand="0" w:evenHBand="0" w:firstRowFirstColumn="0" w:firstRowLastColumn="0" w:lastRowFirstColumn="0" w:lastRowLastColumn="0"/>
              <w:rPr>
                <w:rFonts w:cs="Arial"/>
                <w:sz w:val="20"/>
                <w:szCs w:val="20"/>
                <w:lang w:val="en-AU" w:eastAsia="en-US"/>
              </w:rPr>
            </w:pPr>
            <w:r w:rsidRPr="007C747A">
              <w:rPr>
                <w:rFonts w:cs="Arial"/>
                <w:sz w:val="20"/>
                <w:szCs w:val="20"/>
                <w:lang w:val="en-AU" w:eastAsia="en-US"/>
              </w:rPr>
              <w:t>0</w:t>
            </w:r>
          </w:p>
        </w:tc>
        <w:tc>
          <w:tcPr>
            <w:cnfStyle w:val="000100000000" w:firstRow="0" w:lastRow="0" w:firstColumn="0" w:lastColumn="1" w:oddVBand="0" w:evenVBand="0" w:oddHBand="0" w:evenHBand="0" w:firstRowFirstColumn="0" w:firstRowLastColumn="0" w:lastRowFirstColumn="0" w:lastRowLastColumn="0"/>
            <w:tcW w:w="928" w:type="dxa"/>
            <w:vAlign w:val="center"/>
          </w:tcPr>
          <w:p w14:paraId="5ADEFF95" w14:textId="58CB155D" w:rsidR="005B3040" w:rsidRPr="007C747A" w:rsidRDefault="005B3040" w:rsidP="00AE321D">
            <w:pPr>
              <w:keepNext/>
              <w:widowControl w:val="0"/>
              <w:autoSpaceDE w:val="0"/>
              <w:autoSpaceDN w:val="0"/>
              <w:spacing w:after="0" w:line="256" w:lineRule="auto"/>
              <w:ind w:right="29"/>
              <w:jc w:val="right"/>
              <w:rPr>
                <w:rFonts w:cs="Arial"/>
                <w:sz w:val="20"/>
                <w:szCs w:val="20"/>
                <w:lang w:val="en-AU" w:eastAsia="en-US"/>
              </w:rPr>
            </w:pPr>
            <w:r w:rsidRPr="007C747A">
              <w:rPr>
                <w:rFonts w:cs="Arial"/>
                <w:sz w:val="20"/>
                <w:szCs w:val="20"/>
                <w:lang w:val="en-AU" w:eastAsia="en-US"/>
              </w:rPr>
              <w:t>551</w:t>
            </w:r>
          </w:p>
        </w:tc>
      </w:tr>
    </w:tbl>
    <w:p w14:paraId="5F8E83E1" w14:textId="182C3119" w:rsidR="00156AF7" w:rsidRPr="007C747A" w:rsidRDefault="00156AF7">
      <w:pPr>
        <w:spacing w:after="0" w:line="240" w:lineRule="auto"/>
        <w:rPr>
          <w:rFonts w:eastAsiaTheme="minorEastAsia" w:cs="Arial"/>
          <w:sz w:val="22"/>
          <w:szCs w:val="22"/>
          <w:lang w:val="en-AU"/>
        </w:rPr>
      </w:pPr>
    </w:p>
    <w:p w14:paraId="59BD2A05" w14:textId="77777777" w:rsidR="00C032AB" w:rsidRPr="007C747A" w:rsidRDefault="00C032AB" w:rsidP="001A0235">
      <w:pPr>
        <w:pStyle w:val="Style3-NoNumbering"/>
        <w:ind w:left="0"/>
      </w:pPr>
      <w:bookmarkStart w:id="773" w:name="_Toc142039659"/>
      <w:bookmarkStart w:id="774" w:name="_Toc142047767"/>
      <w:bookmarkStart w:id="775" w:name="_Toc142573746"/>
      <w:r w:rsidRPr="007C747A">
        <w:t>Gender statistics</w:t>
      </w:r>
      <w:bookmarkEnd w:id="773"/>
      <w:bookmarkEnd w:id="774"/>
      <w:bookmarkEnd w:id="775"/>
    </w:p>
    <w:p w14:paraId="4901E146" w14:textId="2FC87028" w:rsidR="00C032AB" w:rsidRPr="007C747A" w:rsidRDefault="00C032AB" w:rsidP="00C032AB">
      <w:pPr>
        <w:pStyle w:val="FGCNORMAL"/>
      </w:pPr>
      <w:r w:rsidRPr="007C747A">
        <w:rPr>
          <w:rStyle w:val="normaltextrun"/>
        </w:rPr>
        <w:t xml:space="preserve">In the 2023 APS Census, 68% of NDIA staff identified as female, 28% as male and 0.4% as non-binary. Of </w:t>
      </w:r>
      <w:r w:rsidR="000A4C2A" w:rsidRPr="007C747A">
        <w:rPr>
          <w:rStyle w:val="normaltextrun"/>
        </w:rPr>
        <w:t>Senior Executive Service (</w:t>
      </w:r>
      <w:r w:rsidRPr="007C747A">
        <w:rPr>
          <w:rStyle w:val="normaltextrun"/>
        </w:rPr>
        <w:t>SES</w:t>
      </w:r>
      <w:r w:rsidR="000A4C2A" w:rsidRPr="007C747A">
        <w:rPr>
          <w:rStyle w:val="normaltextrun"/>
        </w:rPr>
        <w:t>)</w:t>
      </w:r>
      <w:r w:rsidRPr="007C747A">
        <w:rPr>
          <w:rStyle w:val="normaltextrun"/>
        </w:rPr>
        <w:t xml:space="preserve"> NDIA staff, 56% identified as female and 44% as male.</w:t>
      </w:r>
      <w:r w:rsidRPr="007C747A">
        <w:rPr>
          <w:rStyle w:val="eop"/>
        </w:rPr>
        <w:t> </w:t>
      </w:r>
    </w:p>
    <w:p w14:paraId="682C2400" w14:textId="77777777" w:rsidR="00C032AB" w:rsidRPr="007C747A" w:rsidRDefault="00C032AB" w:rsidP="00011363">
      <w:pPr>
        <w:pStyle w:val="FGCHEADING2"/>
      </w:pPr>
      <w:bookmarkStart w:id="776" w:name="_Toc142039660"/>
      <w:bookmarkStart w:id="777" w:name="_Toc142047768"/>
      <w:bookmarkStart w:id="778" w:name="_Toc142563021"/>
      <w:bookmarkStart w:id="779" w:name="_Toc142573747"/>
      <w:bookmarkStart w:id="780" w:name="_Toc146289478"/>
      <w:bookmarkStart w:id="781" w:name="_Toc148108433"/>
      <w:r w:rsidRPr="007C747A">
        <w:t>Executive remuneration policy</w:t>
      </w:r>
      <w:bookmarkEnd w:id="776"/>
      <w:bookmarkEnd w:id="777"/>
      <w:bookmarkEnd w:id="778"/>
      <w:bookmarkEnd w:id="779"/>
      <w:bookmarkEnd w:id="780"/>
      <w:bookmarkEnd w:id="781"/>
    </w:p>
    <w:p w14:paraId="006E1196" w14:textId="77777777" w:rsidR="00C032AB" w:rsidRPr="007C747A" w:rsidRDefault="00C032AB" w:rsidP="001A0235">
      <w:pPr>
        <w:pStyle w:val="Style3-NoNumbering"/>
      </w:pPr>
      <w:bookmarkStart w:id="782" w:name="_Toc142039661"/>
      <w:bookmarkStart w:id="783" w:name="_Toc142047769"/>
      <w:bookmarkStart w:id="784" w:name="_Toc142573748"/>
      <w:r w:rsidRPr="007C747A">
        <w:t>Executive remuneration</w:t>
      </w:r>
      <w:bookmarkEnd w:id="782"/>
      <w:bookmarkEnd w:id="783"/>
      <w:bookmarkEnd w:id="784"/>
    </w:p>
    <w:p w14:paraId="19A54517" w14:textId="77777777" w:rsidR="00C032AB" w:rsidRPr="007C747A" w:rsidRDefault="00C032AB" w:rsidP="00C032AB">
      <w:pPr>
        <w:pStyle w:val="FGCNORMAL"/>
      </w:pPr>
      <w:r w:rsidRPr="007C747A">
        <w:t>Outlined in this section is information on the NDIA’s remuneration practices, as well as the remuneration paid to the NDIA’s key management personnel, senior executives and other highly paid staff for the year ended 30 June 2023, in accordance with the PGPA Rule.</w:t>
      </w:r>
    </w:p>
    <w:p w14:paraId="74585387" w14:textId="77777777" w:rsidR="00C032AB" w:rsidRPr="007C747A" w:rsidRDefault="00C032AB" w:rsidP="001A0235">
      <w:pPr>
        <w:pStyle w:val="Style3-NoNumbering"/>
      </w:pPr>
      <w:bookmarkStart w:id="785" w:name="_Toc142039662"/>
      <w:bookmarkStart w:id="786" w:name="_Toc142047770"/>
      <w:bookmarkStart w:id="787" w:name="_Toc142573749"/>
      <w:r w:rsidRPr="007C747A">
        <w:t>Remuneration policies, practices and governance arrangements</w:t>
      </w:r>
      <w:bookmarkEnd w:id="785"/>
      <w:bookmarkEnd w:id="786"/>
      <w:bookmarkEnd w:id="787"/>
    </w:p>
    <w:p w14:paraId="7B895504" w14:textId="77777777" w:rsidR="00C032AB" w:rsidRPr="007C747A" w:rsidRDefault="00C032AB" w:rsidP="00C032AB">
      <w:pPr>
        <w:pStyle w:val="FGCNORMAL"/>
      </w:pPr>
      <w:r w:rsidRPr="007C747A">
        <w:t xml:space="preserve">The Chair and members of the Board are remunerated as per the Remuneration Tribunal (Remuneration and Allowances for Holders of Part-time Public Office) Determination 2022 made under subsections 7(3) and (4) of the </w:t>
      </w:r>
      <w:r w:rsidRPr="007C747A">
        <w:rPr>
          <w:i/>
          <w:iCs/>
        </w:rPr>
        <w:t>Remuneration Tribunal Act 1973</w:t>
      </w:r>
      <w:r w:rsidRPr="007C747A">
        <w:t xml:space="preserve">. </w:t>
      </w:r>
    </w:p>
    <w:p w14:paraId="5E8F837F" w14:textId="77777777" w:rsidR="00C032AB" w:rsidRPr="007C747A" w:rsidRDefault="00C032AB" w:rsidP="00C032AB">
      <w:pPr>
        <w:pStyle w:val="FGCNORMAL"/>
      </w:pPr>
      <w:r w:rsidRPr="007C747A">
        <w:t xml:space="preserve">The CEO of the NDIA is remunerated as per the Remuneration Tribunal (Remuneration and Allowances for Holders of Full-time Public Office) Determination 2022 made under subsections 7(3) and (4) of the </w:t>
      </w:r>
      <w:r w:rsidRPr="007C747A">
        <w:rPr>
          <w:i/>
          <w:iCs/>
        </w:rPr>
        <w:t>Remuneration Tribunal Act 1973</w:t>
      </w:r>
      <w:r w:rsidRPr="007C747A">
        <w:t xml:space="preserve">. </w:t>
      </w:r>
    </w:p>
    <w:p w14:paraId="42B48185" w14:textId="77777777" w:rsidR="00C032AB" w:rsidRPr="007C747A" w:rsidRDefault="00C032AB" w:rsidP="00C032AB">
      <w:pPr>
        <w:pStyle w:val="FGCNORMAL"/>
      </w:pPr>
      <w:r w:rsidRPr="007C747A">
        <w:t xml:space="preserve">NDIA SES employees are offered a remuneration and employment conditions package through an individual determination under the </w:t>
      </w:r>
      <w:r w:rsidRPr="007C747A">
        <w:rPr>
          <w:i/>
          <w:iCs/>
        </w:rPr>
        <w:t>Public Service Act 1999</w:t>
      </w:r>
      <w:r w:rsidRPr="007C747A">
        <w:t xml:space="preserve"> (section 24.1). Packages follow the principles outlined in the NDIA’s Remuneration Policy and comply with the requirements of the Executive Remuneration Management Policy issued by the Australian Public Service Commission, including specific approval by the Public Service Commissioner if required. </w:t>
      </w:r>
    </w:p>
    <w:p w14:paraId="21D991C0" w14:textId="77777777" w:rsidR="00C032AB" w:rsidRPr="007C747A" w:rsidRDefault="00C032AB" w:rsidP="00C032AB">
      <w:pPr>
        <w:pStyle w:val="FGCNORMAL"/>
      </w:pPr>
      <w:r w:rsidRPr="007C747A">
        <w:t>Other highly paid staff within the NDIA, excluding SES employees, are remunerated in line with the NDIA Enterprise Agreement 2020–2023. This may include payment of a Higher Duties Allowance as a result of an employee performing higher duties or an individual flexibility arrangement. Remuneration-related policies that underpin the NDIA Enterprise Agreement 2020–2023 include the Remuneration Policy and the Allowances and Reimbursement Policy.</w:t>
      </w:r>
    </w:p>
    <w:p w14:paraId="32B942B3" w14:textId="77777777" w:rsidR="00C032AB" w:rsidRPr="007C747A" w:rsidRDefault="00C032AB" w:rsidP="00C032AB">
      <w:pPr>
        <w:pStyle w:val="FGCNORMAL"/>
      </w:pPr>
      <w:r w:rsidRPr="007C747A">
        <w:t xml:space="preserve">For the purpose of executive remuneration reporting, the scope includes salary, superannuation and executive vehicle benefits (where applicable), as well as any additional salary payments and/or other remuneration benefits for key management personnel and other highly paid staff. </w:t>
      </w:r>
    </w:p>
    <w:p w14:paraId="08409F9A" w14:textId="77777777" w:rsidR="00C032AB" w:rsidRPr="007C747A" w:rsidRDefault="00C032AB" w:rsidP="00C032AB">
      <w:pPr>
        <w:pStyle w:val="FGCNORMAL"/>
      </w:pPr>
      <w:r w:rsidRPr="007C747A">
        <w:t>The NDIA Board established the People and Remuneration Committee to assist the Board to fulfil its governance responsibilities for the people and remuneration policies of the NDIA. The disclosure requirements for executive remuneration in financial statements and annual reports for 2022–23 are incorporated in the Public Governance, Performance and Accountability (Financial Reporting) Rule 2015 and Subdivision C of Part 2–3 of the PGPA Rule 2014, respectively.</w:t>
      </w:r>
    </w:p>
    <w:p w14:paraId="78D658EE" w14:textId="77777777" w:rsidR="00B55245" w:rsidRPr="007C747A" w:rsidRDefault="00B55245">
      <w:pPr>
        <w:spacing w:after="0" w:line="240" w:lineRule="auto"/>
        <w:rPr>
          <w:rFonts w:eastAsiaTheme="minorEastAsia" w:cs="Arial"/>
          <w:sz w:val="22"/>
          <w:szCs w:val="22"/>
          <w:lang w:val="en-AU"/>
        </w:rPr>
        <w:sectPr w:rsidR="00B55245" w:rsidRPr="007C747A" w:rsidSect="00DB1E26">
          <w:headerReference w:type="default" r:id="rId69"/>
          <w:pgSz w:w="11907" w:h="16840" w:code="9"/>
          <w:pgMar w:top="510" w:right="1440" w:bottom="567" w:left="964" w:header="113" w:footer="0" w:gutter="0"/>
          <w:cols w:space="708"/>
          <w:titlePg/>
          <w:docGrid w:linePitch="360"/>
        </w:sectPr>
      </w:pPr>
    </w:p>
    <w:p w14:paraId="64059DCD" w14:textId="51C39D32" w:rsidR="0015357F" w:rsidRPr="007C747A" w:rsidRDefault="0015357F" w:rsidP="00957C64">
      <w:pPr>
        <w:pStyle w:val="FGCHEADING2"/>
        <w:spacing w:line="240" w:lineRule="auto"/>
      </w:pPr>
      <w:bookmarkStart w:id="788" w:name="_Toc141799893"/>
      <w:bookmarkStart w:id="789" w:name="_Toc142039663"/>
      <w:bookmarkStart w:id="790" w:name="_Toc142047771"/>
      <w:bookmarkStart w:id="791" w:name="_Toc142478424"/>
      <w:bookmarkStart w:id="792" w:name="_Toc142573750"/>
      <w:bookmarkStart w:id="793" w:name="_Toc146289479"/>
      <w:bookmarkStart w:id="794" w:name="_Toc148108434"/>
      <w:r w:rsidRPr="007C747A">
        <w:t xml:space="preserve">Executive </w:t>
      </w:r>
      <w:r w:rsidR="00FF1753" w:rsidRPr="007C747A">
        <w:t>r</w:t>
      </w:r>
      <w:r w:rsidRPr="007C747A">
        <w:t>emuneration</w:t>
      </w:r>
      <w:bookmarkEnd w:id="788"/>
      <w:bookmarkEnd w:id="789"/>
      <w:bookmarkEnd w:id="790"/>
      <w:bookmarkEnd w:id="791"/>
      <w:bookmarkEnd w:id="792"/>
      <w:bookmarkEnd w:id="793"/>
      <w:bookmarkEnd w:id="794"/>
    </w:p>
    <w:p w14:paraId="7E0ED3BF" w14:textId="6E621E94" w:rsidR="007E30D3" w:rsidRPr="007C747A" w:rsidRDefault="00BB58B2" w:rsidP="001E2D18">
      <w:pPr>
        <w:pStyle w:val="FGCHEADING3"/>
        <w:numPr>
          <w:ilvl w:val="2"/>
          <w:numId w:val="30"/>
        </w:numPr>
      </w:pPr>
      <w:bookmarkStart w:id="795" w:name="_Toc142039664"/>
      <w:bookmarkStart w:id="796" w:name="_Toc142047772"/>
      <w:bookmarkStart w:id="797" w:name="_Toc142478425"/>
      <w:bookmarkStart w:id="798" w:name="_Toc142573751"/>
      <w:r w:rsidRPr="007C747A">
        <w:t xml:space="preserve">  </w:t>
      </w:r>
      <w:bookmarkStart w:id="799" w:name="_Toc146289480"/>
      <w:r w:rsidR="007E30D3" w:rsidRPr="007C747A">
        <w:t xml:space="preserve">Key </w:t>
      </w:r>
      <w:r w:rsidR="00FF1753" w:rsidRPr="007C747A">
        <w:t>m</w:t>
      </w:r>
      <w:r w:rsidR="007E30D3" w:rsidRPr="007C747A">
        <w:t xml:space="preserve">anagement </w:t>
      </w:r>
      <w:r w:rsidR="00FF1753" w:rsidRPr="007C747A">
        <w:t>p</w:t>
      </w:r>
      <w:r w:rsidR="007E30D3" w:rsidRPr="007C747A">
        <w:t>ersonnel</w:t>
      </w:r>
      <w:bookmarkEnd w:id="795"/>
      <w:bookmarkEnd w:id="796"/>
      <w:bookmarkEnd w:id="797"/>
      <w:bookmarkEnd w:id="798"/>
      <w:bookmarkEnd w:id="799"/>
    </w:p>
    <w:p w14:paraId="7F3DDDC1" w14:textId="1F59A0EB" w:rsidR="00A730AE" w:rsidRPr="007C747A" w:rsidRDefault="00A730AE" w:rsidP="00806BD0">
      <w:pPr>
        <w:pStyle w:val="FGCNORMAL"/>
        <w:spacing w:line="240" w:lineRule="auto"/>
        <w:rPr>
          <w:lang w:eastAsia="en-AU"/>
        </w:rPr>
      </w:pPr>
      <w:r w:rsidRPr="007C747A">
        <w:rPr>
          <w:lang w:eastAsia="en-AU"/>
        </w:rPr>
        <w:t>During the reporting period ended 30 June 2023, the Agency had 33 Board members and executives who met the definition of key management personnel</w:t>
      </w:r>
      <w:r w:rsidR="00FF1753" w:rsidRPr="007C747A">
        <w:rPr>
          <w:lang w:eastAsia="en-AU"/>
        </w:rPr>
        <w:t xml:space="preserve"> (KMP)</w:t>
      </w:r>
      <w:r w:rsidRPr="007C747A">
        <w:rPr>
          <w:lang w:eastAsia="en-AU"/>
        </w:rPr>
        <w:t xml:space="preserve">. Their names and length of term as KMP are </w:t>
      </w:r>
      <w:r w:rsidR="00FF1753" w:rsidRPr="007C747A">
        <w:rPr>
          <w:lang w:eastAsia="en-AU"/>
        </w:rPr>
        <w:t>provided in Table 6.6.1A.</w:t>
      </w:r>
    </w:p>
    <w:p w14:paraId="7A2CD1C2" w14:textId="44B84B80" w:rsidR="007D5312" w:rsidRPr="007C747A" w:rsidRDefault="007D5312" w:rsidP="00B001F8">
      <w:pPr>
        <w:pStyle w:val="Heading43"/>
        <w:ind w:left="646"/>
        <w:outlineLvl w:val="3"/>
        <w:rPr>
          <w:lang w:eastAsia="en-AU"/>
        </w:rPr>
      </w:pPr>
      <w:r w:rsidRPr="007C747A">
        <w:t xml:space="preserve">Table 6.6.1A: Key </w:t>
      </w:r>
      <w:r w:rsidR="00FF1753" w:rsidRPr="007C747A">
        <w:t>m</w:t>
      </w:r>
      <w:r w:rsidRPr="007C747A">
        <w:t xml:space="preserve">anagement </w:t>
      </w:r>
      <w:r w:rsidR="00FF1753" w:rsidRPr="007C747A">
        <w:t>p</w:t>
      </w:r>
      <w:r w:rsidRPr="007C747A">
        <w:t>ersonnel</w:t>
      </w:r>
    </w:p>
    <w:tbl>
      <w:tblPr>
        <w:tblStyle w:val="GridTable2-Accent314"/>
        <w:tblW w:w="9498" w:type="dxa"/>
        <w:tblInd w:w="652" w:type="dxa"/>
        <w:tblLook w:val="04A0" w:firstRow="1" w:lastRow="0" w:firstColumn="1" w:lastColumn="0" w:noHBand="0" w:noVBand="1"/>
      </w:tblPr>
      <w:tblGrid>
        <w:gridCol w:w="3131"/>
        <w:gridCol w:w="3510"/>
        <w:gridCol w:w="2857"/>
      </w:tblGrid>
      <w:tr w:rsidR="00A250A6" w:rsidRPr="007C747A" w14:paraId="1653B7C6" w14:textId="77777777" w:rsidTr="00806B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hideMark/>
          </w:tcPr>
          <w:p w14:paraId="19724E02" w14:textId="77777777" w:rsidR="00D30986" w:rsidRPr="007C747A" w:rsidRDefault="00D30986" w:rsidP="00D30986">
            <w:pPr>
              <w:spacing w:after="100" w:afterAutospacing="1" w:line="240" w:lineRule="auto"/>
              <w:rPr>
                <w:rFonts w:ascii="Segoe UI" w:eastAsia="Times New Roman" w:hAnsi="Segoe UI" w:cs="Segoe UI"/>
                <w:color w:val="F9F9F9" w:themeColor="background1"/>
                <w:sz w:val="21"/>
                <w:szCs w:val="21"/>
                <w:lang w:val="en-AU" w:eastAsia="en-AU"/>
              </w:rPr>
            </w:pPr>
            <w:r w:rsidRPr="007C747A">
              <w:rPr>
                <w:rFonts w:ascii="Segoe UI" w:eastAsia="Times New Roman" w:hAnsi="Segoe UI" w:cs="Segoe UI"/>
                <w:color w:val="F9F9F9" w:themeColor="background1"/>
                <w:sz w:val="21"/>
                <w:szCs w:val="21"/>
                <w:lang w:val="en-AU" w:eastAsia="en-AU"/>
              </w:rPr>
              <w:t>Name</w:t>
            </w:r>
          </w:p>
        </w:tc>
        <w:tc>
          <w:tcPr>
            <w:tcW w:w="0" w:type="dxa"/>
            <w:hideMark/>
          </w:tcPr>
          <w:p w14:paraId="51275D89" w14:textId="77777777" w:rsidR="00D30986" w:rsidRPr="007C747A" w:rsidRDefault="00D30986" w:rsidP="00D30986">
            <w:pPr>
              <w:spacing w:after="100" w:afterAutospacing="1" w:line="240" w:lineRule="auto"/>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F9F9F9" w:themeColor="background1"/>
                <w:sz w:val="21"/>
                <w:szCs w:val="21"/>
                <w:lang w:val="en-AU" w:eastAsia="en-AU"/>
              </w:rPr>
            </w:pPr>
            <w:r w:rsidRPr="007C747A">
              <w:rPr>
                <w:rFonts w:ascii="Segoe UI" w:eastAsia="Times New Roman" w:hAnsi="Segoe UI" w:cs="Segoe UI"/>
                <w:color w:val="F9F9F9" w:themeColor="background1"/>
                <w:sz w:val="21"/>
                <w:szCs w:val="21"/>
                <w:lang w:val="en-AU" w:eastAsia="en-AU"/>
              </w:rPr>
              <w:t>Position</w:t>
            </w:r>
          </w:p>
        </w:tc>
        <w:tc>
          <w:tcPr>
            <w:tcW w:w="0" w:type="dxa"/>
            <w:hideMark/>
          </w:tcPr>
          <w:p w14:paraId="6E3C31E9" w14:textId="77777777" w:rsidR="00D30986" w:rsidRPr="007C747A" w:rsidRDefault="00D30986" w:rsidP="00D30986">
            <w:pPr>
              <w:spacing w:after="100" w:afterAutospacing="1" w:line="240" w:lineRule="auto"/>
              <w:cnfStyle w:val="100000000000" w:firstRow="1" w:lastRow="0" w:firstColumn="0" w:lastColumn="0" w:oddVBand="0" w:evenVBand="0" w:oddHBand="0" w:evenHBand="0" w:firstRowFirstColumn="0" w:firstRowLastColumn="0" w:lastRowFirstColumn="0" w:lastRowLastColumn="0"/>
              <w:rPr>
                <w:rFonts w:ascii="Segoe UI" w:eastAsia="Times New Roman" w:hAnsi="Segoe UI" w:cs="Segoe UI"/>
                <w:color w:val="F9F9F9" w:themeColor="background1"/>
                <w:sz w:val="21"/>
                <w:szCs w:val="21"/>
                <w:lang w:val="en-AU" w:eastAsia="en-AU"/>
              </w:rPr>
            </w:pPr>
            <w:r w:rsidRPr="007C747A">
              <w:rPr>
                <w:rFonts w:ascii="Segoe UI" w:eastAsia="Times New Roman" w:hAnsi="Segoe UI" w:cs="Segoe UI"/>
                <w:color w:val="F9F9F9" w:themeColor="background1"/>
                <w:sz w:val="21"/>
                <w:szCs w:val="21"/>
                <w:lang w:val="en-AU" w:eastAsia="en-AU"/>
              </w:rPr>
              <w:t>Term as KMP</w:t>
            </w:r>
          </w:p>
        </w:tc>
      </w:tr>
      <w:tr w:rsidR="00D30986" w:rsidRPr="007C747A" w14:paraId="493D7EE5"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24BDF1C9"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Mr Hamish Aikman</w:t>
            </w:r>
          </w:p>
        </w:tc>
        <w:tc>
          <w:tcPr>
            <w:tcW w:w="0" w:type="dxa"/>
            <w:hideMark/>
          </w:tcPr>
          <w:p w14:paraId="25F1711B"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 Chief People Officer</w:t>
            </w:r>
          </w:p>
        </w:tc>
        <w:tc>
          <w:tcPr>
            <w:tcW w:w="0" w:type="dxa"/>
            <w:hideMark/>
          </w:tcPr>
          <w:p w14:paraId="3A8CDE6B"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Ceased as KMP 12/3/2023</w:t>
            </w:r>
          </w:p>
        </w:tc>
      </w:tr>
      <w:tr w:rsidR="00D30986" w:rsidRPr="007C747A" w14:paraId="4B03EFF2"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5739F0BB" w14:textId="77777777"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Ms Meredith Allan</w:t>
            </w:r>
          </w:p>
        </w:tc>
        <w:tc>
          <w:tcPr>
            <w:tcW w:w="0" w:type="dxa"/>
            <w:hideMark/>
          </w:tcPr>
          <w:p w14:paraId="64D51218"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5D240C97"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02D9771D"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7118F0C0" w14:textId="77777777"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Ms Sandra Birkensleigh</w:t>
            </w:r>
          </w:p>
        </w:tc>
        <w:tc>
          <w:tcPr>
            <w:tcW w:w="0" w:type="dxa"/>
            <w:hideMark/>
          </w:tcPr>
          <w:p w14:paraId="64D8EDC9"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7127118E"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37A1FAA0"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6BBB5731" w14:textId="3FA48B8D"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Professor Jane Burns</w:t>
            </w:r>
          </w:p>
        </w:tc>
        <w:tc>
          <w:tcPr>
            <w:tcW w:w="0" w:type="dxa"/>
            <w:hideMark/>
          </w:tcPr>
          <w:p w14:paraId="0D0CF3D5"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44F2F4B1"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Board 31/3/2023</w:t>
            </w:r>
          </w:p>
        </w:tc>
      </w:tr>
      <w:tr w:rsidR="00D30986" w:rsidRPr="007C747A" w14:paraId="67F95439"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5C189B2C" w14:textId="77777777"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171616"/>
                <w:kern w:val="2"/>
                <w:sz w:val="20"/>
                <w:szCs w:val="20"/>
                <w:lang w:val="en-AU" w:eastAsia="en-AU"/>
                <w14:ligatures w14:val="standardContextual"/>
              </w:rPr>
              <w:t>Mr Geoff Campbell</w:t>
            </w:r>
          </w:p>
        </w:tc>
        <w:tc>
          <w:tcPr>
            <w:tcW w:w="0" w:type="dxa"/>
            <w:hideMark/>
          </w:tcPr>
          <w:p w14:paraId="3705D907"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kern w:val="2"/>
                <w:sz w:val="20"/>
                <w:szCs w:val="20"/>
                <w:lang w:val="en-AU" w:eastAsia="en-AU"/>
                <w14:ligatures w14:val="standardContextual"/>
              </w:rPr>
              <w:t>Acting Chief Risk Officer</w:t>
            </w:r>
          </w:p>
        </w:tc>
        <w:tc>
          <w:tcPr>
            <w:tcW w:w="0" w:type="dxa"/>
            <w:hideMark/>
          </w:tcPr>
          <w:p w14:paraId="7663A68D"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01/12/2022 to 12/3/2023</w:t>
            </w:r>
          </w:p>
        </w:tc>
      </w:tr>
      <w:tr w:rsidR="00D30986" w:rsidRPr="007C747A" w14:paraId="54DBBEBD"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63210937" w14:textId="77777777"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171616"/>
                <w:kern w:val="2"/>
                <w:sz w:val="20"/>
                <w:szCs w:val="20"/>
                <w:lang w:val="en-AU" w:eastAsia="en-AU"/>
                <w14:ligatures w14:val="standardContextual"/>
              </w:rPr>
              <w:t>Mr John Dardo</w:t>
            </w:r>
          </w:p>
        </w:tc>
        <w:tc>
          <w:tcPr>
            <w:tcW w:w="0" w:type="dxa"/>
            <w:hideMark/>
          </w:tcPr>
          <w:p w14:paraId="056B5C26"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kern w:val="2"/>
                <w:sz w:val="20"/>
                <w:szCs w:val="20"/>
                <w:lang w:val="en-AU" w:eastAsia="en-AU"/>
                <w14:ligatures w14:val="standardContextual"/>
              </w:rPr>
              <w:t>Chief Transformation Officer</w:t>
            </w:r>
          </w:p>
        </w:tc>
        <w:tc>
          <w:tcPr>
            <w:tcW w:w="0" w:type="dxa"/>
            <w:hideMark/>
          </w:tcPr>
          <w:p w14:paraId="02BAD721"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29/8/2022</w:t>
            </w:r>
          </w:p>
        </w:tc>
      </w:tr>
      <w:tr w:rsidR="00D30986" w:rsidRPr="007C747A" w14:paraId="6A89F3CB"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D3149E2" w14:textId="77777777"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171616"/>
                <w:kern w:val="2"/>
                <w:sz w:val="20"/>
                <w:szCs w:val="20"/>
                <w:lang w:val="en-AU" w:eastAsia="en-AU"/>
                <w14:ligatures w14:val="standardContextual"/>
              </w:rPr>
              <w:t>Mr Jeremy Dean</w:t>
            </w:r>
          </w:p>
        </w:tc>
        <w:tc>
          <w:tcPr>
            <w:tcW w:w="0" w:type="dxa"/>
            <w:hideMark/>
          </w:tcPr>
          <w:p w14:paraId="36EC18D3" w14:textId="1D65B9C2"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kern w:val="2"/>
                <w:sz w:val="20"/>
                <w:szCs w:val="20"/>
                <w:lang w:val="en-AU" w:eastAsia="en-AU"/>
                <w14:ligatures w14:val="standardContextual"/>
              </w:rPr>
              <w:t>Deputy CEO Participant Experience Delivery</w:t>
            </w:r>
          </w:p>
        </w:tc>
        <w:tc>
          <w:tcPr>
            <w:tcW w:w="0" w:type="dxa"/>
            <w:hideMark/>
          </w:tcPr>
          <w:p w14:paraId="1A81398F"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Agency 8/12/2022</w:t>
            </w:r>
          </w:p>
        </w:tc>
      </w:tr>
      <w:tr w:rsidR="00D30986" w:rsidRPr="007C747A" w14:paraId="728C0154"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495AB293" w14:textId="77777777"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Ms Maryanne Diamond AO</w:t>
            </w:r>
          </w:p>
        </w:tc>
        <w:tc>
          <w:tcPr>
            <w:tcW w:w="0" w:type="dxa"/>
            <w:hideMark/>
          </w:tcPr>
          <w:p w14:paraId="37818699"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7F156336"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18/10/2022</w:t>
            </w:r>
          </w:p>
        </w:tc>
      </w:tr>
      <w:tr w:rsidR="00D30986" w:rsidRPr="007C747A" w14:paraId="3A5E4034"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01BF752" w14:textId="32AF9D13" w:rsidR="00D30986" w:rsidRPr="007C747A" w:rsidRDefault="00D30986" w:rsidP="00D30986">
            <w:pPr>
              <w:spacing w:after="100" w:afterAutospacing="1" w:line="240" w:lineRule="auto"/>
              <w:rPr>
                <w:rFonts w:asciiTheme="minorHAnsi" w:hAnsiTheme="minorHAnsi" w:cstheme="minorHAnsi"/>
                <w:color w:val="171616"/>
                <w:kern w:val="2"/>
                <w:sz w:val="20"/>
                <w:szCs w:val="20"/>
                <w:lang w:val="en-AU" w:eastAsia="en-AU"/>
                <w14:ligatures w14:val="standardContextual"/>
              </w:rPr>
            </w:pPr>
            <w:r w:rsidRPr="007C747A">
              <w:rPr>
                <w:rFonts w:asciiTheme="minorHAnsi" w:hAnsiTheme="minorHAnsi" w:cstheme="minorHAnsi"/>
                <w:color w:val="171616"/>
                <w:kern w:val="2"/>
                <w:sz w:val="20"/>
                <w:szCs w:val="20"/>
                <w:lang w:val="en-AU" w:eastAsia="en-AU"/>
                <w14:ligatures w14:val="standardContextual"/>
              </w:rPr>
              <w:t>Ms Rebecca Falkingham</w:t>
            </w:r>
            <w:r w:rsidR="0015625F" w:rsidRPr="007C747A">
              <w:rPr>
                <w:rFonts w:asciiTheme="minorHAnsi" w:hAnsiTheme="minorHAnsi" w:cstheme="minorHAnsi"/>
                <w:color w:val="171616"/>
                <w:kern w:val="2"/>
                <w:sz w:val="20"/>
                <w:szCs w:val="20"/>
                <w:lang w:val="en-AU" w:eastAsia="en-AU"/>
                <w14:ligatures w14:val="standardContextual"/>
              </w:rPr>
              <w:t xml:space="preserve"> PSM</w:t>
            </w:r>
          </w:p>
        </w:tc>
        <w:tc>
          <w:tcPr>
            <w:tcW w:w="0" w:type="dxa"/>
            <w:hideMark/>
          </w:tcPr>
          <w:p w14:paraId="4BEBA562"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kern w:val="2"/>
                <w:sz w:val="20"/>
                <w:szCs w:val="20"/>
                <w:lang w:val="en-AU" w:eastAsia="en-AU"/>
                <w14:ligatures w14:val="standardContextual"/>
              </w:rPr>
            </w:pPr>
            <w:r w:rsidRPr="007C747A">
              <w:rPr>
                <w:rFonts w:asciiTheme="minorHAnsi" w:hAnsiTheme="minorHAnsi" w:cstheme="minorHAnsi"/>
                <w:kern w:val="2"/>
                <w:sz w:val="20"/>
                <w:szCs w:val="20"/>
                <w:lang w:val="en-AU" w:eastAsia="en-AU"/>
                <w14:ligatures w14:val="standardContextual"/>
              </w:rPr>
              <w:t>Chief Executive Officer</w:t>
            </w:r>
          </w:p>
        </w:tc>
        <w:tc>
          <w:tcPr>
            <w:tcW w:w="0" w:type="dxa"/>
            <w:hideMark/>
          </w:tcPr>
          <w:p w14:paraId="2A347AF8"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18/10/2022</w:t>
            </w:r>
          </w:p>
        </w:tc>
      </w:tr>
      <w:tr w:rsidR="00D30986" w:rsidRPr="007C747A" w14:paraId="5717A6CF"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4CD1E900"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Mr Kurt Fearnley AO</w:t>
            </w:r>
          </w:p>
        </w:tc>
        <w:tc>
          <w:tcPr>
            <w:tcW w:w="0" w:type="dxa"/>
            <w:hideMark/>
          </w:tcPr>
          <w:p w14:paraId="2BE4843C"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 xml:space="preserve">Chair </w:t>
            </w:r>
          </w:p>
        </w:tc>
        <w:tc>
          <w:tcPr>
            <w:tcW w:w="0" w:type="dxa"/>
            <w:hideMark/>
          </w:tcPr>
          <w:p w14:paraId="78B1C676"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18/10/2022</w:t>
            </w:r>
          </w:p>
        </w:tc>
      </w:tr>
      <w:tr w:rsidR="00D30986" w:rsidRPr="007C747A" w14:paraId="77077690"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41673C79"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Ms Jamie Lowe</w:t>
            </w:r>
          </w:p>
        </w:tc>
        <w:tc>
          <w:tcPr>
            <w:tcW w:w="0" w:type="dxa"/>
            <w:hideMark/>
          </w:tcPr>
          <w:p w14:paraId="3087CFAA" w14:textId="6D353833"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 xml:space="preserve">Acting </w:t>
            </w:r>
            <w:r w:rsidR="005907F9" w:rsidRPr="007C747A">
              <w:rPr>
                <w:rFonts w:asciiTheme="minorHAnsi" w:hAnsiTheme="minorHAnsi" w:cstheme="minorHAnsi"/>
                <w:kern w:val="2"/>
                <w:sz w:val="20"/>
                <w:szCs w:val="20"/>
                <w:lang w:val="en-AU" w:eastAsia="en-AU"/>
                <w14:ligatures w14:val="standardContextual"/>
              </w:rPr>
              <w:t>Deputy CEO</w:t>
            </w:r>
            <w:r w:rsidRPr="007C747A">
              <w:rPr>
                <w:rFonts w:asciiTheme="minorHAnsi" w:hAnsiTheme="minorHAnsi" w:cstheme="minorHAnsi"/>
                <w:kern w:val="2"/>
                <w:sz w:val="20"/>
                <w:szCs w:val="20"/>
                <w:lang w:val="en-AU" w:eastAsia="en-AU"/>
                <w14:ligatures w14:val="standardContextual"/>
              </w:rPr>
              <w:t xml:space="preserve"> Strategy &amp; Service Improvement</w:t>
            </w:r>
          </w:p>
        </w:tc>
        <w:tc>
          <w:tcPr>
            <w:tcW w:w="0" w:type="dxa"/>
            <w:hideMark/>
          </w:tcPr>
          <w:p w14:paraId="65368133"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1/12/2022 to 15/1/2023</w:t>
            </w:r>
          </w:p>
        </w:tc>
      </w:tr>
      <w:tr w:rsidR="00D30986" w:rsidRPr="007C747A" w14:paraId="02336527"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745C67DF"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Ms Liz Neville</w:t>
            </w:r>
          </w:p>
        </w:tc>
        <w:tc>
          <w:tcPr>
            <w:tcW w:w="0" w:type="dxa"/>
            <w:hideMark/>
          </w:tcPr>
          <w:p w14:paraId="1809D611"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Acting Deputy CEO Government, Engagement &amp; Legal</w:t>
            </w:r>
          </w:p>
        </w:tc>
        <w:tc>
          <w:tcPr>
            <w:tcW w:w="0" w:type="dxa"/>
            <w:hideMark/>
          </w:tcPr>
          <w:p w14:paraId="4C660DFC"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4/7/2022 to 12/3/2023</w:t>
            </w:r>
          </w:p>
        </w:tc>
      </w:tr>
      <w:tr w:rsidR="00D30986" w:rsidRPr="007C747A" w14:paraId="7717827F"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8BC2C2A" w14:textId="77777777" w:rsidR="00D30986" w:rsidRPr="007C747A" w:rsidRDefault="00D30986" w:rsidP="00A315D9">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Dr Richard Fejo</w:t>
            </w:r>
          </w:p>
        </w:tc>
        <w:tc>
          <w:tcPr>
            <w:tcW w:w="0" w:type="dxa"/>
            <w:hideMark/>
          </w:tcPr>
          <w:p w14:paraId="35F6F411"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5DFE1279"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1/4/2023</w:t>
            </w:r>
          </w:p>
        </w:tc>
      </w:tr>
      <w:tr w:rsidR="00D30986" w:rsidRPr="007C747A" w14:paraId="49C56DCA"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5BF63A78"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Mr Ian Frew</w:t>
            </w:r>
          </w:p>
        </w:tc>
        <w:tc>
          <w:tcPr>
            <w:tcW w:w="0" w:type="dxa"/>
            <w:hideMark/>
          </w:tcPr>
          <w:p w14:paraId="102E0302"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Chief Information Officer</w:t>
            </w:r>
          </w:p>
        </w:tc>
        <w:tc>
          <w:tcPr>
            <w:tcW w:w="0" w:type="dxa"/>
            <w:hideMark/>
          </w:tcPr>
          <w:p w14:paraId="50362F67"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Ceased as KMP 12/3/2023</w:t>
            </w:r>
          </w:p>
        </w:tc>
      </w:tr>
      <w:tr w:rsidR="00D30986" w:rsidRPr="007C747A" w14:paraId="2AD80AED"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3611C363"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Mr David Gifford</w:t>
            </w:r>
          </w:p>
        </w:tc>
        <w:tc>
          <w:tcPr>
            <w:tcW w:w="0" w:type="dxa"/>
            <w:hideMark/>
          </w:tcPr>
          <w:p w14:paraId="6281811C"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Scheme Actuary</w:t>
            </w:r>
          </w:p>
        </w:tc>
        <w:tc>
          <w:tcPr>
            <w:tcW w:w="0" w:type="dxa"/>
            <w:hideMark/>
          </w:tcPr>
          <w:p w14:paraId="1D42E857"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2EDD86A0"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3D27FE37"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Ms Nicole Glazebrook</w:t>
            </w:r>
          </w:p>
        </w:tc>
        <w:tc>
          <w:tcPr>
            <w:tcW w:w="0" w:type="dxa"/>
            <w:hideMark/>
          </w:tcPr>
          <w:p w14:paraId="42504ED6"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Chief Financial Officer</w:t>
            </w:r>
          </w:p>
        </w:tc>
        <w:tc>
          <w:tcPr>
            <w:tcW w:w="0" w:type="dxa"/>
            <w:hideMark/>
          </w:tcPr>
          <w:p w14:paraId="1DED2CD4"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Ceased as KMP 12/3/2023</w:t>
            </w:r>
          </w:p>
        </w:tc>
      </w:tr>
      <w:tr w:rsidR="00D30986" w:rsidRPr="007C747A" w14:paraId="5FCAB2DC"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3827827"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Mr Martin Hoffman</w:t>
            </w:r>
          </w:p>
        </w:tc>
        <w:tc>
          <w:tcPr>
            <w:tcW w:w="0" w:type="dxa"/>
            <w:hideMark/>
          </w:tcPr>
          <w:p w14:paraId="3F482358"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Chief Executive Officer</w:t>
            </w:r>
          </w:p>
        </w:tc>
        <w:tc>
          <w:tcPr>
            <w:tcW w:w="0" w:type="dxa"/>
            <w:hideMark/>
          </w:tcPr>
          <w:p w14:paraId="4D80C321"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Agency 1/7/2022</w:t>
            </w:r>
          </w:p>
        </w:tc>
      </w:tr>
      <w:tr w:rsidR="00D30986" w:rsidRPr="007C747A" w14:paraId="0B3D72B1"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7E3C9502"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Dr Graeme Innes AM</w:t>
            </w:r>
          </w:p>
        </w:tc>
        <w:tc>
          <w:tcPr>
            <w:tcW w:w="0" w:type="dxa"/>
            <w:hideMark/>
          </w:tcPr>
          <w:p w14:paraId="752D6DED"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6ADF1535"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18/10/2022</w:t>
            </w:r>
          </w:p>
        </w:tc>
      </w:tr>
      <w:tr w:rsidR="00D30986" w:rsidRPr="007C747A" w14:paraId="1D8D8EF8"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4F659B16"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Ms Sarah Johnson</w:t>
            </w:r>
          </w:p>
        </w:tc>
        <w:tc>
          <w:tcPr>
            <w:tcW w:w="0" w:type="dxa"/>
            <w:hideMark/>
          </w:tcPr>
          <w:p w14:paraId="07FB69F8" w14:textId="2DBA006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 xml:space="preserve">Acting </w:t>
            </w:r>
            <w:r w:rsidR="005907F9" w:rsidRPr="007C747A">
              <w:rPr>
                <w:rFonts w:asciiTheme="minorHAnsi" w:hAnsiTheme="minorHAnsi" w:cstheme="minorHAnsi"/>
                <w:kern w:val="2"/>
                <w:sz w:val="20"/>
                <w:szCs w:val="20"/>
                <w:lang w:val="en-AU" w:eastAsia="en-AU"/>
                <w14:ligatures w14:val="standardContextual"/>
              </w:rPr>
              <w:t>Deputy CEO</w:t>
            </w:r>
            <w:r w:rsidRPr="007C747A">
              <w:rPr>
                <w:rFonts w:asciiTheme="minorHAnsi" w:hAnsiTheme="minorHAnsi" w:cstheme="minorHAnsi"/>
                <w:kern w:val="2"/>
                <w:sz w:val="20"/>
                <w:szCs w:val="20"/>
                <w:lang w:val="en-AU" w:eastAsia="en-AU"/>
                <w14:ligatures w14:val="standardContextual"/>
              </w:rPr>
              <w:t xml:space="preserve"> Strategy &amp; Service Improvement</w:t>
            </w:r>
          </w:p>
        </w:tc>
        <w:tc>
          <w:tcPr>
            <w:tcW w:w="0" w:type="dxa"/>
            <w:hideMark/>
          </w:tcPr>
          <w:p w14:paraId="531D13CD"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Agency 30/11/2022</w:t>
            </w:r>
          </w:p>
        </w:tc>
      </w:tr>
      <w:tr w:rsidR="00D30986" w:rsidRPr="007C747A" w14:paraId="7A36AAA6"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5AB27E5C"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Mrs Joan McKenna Kerr</w:t>
            </w:r>
          </w:p>
        </w:tc>
        <w:tc>
          <w:tcPr>
            <w:tcW w:w="0" w:type="dxa"/>
            <w:hideMark/>
          </w:tcPr>
          <w:p w14:paraId="0CA66717"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66CDA4C3"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1/4/2023</w:t>
            </w:r>
          </w:p>
        </w:tc>
      </w:tr>
      <w:tr w:rsidR="00D30986" w:rsidRPr="007C747A" w14:paraId="2E556534"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1E3D8C08"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Mr Glenn Keys AO</w:t>
            </w:r>
          </w:p>
        </w:tc>
        <w:tc>
          <w:tcPr>
            <w:tcW w:w="0" w:type="dxa"/>
            <w:hideMark/>
          </w:tcPr>
          <w:p w14:paraId="3A31CDC6"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23AFE79E"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Board 31/12/2022</w:t>
            </w:r>
          </w:p>
        </w:tc>
      </w:tr>
      <w:tr w:rsidR="00D30986" w:rsidRPr="007C747A" w14:paraId="71DABB4A"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1D183656"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Penelope McKay</w:t>
            </w:r>
          </w:p>
        </w:tc>
        <w:tc>
          <w:tcPr>
            <w:tcW w:w="0" w:type="dxa"/>
            <w:hideMark/>
          </w:tcPr>
          <w:p w14:paraId="44E94ECB"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Deputy CEO Market Stewardship and Home &amp; Living</w:t>
            </w:r>
          </w:p>
        </w:tc>
        <w:tc>
          <w:tcPr>
            <w:tcW w:w="0" w:type="dxa"/>
            <w:hideMark/>
          </w:tcPr>
          <w:p w14:paraId="45809B83" w14:textId="4A4DDF32"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 xml:space="preserve">Part-year – Appointed </w:t>
            </w:r>
            <w:r w:rsidR="00122BC7" w:rsidRPr="007C747A">
              <w:rPr>
                <w:rFonts w:asciiTheme="minorHAnsi" w:eastAsia="Times New Roman" w:hAnsiTheme="minorHAnsi" w:cstheme="minorHAnsi"/>
                <w:color w:val="212529"/>
                <w:sz w:val="20"/>
                <w:szCs w:val="20"/>
                <w:lang w:val="en-AU" w:eastAsia="en-AU"/>
              </w:rPr>
              <w:t>14</w:t>
            </w:r>
            <w:r w:rsidRPr="007C747A">
              <w:rPr>
                <w:rFonts w:asciiTheme="minorHAnsi" w:eastAsia="Times New Roman" w:hAnsiTheme="minorHAnsi" w:cstheme="minorHAnsi"/>
                <w:color w:val="212529"/>
                <w:sz w:val="20"/>
                <w:szCs w:val="20"/>
                <w:lang w:val="en-AU" w:eastAsia="en-AU"/>
              </w:rPr>
              <w:t>/3/2023</w:t>
            </w:r>
          </w:p>
        </w:tc>
      </w:tr>
      <w:tr w:rsidR="00D30986" w:rsidRPr="007C747A" w14:paraId="353EC3E9"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6F5009C1"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Corri McKenzie</w:t>
            </w:r>
          </w:p>
        </w:tc>
        <w:tc>
          <w:tcPr>
            <w:tcW w:w="0" w:type="dxa"/>
            <w:hideMark/>
          </w:tcPr>
          <w:p w14:paraId="6C932553"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Deputy CEO Service Design &amp; Improvement</w:t>
            </w:r>
          </w:p>
        </w:tc>
        <w:tc>
          <w:tcPr>
            <w:tcW w:w="0" w:type="dxa"/>
            <w:hideMark/>
          </w:tcPr>
          <w:p w14:paraId="640BD6DD"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16/1/2023</w:t>
            </w:r>
          </w:p>
        </w:tc>
      </w:tr>
      <w:tr w:rsidR="00D30986" w:rsidRPr="007C747A" w14:paraId="6B68AAB7"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43EEA380"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Mr Scott McNaughton</w:t>
            </w:r>
          </w:p>
        </w:tc>
        <w:tc>
          <w:tcPr>
            <w:tcW w:w="0" w:type="dxa"/>
            <w:hideMark/>
          </w:tcPr>
          <w:p w14:paraId="350347E2"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Deputy CEO Service Delivery</w:t>
            </w:r>
          </w:p>
        </w:tc>
        <w:tc>
          <w:tcPr>
            <w:tcW w:w="0" w:type="dxa"/>
            <w:hideMark/>
          </w:tcPr>
          <w:p w14:paraId="59E96F88"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9/12/2022</w:t>
            </w:r>
          </w:p>
        </w:tc>
      </w:tr>
      <w:tr w:rsidR="00D30986" w:rsidRPr="007C747A" w14:paraId="64984D21"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296A276B"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Ms Debbie Mitchell</w:t>
            </w:r>
          </w:p>
        </w:tc>
        <w:tc>
          <w:tcPr>
            <w:tcW w:w="0" w:type="dxa"/>
            <w:hideMark/>
          </w:tcPr>
          <w:p w14:paraId="6876EDF0"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Deputy CEO Governance, Risk &amp; Integrity</w:t>
            </w:r>
          </w:p>
        </w:tc>
        <w:tc>
          <w:tcPr>
            <w:tcW w:w="0" w:type="dxa"/>
            <w:hideMark/>
          </w:tcPr>
          <w:p w14:paraId="359307A0"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23/1/2023</w:t>
            </w:r>
          </w:p>
        </w:tc>
      </w:tr>
      <w:tr w:rsidR="00D30986" w:rsidRPr="007C747A" w14:paraId="57FECFAE"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41D3DA2F"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Mr James Minto</w:t>
            </w:r>
          </w:p>
        </w:tc>
        <w:tc>
          <w:tcPr>
            <w:tcW w:w="0" w:type="dxa"/>
            <w:hideMark/>
          </w:tcPr>
          <w:p w14:paraId="776605D4" w14:textId="77777777" w:rsidR="00D30986" w:rsidRPr="007C747A" w:rsidRDefault="00D30986" w:rsidP="00D30986">
            <w:pPr>
              <w:spacing w:after="0" w:line="25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 xml:space="preserve">Board Member, </w:t>
            </w:r>
          </w:p>
          <w:p w14:paraId="1FFA7E2B"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(Acting Chair 18/7/2022 to 25/9/2022)</w:t>
            </w:r>
          </w:p>
        </w:tc>
        <w:tc>
          <w:tcPr>
            <w:tcW w:w="0" w:type="dxa"/>
            <w:hideMark/>
          </w:tcPr>
          <w:p w14:paraId="67C6FDAD"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65315502"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65722D63"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Dr Denis Napthine AO</w:t>
            </w:r>
          </w:p>
        </w:tc>
        <w:tc>
          <w:tcPr>
            <w:tcW w:w="0" w:type="dxa"/>
          </w:tcPr>
          <w:p w14:paraId="68440D5F" w14:textId="77777777" w:rsidR="00D30986" w:rsidRPr="007C747A" w:rsidRDefault="00D30986" w:rsidP="00D30986">
            <w:pPr>
              <w:spacing w:after="0" w:line="25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 xml:space="preserve">Chair </w:t>
            </w:r>
          </w:p>
          <w:p w14:paraId="15C1F09F" w14:textId="77777777" w:rsidR="00D30986" w:rsidRPr="007C747A" w:rsidRDefault="00D30986" w:rsidP="00D30986">
            <w:pPr>
              <w:spacing w:after="0" w:line="25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
                <w:sz w:val="20"/>
                <w:szCs w:val="20"/>
                <w:lang w:val="en-AU" w:eastAsia="en-AU"/>
                <w14:ligatures w14:val="standardContextual"/>
              </w:rPr>
            </w:pPr>
          </w:p>
          <w:p w14:paraId="4C38C7F2"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395B73FE" w14:textId="7326C9DB" w:rsidR="00D30986" w:rsidRPr="007C747A" w:rsidRDefault="00D30986" w:rsidP="00D30986">
            <w:pPr>
              <w:spacing w:after="0" w:line="25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
                <w:sz w:val="20"/>
                <w:szCs w:val="20"/>
                <w:lang w:val="en-AU" w:eastAsia="en-AU"/>
                <w14:ligatures w14:val="standardContextual"/>
              </w:rPr>
            </w:pPr>
            <w:r w:rsidRPr="007C747A">
              <w:rPr>
                <w:rFonts w:asciiTheme="minorHAnsi" w:hAnsiTheme="minorHAnsi" w:cstheme="minorHAnsi"/>
                <w:color w:val="000000"/>
                <w:kern w:val="2"/>
                <w:sz w:val="20"/>
                <w:szCs w:val="20"/>
                <w:lang w:val="en-AU" w:eastAsia="en-AU"/>
                <w14:ligatures w14:val="standardContextual"/>
              </w:rPr>
              <w:t xml:space="preserve">Part </w:t>
            </w:r>
            <w:r w:rsidR="00BE660A" w:rsidRPr="007C747A">
              <w:rPr>
                <w:rFonts w:asciiTheme="minorHAnsi" w:hAnsiTheme="minorHAnsi" w:cstheme="minorHAnsi"/>
                <w:color w:val="000000"/>
                <w:kern w:val="2"/>
                <w:sz w:val="20"/>
                <w:szCs w:val="20"/>
                <w:lang w:val="en-AU" w:eastAsia="en-AU"/>
                <w14:ligatures w14:val="standardContextual"/>
              </w:rPr>
              <w:t>-</w:t>
            </w:r>
            <w:r w:rsidRPr="007C747A">
              <w:rPr>
                <w:rFonts w:asciiTheme="minorHAnsi" w:hAnsiTheme="minorHAnsi" w:cstheme="minorHAnsi"/>
                <w:color w:val="000000"/>
                <w:kern w:val="2"/>
                <w:sz w:val="20"/>
                <w:szCs w:val="20"/>
                <w:lang w:val="en-AU" w:eastAsia="en-AU"/>
                <w14:ligatures w14:val="standardContextual"/>
              </w:rPr>
              <w:t xml:space="preserve">year – 1/7/2022 to 18/7/2022 </w:t>
            </w:r>
          </w:p>
          <w:p w14:paraId="047DB264" w14:textId="5A4BC696"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Part</w:t>
            </w:r>
            <w:r w:rsidR="002C3E0C" w:rsidRPr="007C747A">
              <w:rPr>
                <w:rFonts w:asciiTheme="minorHAnsi" w:hAnsiTheme="minorHAnsi" w:cstheme="minorHAnsi"/>
                <w:color w:val="000000"/>
                <w:kern w:val="2"/>
                <w:sz w:val="20"/>
                <w:szCs w:val="20"/>
                <w:lang w:val="en-AU" w:eastAsia="en-AU"/>
                <w14:ligatures w14:val="standardContextual"/>
              </w:rPr>
              <w:t>-</w:t>
            </w:r>
            <w:r w:rsidRPr="007C747A">
              <w:rPr>
                <w:rFonts w:asciiTheme="minorHAnsi" w:hAnsiTheme="minorHAnsi" w:cstheme="minorHAnsi"/>
                <w:color w:val="000000"/>
                <w:kern w:val="2"/>
                <w:sz w:val="20"/>
                <w:szCs w:val="20"/>
                <w:lang w:val="en-AU" w:eastAsia="en-AU"/>
                <w14:ligatures w14:val="standardContextual"/>
              </w:rPr>
              <w:t xml:space="preserve"> year – 18/10/2022 to 30/6/2023</w:t>
            </w:r>
          </w:p>
        </w:tc>
      </w:tr>
      <w:tr w:rsidR="00D30986" w:rsidRPr="007C747A" w14:paraId="614AAA43"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30970DC9"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Ms Estelle Pearson</w:t>
            </w:r>
          </w:p>
        </w:tc>
        <w:tc>
          <w:tcPr>
            <w:tcW w:w="0" w:type="dxa"/>
            <w:hideMark/>
          </w:tcPr>
          <w:p w14:paraId="2DF8AC9D"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3802DFA6"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493E9BEB"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0872A6B5"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Ms Leah van Poppel</w:t>
            </w:r>
          </w:p>
        </w:tc>
        <w:tc>
          <w:tcPr>
            <w:tcW w:w="0" w:type="dxa"/>
            <w:hideMark/>
          </w:tcPr>
          <w:p w14:paraId="3172237B"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02C7E23B"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2D7ECF14"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01F05FD8"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Mr Samuel Porter</w:t>
            </w:r>
          </w:p>
        </w:tc>
        <w:tc>
          <w:tcPr>
            <w:tcW w:w="0" w:type="dxa"/>
            <w:hideMark/>
          </w:tcPr>
          <w:p w14:paraId="7D9980EF"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Chief Operating Officer</w:t>
            </w:r>
          </w:p>
        </w:tc>
        <w:tc>
          <w:tcPr>
            <w:tcW w:w="0" w:type="dxa"/>
            <w:hideMark/>
          </w:tcPr>
          <w:p w14:paraId="04F45C1F"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Appointed 3/4/2023</w:t>
            </w:r>
          </w:p>
        </w:tc>
      </w:tr>
      <w:tr w:rsidR="00D30986" w:rsidRPr="007C747A" w14:paraId="06D1F0CB"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74DB067B"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Dr Peta Seaton AM</w:t>
            </w:r>
          </w:p>
        </w:tc>
        <w:tc>
          <w:tcPr>
            <w:tcW w:w="0" w:type="dxa"/>
            <w:hideMark/>
          </w:tcPr>
          <w:p w14:paraId="1194A32F"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000000"/>
                <w:kern w:val="2"/>
                <w:sz w:val="20"/>
                <w:szCs w:val="20"/>
                <w:lang w:val="en-AU" w:eastAsia="en-AU"/>
                <w14:ligatures w14:val="standardContextual"/>
              </w:rPr>
              <w:t>Board Member</w:t>
            </w:r>
          </w:p>
        </w:tc>
        <w:tc>
          <w:tcPr>
            <w:tcW w:w="0" w:type="dxa"/>
            <w:hideMark/>
          </w:tcPr>
          <w:p w14:paraId="0E44F75A"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Full year</w:t>
            </w:r>
          </w:p>
        </w:tc>
      </w:tr>
      <w:tr w:rsidR="00D30986" w:rsidRPr="007C747A" w14:paraId="33F31A4C" w14:textId="77777777" w:rsidTr="00806BD0">
        <w:tc>
          <w:tcPr>
            <w:cnfStyle w:val="001000000000" w:firstRow="0" w:lastRow="0" w:firstColumn="1" w:lastColumn="0" w:oddVBand="0" w:evenVBand="0" w:oddHBand="0" w:evenHBand="0" w:firstRowFirstColumn="0" w:firstRowLastColumn="0" w:lastRowFirstColumn="0" w:lastRowLastColumn="0"/>
            <w:tcW w:w="0" w:type="dxa"/>
            <w:hideMark/>
          </w:tcPr>
          <w:p w14:paraId="3F0F5EF5" w14:textId="77777777" w:rsidR="00D30986" w:rsidRPr="007C747A" w:rsidRDefault="00D30986" w:rsidP="00D30986">
            <w:pPr>
              <w:spacing w:after="100" w:afterAutospacing="1" w:line="240" w:lineRule="auto"/>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color w:val="171616"/>
                <w:kern w:val="2"/>
                <w:sz w:val="20"/>
                <w:szCs w:val="20"/>
                <w:lang w:val="en-AU" w:eastAsia="en-AU"/>
                <w14:ligatures w14:val="standardContextual"/>
              </w:rPr>
              <w:t>Ms Lisa Studdert</w:t>
            </w:r>
          </w:p>
        </w:tc>
        <w:tc>
          <w:tcPr>
            <w:tcW w:w="0" w:type="dxa"/>
            <w:hideMark/>
          </w:tcPr>
          <w:p w14:paraId="4BBAB438"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hAnsiTheme="minorHAnsi" w:cstheme="minorHAnsi"/>
                <w:kern w:val="2"/>
                <w:sz w:val="20"/>
                <w:szCs w:val="20"/>
                <w:lang w:val="en-AU" w:eastAsia="en-AU"/>
                <w14:ligatures w14:val="standardContextual"/>
              </w:rPr>
              <w:t>Deputy CEO Government, Engagement &amp; Legal (Acting Chief Executive Officer 4/7/2022 to 17/10/2022</w:t>
            </w:r>
          </w:p>
        </w:tc>
        <w:tc>
          <w:tcPr>
            <w:tcW w:w="0" w:type="dxa"/>
            <w:hideMark/>
          </w:tcPr>
          <w:p w14:paraId="54A0B2AB" w14:textId="77777777" w:rsidR="00D30986" w:rsidRPr="007C747A" w:rsidRDefault="00D30986" w:rsidP="00D30986">
            <w:pPr>
              <w:spacing w:after="100" w:afterAutospacing="1"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Agency 5/2/2023</w:t>
            </w:r>
          </w:p>
        </w:tc>
      </w:tr>
      <w:tr w:rsidR="00D30986" w:rsidRPr="007C747A" w14:paraId="10001DF0" w14:textId="77777777" w:rsidTr="0080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hideMark/>
          </w:tcPr>
          <w:p w14:paraId="104496BA" w14:textId="77777777" w:rsidR="00D30986" w:rsidRPr="007C747A" w:rsidRDefault="00D30986" w:rsidP="00D30986">
            <w:pPr>
              <w:spacing w:after="100" w:afterAutospacing="1" w:line="240" w:lineRule="auto"/>
              <w:rPr>
                <w:rFonts w:asciiTheme="minorHAnsi" w:hAnsiTheme="minorHAnsi" w:cstheme="minorHAnsi"/>
                <w:color w:val="000000"/>
                <w:kern w:val="2"/>
                <w:sz w:val="20"/>
                <w:szCs w:val="20"/>
                <w:lang w:val="en-AU" w:eastAsia="en-AU"/>
                <w14:ligatures w14:val="standardContextual"/>
              </w:rPr>
            </w:pPr>
            <w:r w:rsidRPr="007C747A">
              <w:rPr>
                <w:rFonts w:asciiTheme="minorHAnsi" w:hAnsiTheme="minorHAnsi" w:cstheme="minorHAnsi"/>
                <w:color w:val="171616"/>
                <w:kern w:val="2"/>
                <w:sz w:val="20"/>
                <w:szCs w:val="20"/>
                <w:lang w:val="en-AU" w:eastAsia="en-AU"/>
                <w14:ligatures w14:val="standardContextual"/>
              </w:rPr>
              <w:t>Ms Melissa Woodburn</w:t>
            </w:r>
          </w:p>
        </w:tc>
        <w:tc>
          <w:tcPr>
            <w:tcW w:w="0" w:type="dxa"/>
            <w:hideMark/>
          </w:tcPr>
          <w:p w14:paraId="32570B21"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kern w:val="2"/>
                <w:sz w:val="20"/>
                <w:szCs w:val="20"/>
                <w:lang w:val="en-AU" w:eastAsia="en-AU"/>
                <w14:ligatures w14:val="standardContextual"/>
              </w:rPr>
            </w:pPr>
            <w:r w:rsidRPr="007C747A">
              <w:rPr>
                <w:rFonts w:asciiTheme="minorHAnsi" w:hAnsiTheme="minorHAnsi" w:cstheme="minorHAnsi"/>
                <w:kern w:val="2"/>
                <w:sz w:val="20"/>
                <w:szCs w:val="20"/>
                <w:lang w:val="en-AU" w:eastAsia="en-AU"/>
                <w14:ligatures w14:val="standardContextual"/>
              </w:rPr>
              <w:t> Chief Risk Officer</w:t>
            </w:r>
          </w:p>
        </w:tc>
        <w:tc>
          <w:tcPr>
            <w:tcW w:w="0" w:type="dxa"/>
            <w:hideMark/>
          </w:tcPr>
          <w:p w14:paraId="5052B53F" w14:textId="77777777" w:rsidR="00D30986" w:rsidRPr="007C747A" w:rsidRDefault="00D30986" w:rsidP="00D30986">
            <w:pPr>
              <w:spacing w:after="100" w:afterAutospacing="1" w:line="240" w:lineRule="auto"/>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212529"/>
                <w:sz w:val="20"/>
                <w:szCs w:val="20"/>
                <w:lang w:val="en-AU" w:eastAsia="en-AU"/>
              </w:rPr>
            </w:pPr>
            <w:r w:rsidRPr="007C747A">
              <w:rPr>
                <w:rFonts w:asciiTheme="minorHAnsi" w:eastAsia="Times New Roman" w:hAnsiTheme="minorHAnsi" w:cstheme="minorHAnsi"/>
                <w:color w:val="212529"/>
                <w:sz w:val="20"/>
                <w:szCs w:val="20"/>
                <w:lang w:val="en-AU" w:eastAsia="en-AU"/>
              </w:rPr>
              <w:t>Part-year – Left the Agency 6/12/2022</w:t>
            </w:r>
          </w:p>
        </w:tc>
      </w:tr>
    </w:tbl>
    <w:p w14:paraId="358F749E" w14:textId="77777777" w:rsidR="00B55245" w:rsidRPr="007C747A" w:rsidRDefault="00B55245" w:rsidP="00F7256F">
      <w:pPr>
        <w:pStyle w:val="FGCNORMAL"/>
        <w:sectPr w:rsidR="00B55245" w:rsidRPr="007C747A" w:rsidSect="00DB1E26">
          <w:pgSz w:w="11907" w:h="16840" w:code="9"/>
          <w:pgMar w:top="720" w:right="720" w:bottom="720" w:left="720" w:header="113" w:footer="0" w:gutter="0"/>
          <w:cols w:space="708"/>
          <w:titlePg/>
          <w:docGrid w:linePitch="360"/>
        </w:sectPr>
      </w:pPr>
    </w:p>
    <w:p w14:paraId="3395AD5C" w14:textId="144D243B" w:rsidR="007E30D3" w:rsidRPr="007C747A" w:rsidRDefault="00BB58B2" w:rsidP="00DD0DAE">
      <w:pPr>
        <w:pStyle w:val="FGCHEADING3"/>
      </w:pPr>
      <w:bookmarkStart w:id="800" w:name="_Toc142039665"/>
      <w:bookmarkStart w:id="801" w:name="_Toc142047773"/>
      <w:bookmarkStart w:id="802" w:name="_Toc142478426"/>
      <w:bookmarkStart w:id="803" w:name="_Toc142573752"/>
      <w:r w:rsidRPr="007C747A">
        <w:t xml:space="preserve">  </w:t>
      </w:r>
      <w:bookmarkStart w:id="804" w:name="_Toc146289481"/>
      <w:r w:rsidR="007E30D3" w:rsidRPr="007C747A">
        <w:t>Information about remuneration of key management personnel</w:t>
      </w:r>
      <w:bookmarkEnd w:id="800"/>
      <w:bookmarkEnd w:id="801"/>
      <w:bookmarkEnd w:id="802"/>
      <w:bookmarkEnd w:id="803"/>
      <w:bookmarkEnd w:id="804"/>
    </w:p>
    <w:p w14:paraId="7A900052" w14:textId="2A5595E5" w:rsidR="00982740" w:rsidRPr="007C747A" w:rsidRDefault="00982740" w:rsidP="00265A1E">
      <w:pPr>
        <w:pStyle w:val="FGCNORMAL"/>
        <w:ind w:left="0"/>
      </w:pPr>
      <w:r w:rsidRPr="007C747A">
        <w:t>The remuneration received or due to be received for each of the NDIA’s key management personnel for 2022–23 is shown in Table 6.6.2A</w:t>
      </w:r>
      <w:r w:rsidR="007804DB" w:rsidRPr="007C747A">
        <w:t>.</w:t>
      </w:r>
    </w:p>
    <w:p w14:paraId="01693A26" w14:textId="3A410CB8" w:rsidR="00982740" w:rsidRPr="007C747A" w:rsidRDefault="00982740" w:rsidP="00B001F8">
      <w:pPr>
        <w:pStyle w:val="Heading43"/>
        <w:ind w:left="0"/>
        <w:outlineLvl w:val="3"/>
      </w:pPr>
      <w:r w:rsidRPr="007C747A">
        <w:t xml:space="preserve">Table </w:t>
      </w:r>
      <w:r w:rsidR="009F7496" w:rsidRPr="007C747A">
        <w:t>6</w:t>
      </w:r>
      <w:r w:rsidRPr="007C747A">
        <w:t>.6.2A: Key management personnel remuneration</w:t>
      </w:r>
      <w:r w:rsidRPr="007C747A">
        <w:rPr>
          <w:rStyle w:val="FootnoteReference"/>
        </w:rPr>
        <w:footnoteReference w:id="19"/>
      </w:r>
      <w:r w:rsidRPr="007C747A">
        <w:t xml:space="preserve"> </w:t>
      </w:r>
      <w:r w:rsidRPr="007C747A">
        <w:rPr>
          <w:rStyle w:val="FootnoteReference"/>
        </w:rPr>
        <w:footnoteReference w:id="20"/>
      </w:r>
      <w:r w:rsidRPr="007C747A">
        <w:t xml:space="preserve"> </w:t>
      </w:r>
    </w:p>
    <w:tbl>
      <w:tblPr>
        <w:tblStyle w:val="GridTable2-Accent312"/>
        <w:tblW w:w="15735" w:type="dxa"/>
        <w:jc w:val="center"/>
        <w:tblLayout w:type="fixed"/>
        <w:tblLook w:val="01E0" w:firstRow="1" w:lastRow="1" w:firstColumn="1" w:lastColumn="1" w:noHBand="0" w:noVBand="0"/>
      </w:tblPr>
      <w:tblGrid>
        <w:gridCol w:w="1616"/>
        <w:gridCol w:w="1727"/>
        <w:gridCol w:w="1528"/>
        <w:gridCol w:w="1225"/>
        <w:gridCol w:w="1701"/>
        <w:gridCol w:w="1984"/>
        <w:gridCol w:w="1418"/>
        <w:gridCol w:w="1275"/>
        <w:gridCol w:w="1560"/>
        <w:gridCol w:w="1701"/>
      </w:tblGrid>
      <w:tr w:rsidR="00254C49" w:rsidRPr="007C747A" w14:paraId="58D7DAD0" w14:textId="77777777" w:rsidTr="00A46230">
        <w:trPr>
          <w:cnfStyle w:val="100000000000" w:firstRow="1" w:lastRow="0" w:firstColumn="0" w:lastColumn="0" w:oddVBand="0" w:evenVBand="0" w:oddHBand="0" w:evenHBand="0" w:firstRowFirstColumn="0" w:firstRowLastColumn="0" w:lastRowFirstColumn="0" w:lastRowLastColumn="0"/>
          <w:trHeight w:val="765"/>
          <w:tblHeader/>
          <w:jc w:val="center"/>
        </w:trPr>
        <w:tc>
          <w:tcPr>
            <w:cnfStyle w:val="001000000000" w:firstRow="0" w:lastRow="0" w:firstColumn="1" w:lastColumn="0" w:oddVBand="0" w:evenVBand="0" w:oddHBand="0" w:evenHBand="0" w:firstRowFirstColumn="0" w:firstRowLastColumn="0" w:lastRowFirstColumn="0" w:lastRowLastColumn="0"/>
            <w:tcW w:w="1616" w:type="dxa"/>
          </w:tcPr>
          <w:p w14:paraId="4BB074B9" w14:textId="77777777" w:rsidR="006241D8" w:rsidRPr="007C747A" w:rsidRDefault="006241D8" w:rsidP="00A46230">
            <w:pPr>
              <w:widowControl w:val="0"/>
              <w:autoSpaceDE w:val="0"/>
              <w:autoSpaceDN w:val="0"/>
              <w:spacing w:before="62" w:after="0" w:line="240" w:lineRule="auto"/>
              <w:ind w:left="-12"/>
              <w:jc w:val="center"/>
              <w:rPr>
                <w:rFonts w:cs="Arial"/>
                <w:color w:val="F9F9F9" w:themeColor="background1"/>
                <w:sz w:val="22"/>
                <w:szCs w:val="22"/>
                <w:lang w:val="en-AU" w:eastAsia="en-US"/>
              </w:rPr>
            </w:pPr>
            <w:r w:rsidRPr="007C747A">
              <w:rPr>
                <w:rFonts w:cs="Arial"/>
                <w:color w:val="F9F9F9" w:themeColor="background1"/>
                <w:sz w:val="22"/>
                <w:szCs w:val="22"/>
                <w:lang w:val="en-AU" w:eastAsia="en-US"/>
              </w:rPr>
              <w:t>Name</w:t>
            </w:r>
          </w:p>
        </w:tc>
        <w:tc>
          <w:tcPr>
            <w:tcW w:w="1727" w:type="dxa"/>
          </w:tcPr>
          <w:p w14:paraId="4B7AAA02" w14:textId="77777777" w:rsidR="006241D8" w:rsidRPr="007C747A" w:rsidRDefault="006241D8" w:rsidP="00A46230">
            <w:pPr>
              <w:widowControl w:val="0"/>
              <w:autoSpaceDE w:val="0"/>
              <w:autoSpaceDN w:val="0"/>
              <w:spacing w:before="62" w:after="0" w:line="249" w:lineRule="auto"/>
              <w:ind w:left="-12" w:right="148" w:hanging="1"/>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Position title</w:t>
            </w:r>
          </w:p>
        </w:tc>
        <w:tc>
          <w:tcPr>
            <w:tcW w:w="1528" w:type="dxa"/>
          </w:tcPr>
          <w:p w14:paraId="3BD8EF89" w14:textId="65D1108A" w:rsidR="006241D8" w:rsidRPr="007C747A" w:rsidRDefault="006241D8" w:rsidP="00A46230">
            <w:pPr>
              <w:widowControl w:val="0"/>
              <w:autoSpaceDE w:val="0"/>
              <w:autoSpaceDN w:val="0"/>
              <w:spacing w:before="62" w:after="0" w:line="249" w:lineRule="auto"/>
              <w:ind w:left="-12" w:right="169"/>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Short</w:t>
            </w:r>
            <w:r w:rsidR="005907F9" w:rsidRPr="007C747A">
              <w:rPr>
                <w:rFonts w:cs="Arial"/>
                <w:color w:val="F9F9F9" w:themeColor="background1"/>
                <w:sz w:val="22"/>
                <w:szCs w:val="22"/>
                <w:lang w:val="en-AU" w:eastAsia="en-US"/>
              </w:rPr>
              <w:t>-t</w:t>
            </w:r>
            <w:r w:rsidRPr="007C747A">
              <w:rPr>
                <w:rFonts w:cs="Arial"/>
                <w:color w:val="F9F9F9" w:themeColor="background1"/>
                <w:sz w:val="22"/>
                <w:szCs w:val="22"/>
                <w:lang w:val="en-AU" w:eastAsia="en-US"/>
              </w:rPr>
              <w:t xml:space="preserve">erm </w:t>
            </w:r>
            <w:r w:rsidR="005907F9" w:rsidRPr="007C747A">
              <w:rPr>
                <w:rFonts w:cs="Arial"/>
                <w:color w:val="F9F9F9" w:themeColor="background1"/>
                <w:sz w:val="22"/>
                <w:szCs w:val="22"/>
                <w:lang w:val="en-AU" w:eastAsia="en-US"/>
              </w:rPr>
              <w:t>b</w:t>
            </w:r>
            <w:r w:rsidRPr="007C747A">
              <w:rPr>
                <w:rFonts w:cs="Arial"/>
                <w:color w:val="F9F9F9" w:themeColor="background1"/>
                <w:sz w:val="22"/>
                <w:szCs w:val="22"/>
                <w:lang w:val="en-AU" w:eastAsia="en-US"/>
              </w:rPr>
              <w:t xml:space="preserve">enefits </w:t>
            </w:r>
            <w:r w:rsidR="005907F9" w:rsidRPr="007C747A">
              <w:rPr>
                <w:rFonts w:cs="Arial"/>
                <w:color w:val="F9F9F9" w:themeColor="background1"/>
                <w:sz w:val="22"/>
                <w:szCs w:val="22"/>
                <w:lang w:val="en-AU" w:eastAsia="en-US"/>
              </w:rPr>
              <w:t>–b</w:t>
            </w:r>
            <w:r w:rsidRPr="007C747A">
              <w:rPr>
                <w:rFonts w:cs="Arial"/>
                <w:color w:val="F9F9F9" w:themeColor="background1"/>
                <w:sz w:val="22"/>
                <w:szCs w:val="22"/>
                <w:lang w:val="en-AU" w:eastAsia="en-US"/>
              </w:rPr>
              <w:t>ase</w:t>
            </w:r>
            <w:r w:rsidRPr="007C747A">
              <w:rPr>
                <w:rFonts w:cs="Arial"/>
                <w:color w:val="F9F9F9" w:themeColor="background1"/>
                <w:spacing w:val="1"/>
                <w:sz w:val="22"/>
                <w:szCs w:val="22"/>
                <w:lang w:val="en-AU" w:eastAsia="en-US"/>
              </w:rPr>
              <w:t xml:space="preserve"> </w:t>
            </w:r>
            <w:r w:rsidRPr="007C747A">
              <w:rPr>
                <w:rFonts w:cs="Arial"/>
                <w:color w:val="F9F9F9" w:themeColor="background1"/>
                <w:sz w:val="22"/>
                <w:szCs w:val="22"/>
                <w:lang w:val="en-AU" w:eastAsia="en-US"/>
              </w:rPr>
              <w:t>salary</w:t>
            </w:r>
          </w:p>
        </w:tc>
        <w:tc>
          <w:tcPr>
            <w:tcW w:w="1225" w:type="dxa"/>
          </w:tcPr>
          <w:p w14:paraId="0C6A2853" w14:textId="65AD7DD6" w:rsidR="006241D8" w:rsidRPr="007C747A" w:rsidRDefault="006241D8" w:rsidP="00A46230">
            <w:pPr>
              <w:widowControl w:val="0"/>
              <w:autoSpaceDE w:val="0"/>
              <w:autoSpaceDN w:val="0"/>
              <w:spacing w:before="62" w:after="0" w:line="240" w:lineRule="auto"/>
              <w:ind w:left="-12"/>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Short</w:t>
            </w:r>
            <w:r w:rsidR="005907F9" w:rsidRPr="007C747A">
              <w:rPr>
                <w:rFonts w:cs="Arial"/>
                <w:color w:val="F9F9F9" w:themeColor="background1"/>
                <w:sz w:val="22"/>
                <w:szCs w:val="22"/>
                <w:lang w:val="en-AU" w:eastAsia="en-US"/>
              </w:rPr>
              <w:t>-t</w:t>
            </w:r>
            <w:r w:rsidRPr="007C747A">
              <w:rPr>
                <w:rFonts w:cs="Arial"/>
                <w:color w:val="F9F9F9" w:themeColor="background1"/>
                <w:sz w:val="22"/>
                <w:szCs w:val="22"/>
                <w:lang w:val="en-AU" w:eastAsia="en-US"/>
              </w:rPr>
              <w:t xml:space="preserve">erm </w:t>
            </w:r>
            <w:r w:rsidR="005907F9" w:rsidRPr="007C747A">
              <w:rPr>
                <w:rFonts w:cs="Arial"/>
                <w:color w:val="F9F9F9" w:themeColor="background1"/>
                <w:sz w:val="22"/>
                <w:szCs w:val="22"/>
                <w:lang w:val="en-AU" w:eastAsia="en-US"/>
              </w:rPr>
              <w:t>b</w:t>
            </w:r>
            <w:r w:rsidRPr="007C747A">
              <w:rPr>
                <w:rFonts w:cs="Arial"/>
                <w:color w:val="F9F9F9" w:themeColor="background1"/>
                <w:sz w:val="22"/>
                <w:szCs w:val="22"/>
                <w:lang w:val="en-AU" w:eastAsia="en-US"/>
              </w:rPr>
              <w:t xml:space="preserve">enefits </w:t>
            </w:r>
            <w:r w:rsidR="005907F9" w:rsidRPr="007C747A">
              <w:rPr>
                <w:rFonts w:cs="Arial"/>
                <w:color w:val="F9F9F9" w:themeColor="background1"/>
                <w:sz w:val="22"/>
                <w:szCs w:val="22"/>
                <w:lang w:val="en-AU" w:eastAsia="en-US"/>
              </w:rPr>
              <w:t>–</w:t>
            </w:r>
            <w:r w:rsidRPr="007C747A">
              <w:rPr>
                <w:rFonts w:cs="Arial"/>
                <w:color w:val="F9F9F9" w:themeColor="background1"/>
                <w:sz w:val="22"/>
                <w:szCs w:val="22"/>
                <w:lang w:val="en-AU" w:eastAsia="en-US"/>
              </w:rPr>
              <w:t xml:space="preserve"> </w:t>
            </w:r>
            <w:r w:rsidR="005907F9" w:rsidRPr="007C747A">
              <w:rPr>
                <w:rFonts w:cs="Arial"/>
                <w:color w:val="F9F9F9" w:themeColor="background1"/>
                <w:sz w:val="22"/>
                <w:szCs w:val="22"/>
                <w:lang w:val="en-AU" w:eastAsia="en-US"/>
              </w:rPr>
              <w:t>b</w:t>
            </w:r>
            <w:r w:rsidRPr="007C747A">
              <w:rPr>
                <w:rFonts w:cs="Arial"/>
                <w:color w:val="F9F9F9" w:themeColor="background1"/>
                <w:sz w:val="22"/>
                <w:szCs w:val="22"/>
                <w:lang w:val="en-AU" w:eastAsia="en-US"/>
              </w:rPr>
              <w:t>onuses</w:t>
            </w:r>
          </w:p>
        </w:tc>
        <w:tc>
          <w:tcPr>
            <w:tcW w:w="1701" w:type="dxa"/>
          </w:tcPr>
          <w:p w14:paraId="5F99AB8D" w14:textId="510DFE61" w:rsidR="006241D8" w:rsidRPr="007C747A" w:rsidRDefault="006241D8" w:rsidP="00A46230">
            <w:pPr>
              <w:widowControl w:val="0"/>
              <w:autoSpaceDE w:val="0"/>
              <w:autoSpaceDN w:val="0"/>
              <w:spacing w:before="32" w:after="0" w:line="240" w:lineRule="atLeast"/>
              <w:ind w:left="-12" w:right="79"/>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Short</w:t>
            </w:r>
            <w:r w:rsidR="005907F9" w:rsidRPr="007C747A">
              <w:rPr>
                <w:rFonts w:cs="Arial"/>
                <w:color w:val="F9F9F9" w:themeColor="background1"/>
                <w:sz w:val="22"/>
                <w:szCs w:val="22"/>
                <w:lang w:val="en-AU" w:eastAsia="en-US"/>
              </w:rPr>
              <w:t>-t</w:t>
            </w:r>
            <w:r w:rsidRPr="007C747A">
              <w:rPr>
                <w:rFonts w:cs="Arial"/>
                <w:color w:val="F9F9F9" w:themeColor="background1"/>
                <w:sz w:val="22"/>
                <w:szCs w:val="22"/>
                <w:lang w:val="en-AU" w:eastAsia="en-US"/>
              </w:rPr>
              <w:t xml:space="preserve">erm </w:t>
            </w:r>
            <w:r w:rsidR="005907F9" w:rsidRPr="007C747A">
              <w:rPr>
                <w:rFonts w:cs="Arial"/>
                <w:color w:val="F9F9F9" w:themeColor="background1"/>
                <w:sz w:val="22"/>
                <w:szCs w:val="22"/>
                <w:lang w:val="en-AU" w:eastAsia="en-US"/>
              </w:rPr>
              <w:t>b</w:t>
            </w:r>
            <w:r w:rsidRPr="007C747A">
              <w:rPr>
                <w:rFonts w:cs="Arial"/>
                <w:color w:val="F9F9F9" w:themeColor="background1"/>
                <w:sz w:val="22"/>
                <w:szCs w:val="22"/>
                <w:lang w:val="en-AU" w:eastAsia="en-US"/>
              </w:rPr>
              <w:t xml:space="preserve">enefits </w:t>
            </w:r>
            <w:r w:rsidR="005907F9" w:rsidRPr="007C747A">
              <w:rPr>
                <w:rFonts w:cs="Arial"/>
                <w:color w:val="F9F9F9" w:themeColor="background1"/>
                <w:sz w:val="22"/>
                <w:szCs w:val="22"/>
                <w:lang w:val="en-AU" w:eastAsia="en-US"/>
              </w:rPr>
              <w:t>–o</w:t>
            </w:r>
            <w:r w:rsidRPr="007C747A">
              <w:rPr>
                <w:rFonts w:cs="Arial"/>
                <w:color w:val="F9F9F9" w:themeColor="background1"/>
                <w:sz w:val="22"/>
                <w:szCs w:val="22"/>
                <w:lang w:val="en-AU" w:eastAsia="en-US"/>
              </w:rPr>
              <w:t>ther</w:t>
            </w:r>
            <w:r w:rsidRPr="007C747A">
              <w:rPr>
                <w:rFonts w:cs="Arial"/>
                <w:color w:val="F9F9F9" w:themeColor="background1"/>
                <w:spacing w:val="1"/>
                <w:sz w:val="22"/>
                <w:szCs w:val="22"/>
                <w:lang w:val="en-AU" w:eastAsia="en-US"/>
              </w:rPr>
              <w:t xml:space="preserve"> </w:t>
            </w:r>
            <w:r w:rsidRPr="007C747A">
              <w:rPr>
                <w:rFonts w:cs="Arial"/>
                <w:color w:val="F9F9F9" w:themeColor="background1"/>
                <w:sz w:val="22"/>
                <w:szCs w:val="22"/>
                <w:lang w:val="en-AU" w:eastAsia="en-US"/>
              </w:rPr>
              <w:t>benefits and</w:t>
            </w:r>
            <w:r w:rsidRPr="007C747A">
              <w:rPr>
                <w:rFonts w:cs="Arial"/>
                <w:color w:val="F9F9F9" w:themeColor="background1"/>
                <w:spacing w:val="-47"/>
                <w:sz w:val="22"/>
                <w:szCs w:val="22"/>
                <w:lang w:val="en-AU" w:eastAsia="en-US"/>
              </w:rPr>
              <w:t xml:space="preserve"> </w:t>
            </w:r>
            <w:r w:rsidRPr="007C747A">
              <w:rPr>
                <w:rFonts w:cs="Arial"/>
                <w:color w:val="F9F9F9" w:themeColor="background1"/>
                <w:sz w:val="22"/>
                <w:szCs w:val="22"/>
                <w:lang w:val="en-AU" w:eastAsia="en-US"/>
              </w:rPr>
              <w:t>allowances</w:t>
            </w:r>
          </w:p>
        </w:tc>
        <w:tc>
          <w:tcPr>
            <w:tcW w:w="1984" w:type="dxa"/>
          </w:tcPr>
          <w:p w14:paraId="2557314B" w14:textId="02E04BC8" w:rsidR="006241D8" w:rsidRPr="007C747A" w:rsidRDefault="006241D8" w:rsidP="00A46230">
            <w:pPr>
              <w:widowControl w:val="0"/>
              <w:tabs>
                <w:tab w:val="left" w:pos="1386"/>
              </w:tabs>
              <w:autoSpaceDE w:val="0"/>
              <w:autoSpaceDN w:val="0"/>
              <w:spacing w:before="62" w:after="0" w:line="249" w:lineRule="auto"/>
              <w:ind w:left="-12"/>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Post-employment</w:t>
            </w:r>
            <w:r w:rsidRPr="007C747A">
              <w:rPr>
                <w:rFonts w:cs="Arial"/>
                <w:color w:val="F9F9F9" w:themeColor="background1"/>
                <w:spacing w:val="-47"/>
                <w:sz w:val="22"/>
                <w:szCs w:val="22"/>
                <w:lang w:val="en-AU" w:eastAsia="en-US"/>
              </w:rPr>
              <w:t xml:space="preserve"> </w:t>
            </w:r>
            <w:r w:rsidRPr="007C747A">
              <w:rPr>
                <w:rFonts w:cs="Arial"/>
                <w:color w:val="F9F9F9" w:themeColor="background1"/>
                <w:sz w:val="22"/>
                <w:szCs w:val="22"/>
                <w:lang w:val="en-AU" w:eastAsia="en-US"/>
              </w:rPr>
              <w:t xml:space="preserve">benefits </w:t>
            </w:r>
            <w:r w:rsidR="005907F9" w:rsidRPr="007C747A">
              <w:rPr>
                <w:rFonts w:cs="Arial"/>
                <w:color w:val="F9F9F9" w:themeColor="background1"/>
                <w:sz w:val="22"/>
                <w:szCs w:val="22"/>
                <w:lang w:val="en-AU" w:eastAsia="en-US"/>
              </w:rPr>
              <w:t>–s</w:t>
            </w:r>
            <w:r w:rsidRPr="007C747A">
              <w:rPr>
                <w:rFonts w:cs="Arial"/>
                <w:color w:val="F9F9F9" w:themeColor="background1"/>
                <w:sz w:val="22"/>
                <w:szCs w:val="22"/>
                <w:lang w:val="en-AU" w:eastAsia="en-US"/>
              </w:rPr>
              <w:t>uperannuation contributions</w:t>
            </w:r>
          </w:p>
        </w:tc>
        <w:tc>
          <w:tcPr>
            <w:tcW w:w="1418" w:type="dxa"/>
          </w:tcPr>
          <w:p w14:paraId="1D0AC165" w14:textId="785BBD65" w:rsidR="006241D8" w:rsidRPr="007C747A" w:rsidRDefault="006241D8" w:rsidP="00A46230">
            <w:pPr>
              <w:widowControl w:val="0"/>
              <w:autoSpaceDE w:val="0"/>
              <w:autoSpaceDN w:val="0"/>
              <w:spacing w:before="32" w:after="0" w:line="240" w:lineRule="atLeast"/>
              <w:ind w:left="-12"/>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Other</w:t>
            </w:r>
            <w:r w:rsidRPr="007C747A">
              <w:rPr>
                <w:rFonts w:cs="Arial"/>
                <w:color w:val="F9F9F9" w:themeColor="background1"/>
                <w:spacing w:val="-1"/>
                <w:sz w:val="22"/>
                <w:szCs w:val="22"/>
                <w:lang w:val="en-AU" w:eastAsia="en-US"/>
              </w:rPr>
              <w:t xml:space="preserve"> </w:t>
            </w:r>
            <w:r w:rsidRPr="007C747A">
              <w:rPr>
                <w:rFonts w:cs="Arial"/>
                <w:color w:val="F9F9F9" w:themeColor="background1"/>
                <w:sz w:val="22"/>
                <w:szCs w:val="22"/>
                <w:lang w:val="en-AU" w:eastAsia="en-US"/>
              </w:rPr>
              <w:t>long-term benefits</w:t>
            </w:r>
            <w:r w:rsidR="005907F9" w:rsidRPr="007C747A">
              <w:rPr>
                <w:rFonts w:cs="Arial"/>
                <w:color w:val="F9F9F9" w:themeColor="background1"/>
                <w:sz w:val="22"/>
                <w:szCs w:val="22"/>
                <w:lang w:val="en-AU" w:eastAsia="en-US"/>
              </w:rPr>
              <w:t xml:space="preserve"> – l</w:t>
            </w:r>
            <w:r w:rsidRPr="007C747A">
              <w:rPr>
                <w:rFonts w:cs="Arial"/>
                <w:color w:val="F9F9F9" w:themeColor="background1"/>
                <w:sz w:val="22"/>
                <w:szCs w:val="22"/>
                <w:lang w:val="en-AU" w:eastAsia="en-US"/>
              </w:rPr>
              <w:t>ong service leave</w:t>
            </w:r>
          </w:p>
        </w:tc>
        <w:tc>
          <w:tcPr>
            <w:tcW w:w="1275" w:type="dxa"/>
          </w:tcPr>
          <w:p w14:paraId="40AA0D8B" w14:textId="77777777" w:rsidR="006241D8" w:rsidRPr="007C747A" w:rsidRDefault="006241D8" w:rsidP="00A46230">
            <w:pPr>
              <w:widowControl w:val="0"/>
              <w:autoSpaceDE w:val="0"/>
              <w:autoSpaceDN w:val="0"/>
              <w:spacing w:before="32" w:after="0" w:line="240" w:lineRule="atLeast"/>
              <w:ind w:left="-12"/>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Other</w:t>
            </w:r>
            <w:r w:rsidRPr="007C747A">
              <w:rPr>
                <w:rFonts w:cs="Arial"/>
                <w:color w:val="F9F9F9" w:themeColor="background1"/>
                <w:spacing w:val="1"/>
                <w:sz w:val="22"/>
                <w:szCs w:val="22"/>
                <w:lang w:val="en-AU" w:eastAsia="en-US"/>
              </w:rPr>
              <w:t xml:space="preserve"> </w:t>
            </w:r>
            <w:r w:rsidRPr="007C747A">
              <w:rPr>
                <w:rFonts w:cs="Arial"/>
                <w:color w:val="F9F9F9" w:themeColor="background1"/>
                <w:sz w:val="22"/>
                <w:szCs w:val="22"/>
                <w:lang w:val="en-AU" w:eastAsia="en-US"/>
              </w:rPr>
              <w:t xml:space="preserve">long-term </w:t>
            </w:r>
            <w:r w:rsidRPr="007C747A">
              <w:rPr>
                <w:rFonts w:cs="Arial"/>
                <w:color w:val="F9F9F9" w:themeColor="background1"/>
                <w:spacing w:val="-47"/>
                <w:sz w:val="22"/>
                <w:szCs w:val="22"/>
                <w:lang w:val="en-AU" w:eastAsia="en-US"/>
              </w:rPr>
              <w:t xml:space="preserve">   </w:t>
            </w:r>
            <w:r w:rsidRPr="007C747A">
              <w:rPr>
                <w:rFonts w:cs="Arial"/>
                <w:color w:val="F9F9F9" w:themeColor="background1"/>
                <w:sz w:val="22"/>
                <w:szCs w:val="22"/>
                <w:lang w:val="en-AU" w:eastAsia="en-US"/>
              </w:rPr>
              <w:t>benefits</w:t>
            </w:r>
          </w:p>
        </w:tc>
        <w:tc>
          <w:tcPr>
            <w:tcW w:w="1560" w:type="dxa"/>
          </w:tcPr>
          <w:p w14:paraId="56D65CC5" w14:textId="22022442" w:rsidR="006241D8" w:rsidRPr="007C747A" w:rsidRDefault="006241D8" w:rsidP="00A46230">
            <w:pPr>
              <w:widowControl w:val="0"/>
              <w:autoSpaceDE w:val="0"/>
              <w:autoSpaceDN w:val="0"/>
              <w:spacing w:after="0" w:line="240" w:lineRule="auto"/>
              <w:ind w:left="-12"/>
              <w:jc w:val="center"/>
              <w:cnfStyle w:val="100000000000" w:firstRow="1" w:lastRow="0" w:firstColumn="0" w:lastColumn="0" w:oddVBand="0" w:evenVBand="0" w:oddHBand="0" w:evenHBand="0" w:firstRowFirstColumn="0" w:firstRowLastColumn="0" w:lastRowFirstColumn="0" w:lastRowLastColumn="0"/>
              <w:rPr>
                <w:rFonts w:cs="Arial"/>
                <w:color w:val="F9F9F9" w:themeColor="background1"/>
                <w:sz w:val="22"/>
                <w:szCs w:val="22"/>
                <w:lang w:val="en-AU" w:eastAsia="en-US"/>
              </w:rPr>
            </w:pPr>
            <w:r w:rsidRPr="007C747A">
              <w:rPr>
                <w:rFonts w:cs="Arial"/>
                <w:color w:val="F9F9F9" w:themeColor="background1"/>
                <w:sz w:val="22"/>
                <w:szCs w:val="22"/>
                <w:lang w:val="en-AU" w:eastAsia="en-US"/>
              </w:rPr>
              <w:t>Termination benefits</w:t>
            </w:r>
            <w:r w:rsidRPr="007C747A">
              <w:rPr>
                <w:rFonts w:cs="Arial"/>
                <w:color w:val="6B2876" w:themeColor="accent1"/>
                <w:sz w:val="22"/>
                <w:szCs w:val="22"/>
                <w:lang w:val="en-AU" w:eastAsia="en-US"/>
              </w:rPr>
              <w:t xml:space="preserve"> </w:t>
            </w:r>
          </w:p>
        </w:tc>
        <w:tc>
          <w:tcPr>
            <w:cnfStyle w:val="000100000000" w:firstRow="0" w:lastRow="0" w:firstColumn="0" w:lastColumn="1" w:oddVBand="0" w:evenVBand="0" w:oddHBand="0" w:evenHBand="0" w:firstRowFirstColumn="0" w:firstRowLastColumn="0" w:lastRowFirstColumn="0" w:lastRowLastColumn="0"/>
            <w:tcW w:w="1701" w:type="dxa"/>
          </w:tcPr>
          <w:p w14:paraId="78B1D225" w14:textId="522BD309" w:rsidR="006241D8" w:rsidRPr="007C747A" w:rsidRDefault="006241D8" w:rsidP="00A46230">
            <w:pPr>
              <w:widowControl w:val="0"/>
              <w:autoSpaceDE w:val="0"/>
              <w:autoSpaceDN w:val="0"/>
              <w:spacing w:after="0" w:line="240" w:lineRule="auto"/>
              <w:ind w:left="-12"/>
              <w:jc w:val="center"/>
              <w:rPr>
                <w:rFonts w:cs="Arial"/>
                <w:color w:val="F9F9F9" w:themeColor="background1"/>
                <w:sz w:val="22"/>
                <w:szCs w:val="22"/>
                <w:lang w:val="en-AU" w:eastAsia="en-US"/>
              </w:rPr>
            </w:pPr>
            <w:r w:rsidRPr="007C747A">
              <w:rPr>
                <w:rFonts w:cs="Arial"/>
                <w:color w:val="F9F9F9" w:themeColor="background1"/>
                <w:sz w:val="22"/>
                <w:szCs w:val="22"/>
                <w:lang w:val="en-AU" w:eastAsia="en-US"/>
              </w:rPr>
              <w:t>Total</w:t>
            </w:r>
            <w:r w:rsidRPr="007C747A">
              <w:rPr>
                <w:rFonts w:cs="Arial"/>
                <w:color w:val="F9F9F9" w:themeColor="background1"/>
                <w:spacing w:val="1"/>
                <w:sz w:val="22"/>
                <w:szCs w:val="22"/>
                <w:lang w:val="en-AU" w:eastAsia="en-US"/>
              </w:rPr>
              <w:t xml:space="preserve"> </w:t>
            </w:r>
            <w:r w:rsidRPr="007C747A">
              <w:rPr>
                <w:rFonts w:cs="Arial"/>
                <w:color w:val="F9F9F9" w:themeColor="background1"/>
                <w:spacing w:val="-1"/>
                <w:sz w:val="22"/>
                <w:szCs w:val="22"/>
                <w:lang w:val="en-AU" w:eastAsia="en-US"/>
              </w:rPr>
              <w:t>remuneration</w:t>
            </w:r>
          </w:p>
        </w:tc>
      </w:tr>
      <w:tr w:rsidR="006241D8" w:rsidRPr="007C747A" w14:paraId="615999AF"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BF243B0" w14:textId="47484514" w:rsidR="006241D8" w:rsidRPr="007C747A" w:rsidRDefault="006241D8" w:rsidP="00A46230">
            <w:pPr>
              <w:widowControl w:val="0"/>
              <w:autoSpaceDE w:val="0"/>
              <w:autoSpaceDN w:val="0"/>
              <w:spacing w:after="0" w:line="240" w:lineRule="auto"/>
              <w:ind w:left="-12"/>
              <w:rPr>
                <w:rFonts w:cs="Arial"/>
                <w:sz w:val="22"/>
                <w:szCs w:val="22"/>
                <w:highlight w:val="yellow"/>
                <w:lang w:val="en-AU" w:eastAsia="en-US"/>
              </w:rPr>
            </w:pPr>
            <w:r w:rsidRPr="007C747A">
              <w:rPr>
                <w:rFonts w:cs="Arial"/>
                <w:sz w:val="22"/>
                <w:szCs w:val="22"/>
                <w:lang w:val="en-AU" w:eastAsia="en-US"/>
              </w:rPr>
              <w:t>Mr Hamish Aikman</w:t>
            </w:r>
          </w:p>
        </w:tc>
        <w:tc>
          <w:tcPr>
            <w:tcW w:w="1727" w:type="dxa"/>
          </w:tcPr>
          <w:p w14:paraId="481BA6E1" w14:textId="3A8EE370" w:rsidR="006241D8" w:rsidRPr="007C747A" w:rsidRDefault="006241D8" w:rsidP="00A46230">
            <w:pPr>
              <w:widowControl w:val="0"/>
              <w:autoSpaceDE w:val="0"/>
              <w:autoSpaceDN w:val="0"/>
              <w:spacing w:after="0" w:line="240" w:lineRule="auto"/>
              <w:ind w:left="-12"/>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People Officer</w:t>
            </w:r>
          </w:p>
        </w:tc>
        <w:tc>
          <w:tcPr>
            <w:tcW w:w="1528" w:type="dxa"/>
          </w:tcPr>
          <w:p w14:paraId="67DDEDF6" w14:textId="16B80AF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317,037</w:t>
            </w:r>
          </w:p>
        </w:tc>
        <w:tc>
          <w:tcPr>
            <w:tcW w:w="1225" w:type="dxa"/>
          </w:tcPr>
          <w:p w14:paraId="47FEE99B" w14:textId="2D8A7AC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954C716" w14:textId="34960415"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23,977</w:t>
            </w:r>
          </w:p>
        </w:tc>
        <w:tc>
          <w:tcPr>
            <w:tcW w:w="1984" w:type="dxa"/>
          </w:tcPr>
          <w:p w14:paraId="6466606C" w14:textId="7A276BE6"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17,608</w:t>
            </w:r>
          </w:p>
        </w:tc>
        <w:tc>
          <w:tcPr>
            <w:tcW w:w="1418" w:type="dxa"/>
          </w:tcPr>
          <w:p w14:paraId="468DE95F" w14:textId="55634154"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8,013</w:t>
            </w:r>
          </w:p>
        </w:tc>
        <w:tc>
          <w:tcPr>
            <w:tcW w:w="1275" w:type="dxa"/>
          </w:tcPr>
          <w:p w14:paraId="4D3ECF0E" w14:textId="5BCE0736"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7D9A3B5A" w14:textId="09F77857"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20E3E1C9" w14:textId="75D04D49"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342,658</w:t>
            </w:r>
          </w:p>
        </w:tc>
      </w:tr>
      <w:tr w:rsidR="006241D8" w:rsidRPr="007C747A" w14:paraId="481BCE14"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4569BB38" w14:textId="5331E5C0"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Ms Meredith Allan</w:t>
            </w:r>
          </w:p>
        </w:tc>
        <w:tc>
          <w:tcPr>
            <w:tcW w:w="1727" w:type="dxa"/>
          </w:tcPr>
          <w:p w14:paraId="04403BB9" w14:textId="3C47D6E2" w:rsidR="006241D8" w:rsidRPr="007C747A" w:rsidRDefault="006241D8" w:rsidP="00A46230">
            <w:pPr>
              <w:widowControl w:val="0"/>
              <w:autoSpaceDE w:val="0"/>
              <w:autoSpaceDN w:val="0"/>
              <w:spacing w:after="0" w:line="240" w:lineRule="auto"/>
              <w:ind w:left="-12"/>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2F3FDCA8" w14:textId="2B0B77AA"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80,805</w:t>
            </w:r>
          </w:p>
        </w:tc>
        <w:tc>
          <w:tcPr>
            <w:tcW w:w="1225" w:type="dxa"/>
          </w:tcPr>
          <w:p w14:paraId="4000F891" w14:textId="71FA8D3F"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004C9CDC" w14:textId="34099795"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162A50A8" w14:textId="6F0905F8"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12,444</w:t>
            </w:r>
          </w:p>
        </w:tc>
        <w:tc>
          <w:tcPr>
            <w:tcW w:w="1418" w:type="dxa"/>
          </w:tcPr>
          <w:p w14:paraId="7065015D" w14:textId="4836E8F0"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6DF24E2A" w14:textId="7D93241D"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03AD9D91" w14:textId="10DD6014"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36828457" w14:textId="17BB9657"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93,249</w:t>
            </w:r>
          </w:p>
        </w:tc>
      </w:tr>
      <w:tr w:rsidR="006241D8" w:rsidRPr="007C747A" w14:paraId="5E8C549A"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DBDB240" w14:textId="12834E7E"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Ms Sandra Birkensleigh</w:t>
            </w:r>
          </w:p>
        </w:tc>
        <w:tc>
          <w:tcPr>
            <w:tcW w:w="1727" w:type="dxa"/>
          </w:tcPr>
          <w:p w14:paraId="216C2B0D" w14:textId="5266E4CE" w:rsidR="006241D8" w:rsidRPr="007C747A" w:rsidRDefault="006241D8" w:rsidP="00A46230">
            <w:pPr>
              <w:widowControl w:val="0"/>
              <w:autoSpaceDE w:val="0"/>
              <w:autoSpaceDN w:val="0"/>
              <w:spacing w:after="0" w:line="240" w:lineRule="auto"/>
              <w:ind w:left="-12"/>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4DBC577B" w14:textId="5064930B"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89,155</w:t>
            </w:r>
          </w:p>
        </w:tc>
        <w:tc>
          <w:tcPr>
            <w:tcW w:w="1225" w:type="dxa"/>
          </w:tcPr>
          <w:p w14:paraId="4D74E7A5" w14:textId="3D69EF87"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8E7763E" w14:textId="2416E26A"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02AFDF13" w14:textId="1CF8C437"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13,730</w:t>
            </w:r>
          </w:p>
        </w:tc>
        <w:tc>
          <w:tcPr>
            <w:tcW w:w="1418" w:type="dxa"/>
          </w:tcPr>
          <w:p w14:paraId="300D985F" w14:textId="0E8C454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149B3E65" w14:textId="364B7437"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22B576EB" w14:textId="07B62246"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269FE120" w14:textId="714D850F"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102,885</w:t>
            </w:r>
          </w:p>
        </w:tc>
      </w:tr>
      <w:tr w:rsidR="006241D8" w:rsidRPr="007C747A" w14:paraId="69E82304"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489678D4" w14:textId="162313FB"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Ms Jane Burns</w:t>
            </w:r>
          </w:p>
        </w:tc>
        <w:tc>
          <w:tcPr>
            <w:tcW w:w="1727" w:type="dxa"/>
          </w:tcPr>
          <w:p w14:paraId="4FA63189" w14:textId="1CE7A190" w:rsidR="006241D8" w:rsidRPr="007C747A" w:rsidRDefault="006241D8" w:rsidP="00A46230">
            <w:pPr>
              <w:widowControl w:val="0"/>
              <w:autoSpaceDE w:val="0"/>
              <w:autoSpaceDN w:val="0"/>
              <w:spacing w:after="0" w:line="240" w:lineRule="auto"/>
              <w:ind w:left="-12"/>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35C72A6A" w14:textId="7D2DC250"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54,349</w:t>
            </w:r>
          </w:p>
        </w:tc>
        <w:tc>
          <w:tcPr>
            <w:tcW w:w="1225" w:type="dxa"/>
          </w:tcPr>
          <w:p w14:paraId="34B2EF96" w14:textId="5F846F52"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F9E277B" w14:textId="76AF8B28"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015D794C" w14:textId="477A6CBA"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8,370</w:t>
            </w:r>
          </w:p>
        </w:tc>
        <w:tc>
          <w:tcPr>
            <w:tcW w:w="1418" w:type="dxa"/>
          </w:tcPr>
          <w:p w14:paraId="7A030364" w14:textId="3EA9E453"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60A608AA" w14:textId="16A92C4E"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5CA7585E" w14:textId="7315723E"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1AF5FC98" w14:textId="18CCA06C"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62,718</w:t>
            </w:r>
          </w:p>
        </w:tc>
      </w:tr>
      <w:tr w:rsidR="006241D8" w:rsidRPr="007C747A" w14:paraId="3FA54A60"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09943B74" w14:textId="152EE8C6" w:rsidR="00D10C62" w:rsidRPr="00A46230" w:rsidRDefault="006241D8" w:rsidP="00A46230">
            <w:pPr>
              <w:widowControl w:val="0"/>
              <w:autoSpaceDE w:val="0"/>
              <w:autoSpaceDN w:val="0"/>
              <w:spacing w:after="0" w:line="240" w:lineRule="auto"/>
              <w:ind w:left="-12"/>
              <w:rPr>
                <w:rFonts w:cs="Arial"/>
                <w:b w:val="0"/>
                <w:bCs w:val="0"/>
                <w:sz w:val="22"/>
                <w:szCs w:val="22"/>
                <w:lang w:val="en-AU" w:eastAsia="en-US"/>
              </w:rPr>
            </w:pPr>
            <w:r w:rsidRPr="007C747A">
              <w:rPr>
                <w:rFonts w:cs="Arial"/>
                <w:sz w:val="22"/>
                <w:szCs w:val="22"/>
                <w:lang w:val="en-AU" w:eastAsia="en-US"/>
              </w:rPr>
              <w:t>Mr Geoff Campbell</w:t>
            </w:r>
          </w:p>
        </w:tc>
        <w:tc>
          <w:tcPr>
            <w:tcW w:w="1727" w:type="dxa"/>
          </w:tcPr>
          <w:p w14:paraId="16B9934E" w14:textId="727DB82F" w:rsidR="006241D8" w:rsidRPr="007C747A" w:rsidRDefault="006241D8" w:rsidP="00A46230">
            <w:pPr>
              <w:widowControl w:val="0"/>
              <w:autoSpaceDE w:val="0"/>
              <w:autoSpaceDN w:val="0"/>
              <w:spacing w:after="0" w:line="240" w:lineRule="auto"/>
              <w:ind w:left="-12"/>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 xml:space="preserve">Chief Risk </w:t>
            </w:r>
            <w:r w:rsidR="005907F9" w:rsidRPr="007C747A">
              <w:rPr>
                <w:rFonts w:cs="Arial"/>
                <w:sz w:val="22"/>
                <w:szCs w:val="22"/>
                <w:lang w:val="en-AU" w:eastAsia="en-US"/>
              </w:rPr>
              <w:t>O</w:t>
            </w:r>
            <w:r w:rsidRPr="007C747A">
              <w:rPr>
                <w:rFonts w:cs="Arial"/>
                <w:sz w:val="22"/>
                <w:szCs w:val="22"/>
                <w:lang w:val="en-AU" w:eastAsia="en-US"/>
              </w:rPr>
              <w:t>fficer</w:t>
            </w:r>
          </w:p>
        </w:tc>
        <w:tc>
          <w:tcPr>
            <w:tcW w:w="1528" w:type="dxa"/>
          </w:tcPr>
          <w:p w14:paraId="6854D9B8" w14:textId="6EE32C6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68,587</w:t>
            </w:r>
          </w:p>
        </w:tc>
        <w:tc>
          <w:tcPr>
            <w:tcW w:w="1225" w:type="dxa"/>
          </w:tcPr>
          <w:p w14:paraId="1A316580" w14:textId="1C2C734C"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740FAA6D" w14:textId="704FDD7C"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5,636</w:t>
            </w:r>
          </w:p>
        </w:tc>
        <w:tc>
          <w:tcPr>
            <w:tcW w:w="1984" w:type="dxa"/>
          </w:tcPr>
          <w:p w14:paraId="180A0A04" w14:textId="42F0C4B3"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7,520</w:t>
            </w:r>
          </w:p>
        </w:tc>
        <w:tc>
          <w:tcPr>
            <w:tcW w:w="1418" w:type="dxa"/>
          </w:tcPr>
          <w:p w14:paraId="542EFD04" w14:textId="29B6DB2C"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1,884</w:t>
            </w:r>
          </w:p>
        </w:tc>
        <w:tc>
          <w:tcPr>
            <w:tcW w:w="1275" w:type="dxa"/>
          </w:tcPr>
          <w:p w14:paraId="29AD59D2" w14:textId="67030026"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7A5B9F2F" w14:textId="7929917C"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27F6BC5F" w14:textId="4ABF4087"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83,626</w:t>
            </w:r>
          </w:p>
        </w:tc>
      </w:tr>
      <w:tr w:rsidR="006241D8" w:rsidRPr="007C747A" w14:paraId="547DE1B9"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432311C0" w14:textId="261B45E6"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Mr John Dardo</w:t>
            </w:r>
          </w:p>
        </w:tc>
        <w:tc>
          <w:tcPr>
            <w:tcW w:w="1727" w:type="dxa"/>
          </w:tcPr>
          <w:p w14:paraId="336CDA87" w14:textId="7F554DA3" w:rsidR="006241D8" w:rsidRPr="007C747A" w:rsidRDefault="006241D8" w:rsidP="00A46230">
            <w:pPr>
              <w:widowControl w:val="0"/>
              <w:autoSpaceDE w:val="0"/>
              <w:autoSpaceDN w:val="0"/>
              <w:spacing w:after="0" w:line="240" w:lineRule="auto"/>
              <w:ind w:left="-12"/>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Transformation Officer</w:t>
            </w:r>
          </w:p>
        </w:tc>
        <w:tc>
          <w:tcPr>
            <w:tcW w:w="1528" w:type="dxa"/>
          </w:tcPr>
          <w:p w14:paraId="72083678" w14:textId="06905231"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376,291</w:t>
            </w:r>
          </w:p>
        </w:tc>
        <w:tc>
          <w:tcPr>
            <w:tcW w:w="1225" w:type="dxa"/>
          </w:tcPr>
          <w:p w14:paraId="401E9A19" w14:textId="69ADCB89"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710A7856" w14:textId="4B662747"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10,948</w:t>
            </w:r>
          </w:p>
        </w:tc>
        <w:tc>
          <w:tcPr>
            <w:tcW w:w="1984" w:type="dxa"/>
          </w:tcPr>
          <w:p w14:paraId="39B7717B" w14:textId="28FDA6D6"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62,159</w:t>
            </w:r>
          </w:p>
        </w:tc>
        <w:tc>
          <w:tcPr>
            <w:tcW w:w="1418" w:type="dxa"/>
          </w:tcPr>
          <w:p w14:paraId="4D894770" w14:textId="25F623A1"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3,659</w:t>
            </w:r>
          </w:p>
        </w:tc>
        <w:tc>
          <w:tcPr>
            <w:tcW w:w="1275" w:type="dxa"/>
          </w:tcPr>
          <w:p w14:paraId="26865FAB" w14:textId="6EC1A0B1"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0C10DDA5" w14:textId="153E91E7"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7E13B118" w14:textId="1C6FF81A"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453,057</w:t>
            </w:r>
          </w:p>
        </w:tc>
      </w:tr>
      <w:tr w:rsidR="00A46230" w:rsidRPr="007C747A" w14:paraId="1EA3F983"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7C4967B8" w14:textId="57E4253C"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Mr Jeremy Dea</w:t>
            </w:r>
            <w:r w:rsidR="00D10C62" w:rsidRPr="007C747A">
              <w:rPr>
                <w:rFonts w:cs="Arial"/>
                <w:sz w:val="22"/>
                <w:szCs w:val="22"/>
                <w:lang w:val="en-AU" w:eastAsia="en-US"/>
              </w:rPr>
              <w:t>n</w:t>
            </w:r>
          </w:p>
        </w:tc>
        <w:tc>
          <w:tcPr>
            <w:tcW w:w="1727" w:type="dxa"/>
          </w:tcPr>
          <w:p w14:paraId="271D052B" w14:textId="5C0FE3E0" w:rsidR="006241D8" w:rsidRPr="007C747A" w:rsidRDefault="005907F9" w:rsidP="00A46230">
            <w:pPr>
              <w:widowControl w:val="0"/>
              <w:autoSpaceDE w:val="0"/>
              <w:autoSpaceDN w:val="0"/>
              <w:spacing w:after="0" w:line="240" w:lineRule="auto"/>
              <w:ind w:left="-12"/>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Participant Experience Delivery</w:t>
            </w:r>
          </w:p>
        </w:tc>
        <w:tc>
          <w:tcPr>
            <w:tcW w:w="1528" w:type="dxa"/>
          </w:tcPr>
          <w:p w14:paraId="1F5BF7E6" w14:textId="3750CA8B"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248,726</w:t>
            </w:r>
          </w:p>
        </w:tc>
        <w:tc>
          <w:tcPr>
            <w:tcW w:w="1225" w:type="dxa"/>
          </w:tcPr>
          <w:p w14:paraId="2641EBA7" w14:textId="3176F729"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9FA28E1" w14:textId="3BF4B05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19,644</w:t>
            </w:r>
          </w:p>
        </w:tc>
        <w:tc>
          <w:tcPr>
            <w:tcW w:w="1984" w:type="dxa"/>
          </w:tcPr>
          <w:p w14:paraId="1CFF16F5" w14:textId="351EE323"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12,163</w:t>
            </w:r>
          </w:p>
        </w:tc>
        <w:tc>
          <w:tcPr>
            <w:tcW w:w="1418" w:type="dxa"/>
          </w:tcPr>
          <w:p w14:paraId="012078F8" w14:textId="7CFC7926"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6,565</w:t>
            </w:r>
          </w:p>
        </w:tc>
        <w:tc>
          <w:tcPr>
            <w:tcW w:w="1275" w:type="dxa"/>
          </w:tcPr>
          <w:p w14:paraId="55CD6BE7" w14:textId="7CC092EC"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44B16465" w14:textId="02D16C23"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4655613" w14:textId="372E2CB1"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287,098</w:t>
            </w:r>
          </w:p>
        </w:tc>
      </w:tr>
      <w:tr w:rsidR="006241D8" w:rsidRPr="007C747A" w14:paraId="625E42EE"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13A7CB91" w14:textId="49624BC9"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Ms Maryanne Diamond AO</w:t>
            </w:r>
            <w:r w:rsidR="00BD3475" w:rsidRPr="007C747A">
              <w:rPr>
                <w:rFonts w:cs="Arial"/>
                <w:sz w:val="22"/>
                <w:szCs w:val="22"/>
                <w:lang w:val="en-AU" w:eastAsia="en-US"/>
              </w:rPr>
              <w:fldChar w:fldCharType="begin"/>
            </w:r>
            <w:r w:rsidR="00BD3475" w:rsidRPr="007C747A">
              <w:rPr>
                <w:rFonts w:cs="Arial"/>
                <w:b w:val="0"/>
                <w:bCs w:val="0"/>
                <w:sz w:val="22"/>
                <w:szCs w:val="22"/>
                <w:lang w:val="en-AU" w:eastAsia="en-US"/>
              </w:rPr>
              <w:instrText xml:space="preserve"> </w:instrText>
            </w:r>
            <w:r w:rsidR="00BD3475" w:rsidRPr="007C747A">
              <w:rPr>
                <w:rFonts w:cs="Arial"/>
                <w:sz w:val="22"/>
                <w:szCs w:val="22"/>
                <w:lang w:val="en-AU" w:eastAsia="en-US"/>
              </w:rPr>
              <w:instrText xml:space="preserve">NOTEREF </w:instrText>
            </w:r>
            <w:r w:rsidR="00BD3475" w:rsidRPr="007C747A">
              <w:rPr>
                <w:rFonts w:cs="Arial"/>
                <w:b w:val="0"/>
                <w:bCs w:val="0"/>
                <w:sz w:val="22"/>
                <w:szCs w:val="22"/>
                <w:lang w:val="en-AU" w:eastAsia="en-US"/>
              </w:rPr>
              <w:instrText xml:space="preserve">_Ref146197994 \h </w:instrText>
            </w:r>
            <w:r w:rsidR="00BD3475" w:rsidRPr="007C747A">
              <w:rPr>
                <w:rFonts w:cs="Arial"/>
                <w:sz w:val="22"/>
                <w:szCs w:val="22"/>
                <w:lang w:val="en-AU" w:eastAsia="en-US"/>
              </w:rPr>
            </w:r>
            <w:r w:rsidR="00A21E0D">
              <w:rPr>
                <w:rFonts w:cs="Arial"/>
                <w:sz w:val="22"/>
                <w:szCs w:val="22"/>
                <w:lang w:val="en-AU" w:eastAsia="en-US"/>
              </w:rPr>
              <w:fldChar w:fldCharType="separate"/>
            </w:r>
            <w:r w:rsidR="00BD3475" w:rsidRPr="007C747A">
              <w:rPr>
                <w:rFonts w:cs="Arial"/>
                <w:sz w:val="22"/>
                <w:szCs w:val="22"/>
                <w:lang w:val="en-AU" w:eastAsia="en-US"/>
              </w:rPr>
              <w:fldChar w:fldCharType="end"/>
            </w:r>
          </w:p>
        </w:tc>
        <w:tc>
          <w:tcPr>
            <w:tcW w:w="1727" w:type="dxa"/>
          </w:tcPr>
          <w:p w14:paraId="27393D43" w14:textId="0F3FCF8A" w:rsidR="006241D8" w:rsidRPr="007C747A" w:rsidRDefault="006241D8" w:rsidP="00A46230">
            <w:pPr>
              <w:widowControl w:val="0"/>
              <w:autoSpaceDE w:val="0"/>
              <w:autoSpaceDN w:val="0"/>
              <w:spacing w:after="0" w:line="240" w:lineRule="auto"/>
              <w:ind w:left="-12"/>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59F00709" w14:textId="1E099ECD"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51,038</w:t>
            </w:r>
          </w:p>
        </w:tc>
        <w:tc>
          <w:tcPr>
            <w:tcW w:w="1225" w:type="dxa"/>
          </w:tcPr>
          <w:p w14:paraId="684AB9FC" w14:textId="721DF041"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5CDF0F6" w14:textId="0196E4A4"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18A1BCE0" w14:textId="14CE1C8E"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7,860</w:t>
            </w:r>
          </w:p>
        </w:tc>
        <w:tc>
          <w:tcPr>
            <w:tcW w:w="1418" w:type="dxa"/>
          </w:tcPr>
          <w:p w14:paraId="0FD79700" w14:textId="422A372C"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5CC88243" w14:textId="6893722E"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33A2513" w14:textId="7B90331D"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38AD107C" w14:textId="6605C8A8"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58,898</w:t>
            </w:r>
          </w:p>
        </w:tc>
      </w:tr>
      <w:tr w:rsidR="00A46230" w:rsidRPr="007C747A" w14:paraId="14693A4B"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553A9527" w14:textId="06EFCF3E"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Ms Rebecca Falkingham PSM</w:t>
            </w:r>
          </w:p>
        </w:tc>
        <w:tc>
          <w:tcPr>
            <w:tcW w:w="1727" w:type="dxa"/>
          </w:tcPr>
          <w:p w14:paraId="4378DA33" w14:textId="38EE3AD1" w:rsidR="006241D8" w:rsidRPr="007C747A" w:rsidRDefault="006241D8" w:rsidP="00A46230">
            <w:pPr>
              <w:widowControl w:val="0"/>
              <w:autoSpaceDE w:val="0"/>
              <w:autoSpaceDN w:val="0"/>
              <w:spacing w:after="0" w:line="240" w:lineRule="auto"/>
              <w:ind w:left="-12"/>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Executive Officer</w:t>
            </w:r>
          </w:p>
        </w:tc>
        <w:tc>
          <w:tcPr>
            <w:tcW w:w="1528" w:type="dxa"/>
          </w:tcPr>
          <w:p w14:paraId="0E57B8FD" w14:textId="26532DBB"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473,906</w:t>
            </w:r>
          </w:p>
        </w:tc>
        <w:tc>
          <w:tcPr>
            <w:tcW w:w="1225" w:type="dxa"/>
          </w:tcPr>
          <w:p w14:paraId="566068F2" w14:textId="600E358D"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BA6FE1B" w14:textId="1C293B2A"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36,443</w:t>
            </w:r>
          </w:p>
        </w:tc>
        <w:tc>
          <w:tcPr>
            <w:tcW w:w="1984" w:type="dxa"/>
          </w:tcPr>
          <w:p w14:paraId="606F24C1" w14:textId="74CF8509"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18,248</w:t>
            </w:r>
          </w:p>
        </w:tc>
        <w:tc>
          <w:tcPr>
            <w:tcW w:w="1418" w:type="dxa"/>
          </w:tcPr>
          <w:p w14:paraId="22E1DCE0" w14:textId="582F8EBF"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12,179</w:t>
            </w:r>
          </w:p>
        </w:tc>
        <w:tc>
          <w:tcPr>
            <w:tcW w:w="1275" w:type="dxa"/>
          </w:tcPr>
          <w:p w14:paraId="4DE35245" w14:textId="3384258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24D7F331" w14:textId="6FA18F33"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0B995547" w14:textId="23FF96D5"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540,777</w:t>
            </w:r>
          </w:p>
        </w:tc>
      </w:tr>
      <w:tr w:rsidR="006241D8" w:rsidRPr="007C747A" w14:paraId="403D18EB"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23EE1D40" w14:textId="33241897"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Mr Kurt Fearnley AO</w:t>
            </w:r>
            <w:r w:rsidR="00723C93" w:rsidRPr="007C747A">
              <w:rPr>
                <w:rStyle w:val="FootnoteReference"/>
                <w:rFonts w:cs="Arial"/>
                <w:lang w:val="en-AU" w:eastAsia="en-US"/>
              </w:rPr>
              <w:footnoteReference w:customMarkFollows="1" w:id="21"/>
              <w:t>*</w:t>
            </w:r>
          </w:p>
        </w:tc>
        <w:tc>
          <w:tcPr>
            <w:tcW w:w="1727" w:type="dxa"/>
          </w:tcPr>
          <w:p w14:paraId="00E4D71A" w14:textId="7CC2A6E1" w:rsidR="006241D8" w:rsidRPr="007C747A" w:rsidRDefault="006241D8" w:rsidP="00A46230">
            <w:pPr>
              <w:widowControl w:val="0"/>
              <w:autoSpaceDE w:val="0"/>
              <w:autoSpaceDN w:val="0"/>
              <w:spacing w:after="0" w:line="240" w:lineRule="auto"/>
              <w:ind w:left="-12"/>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661CB26C" w14:textId="5288F1B6"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104,700</w:t>
            </w:r>
          </w:p>
        </w:tc>
        <w:tc>
          <w:tcPr>
            <w:tcW w:w="1225" w:type="dxa"/>
          </w:tcPr>
          <w:p w14:paraId="75F5B8FE" w14:textId="6AADA337"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6EC6D2D2" w14:textId="225B557E"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5C92A784" w14:textId="24EB7474"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16,124</w:t>
            </w:r>
          </w:p>
        </w:tc>
        <w:tc>
          <w:tcPr>
            <w:tcW w:w="1418" w:type="dxa"/>
          </w:tcPr>
          <w:p w14:paraId="01315C15" w14:textId="77DF4A06"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5DA63F09" w14:textId="4C27B7BF"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4DCD18F5" w14:textId="2AC1060F"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50434865" w14:textId="4A1247F6"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120,824</w:t>
            </w:r>
          </w:p>
        </w:tc>
      </w:tr>
      <w:tr w:rsidR="00A46230" w:rsidRPr="007C747A" w14:paraId="5FF41639"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02F1BB21" w14:textId="70AF222A"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Mr Richard Fejo</w:t>
            </w:r>
            <w:r w:rsidR="002A37AA" w:rsidRPr="007C747A">
              <w:rPr>
                <w:rFonts w:cs="Arial"/>
                <w:sz w:val="22"/>
                <w:szCs w:val="22"/>
                <w:lang w:val="en-AU" w:eastAsia="en-US"/>
              </w:rPr>
              <w:t>*</w:t>
            </w:r>
          </w:p>
        </w:tc>
        <w:tc>
          <w:tcPr>
            <w:tcW w:w="1727" w:type="dxa"/>
          </w:tcPr>
          <w:p w14:paraId="0EA4869B" w14:textId="7F7FE0FD" w:rsidR="006241D8" w:rsidRPr="007C747A" w:rsidRDefault="006241D8" w:rsidP="00A46230">
            <w:pPr>
              <w:widowControl w:val="0"/>
              <w:autoSpaceDE w:val="0"/>
              <w:autoSpaceDN w:val="0"/>
              <w:spacing w:after="0" w:line="240" w:lineRule="auto"/>
              <w:ind w:left="-12"/>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58CCA2D4" w14:textId="67E741D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18,030</w:t>
            </w:r>
          </w:p>
        </w:tc>
        <w:tc>
          <w:tcPr>
            <w:tcW w:w="1225" w:type="dxa"/>
          </w:tcPr>
          <w:p w14:paraId="3D8F8A8A" w14:textId="2DD6DA82"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6C29CB6" w14:textId="2689868B"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3302BE05" w14:textId="04FB49C2"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2,777</w:t>
            </w:r>
          </w:p>
        </w:tc>
        <w:tc>
          <w:tcPr>
            <w:tcW w:w="1418" w:type="dxa"/>
          </w:tcPr>
          <w:p w14:paraId="0B409FBC" w14:textId="374940FD"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493CA193" w14:textId="104EF584"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360F59AC" w14:textId="402D86FE" w:rsidR="006241D8" w:rsidRPr="007C747A" w:rsidRDefault="006241D8" w:rsidP="00A46230">
            <w:pPr>
              <w:widowControl w:val="0"/>
              <w:autoSpaceDE w:val="0"/>
              <w:autoSpaceDN w:val="0"/>
              <w:spacing w:after="0" w:line="240" w:lineRule="auto"/>
              <w:ind w:left="-12"/>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05EFEA17" w14:textId="2DA0A766"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20,806</w:t>
            </w:r>
          </w:p>
        </w:tc>
      </w:tr>
      <w:tr w:rsidR="006241D8" w:rsidRPr="007C747A" w14:paraId="5357F17C"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32056672" w14:textId="0742C7D4" w:rsidR="006241D8" w:rsidRPr="007C747A" w:rsidRDefault="006241D8" w:rsidP="00A46230">
            <w:pPr>
              <w:widowControl w:val="0"/>
              <w:autoSpaceDE w:val="0"/>
              <w:autoSpaceDN w:val="0"/>
              <w:spacing w:after="0" w:line="240" w:lineRule="auto"/>
              <w:ind w:left="-12"/>
              <w:rPr>
                <w:rFonts w:cs="Arial"/>
                <w:sz w:val="22"/>
                <w:szCs w:val="22"/>
                <w:lang w:val="en-AU" w:eastAsia="en-US"/>
              </w:rPr>
            </w:pPr>
            <w:r w:rsidRPr="007C747A">
              <w:rPr>
                <w:rFonts w:cs="Arial"/>
                <w:sz w:val="22"/>
                <w:szCs w:val="22"/>
                <w:lang w:val="en-AU" w:eastAsia="en-US"/>
              </w:rPr>
              <w:t>Mr Ian Frew</w:t>
            </w:r>
          </w:p>
        </w:tc>
        <w:tc>
          <w:tcPr>
            <w:tcW w:w="1727" w:type="dxa"/>
          </w:tcPr>
          <w:p w14:paraId="1437DFCF" w14:textId="27F8C657" w:rsidR="006241D8" w:rsidRPr="007C747A" w:rsidRDefault="006241D8" w:rsidP="00A46230">
            <w:pPr>
              <w:widowControl w:val="0"/>
              <w:autoSpaceDE w:val="0"/>
              <w:autoSpaceDN w:val="0"/>
              <w:spacing w:after="0" w:line="240" w:lineRule="auto"/>
              <w:ind w:left="-12"/>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Information Officer</w:t>
            </w:r>
          </w:p>
        </w:tc>
        <w:tc>
          <w:tcPr>
            <w:tcW w:w="1528" w:type="dxa"/>
          </w:tcPr>
          <w:p w14:paraId="3E91CB1C" w14:textId="0DDDC589"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283,145</w:t>
            </w:r>
          </w:p>
        </w:tc>
        <w:tc>
          <w:tcPr>
            <w:tcW w:w="1225" w:type="dxa"/>
          </w:tcPr>
          <w:p w14:paraId="7A29D2E0" w14:textId="0FEFC8A7"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318BD62F" w14:textId="7CF164C3"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5CA497D3" w14:textId="53B39296"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29,730</w:t>
            </w:r>
          </w:p>
        </w:tc>
        <w:tc>
          <w:tcPr>
            <w:tcW w:w="1418" w:type="dxa"/>
          </w:tcPr>
          <w:p w14:paraId="31614FD2" w14:textId="2B0B672D"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7D4000C7" w14:textId="6F81E54A"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B6ADC2A" w14:textId="65462DB5" w:rsidR="006241D8" w:rsidRPr="007C747A" w:rsidRDefault="006241D8" w:rsidP="00A46230">
            <w:pPr>
              <w:widowControl w:val="0"/>
              <w:autoSpaceDE w:val="0"/>
              <w:autoSpaceDN w:val="0"/>
              <w:spacing w:after="0" w:line="240" w:lineRule="auto"/>
              <w:ind w:left="-12"/>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D8CF320" w14:textId="50547343" w:rsidR="006241D8" w:rsidRPr="007C747A" w:rsidRDefault="006241D8" w:rsidP="00A46230">
            <w:pPr>
              <w:widowControl w:val="0"/>
              <w:autoSpaceDE w:val="0"/>
              <w:autoSpaceDN w:val="0"/>
              <w:spacing w:after="0" w:line="240" w:lineRule="auto"/>
              <w:ind w:left="-12"/>
              <w:jc w:val="right"/>
              <w:rPr>
                <w:rFonts w:cs="Arial"/>
                <w:sz w:val="22"/>
                <w:szCs w:val="22"/>
                <w:lang w:val="en-AU" w:eastAsia="en-US"/>
              </w:rPr>
            </w:pPr>
            <w:r w:rsidRPr="007C747A">
              <w:rPr>
                <w:rFonts w:cs="Arial"/>
                <w:sz w:val="22"/>
                <w:szCs w:val="22"/>
                <w:lang w:val="en-AU" w:eastAsia="en-US"/>
              </w:rPr>
              <w:t>312,875</w:t>
            </w:r>
          </w:p>
        </w:tc>
      </w:tr>
      <w:tr w:rsidR="00A46230" w:rsidRPr="007C747A" w14:paraId="34D0EB6A"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FD7FA62" w14:textId="52D6AA81"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Mr David Gifford</w:t>
            </w:r>
          </w:p>
        </w:tc>
        <w:tc>
          <w:tcPr>
            <w:tcW w:w="1727" w:type="dxa"/>
          </w:tcPr>
          <w:p w14:paraId="4BAD87B9" w14:textId="1057F68D" w:rsidR="006241D8" w:rsidRPr="007C747A" w:rsidRDefault="006241D8"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Scheme Actuary</w:t>
            </w:r>
          </w:p>
        </w:tc>
        <w:tc>
          <w:tcPr>
            <w:tcW w:w="1528" w:type="dxa"/>
          </w:tcPr>
          <w:p w14:paraId="5B3CA371" w14:textId="199A30FA"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385,066</w:t>
            </w:r>
          </w:p>
        </w:tc>
        <w:tc>
          <w:tcPr>
            <w:tcW w:w="1225" w:type="dxa"/>
          </w:tcPr>
          <w:p w14:paraId="4056FAB8" w14:textId="4B55B1AC"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63DD486C" w14:textId="318DFEE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18,442</w:t>
            </w:r>
          </w:p>
        </w:tc>
        <w:tc>
          <w:tcPr>
            <w:tcW w:w="1984" w:type="dxa"/>
          </w:tcPr>
          <w:p w14:paraId="3B30406F" w14:textId="2F79DC6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10,485</w:t>
            </w:r>
          </w:p>
        </w:tc>
        <w:tc>
          <w:tcPr>
            <w:tcW w:w="1418" w:type="dxa"/>
          </w:tcPr>
          <w:p w14:paraId="4524BD10" w14:textId="710A5E58"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2,255</w:t>
            </w:r>
          </w:p>
        </w:tc>
        <w:tc>
          <w:tcPr>
            <w:tcW w:w="1275" w:type="dxa"/>
          </w:tcPr>
          <w:p w14:paraId="2D75E761" w14:textId="35D255D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F3A428A" w14:textId="6135283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19177ADB" w14:textId="4F55E9BA"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416,248</w:t>
            </w:r>
          </w:p>
        </w:tc>
      </w:tr>
      <w:tr w:rsidR="006241D8" w:rsidRPr="007C747A" w14:paraId="19BC4788"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4DE422C4" w14:textId="2DF4738A"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Nicole Glazebrook</w:t>
            </w:r>
          </w:p>
        </w:tc>
        <w:tc>
          <w:tcPr>
            <w:tcW w:w="1727" w:type="dxa"/>
          </w:tcPr>
          <w:p w14:paraId="44168A33" w14:textId="16014F59"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Financial Officer</w:t>
            </w:r>
          </w:p>
        </w:tc>
        <w:tc>
          <w:tcPr>
            <w:tcW w:w="1528" w:type="dxa"/>
          </w:tcPr>
          <w:p w14:paraId="2FC0ADEE" w14:textId="4B4DD77B"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293,259</w:t>
            </w:r>
          </w:p>
        </w:tc>
        <w:tc>
          <w:tcPr>
            <w:tcW w:w="1225" w:type="dxa"/>
          </w:tcPr>
          <w:p w14:paraId="0DDD506A" w14:textId="045074D6"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7E62BAE3" w14:textId="1D9EDF7B"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22,565</w:t>
            </w:r>
          </w:p>
        </w:tc>
        <w:tc>
          <w:tcPr>
            <w:tcW w:w="1984" w:type="dxa"/>
          </w:tcPr>
          <w:p w14:paraId="2CA88223" w14:textId="72F02BD3"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30,791</w:t>
            </w:r>
          </w:p>
        </w:tc>
        <w:tc>
          <w:tcPr>
            <w:tcW w:w="1418" w:type="dxa"/>
          </w:tcPr>
          <w:p w14:paraId="16A9A1F8" w14:textId="7E228322"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7,541</w:t>
            </w:r>
          </w:p>
        </w:tc>
        <w:tc>
          <w:tcPr>
            <w:tcW w:w="1275" w:type="dxa"/>
          </w:tcPr>
          <w:p w14:paraId="04B75747" w14:textId="0D0D9ACD"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089BEA68" w14:textId="5DF8703B"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07C4051" w14:textId="1EF66565"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354,156</w:t>
            </w:r>
          </w:p>
        </w:tc>
      </w:tr>
      <w:tr w:rsidR="00A46230" w:rsidRPr="007C747A" w14:paraId="50423ECB"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710F9A8" w14:textId="6D9CA4FC"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Mr Martin Hoffman</w:t>
            </w:r>
          </w:p>
        </w:tc>
        <w:tc>
          <w:tcPr>
            <w:tcW w:w="1727" w:type="dxa"/>
          </w:tcPr>
          <w:p w14:paraId="1146864A" w14:textId="2D725AD3" w:rsidR="006241D8" w:rsidRPr="007C747A" w:rsidRDefault="006241D8"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Executive Officer</w:t>
            </w:r>
          </w:p>
        </w:tc>
        <w:tc>
          <w:tcPr>
            <w:tcW w:w="1528" w:type="dxa"/>
          </w:tcPr>
          <w:p w14:paraId="599A79B5" w14:textId="17130D1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2,666</w:t>
            </w:r>
          </w:p>
        </w:tc>
        <w:tc>
          <w:tcPr>
            <w:tcW w:w="1225" w:type="dxa"/>
          </w:tcPr>
          <w:p w14:paraId="163BF0C5" w14:textId="50EB2824"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4906B25" w14:textId="686FCAA9"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205</w:t>
            </w:r>
          </w:p>
        </w:tc>
        <w:tc>
          <w:tcPr>
            <w:tcW w:w="1984" w:type="dxa"/>
          </w:tcPr>
          <w:p w14:paraId="036B190D" w14:textId="23BEB094"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280</w:t>
            </w:r>
          </w:p>
        </w:tc>
        <w:tc>
          <w:tcPr>
            <w:tcW w:w="1418" w:type="dxa"/>
          </w:tcPr>
          <w:p w14:paraId="3EACBA73" w14:textId="6588E8EB"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69</w:t>
            </w:r>
          </w:p>
        </w:tc>
        <w:tc>
          <w:tcPr>
            <w:tcW w:w="1275" w:type="dxa"/>
          </w:tcPr>
          <w:p w14:paraId="0379A67F" w14:textId="505C6054"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6CF50C02" w14:textId="02E85202"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236,813</w:t>
            </w:r>
          </w:p>
        </w:tc>
        <w:tc>
          <w:tcPr>
            <w:cnfStyle w:val="000100000000" w:firstRow="0" w:lastRow="0" w:firstColumn="0" w:lastColumn="1" w:oddVBand="0" w:evenVBand="0" w:oddHBand="0" w:evenHBand="0" w:firstRowFirstColumn="0" w:firstRowLastColumn="0" w:lastRowFirstColumn="0" w:lastRowLastColumn="0"/>
            <w:tcW w:w="1701" w:type="dxa"/>
          </w:tcPr>
          <w:p w14:paraId="0FDA9992" w14:textId="259EC1E3"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240,033</w:t>
            </w:r>
          </w:p>
        </w:tc>
      </w:tr>
      <w:tr w:rsidR="006241D8" w:rsidRPr="007C747A" w14:paraId="6BE91B58"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186FD9E6" w14:textId="592723BB"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Mr Graeme Innes AM</w:t>
            </w:r>
            <w:r w:rsidR="00BD3475" w:rsidRPr="007C747A">
              <w:rPr>
                <w:rFonts w:cs="Arial"/>
                <w:sz w:val="22"/>
                <w:szCs w:val="22"/>
                <w:lang w:val="en-AU" w:eastAsia="en-US"/>
              </w:rPr>
              <w:fldChar w:fldCharType="begin"/>
            </w:r>
            <w:r w:rsidR="00BD3475" w:rsidRPr="007C747A">
              <w:rPr>
                <w:rFonts w:cs="Arial"/>
                <w:b w:val="0"/>
                <w:bCs w:val="0"/>
                <w:sz w:val="22"/>
                <w:szCs w:val="22"/>
                <w:lang w:val="en-AU" w:eastAsia="en-US"/>
              </w:rPr>
              <w:instrText xml:space="preserve"> </w:instrText>
            </w:r>
            <w:r w:rsidR="00BD3475" w:rsidRPr="007C747A">
              <w:rPr>
                <w:rFonts w:cs="Arial"/>
                <w:sz w:val="22"/>
                <w:szCs w:val="22"/>
                <w:lang w:val="en-AU" w:eastAsia="en-US"/>
              </w:rPr>
              <w:instrText xml:space="preserve">NOTEREF </w:instrText>
            </w:r>
            <w:r w:rsidR="00BD3475" w:rsidRPr="007C747A">
              <w:rPr>
                <w:rFonts w:cs="Arial"/>
                <w:b w:val="0"/>
                <w:bCs w:val="0"/>
                <w:sz w:val="22"/>
                <w:szCs w:val="22"/>
                <w:lang w:val="en-AU" w:eastAsia="en-US"/>
              </w:rPr>
              <w:instrText xml:space="preserve">_Ref146197994 \h </w:instrText>
            </w:r>
            <w:r w:rsidR="00BD3475" w:rsidRPr="007C747A">
              <w:rPr>
                <w:rFonts w:cs="Arial"/>
                <w:sz w:val="22"/>
                <w:szCs w:val="22"/>
                <w:lang w:val="en-AU" w:eastAsia="en-US"/>
              </w:rPr>
            </w:r>
            <w:r w:rsidR="00A21E0D">
              <w:rPr>
                <w:rFonts w:cs="Arial"/>
                <w:sz w:val="22"/>
                <w:szCs w:val="22"/>
                <w:lang w:val="en-AU" w:eastAsia="en-US"/>
              </w:rPr>
              <w:fldChar w:fldCharType="separate"/>
            </w:r>
            <w:r w:rsidR="00BD3475" w:rsidRPr="007C747A">
              <w:rPr>
                <w:rFonts w:cs="Arial"/>
                <w:sz w:val="22"/>
                <w:szCs w:val="22"/>
                <w:lang w:val="en-AU" w:eastAsia="en-US"/>
              </w:rPr>
              <w:fldChar w:fldCharType="end"/>
            </w:r>
          </w:p>
        </w:tc>
        <w:tc>
          <w:tcPr>
            <w:tcW w:w="1727" w:type="dxa"/>
          </w:tcPr>
          <w:p w14:paraId="16071277" w14:textId="2B0DE0D8"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285C24C4" w14:textId="4E778068"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51,038</w:t>
            </w:r>
          </w:p>
        </w:tc>
        <w:tc>
          <w:tcPr>
            <w:tcW w:w="1225" w:type="dxa"/>
          </w:tcPr>
          <w:p w14:paraId="71FB3C41" w14:textId="5985E9A0"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E438DA3" w14:textId="016082C9"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109D8228" w14:textId="6E85FC75"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8,014</w:t>
            </w:r>
          </w:p>
        </w:tc>
        <w:tc>
          <w:tcPr>
            <w:tcW w:w="1418" w:type="dxa"/>
          </w:tcPr>
          <w:p w14:paraId="0596E724" w14:textId="2533117D"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092E02CF" w14:textId="3332A687"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452E718D" w14:textId="392B52C6"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21C70A76" w14:textId="4E134594"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59,051</w:t>
            </w:r>
          </w:p>
        </w:tc>
      </w:tr>
      <w:tr w:rsidR="00A46230" w:rsidRPr="007C747A" w14:paraId="69F68CF2"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8CAEDEF" w14:textId="54611BD3"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Sarah Johnson</w:t>
            </w:r>
          </w:p>
        </w:tc>
        <w:tc>
          <w:tcPr>
            <w:tcW w:w="1727" w:type="dxa"/>
          </w:tcPr>
          <w:p w14:paraId="4C16EA7A" w14:textId="68A5EB81" w:rsidR="006241D8" w:rsidRPr="007C747A" w:rsidRDefault="005907F9"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Strategy &amp; Service Improvement</w:t>
            </w:r>
          </w:p>
        </w:tc>
        <w:tc>
          <w:tcPr>
            <w:tcW w:w="1528" w:type="dxa"/>
          </w:tcPr>
          <w:p w14:paraId="262E1F71" w14:textId="2DB416D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280,917</w:t>
            </w:r>
          </w:p>
        </w:tc>
        <w:tc>
          <w:tcPr>
            <w:tcW w:w="1225" w:type="dxa"/>
          </w:tcPr>
          <w:p w14:paraId="5278F2B7" w14:textId="70DE4758"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050426F5" w14:textId="1A63EF1C"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0B573BA1" w14:textId="06D8CDA2"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418" w:type="dxa"/>
          </w:tcPr>
          <w:p w14:paraId="2C9752ED" w14:textId="465565C4"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445513DB" w14:textId="552DE698"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0EE79686" w14:textId="5CF43F9E"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5863D9D" w14:textId="2139678B"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280,917</w:t>
            </w:r>
          </w:p>
        </w:tc>
      </w:tr>
      <w:tr w:rsidR="006241D8" w:rsidRPr="007C747A" w14:paraId="6A4CBD8C"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328A02BF" w14:textId="4D92B498" w:rsidR="0026681A" w:rsidRPr="009D1CF5" w:rsidRDefault="006241D8" w:rsidP="00A46230">
            <w:pPr>
              <w:widowControl w:val="0"/>
              <w:autoSpaceDE w:val="0"/>
              <w:autoSpaceDN w:val="0"/>
              <w:spacing w:after="0" w:line="240" w:lineRule="auto"/>
              <w:rPr>
                <w:rFonts w:cs="Arial"/>
                <w:b w:val="0"/>
                <w:bCs w:val="0"/>
                <w:sz w:val="22"/>
                <w:szCs w:val="22"/>
                <w:lang w:val="en-AU" w:eastAsia="en-US"/>
              </w:rPr>
            </w:pPr>
            <w:r w:rsidRPr="007C747A">
              <w:rPr>
                <w:rFonts w:cs="Arial"/>
                <w:sz w:val="22"/>
                <w:szCs w:val="22"/>
                <w:lang w:val="en-AU" w:eastAsia="en-US"/>
              </w:rPr>
              <w:t>Mr Glenn Keys AO</w:t>
            </w:r>
          </w:p>
        </w:tc>
        <w:tc>
          <w:tcPr>
            <w:tcW w:w="1727" w:type="dxa"/>
          </w:tcPr>
          <w:p w14:paraId="73982343" w14:textId="41F41BB4"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2E8DC54A" w14:textId="4CD7AF7E"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36,319</w:t>
            </w:r>
          </w:p>
        </w:tc>
        <w:tc>
          <w:tcPr>
            <w:tcW w:w="1225" w:type="dxa"/>
          </w:tcPr>
          <w:p w14:paraId="0FD67CC8" w14:textId="09744C38"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327DB06A" w14:textId="4D9CB2D8"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1AE5AF59" w14:textId="0F85F2A5"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5,171</w:t>
            </w:r>
          </w:p>
        </w:tc>
        <w:tc>
          <w:tcPr>
            <w:tcW w:w="1418" w:type="dxa"/>
          </w:tcPr>
          <w:p w14:paraId="78849ED4" w14:textId="20BA662E"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12CE1F62" w14:textId="29EEBC11"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0896A987" w14:textId="46B1AB59"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16F258FE" w14:textId="290740A3"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41,490</w:t>
            </w:r>
          </w:p>
        </w:tc>
      </w:tr>
      <w:tr w:rsidR="00A46230" w:rsidRPr="007C747A" w14:paraId="030AD5B8"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1D108352" w14:textId="164775C0"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Jamie Lowe</w:t>
            </w:r>
          </w:p>
        </w:tc>
        <w:tc>
          <w:tcPr>
            <w:tcW w:w="1727" w:type="dxa"/>
          </w:tcPr>
          <w:p w14:paraId="1D8AA401" w14:textId="4048999E" w:rsidR="006241D8" w:rsidRPr="007C747A" w:rsidRDefault="005907F9"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Strategy &amp; Service Improvement</w:t>
            </w:r>
          </w:p>
        </w:tc>
        <w:tc>
          <w:tcPr>
            <w:tcW w:w="1528" w:type="dxa"/>
          </w:tcPr>
          <w:p w14:paraId="6AC26B37" w14:textId="2A9B6020"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39,938</w:t>
            </w:r>
          </w:p>
        </w:tc>
        <w:tc>
          <w:tcPr>
            <w:tcW w:w="1225" w:type="dxa"/>
          </w:tcPr>
          <w:p w14:paraId="3F98074E" w14:textId="25C37009"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65D0B82" w14:textId="55ADDCE3"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6,690</w:t>
            </w:r>
          </w:p>
        </w:tc>
        <w:tc>
          <w:tcPr>
            <w:tcW w:w="1984" w:type="dxa"/>
          </w:tcPr>
          <w:p w14:paraId="7A8F61B3" w14:textId="09FFE595"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6,775</w:t>
            </w:r>
          </w:p>
        </w:tc>
        <w:tc>
          <w:tcPr>
            <w:tcW w:w="1418" w:type="dxa"/>
          </w:tcPr>
          <w:p w14:paraId="69A40A4F" w14:textId="391734E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1,016</w:t>
            </w:r>
          </w:p>
        </w:tc>
        <w:tc>
          <w:tcPr>
            <w:tcW w:w="1275" w:type="dxa"/>
          </w:tcPr>
          <w:p w14:paraId="552C6352" w14:textId="4A568A5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22EB2CD6" w14:textId="750528ED"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3323E4BC" w14:textId="620014B1"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54,420</w:t>
            </w:r>
          </w:p>
        </w:tc>
      </w:tr>
      <w:tr w:rsidR="006241D8" w:rsidRPr="007C747A" w14:paraId="7F47D99F"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51B5AA04" w14:textId="3826A93C"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Penelope McKay</w:t>
            </w:r>
          </w:p>
        </w:tc>
        <w:tc>
          <w:tcPr>
            <w:tcW w:w="1727" w:type="dxa"/>
          </w:tcPr>
          <w:p w14:paraId="414841CF" w14:textId="3C3A0F80" w:rsidR="006241D8" w:rsidRPr="007C747A" w:rsidRDefault="005907F9"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Market Stewardship and Home &amp; Living</w:t>
            </w:r>
          </w:p>
        </w:tc>
        <w:tc>
          <w:tcPr>
            <w:tcW w:w="1528" w:type="dxa"/>
          </w:tcPr>
          <w:p w14:paraId="0C117154" w14:textId="68EA21B4"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125,066</w:t>
            </w:r>
          </w:p>
        </w:tc>
        <w:tc>
          <w:tcPr>
            <w:tcW w:w="1225" w:type="dxa"/>
          </w:tcPr>
          <w:p w14:paraId="14354FCD" w14:textId="791BDE17"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5C432C5C" w14:textId="3D24012E"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10,104</w:t>
            </w:r>
          </w:p>
        </w:tc>
        <w:tc>
          <w:tcPr>
            <w:tcW w:w="1984" w:type="dxa"/>
          </w:tcPr>
          <w:p w14:paraId="1809AACD" w14:textId="294E200C"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27,289</w:t>
            </w:r>
          </w:p>
        </w:tc>
        <w:tc>
          <w:tcPr>
            <w:tcW w:w="1418" w:type="dxa"/>
          </w:tcPr>
          <w:p w14:paraId="45EA4B18" w14:textId="35303A23"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3,377</w:t>
            </w:r>
          </w:p>
        </w:tc>
        <w:tc>
          <w:tcPr>
            <w:tcW w:w="1275" w:type="dxa"/>
          </w:tcPr>
          <w:p w14:paraId="484FC2A4" w14:textId="16331906"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36EAEF23" w14:textId="4153B985"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DE4D838" w14:textId="440101F3"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165,835</w:t>
            </w:r>
          </w:p>
        </w:tc>
      </w:tr>
      <w:tr w:rsidR="00A46230" w:rsidRPr="007C747A" w14:paraId="4983C278"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02749D94" w14:textId="0DAB8E2C"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Mrs Joan McKenna Kerr</w:t>
            </w:r>
            <w:r w:rsidR="000650A5" w:rsidRPr="007C747A">
              <w:rPr>
                <w:rFonts w:cs="Arial"/>
                <w:sz w:val="22"/>
                <w:szCs w:val="22"/>
                <w:lang w:val="en-AU" w:eastAsia="en-US"/>
              </w:rPr>
              <w:t>*</w:t>
            </w:r>
            <w:r w:rsidR="00BD3475" w:rsidRPr="007C747A">
              <w:rPr>
                <w:rFonts w:cs="Arial"/>
                <w:sz w:val="22"/>
                <w:szCs w:val="22"/>
                <w:lang w:val="en-AU" w:eastAsia="en-US"/>
              </w:rPr>
              <w:fldChar w:fldCharType="begin"/>
            </w:r>
            <w:r w:rsidR="00BD3475" w:rsidRPr="007C747A">
              <w:rPr>
                <w:rFonts w:cs="Arial"/>
                <w:b w:val="0"/>
                <w:bCs w:val="0"/>
                <w:sz w:val="22"/>
                <w:szCs w:val="22"/>
                <w:lang w:val="en-AU" w:eastAsia="en-US"/>
              </w:rPr>
              <w:instrText xml:space="preserve"> </w:instrText>
            </w:r>
            <w:r w:rsidR="00BD3475" w:rsidRPr="007C747A">
              <w:rPr>
                <w:rFonts w:cs="Arial"/>
                <w:sz w:val="22"/>
                <w:szCs w:val="22"/>
                <w:lang w:val="en-AU" w:eastAsia="en-US"/>
              </w:rPr>
              <w:instrText xml:space="preserve">NOTEREF </w:instrText>
            </w:r>
            <w:r w:rsidR="00BD3475" w:rsidRPr="007C747A">
              <w:rPr>
                <w:rFonts w:cs="Arial"/>
                <w:b w:val="0"/>
                <w:bCs w:val="0"/>
                <w:sz w:val="22"/>
                <w:szCs w:val="22"/>
                <w:lang w:val="en-AU" w:eastAsia="en-US"/>
              </w:rPr>
              <w:instrText xml:space="preserve">_Ref146197994 \h </w:instrText>
            </w:r>
            <w:r w:rsidR="00BD3475" w:rsidRPr="007C747A">
              <w:rPr>
                <w:rFonts w:cs="Arial"/>
                <w:sz w:val="22"/>
                <w:szCs w:val="22"/>
                <w:lang w:val="en-AU" w:eastAsia="en-US"/>
              </w:rPr>
            </w:r>
            <w:r w:rsidR="00A21E0D">
              <w:rPr>
                <w:rFonts w:cs="Arial"/>
                <w:sz w:val="22"/>
                <w:szCs w:val="22"/>
                <w:lang w:val="en-AU" w:eastAsia="en-US"/>
              </w:rPr>
              <w:fldChar w:fldCharType="separate"/>
            </w:r>
            <w:r w:rsidR="00BD3475" w:rsidRPr="007C747A">
              <w:rPr>
                <w:rFonts w:cs="Arial"/>
                <w:sz w:val="22"/>
                <w:szCs w:val="22"/>
                <w:lang w:val="en-AU" w:eastAsia="en-US"/>
              </w:rPr>
              <w:fldChar w:fldCharType="end"/>
            </w:r>
          </w:p>
        </w:tc>
        <w:tc>
          <w:tcPr>
            <w:tcW w:w="1727" w:type="dxa"/>
          </w:tcPr>
          <w:p w14:paraId="4ECDF122" w14:textId="2FF45249" w:rsidR="006241D8" w:rsidRPr="007C747A" w:rsidRDefault="006241D8"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4DA8924D" w14:textId="4B057A6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18,030</w:t>
            </w:r>
          </w:p>
        </w:tc>
        <w:tc>
          <w:tcPr>
            <w:tcW w:w="1225" w:type="dxa"/>
          </w:tcPr>
          <w:p w14:paraId="5701627F" w14:textId="2C36CBD8"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6B2C89C3" w14:textId="4D36D6F0"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26ADDFB3" w14:textId="4BE09B3D"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2,777</w:t>
            </w:r>
          </w:p>
        </w:tc>
        <w:tc>
          <w:tcPr>
            <w:tcW w:w="1418" w:type="dxa"/>
          </w:tcPr>
          <w:p w14:paraId="776B9231" w14:textId="02B05C24"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74D45C88" w14:textId="42CB708C"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1EEBBA1" w14:textId="11A98FCB"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0EA0CA76" w14:textId="30FE1C90"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20,806</w:t>
            </w:r>
          </w:p>
        </w:tc>
      </w:tr>
      <w:tr w:rsidR="006241D8" w:rsidRPr="007C747A" w14:paraId="650CB7EF"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5EC858DF" w14:textId="1F9A9489"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Corri McKenzie</w:t>
            </w:r>
          </w:p>
        </w:tc>
        <w:tc>
          <w:tcPr>
            <w:tcW w:w="1727" w:type="dxa"/>
          </w:tcPr>
          <w:p w14:paraId="470656B3" w14:textId="1A7177D2" w:rsidR="006241D8" w:rsidRPr="007C747A" w:rsidRDefault="005907F9"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Service Design &amp; Improvement</w:t>
            </w:r>
          </w:p>
        </w:tc>
        <w:tc>
          <w:tcPr>
            <w:tcW w:w="1528" w:type="dxa"/>
          </w:tcPr>
          <w:p w14:paraId="5938FC40" w14:textId="417E5AB2"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198,231</w:t>
            </w:r>
          </w:p>
        </w:tc>
        <w:tc>
          <w:tcPr>
            <w:tcW w:w="1225" w:type="dxa"/>
          </w:tcPr>
          <w:p w14:paraId="7A31FA50" w14:textId="276A3728"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6A5CD1CF" w14:textId="30D2C0DD"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15,244</w:t>
            </w:r>
          </w:p>
        </w:tc>
        <w:tc>
          <w:tcPr>
            <w:tcW w:w="1984" w:type="dxa"/>
          </w:tcPr>
          <w:p w14:paraId="05E9F10F" w14:textId="203DB521"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20,832</w:t>
            </w:r>
          </w:p>
        </w:tc>
        <w:tc>
          <w:tcPr>
            <w:tcW w:w="1418" w:type="dxa"/>
          </w:tcPr>
          <w:p w14:paraId="7AD16D6A" w14:textId="7A5A7A77"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5,095</w:t>
            </w:r>
          </w:p>
        </w:tc>
        <w:tc>
          <w:tcPr>
            <w:tcW w:w="1275" w:type="dxa"/>
          </w:tcPr>
          <w:p w14:paraId="4F5F78B6" w14:textId="7C19325E"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CA6CC0A" w14:textId="6DAE4C30"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45EE6104" w14:textId="52ADBA02"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239,401</w:t>
            </w:r>
          </w:p>
        </w:tc>
      </w:tr>
      <w:tr w:rsidR="00A46230" w:rsidRPr="007C747A" w14:paraId="538F46C4"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33F931BA" w14:textId="6DC5C035"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Mr Scott McNaughton</w:t>
            </w:r>
          </w:p>
        </w:tc>
        <w:tc>
          <w:tcPr>
            <w:tcW w:w="1727" w:type="dxa"/>
          </w:tcPr>
          <w:p w14:paraId="79F5879B" w14:textId="0E0E705C" w:rsidR="006241D8" w:rsidRPr="007C747A" w:rsidRDefault="005907F9"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Service Delivery</w:t>
            </w:r>
          </w:p>
        </w:tc>
        <w:tc>
          <w:tcPr>
            <w:tcW w:w="1528" w:type="dxa"/>
          </w:tcPr>
          <w:p w14:paraId="5B6039BF" w14:textId="7892B49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194,182</w:t>
            </w:r>
          </w:p>
        </w:tc>
        <w:tc>
          <w:tcPr>
            <w:tcW w:w="1225" w:type="dxa"/>
          </w:tcPr>
          <w:p w14:paraId="159438B8" w14:textId="2F26131E"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7250A6A2" w14:textId="62B823DD"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16,022</w:t>
            </w:r>
          </w:p>
        </w:tc>
        <w:tc>
          <w:tcPr>
            <w:tcW w:w="1984" w:type="dxa"/>
          </w:tcPr>
          <w:p w14:paraId="1B15931C" w14:textId="4D44B77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33,209</w:t>
            </w:r>
          </w:p>
        </w:tc>
        <w:tc>
          <w:tcPr>
            <w:tcW w:w="1418" w:type="dxa"/>
          </w:tcPr>
          <w:p w14:paraId="25B94F32" w14:textId="603E41F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5,355</w:t>
            </w:r>
          </w:p>
        </w:tc>
        <w:tc>
          <w:tcPr>
            <w:tcW w:w="1275" w:type="dxa"/>
          </w:tcPr>
          <w:p w14:paraId="51200994" w14:textId="4F7496DD"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551C597E" w14:textId="46CC6DBB"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3BA211BD" w14:textId="2B9A89C8"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248,768</w:t>
            </w:r>
          </w:p>
        </w:tc>
      </w:tr>
      <w:tr w:rsidR="006241D8" w:rsidRPr="007C747A" w14:paraId="66E7D8B7"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3A9AB581" w14:textId="0D4103BC"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Mr James Minto</w:t>
            </w:r>
          </w:p>
        </w:tc>
        <w:tc>
          <w:tcPr>
            <w:tcW w:w="1727" w:type="dxa"/>
          </w:tcPr>
          <w:p w14:paraId="5C31E9B5" w14:textId="5F717384"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01DFA86A" w14:textId="1E69657F"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101,207</w:t>
            </w:r>
          </w:p>
        </w:tc>
        <w:tc>
          <w:tcPr>
            <w:tcW w:w="1225" w:type="dxa"/>
          </w:tcPr>
          <w:p w14:paraId="7C4C8DF2" w14:textId="4C678B1C"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FEE79E6" w14:textId="3B508012"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1AC73636" w14:textId="1A4E16A5"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15,586</w:t>
            </w:r>
          </w:p>
        </w:tc>
        <w:tc>
          <w:tcPr>
            <w:tcW w:w="1418" w:type="dxa"/>
          </w:tcPr>
          <w:p w14:paraId="67777E4C" w14:textId="40C78531"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6E350ACA" w14:textId="414D8D0E"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03EBD7C7" w14:textId="57292D46"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09C1B275" w14:textId="61BAB271"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116,793</w:t>
            </w:r>
          </w:p>
        </w:tc>
      </w:tr>
      <w:tr w:rsidR="00A46230" w:rsidRPr="007C747A" w14:paraId="4C058879"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771D6BE" w14:textId="525C74FD"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Debbie Mitchell</w:t>
            </w:r>
          </w:p>
        </w:tc>
        <w:tc>
          <w:tcPr>
            <w:tcW w:w="1727" w:type="dxa"/>
          </w:tcPr>
          <w:p w14:paraId="1548374E" w14:textId="5AF92E52" w:rsidR="006241D8" w:rsidRPr="007C747A" w:rsidRDefault="005907F9"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Governance, Risk &amp; Integrity</w:t>
            </w:r>
          </w:p>
        </w:tc>
        <w:tc>
          <w:tcPr>
            <w:tcW w:w="1528" w:type="dxa"/>
          </w:tcPr>
          <w:p w14:paraId="0E7E5D9E" w14:textId="7D0CAAD3"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165,289</w:t>
            </w:r>
          </w:p>
        </w:tc>
        <w:tc>
          <w:tcPr>
            <w:tcW w:w="1225" w:type="dxa"/>
          </w:tcPr>
          <w:p w14:paraId="20DA254E" w14:textId="6A025FBA"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6BD5EFEF" w14:textId="781F652B"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14,776</w:t>
            </w:r>
          </w:p>
        </w:tc>
        <w:tc>
          <w:tcPr>
            <w:tcW w:w="1984" w:type="dxa"/>
          </w:tcPr>
          <w:p w14:paraId="0962926C" w14:textId="67791376"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25,555</w:t>
            </w:r>
          </w:p>
        </w:tc>
        <w:tc>
          <w:tcPr>
            <w:tcW w:w="1418" w:type="dxa"/>
          </w:tcPr>
          <w:p w14:paraId="2597F09C" w14:textId="2AEC84FD"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4,323</w:t>
            </w:r>
          </w:p>
        </w:tc>
        <w:tc>
          <w:tcPr>
            <w:tcW w:w="1275" w:type="dxa"/>
          </w:tcPr>
          <w:p w14:paraId="50F64D10" w14:textId="4EB69FB2"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3F74817" w14:textId="4F195BEF"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109555B4" w14:textId="1AE8CBB9"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209,943</w:t>
            </w:r>
          </w:p>
        </w:tc>
      </w:tr>
      <w:tr w:rsidR="006241D8" w:rsidRPr="007C747A" w14:paraId="06FD0FAC"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0B5158A3" w14:textId="0979E536" w:rsidR="008F5E59" w:rsidRPr="009D1CF5" w:rsidRDefault="006241D8" w:rsidP="00A46230">
            <w:pPr>
              <w:widowControl w:val="0"/>
              <w:autoSpaceDE w:val="0"/>
              <w:autoSpaceDN w:val="0"/>
              <w:spacing w:after="0" w:line="240" w:lineRule="auto"/>
              <w:rPr>
                <w:rFonts w:cs="Arial"/>
                <w:b w:val="0"/>
                <w:bCs w:val="0"/>
                <w:sz w:val="22"/>
                <w:szCs w:val="22"/>
                <w:lang w:val="en-AU" w:eastAsia="en-US"/>
              </w:rPr>
            </w:pPr>
            <w:r w:rsidRPr="007C747A">
              <w:rPr>
                <w:rFonts w:cs="Arial"/>
                <w:sz w:val="22"/>
                <w:szCs w:val="22"/>
                <w:lang w:val="en-AU" w:eastAsia="en-US"/>
              </w:rPr>
              <w:t>Dr Denis Napthine AO</w:t>
            </w:r>
            <w:r w:rsidR="0026681A" w:rsidRPr="007C747A">
              <w:rPr>
                <w:rFonts w:cs="Arial"/>
                <w:sz w:val="22"/>
                <w:szCs w:val="22"/>
                <w:lang w:val="en-AU" w:eastAsia="en-US"/>
              </w:rPr>
              <w:fldChar w:fldCharType="begin"/>
            </w:r>
            <w:r w:rsidR="0026681A" w:rsidRPr="007C747A">
              <w:rPr>
                <w:rFonts w:cs="Arial"/>
                <w:b w:val="0"/>
                <w:bCs w:val="0"/>
                <w:sz w:val="22"/>
                <w:szCs w:val="22"/>
                <w:lang w:val="en-AU" w:eastAsia="en-US"/>
              </w:rPr>
              <w:instrText xml:space="preserve"> </w:instrText>
            </w:r>
            <w:r w:rsidR="0026681A" w:rsidRPr="007C747A">
              <w:rPr>
                <w:rFonts w:cs="Arial"/>
                <w:sz w:val="22"/>
                <w:szCs w:val="22"/>
                <w:lang w:val="en-AU" w:eastAsia="en-US"/>
              </w:rPr>
              <w:instrText xml:space="preserve">NOTEREF </w:instrText>
            </w:r>
            <w:r w:rsidR="0026681A" w:rsidRPr="007C747A">
              <w:rPr>
                <w:rFonts w:cs="Arial"/>
                <w:b w:val="0"/>
                <w:bCs w:val="0"/>
                <w:sz w:val="22"/>
                <w:szCs w:val="22"/>
                <w:lang w:val="en-AU" w:eastAsia="en-US"/>
              </w:rPr>
              <w:instrText xml:space="preserve">_Ref146198096 \h </w:instrText>
            </w:r>
            <w:r w:rsidR="0026681A" w:rsidRPr="007C747A">
              <w:rPr>
                <w:rFonts w:cs="Arial"/>
                <w:sz w:val="22"/>
                <w:szCs w:val="22"/>
                <w:lang w:val="en-AU" w:eastAsia="en-US"/>
              </w:rPr>
            </w:r>
            <w:r w:rsidR="0026681A" w:rsidRPr="007C747A">
              <w:rPr>
                <w:rFonts w:cs="Arial"/>
                <w:sz w:val="22"/>
                <w:szCs w:val="22"/>
                <w:lang w:val="en-AU" w:eastAsia="en-US"/>
              </w:rPr>
              <w:fldChar w:fldCharType="separate"/>
            </w:r>
            <w:r w:rsidR="005969AA" w:rsidRPr="007C747A">
              <w:rPr>
                <w:lang w:val="en-AU"/>
              </w:rPr>
              <w:t>*</w:t>
            </w:r>
            <w:r w:rsidR="0026681A" w:rsidRPr="007C747A">
              <w:rPr>
                <w:rFonts w:cs="Arial"/>
                <w:sz w:val="22"/>
                <w:szCs w:val="22"/>
                <w:lang w:val="en-AU" w:eastAsia="en-US"/>
              </w:rPr>
              <w:fldChar w:fldCharType="end"/>
            </w:r>
          </w:p>
        </w:tc>
        <w:tc>
          <w:tcPr>
            <w:tcW w:w="1727" w:type="dxa"/>
          </w:tcPr>
          <w:p w14:paraId="4AC20E0D" w14:textId="47BB2CF0"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11A1E257" w14:textId="72B7C83A"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49,364</w:t>
            </w:r>
          </w:p>
        </w:tc>
        <w:tc>
          <w:tcPr>
            <w:tcW w:w="1225" w:type="dxa"/>
          </w:tcPr>
          <w:p w14:paraId="0A74E060" w14:textId="0F895F7F"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0D08244" w14:textId="24213985"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1A2237CF" w14:textId="29A86781"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7,602</w:t>
            </w:r>
          </w:p>
        </w:tc>
        <w:tc>
          <w:tcPr>
            <w:tcW w:w="1418" w:type="dxa"/>
          </w:tcPr>
          <w:p w14:paraId="2DC3B028" w14:textId="3C977E94"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4749AB99" w14:textId="1ADFCEE2"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7048E7D8" w14:textId="171062C9"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37F32C73" w14:textId="6AAA72B6"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56,966</w:t>
            </w:r>
          </w:p>
        </w:tc>
      </w:tr>
      <w:tr w:rsidR="00A46230" w:rsidRPr="007C747A" w14:paraId="48B1C69A"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354EEF6F" w14:textId="27FFAB14"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Liz Neville</w:t>
            </w:r>
          </w:p>
        </w:tc>
        <w:tc>
          <w:tcPr>
            <w:tcW w:w="1727" w:type="dxa"/>
          </w:tcPr>
          <w:p w14:paraId="304446C6" w14:textId="2472E2C5" w:rsidR="006241D8" w:rsidRPr="007C747A" w:rsidRDefault="005907F9"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Government, Engagement &amp; Legal</w:t>
            </w:r>
          </w:p>
        </w:tc>
        <w:tc>
          <w:tcPr>
            <w:tcW w:w="1528" w:type="dxa"/>
          </w:tcPr>
          <w:p w14:paraId="465BDE6A" w14:textId="02AF92EA"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215,586</w:t>
            </w:r>
          </w:p>
        </w:tc>
        <w:tc>
          <w:tcPr>
            <w:tcW w:w="1225" w:type="dxa"/>
          </w:tcPr>
          <w:p w14:paraId="4D706318" w14:textId="24A3CF03"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6B9680B5" w14:textId="3B495BD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18,369</w:t>
            </w:r>
          </w:p>
        </w:tc>
        <w:tc>
          <w:tcPr>
            <w:tcW w:w="1984" w:type="dxa"/>
          </w:tcPr>
          <w:p w14:paraId="07D49CAA" w14:textId="08543479"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36,853</w:t>
            </w:r>
          </w:p>
        </w:tc>
        <w:tc>
          <w:tcPr>
            <w:tcW w:w="1418" w:type="dxa"/>
          </w:tcPr>
          <w:p w14:paraId="028AD172" w14:textId="216DCDBE"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6,139</w:t>
            </w:r>
          </w:p>
        </w:tc>
        <w:tc>
          <w:tcPr>
            <w:tcW w:w="1275" w:type="dxa"/>
          </w:tcPr>
          <w:p w14:paraId="2291B1EC" w14:textId="0C7AA5F4"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4A63645B" w14:textId="583D3065"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20DDBAF" w14:textId="3E7679B8"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276,947</w:t>
            </w:r>
          </w:p>
        </w:tc>
      </w:tr>
      <w:tr w:rsidR="006241D8" w:rsidRPr="007C747A" w14:paraId="52588AB1" w14:textId="77777777" w:rsidTr="009D1CF5">
        <w:trPr>
          <w:cantSplit/>
          <w:trHeight w:val="517"/>
          <w:jc w:val="center"/>
        </w:trPr>
        <w:tc>
          <w:tcPr>
            <w:cnfStyle w:val="001000000000" w:firstRow="0" w:lastRow="0" w:firstColumn="1" w:lastColumn="0" w:oddVBand="0" w:evenVBand="0" w:oddHBand="0" w:evenHBand="0" w:firstRowFirstColumn="0" w:firstRowLastColumn="0" w:lastRowFirstColumn="0" w:lastRowLastColumn="0"/>
            <w:tcW w:w="1616" w:type="dxa"/>
          </w:tcPr>
          <w:p w14:paraId="671CEFB7" w14:textId="62285851"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Ms Estelle Pearson</w:t>
            </w:r>
          </w:p>
        </w:tc>
        <w:tc>
          <w:tcPr>
            <w:tcW w:w="1727" w:type="dxa"/>
          </w:tcPr>
          <w:p w14:paraId="5C251D4A" w14:textId="40D0F869"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16E1899C" w14:textId="2BD6BDF2"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92,575</w:t>
            </w:r>
          </w:p>
        </w:tc>
        <w:tc>
          <w:tcPr>
            <w:tcW w:w="1225" w:type="dxa"/>
          </w:tcPr>
          <w:p w14:paraId="6568E476" w14:textId="6841B2AC"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041164F4" w14:textId="3B704E72"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2A5A8F34" w14:textId="5E7E3CB6"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14,257</w:t>
            </w:r>
          </w:p>
        </w:tc>
        <w:tc>
          <w:tcPr>
            <w:tcW w:w="1418" w:type="dxa"/>
          </w:tcPr>
          <w:p w14:paraId="6F3477F5" w14:textId="2BEBEF08"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4AEAE970" w14:textId="153DC260"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310A5C35" w14:textId="7D56A6C0"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75803405" w14:textId="004817B4"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106,832</w:t>
            </w:r>
          </w:p>
        </w:tc>
      </w:tr>
      <w:tr w:rsidR="00A46230" w:rsidRPr="007C747A" w14:paraId="0E91B8A5"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29CD9147" w14:textId="245AF713" w:rsidR="00BD086F" w:rsidRPr="009D1CF5" w:rsidRDefault="006241D8" w:rsidP="00A46230">
            <w:pPr>
              <w:widowControl w:val="0"/>
              <w:autoSpaceDE w:val="0"/>
              <w:autoSpaceDN w:val="0"/>
              <w:spacing w:after="0" w:line="240" w:lineRule="auto"/>
              <w:rPr>
                <w:rFonts w:cs="Arial"/>
                <w:b w:val="0"/>
                <w:bCs w:val="0"/>
                <w:sz w:val="22"/>
                <w:szCs w:val="22"/>
                <w:lang w:val="en-AU" w:eastAsia="en-US"/>
              </w:rPr>
            </w:pPr>
            <w:r w:rsidRPr="007C747A">
              <w:rPr>
                <w:rFonts w:cs="Arial"/>
                <w:sz w:val="22"/>
                <w:szCs w:val="22"/>
                <w:lang w:val="en-AU" w:eastAsia="en-US"/>
              </w:rPr>
              <w:t>Mr Samuel Porter</w:t>
            </w:r>
          </w:p>
        </w:tc>
        <w:tc>
          <w:tcPr>
            <w:tcW w:w="1727" w:type="dxa"/>
          </w:tcPr>
          <w:p w14:paraId="4E4B16A0" w14:textId="75F6E9DB" w:rsidR="006241D8" w:rsidRPr="007C747A" w:rsidRDefault="006241D8"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Operating Officer</w:t>
            </w:r>
          </w:p>
        </w:tc>
        <w:tc>
          <w:tcPr>
            <w:tcW w:w="1528" w:type="dxa"/>
          </w:tcPr>
          <w:p w14:paraId="2B2F2B77" w14:textId="77777777" w:rsidR="000C4AB3" w:rsidRPr="007C747A" w:rsidRDefault="000C4AB3"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129,735</w:t>
            </w:r>
          </w:p>
          <w:p w14:paraId="42C02F43" w14:textId="77777777"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p>
        </w:tc>
        <w:tc>
          <w:tcPr>
            <w:tcW w:w="1225" w:type="dxa"/>
          </w:tcPr>
          <w:p w14:paraId="61E1FAA0" w14:textId="7201D176"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3558AB6F" w14:textId="4ACD9686"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9,977</w:t>
            </w:r>
          </w:p>
        </w:tc>
        <w:tc>
          <w:tcPr>
            <w:tcW w:w="1984" w:type="dxa"/>
          </w:tcPr>
          <w:p w14:paraId="25B59CF7" w14:textId="4C1479DB"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13,651</w:t>
            </w:r>
          </w:p>
        </w:tc>
        <w:tc>
          <w:tcPr>
            <w:tcW w:w="1418" w:type="dxa"/>
          </w:tcPr>
          <w:p w14:paraId="435368D3" w14:textId="4893A4F8"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3,334</w:t>
            </w:r>
          </w:p>
        </w:tc>
        <w:tc>
          <w:tcPr>
            <w:tcW w:w="1275" w:type="dxa"/>
          </w:tcPr>
          <w:p w14:paraId="71E95039" w14:textId="632C92D6"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1EB7984A" w14:textId="400A064A"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045A12D9" w14:textId="5BA029F6"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156,697</w:t>
            </w:r>
          </w:p>
        </w:tc>
      </w:tr>
      <w:tr w:rsidR="006241D8" w:rsidRPr="007C747A" w14:paraId="1C8D1437"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0765530F" w14:textId="28785889" w:rsidR="006241D8" w:rsidRPr="007C747A" w:rsidRDefault="00FF2E74"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 xml:space="preserve">Dr </w:t>
            </w:r>
            <w:r w:rsidR="006241D8" w:rsidRPr="007C747A">
              <w:rPr>
                <w:rFonts w:cs="Arial"/>
                <w:sz w:val="22"/>
                <w:szCs w:val="22"/>
                <w:lang w:val="en-AU" w:eastAsia="en-US"/>
              </w:rPr>
              <w:t>Peta Seaton</w:t>
            </w:r>
          </w:p>
        </w:tc>
        <w:tc>
          <w:tcPr>
            <w:tcW w:w="1727" w:type="dxa"/>
          </w:tcPr>
          <w:p w14:paraId="55301401" w14:textId="23844CBB"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307C54FD" w14:textId="25805BA1"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58,936</w:t>
            </w:r>
          </w:p>
        </w:tc>
        <w:tc>
          <w:tcPr>
            <w:tcW w:w="1225" w:type="dxa"/>
          </w:tcPr>
          <w:p w14:paraId="2CD53398" w14:textId="48480415"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0A292537" w14:textId="0DD1763E"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67855E09" w14:textId="37B1EF7B"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9,076</w:t>
            </w:r>
          </w:p>
        </w:tc>
        <w:tc>
          <w:tcPr>
            <w:tcW w:w="1418" w:type="dxa"/>
          </w:tcPr>
          <w:p w14:paraId="02755BCF" w14:textId="403D1C0C"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6B4FD430" w14:textId="0369D473"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708C13EC" w14:textId="0E07FC53"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48E53773" w14:textId="6367A6A3"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68,012</w:t>
            </w:r>
          </w:p>
        </w:tc>
      </w:tr>
      <w:tr w:rsidR="00A46230" w:rsidRPr="007C747A" w14:paraId="4AD4395D"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6B4D48DC" w14:textId="1A7094AF"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 xml:space="preserve">Ms Lisa Studdert </w:t>
            </w:r>
          </w:p>
        </w:tc>
        <w:tc>
          <w:tcPr>
            <w:tcW w:w="1727" w:type="dxa"/>
          </w:tcPr>
          <w:p w14:paraId="0EF119AF" w14:textId="66727761" w:rsidR="006241D8" w:rsidRPr="007C747A" w:rsidRDefault="005907F9"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Deputy CEO</w:t>
            </w:r>
            <w:r w:rsidR="006241D8" w:rsidRPr="007C747A">
              <w:rPr>
                <w:rFonts w:cs="Arial"/>
                <w:sz w:val="22"/>
                <w:szCs w:val="22"/>
                <w:lang w:val="en-AU" w:eastAsia="en-US"/>
              </w:rPr>
              <w:t xml:space="preserve"> Markets, Government &amp;</w:t>
            </w:r>
            <w:r w:rsidR="00AA7925" w:rsidRPr="007C747A">
              <w:rPr>
                <w:rFonts w:cs="Arial"/>
                <w:sz w:val="22"/>
                <w:szCs w:val="22"/>
                <w:lang w:val="en-AU" w:eastAsia="en-US"/>
              </w:rPr>
              <w:t xml:space="preserve"> </w:t>
            </w:r>
            <w:r w:rsidR="006241D8" w:rsidRPr="007C747A">
              <w:rPr>
                <w:rFonts w:cs="Arial"/>
                <w:sz w:val="22"/>
                <w:szCs w:val="22"/>
                <w:lang w:val="en-AU" w:eastAsia="en-US"/>
              </w:rPr>
              <w:t>Engagement</w:t>
            </w:r>
          </w:p>
        </w:tc>
        <w:tc>
          <w:tcPr>
            <w:tcW w:w="1528" w:type="dxa"/>
          </w:tcPr>
          <w:p w14:paraId="5273087E" w14:textId="0A56D96B"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220,945</w:t>
            </w:r>
          </w:p>
        </w:tc>
        <w:tc>
          <w:tcPr>
            <w:tcW w:w="1225" w:type="dxa"/>
          </w:tcPr>
          <w:p w14:paraId="2219B346" w14:textId="40DF83DC"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4EFF54AD" w14:textId="59D26C48"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22,278</w:t>
            </w:r>
          </w:p>
        </w:tc>
        <w:tc>
          <w:tcPr>
            <w:tcW w:w="1984" w:type="dxa"/>
          </w:tcPr>
          <w:p w14:paraId="34605F4B" w14:textId="7890EC6E"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44,622</w:t>
            </w:r>
          </w:p>
        </w:tc>
        <w:tc>
          <w:tcPr>
            <w:tcW w:w="1418" w:type="dxa"/>
          </w:tcPr>
          <w:p w14:paraId="7034900B" w14:textId="6ACB35D7"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7,176</w:t>
            </w:r>
          </w:p>
        </w:tc>
        <w:tc>
          <w:tcPr>
            <w:tcW w:w="1275" w:type="dxa"/>
          </w:tcPr>
          <w:p w14:paraId="2B86E0FF" w14:textId="10DD58F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707258CC" w14:textId="16A9D55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6DC572DB" w14:textId="0C694E02"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295,021</w:t>
            </w:r>
          </w:p>
        </w:tc>
      </w:tr>
      <w:tr w:rsidR="006241D8" w:rsidRPr="007C747A" w14:paraId="6058314B" w14:textId="77777777" w:rsidTr="009D1CF5">
        <w:trPr>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4AA97DBA" w14:textId="3EE26470"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 xml:space="preserve">Ms Leah Van Poppel </w:t>
            </w:r>
          </w:p>
        </w:tc>
        <w:tc>
          <w:tcPr>
            <w:tcW w:w="1727" w:type="dxa"/>
          </w:tcPr>
          <w:p w14:paraId="63491359" w14:textId="0E3401FE" w:rsidR="006241D8" w:rsidRPr="007C747A" w:rsidRDefault="006241D8" w:rsidP="00A46230">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Board Member</w:t>
            </w:r>
          </w:p>
        </w:tc>
        <w:tc>
          <w:tcPr>
            <w:tcW w:w="1528" w:type="dxa"/>
          </w:tcPr>
          <w:p w14:paraId="057821D1" w14:textId="7C3D36ED"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173,330</w:t>
            </w:r>
          </w:p>
        </w:tc>
        <w:tc>
          <w:tcPr>
            <w:tcW w:w="1225" w:type="dxa"/>
          </w:tcPr>
          <w:p w14:paraId="6CB5F24A" w14:textId="53711124"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B1CF6E6" w14:textId="33AB7369"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984" w:type="dxa"/>
          </w:tcPr>
          <w:p w14:paraId="41388C54" w14:textId="53775B1C"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26,184</w:t>
            </w:r>
          </w:p>
        </w:tc>
        <w:tc>
          <w:tcPr>
            <w:tcW w:w="1418" w:type="dxa"/>
          </w:tcPr>
          <w:p w14:paraId="316C43E4" w14:textId="24EF2474"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275" w:type="dxa"/>
          </w:tcPr>
          <w:p w14:paraId="21753F59" w14:textId="05564378"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2A0BF1AE" w14:textId="59671774" w:rsidR="006241D8" w:rsidRPr="007C747A" w:rsidRDefault="006241D8" w:rsidP="00A46230">
            <w:pPr>
              <w:widowControl w:val="0"/>
              <w:autoSpaceDE w:val="0"/>
              <w:autoSpaceDN w:val="0"/>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27436A77" w14:textId="62FB9435"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199,515</w:t>
            </w:r>
          </w:p>
        </w:tc>
      </w:tr>
      <w:tr w:rsidR="00A46230" w:rsidRPr="007C747A" w14:paraId="4C163528" w14:textId="77777777" w:rsidTr="009D1CF5">
        <w:trPr>
          <w:cnfStyle w:val="000000100000" w:firstRow="0" w:lastRow="0" w:firstColumn="0" w:lastColumn="0" w:oddVBand="0" w:evenVBand="0" w:oddHBand="1"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3267F0D3" w14:textId="687191A3" w:rsidR="006241D8" w:rsidRPr="007C747A" w:rsidRDefault="006241D8" w:rsidP="00A46230">
            <w:pPr>
              <w:widowControl w:val="0"/>
              <w:autoSpaceDE w:val="0"/>
              <w:autoSpaceDN w:val="0"/>
              <w:spacing w:after="0" w:line="240" w:lineRule="auto"/>
              <w:rPr>
                <w:rFonts w:cs="Arial"/>
                <w:sz w:val="22"/>
                <w:szCs w:val="22"/>
                <w:lang w:val="en-AU" w:eastAsia="en-US"/>
              </w:rPr>
            </w:pPr>
            <w:r w:rsidRPr="007C747A">
              <w:rPr>
                <w:rFonts w:cs="Arial"/>
                <w:sz w:val="22"/>
                <w:szCs w:val="22"/>
                <w:lang w:val="en-AU" w:eastAsia="en-US"/>
              </w:rPr>
              <w:t xml:space="preserve">Ms Melissa Woodburn </w:t>
            </w:r>
          </w:p>
        </w:tc>
        <w:tc>
          <w:tcPr>
            <w:tcW w:w="1727" w:type="dxa"/>
          </w:tcPr>
          <w:p w14:paraId="588E9BAD" w14:textId="67ED18FE" w:rsidR="006241D8" w:rsidRPr="007C747A" w:rsidRDefault="006241D8" w:rsidP="00A46230">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Chief Risk officer</w:t>
            </w:r>
          </w:p>
        </w:tc>
        <w:tc>
          <w:tcPr>
            <w:tcW w:w="1528" w:type="dxa"/>
          </w:tcPr>
          <w:p w14:paraId="71F7318F" w14:textId="0DE4AF01"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117,376</w:t>
            </w:r>
          </w:p>
        </w:tc>
        <w:tc>
          <w:tcPr>
            <w:tcW w:w="1225" w:type="dxa"/>
          </w:tcPr>
          <w:p w14:paraId="33352280" w14:textId="191A6DF7"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701" w:type="dxa"/>
          </w:tcPr>
          <w:p w14:paraId="1879638A" w14:textId="25F963D7"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23,077</w:t>
            </w:r>
          </w:p>
        </w:tc>
        <w:tc>
          <w:tcPr>
            <w:tcW w:w="1984" w:type="dxa"/>
          </w:tcPr>
          <w:p w14:paraId="03EC7336" w14:textId="6B77F10A"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20,187</w:t>
            </w:r>
          </w:p>
        </w:tc>
        <w:tc>
          <w:tcPr>
            <w:tcW w:w="1418" w:type="dxa"/>
          </w:tcPr>
          <w:p w14:paraId="210C9C6F" w14:textId="736706D7"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3,369</w:t>
            </w:r>
          </w:p>
        </w:tc>
        <w:tc>
          <w:tcPr>
            <w:tcW w:w="1275" w:type="dxa"/>
          </w:tcPr>
          <w:p w14:paraId="7BDA228A" w14:textId="527E49D6"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tcW w:w="1560" w:type="dxa"/>
          </w:tcPr>
          <w:p w14:paraId="7A6C0EA0" w14:textId="51E36797" w:rsidR="006241D8" w:rsidRPr="007C747A" w:rsidRDefault="006241D8" w:rsidP="00A46230">
            <w:pPr>
              <w:widowControl w:val="0"/>
              <w:autoSpaceDE w:val="0"/>
              <w:autoSpaceDN w:val="0"/>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sz w:val="22"/>
                <w:szCs w:val="22"/>
                <w:lang w:val="en-AU" w:eastAsia="en-US"/>
              </w:rPr>
            </w:pPr>
            <w:r w:rsidRPr="007C747A">
              <w:rPr>
                <w:rFonts w:cs="Arial"/>
                <w:sz w:val="22"/>
                <w:szCs w:val="22"/>
                <w:lang w:val="en-AU" w:eastAsia="en-US"/>
              </w:rPr>
              <w:t>0</w:t>
            </w:r>
          </w:p>
        </w:tc>
        <w:tc>
          <w:tcPr>
            <w:cnfStyle w:val="000100000000" w:firstRow="0" w:lastRow="0" w:firstColumn="0" w:lastColumn="1" w:oddVBand="0" w:evenVBand="0" w:oddHBand="0" w:evenHBand="0" w:firstRowFirstColumn="0" w:firstRowLastColumn="0" w:lastRowFirstColumn="0" w:lastRowLastColumn="0"/>
            <w:tcW w:w="1701" w:type="dxa"/>
          </w:tcPr>
          <w:p w14:paraId="1E7A1221" w14:textId="1C09E553" w:rsidR="006241D8" w:rsidRPr="007C747A" w:rsidRDefault="006241D8" w:rsidP="00A46230">
            <w:pPr>
              <w:widowControl w:val="0"/>
              <w:autoSpaceDE w:val="0"/>
              <w:autoSpaceDN w:val="0"/>
              <w:spacing w:after="0" w:line="240" w:lineRule="auto"/>
              <w:jc w:val="right"/>
              <w:rPr>
                <w:rFonts w:cs="Arial"/>
                <w:sz w:val="22"/>
                <w:szCs w:val="22"/>
                <w:lang w:val="en-AU" w:eastAsia="en-US"/>
              </w:rPr>
            </w:pPr>
            <w:r w:rsidRPr="007C747A">
              <w:rPr>
                <w:rFonts w:cs="Arial"/>
                <w:sz w:val="22"/>
                <w:szCs w:val="22"/>
                <w:lang w:val="en-AU" w:eastAsia="en-US"/>
              </w:rPr>
              <w:t>164,010</w:t>
            </w:r>
          </w:p>
        </w:tc>
      </w:tr>
      <w:tr w:rsidR="006241D8" w:rsidRPr="007C747A" w14:paraId="53CA9B95" w14:textId="77777777" w:rsidTr="009D1CF5">
        <w:trPr>
          <w:cnfStyle w:val="010000000000" w:firstRow="0" w:lastRow="1" w:firstColumn="0" w:lastColumn="0" w:oddVBand="0" w:evenVBand="0" w:oddHBand="0" w:evenHBand="0" w:firstRowFirstColumn="0" w:firstRowLastColumn="0" w:lastRowFirstColumn="0" w:lastRowLastColumn="0"/>
          <w:cantSplit/>
          <w:trHeight w:val="289"/>
          <w:jc w:val="center"/>
        </w:trPr>
        <w:tc>
          <w:tcPr>
            <w:cnfStyle w:val="001000000000" w:firstRow="0" w:lastRow="0" w:firstColumn="1" w:lastColumn="0" w:oddVBand="0" w:evenVBand="0" w:oddHBand="0" w:evenHBand="0" w:firstRowFirstColumn="0" w:firstRowLastColumn="0" w:lastRowFirstColumn="0" w:lastRowLastColumn="0"/>
            <w:tcW w:w="1616" w:type="dxa"/>
          </w:tcPr>
          <w:p w14:paraId="456C8C82" w14:textId="77777777" w:rsidR="006241D8" w:rsidRPr="007C747A" w:rsidRDefault="006241D8" w:rsidP="00A46230">
            <w:pPr>
              <w:widowControl w:val="0"/>
              <w:autoSpaceDE w:val="0"/>
              <w:autoSpaceDN w:val="0"/>
              <w:spacing w:after="0" w:line="240" w:lineRule="auto"/>
              <w:rPr>
                <w:rFonts w:cs="Arial"/>
                <w:sz w:val="22"/>
                <w:szCs w:val="22"/>
                <w:lang w:val="en-AU" w:eastAsia="en-US"/>
              </w:rPr>
            </w:pPr>
          </w:p>
        </w:tc>
        <w:tc>
          <w:tcPr>
            <w:tcW w:w="1727" w:type="dxa"/>
          </w:tcPr>
          <w:p w14:paraId="70573B67" w14:textId="77777777" w:rsidR="006241D8" w:rsidRPr="007C747A" w:rsidRDefault="006241D8" w:rsidP="00A46230">
            <w:pPr>
              <w:widowControl w:val="0"/>
              <w:autoSpaceDE w:val="0"/>
              <w:autoSpaceDN w:val="0"/>
              <w:spacing w:after="0" w:line="240" w:lineRule="auto"/>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528" w:type="dxa"/>
          </w:tcPr>
          <w:p w14:paraId="5D8ED900"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225" w:type="dxa"/>
          </w:tcPr>
          <w:p w14:paraId="4C27B522"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701" w:type="dxa"/>
          </w:tcPr>
          <w:p w14:paraId="2A5CB4EA"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984" w:type="dxa"/>
          </w:tcPr>
          <w:p w14:paraId="41954D80"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418" w:type="dxa"/>
          </w:tcPr>
          <w:p w14:paraId="17CAEED6"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275" w:type="dxa"/>
          </w:tcPr>
          <w:p w14:paraId="5F393838"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tcW w:w="1560" w:type="dxa"/>
          </w:tcPr>
          <w:p w14:paraId="312EAA31" w14:textId="77777777" w:rsidR="006241D8" w:rsidRPr="007C747A" w:rsidRDefault="006241D8" w:rsidP="00A46230">
            <w:pPr>
              <w:widowControl w:val="0"/>
              <w:autoSpaceDE w:val="0"/>
              <w:autoSpaceDN w:val="0"/>
              <w:spacing w:after="0" w:line="240" w:lineRule="auto"/>
              <w:jc w:val="right"/>
              <w:cnfStyle w:val="010000000000" w:firstRow="0" w:lastRow="1" w:firstColumn="0" w:lastColumn="0" w:oddVBand="0" w:evenVBand="0" w:oddHBand="0" w:evenHBand="0" w:firstRowFirstColumn="0" w:firstRowLastColumn="0" w:lastRowFirstColumn="0" w:lastRowLastColumn="0"/>
              <w:rPr>
                <w:rFonts w:cs="Arial"/>
                <w:sz w:val="22"/>
                <w:szCs w:val="22"/>
                <w:lang w:val="en-AU" w:eastAsia="en-US"/>
              </w:rPr>
            </w:pPr>
          </w:p>
        </w:tc>
        <w:tc>
          <w:tcPr>
            <w:cnfStyle w:val="000100000000" w:firstRow="0" w:lastRow="0" w:firstColumn="0" w:lastColumn="1" w:oddVBand="0" w:evenVBand="0" w:oddHBand="0" w:evenHBand="0" w:firstRowFirstColumn="0" w:firstRowLastColumn="0" w:lastRowFirstColumn="0" w:lastRowLastColumn="0"/>
            <w:tcW w:w="1701" w:type="dxa"/>
          </w:tcPr>
          <w:p w14:paraId="6643D837" w14:textId="77777777" w:rsidR="006241D8" w:rsidRPr="007C747A" w:rsidRDefault="006241D8" w:rsidP="00A46230">
            <w:pPr>
              <w:widowControl w:val="0"/>
              <w:autoSpaceDE w:val="0"/>
              <w:autoSpaceDN w:val="0"/>
              <w:spacing w:after="0" w:line="240" w:lineRule="auto"/>
              <w:jc w:val="right"/>
              <w:rPr>
                <w:rFonts w:cs="Arial"/>
                <w:b w:val="0"/>
                <w:bCs w:val="0"/>
                <w:sz w:val="22"/>
                <w:szCs w:val="22"/>
                <w:lang w:val="en-AU" w:eastAsia="en-US"/>
              </w:rPr>
            </w:pPr>
          </w:p>
        </w:tc>
      </w:tr>
    </w:tbl>
    <w:p w14:paraId="3887E9DB" w14:textId="77777777" w:rsidR="00265A1E" w:rsidRPr="007C747A" w:rsidRDefault="00265A1E">
      <w:pPr>
        <w:spacing w:after="0" w:line="240" w:lineRule="auto"/>
        <w:rPr>
          <w:rFonts w:eastAsiaTheme="minorEastAsia" w:cs="Arial"/>
          <w:sz w:val="22"/>
          <w:szCs w:val="22"/>
          <w:lang w:val="en-AU"/>
        </w:rPr>
      </w:pPr>
      <w:r w:rsidRPr="007C747A">
        <w:rPr>
          <w:lang w:val="en-AU"/>
        </w:rPr>
        <w:br w:type="page"/>
      </w:r>
    </w:p>
    <w:p w14:paraId="5C12FF5E" w14:textId="505ABFF2" w:rsidR="007E30D3" w:rsidRPr="007C747A" w:rsidRDefault="00C2217D" w:rsidP="008E637C">
      <w:pPr>
        <w:pStyle w:val="FGCHEADING3"/>
      </w:pPr>
      <w:bookmarkStart w:id="805" w:name="_Toc142039666"/>
      <w:bookmarkStart w:id="806" w:name="_Toc142047774"/>
      <w:bookmarkStart w:id="807" w:name="_Toc142478427"/>
      <w:bookmarkStart w:id="808" w:name="_Toc142573753"/>
      <w:r w:rsidRPr="007C747A">
        <w:t xml:space="preserve">  </w:t>
      </w:r>
      <w:bookmarkStart w:id="809" w:name="_Toc146289482"/>
      <w:r w:rsidR="007E30D3" w:rsidRPr="007C747A">
        <w:t xml:space="preserve">Senior </w:t>
      </w:r>
      <w:r w:rsidR="00AA7925" w:rsidRPr="007C747A">
        <w:t>e</w:t>
      </w:r>
      <w:r w:rsidR="007E30D3" w:rsidRPr="007C747A">
        <w:t>xecutives</w:t>
      </w:r>
      <w:bookmarkEnd w:id="805"/>
      <w:bookmarkEnd w:id="806"/>
      <w:bookmarkEnd w:id="807"/>
      <w:bookmarkEnd w:id="808"/>
      <w:bookmarkEnd w:id="809"/>
    </w:p>
    <w:p w14:paraId="06FAF20D" w14:textId="77777777" w:rsidR="0029741A" w:rsidRPr="007C747A" w:rsidRDefault="0029741A" w:rsidP="00806BD0">
      <w:pPr>
        <w:pStyle w:val="FGCNORMAL"/>
        <w:spacing w:before="0" w:line="240" w:lineRule="auto"/>
        <w:ind w:left="0"/>
      </w:pPr>
      <w:r w:rsidRPr="007C747A">
        <w:t>The NDIA’s senior executives comprise:</w:t>
      </w:r>
    </w:p>
    <w:p w14:paraId="64248209" w14:textId="77777777" w:rsidR="0029741A" w:rsidRPr="007C747A" w:rsidRDefault="0029741A" w:rsidP="001E2D18">
      <w:pPr>
        <w:pStyle w:val="FGCNORMAL"/>
        <w:numPr>
          <w:ilvl w:val="0"/>
          <w:numId w:val="40"/>
        </w:numPr>
        <w:spacing w:before="0" w:line="240" w:lineRule="auto"/>
      </w:pPr>
      <w:r w:rsidRPr="007C747A">
        <w:t xml:space="preserve">any official classified as a Senior Executive Band 1, Band 2 or Band 3 under the </w:t>
      </w:r>
      <w:r w:rsidRPr="007C747A">
        <w:rPr>
          <w:iCs/>
        </w:rPr>
        <w:t>Public Service Classification Rules 2000</w:t>
      </w:r>
      <w:r w:rsidRPr="007C747A">
        <w:t xml:space="preserve"> </w:t>
      </w:r>
    </w:p>
    <w:p w14:paraId="679D7EA4" w14:textId="77777777" w:rsidR="0029741A" w:rsidRPr="007C747A" w:rsidRDefault="0029741A" w:rsidP="001E2D18">
      <w:pPr>
        <w:pStyle w:val="FGCNORMAL"/>
        <w:numPr>
          <w:ilvl w:val="0"/>
          <w:numId w:val="40"/>
        </w:numPr>
        <w:spacing w:before="0" w:line="240" w:lineRule="auto"/>
      </w:pPr>
      <w:r w:rsidRPr="007C747A">
        <w:t>any official with a position equivalent to a Senior Executive Band 1, Band 2 or Band 3, including contractors and consultants prescribed as officials.</w:t>
      </w:r>
    </w:p>
    <w:p w14:paraId="6A02649C" w14:textId="77777777" w:rsidR="00FD62EB" w:rsidRPr="007C747A" w:rsidRDefault="0029741A" w:rsidP="00806BD0">
      <w:pPr>
        <w:pStyle w:val="FGCNORMAL"/>
        <w:spacing w:before="0" w:line="240" w:lineRule="auto"/>
        <w:ind w:left="0"/>
        <w:rPr>
          <w:lang w:eastAsia="en-AU"/>
        </w:rPr>
      </w:pPr>
      <w:r w:rsidRPr="007C747A">
        <w:rPr>
          <w:lang w:eastAsia="en-AU"/>
        </w:rPr>
        <w:t>The average remuneration received or due to be received for each of the NDIA’s senior executives who are not key management personnel for the year ended 30 June 20</w:t>
      </w:r>
      <w:r w:rsidR="00F90AB9" w:rsidRPr="007C747A">
        <w:rPr>
          <w:lang w:eastAsia="en-AU"/>
        </w:rPr>
        <w:t>23</w:t>
      </w:r>
      <w:r w:rsidRPr="007C747A">
        <w:rPr>
          <w:lang w:eastAsia="en-AU"/>
        </w:rPr>
        <w:t xml:space="preserve"> is shown in Table </w:t>
      </w:r>
      <w:r w:rsidR="0069015F" w:rsidRPr="007C747A">
        <w:rPr>
          <w:lang w:eastAsia="en-AU"/>
        </w:rPr>
        <w:t>6</w:t>
      </w:r>
      <w:r w:rsidRPr="007C747A">
        <w:rPr>
          <w:lang w:eastAsia="en-AU"/>
        </w:rPr>
        <w:t>.6.3A.</w:t>
      </w:r>
    </w:p>
    <w:p w14:paraId="20103E95" w14:textId="71D7603A" w:rsidR="0029741A" w:rsidRPr="007C747A" w:rsidRDefault="00FD62EB" w:rsidP="00B001F8">
      <w:pPr>
        <w:pStyle w:val="Heading43"/>
        <w:ind w:left="0"/>
        <w:outlineLvl w:val="3"/>
      </w:pPr>
      <w:r w:rsidRPr="007C747A">
        <w:t xml:space="preserve">Table 6.6.3A: Senior </w:t>
      </w:r>
      <w:r w:rsidR="00AA7925" w:rsidRPr="007C747A">
        <w:t>e</w:t>
      </w:r>
      <w:r w:rsidRPr="007C747A">
        <w:t>xecutive remuneration</w:t>
      </w:r>
      <w:r w:rsidR="0029741A" w:rsidRPr="007C747A">
        <w:t xml:space="preserve"> </w:t>
      </w:r>
    </w:p>
    <w:tbl>
      <w:tblPr>
        <w:tblStyle w:val="GridTable2-Accent313"/>
        <w:tblpPr w:leftFromText="180" w:rightFromText="180" w:vertAnchor="text" w:tblpXSpec="center" w:tblpY="1"/>
        <w:tblW w:w="15734" w:type="dxa"/>
        <w:tblLook w:val="04A0" w:firstRow="1" w:lastRow="0" w:firstColumn="1" w:lastColumn="0" w:noHBand="0" w:noVBand="1"/>
      </w:tblPr>
      <w:tblGrid>
        <w:gridCol w:w="1660"/>
        <w:gridCol w:w="1667"/>
        <w:gridCol w:w="1863"/>
        <w:gridCol w:w="1297"/>
        <w:gridCol w:w="1632"/>
        <w:gridCol w:w="1956"/>
        <w:gridCol w:w="1501"/>
        <w:gridCol w:w="1210"/>
        <w:gridCol w:w="1405"/>
        <w:gridCol w:w="1543"/>
      </w:tblGrid>
      <w:tr w:rsidR="00332ADA" w:rsidRPr="007C747A" w14:paraId="6EED0362" w14:textId="77777777" w:rsidTr="003B73DE">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1606" w:type="dxa"/>
            <w:hideMark/>
          </w:tcPr>
          <w:p w14:paraId="0953C16B" w14:textId="31EB1523" w:rsidR="00ED5A66" w:rsidRPr="007C747A" w:rsidRDefault="00332ADA" w:rsidP="008F5E59">
            <w:pPr>
              <w:spacing w:before="120" w:after="120" w:line="240" w:lineRule="auto"/>
              <w:rPr>
                <w:rFonts w:eastAsia="DengXian" w:cs="Arial"/>
                <w:sz w:val="20"/>
                <w:szCs w:val="20"/>
                <w:lang w:val="en-AU"/>
              </w:rPr>
            </w:pPr>
            <w:r w:rsidRPr="007C747A">
              <w:rPr>
                <w:rFonts w:eastAsia="DengXian" w:cs="Arial"/>
                <w:sz w:val="20"/>
                <w:szCs w:val="20"/>
                <w:lang w:val="en-AU"/>
              </w:rPr>
              <w:t>Senior executive remuneration</w:t>
            </w:r>
            <w:r w:rsidR="00AA7925" w:rsidRPr="007C747A">
              <w:rPr>
                <w:rFonts w:eastAsia="DengXian" w:cs="Arial"/>
                <w:sz w:val="20"/>
                <w:szCs w:val="20"/>
                <w:lang w:val="en-AU"/>
              </w:rPr>
              <w:t xml:space="preserve"> – t</w:t>
            </w:r>
            <w:r w:rsidR="00ED5A66" w:rsidRPr="007C747A">
              <w:rPr>
                <w:rFonts w:eastAsia="DengXian" w:cs="Arial"/>
                <w:sz w:val="20"/>
                <w:szCs w:val="20"/>
                <w:lang w:val="en-AU"/>
              </w:rPr>
              <w:t>otal remuneration bands</w:t>
            </w:r>
          </w:p>
        </w:tc>
        <w:tc>
          <w:tcPr>
            <w:tcW w:w="1615" w:type="dxa"/>
            <w:hideMark/>
          </w:tcPr>
          <w:p w14:paraId="6D2FE303" w14:textId="166A2297"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Senior executive remuneration</w:t>
            </w:r>
            <w:r w:rsidR="005907F9" w:rsidRPr="007C747A">
              <w:rPr>
                <w:rFonts w:eastAsia="DengXian" w:cs="Arial"/>
                <w:sz w:val="20"/>
                <w:szCs w:val="20"/>
                <w:lang w:val="en-AU"/>
              </w:rPr>
              <w:t xml:space="preserve"> – </w:t>
            </w:r>
            <w:r w:rsidR="00AA7925" w:rsidRPr="007C747A">
              <w:rPr>
                <w:rFonts w:eastAsia="DengXian" w:cs="Arial"/>
                <w:sz w:val="20"/>
                <w:szCs w:val="20"/>
                <w:lang w:val="en-AU"/>
              </w:rPr>
              <w:t>n</w:t>
            </w:r>
            <w:r w:rsidR="00ED5A66" w:rsidRPr="007C747A">
              <w:rPr>
                <w:rFonts w:eastAsia="DengXian" w:cs="Arial"/>
                <w:sz w:val="20"/>
                <w:szCs w:val="20"/>
                <w:lang w:val="en-AU"/>
              </w:rPr>
              <w:t>umber of senior executives</w:t>
            </w:r>
          </w:p>
        </w:tc>
        <w:tc>
          <w:tcPr>
            <w:tcW w:w="1805" w:type="dxa"/>
            <w:hideMark/>
          </w:tcPr>
          <w:p w14:paraId="6124CC52" w14:textId="07ECC385"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Short</w:t>
            </w:r>
            <w:r w:rsidRPr="007C747A">
              <w:rPr>
                <w:rFonts w:eastAsia="DengXian" w:cs="Arial"/>
                <w:sz w:val="20"/>
                <w:szCs w:val="20"/>
                <w:lang w:val="en-AU"/>
              </w:rPr>
              <w:noBreakHyphen/>
              <w:t xml:space="preserve">term benefits </w:t>
            </w:r>
            <w:r w:rsidR="00AA7925" w:rsidRPr="007C747A">
              <w:rPr>
                <w:rFonts w:eastAsia="DengXian" w:cs="Arial"/>
                <w:sz w:val="20"/>
                <w:szCs w:val="20"/>
                <w:lang w:val="en-AU"/>
              </w:rPr>
              <w:t>–a</w:t>
            </w:r>
            <w:r w:rsidR="00ED5A66" w:rsidRPr="007C747A">
              <w:rPr>
                <w:rFonts w:eastAsia="DengXian" w:cs="Arial"/>
                <w:sz w:val="20"/>
                <w:szCs w:val="20"/>
                <w:lang w:val="en-AU"/>
              </w:rPr>
              <w:t>verage base salary</w:t>
            </w:r>
          </w:p>
        </w:tc>
        <w:tc>
          <w:tcPr>
            <w:tcW w:w="1256" w:type="dxa"/>
            <w:hideMark/>
          </w:tcPr>
          <w:p w14:paraId="5BBF44B9" w14:textId="3033CC32"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Short</w:t>
            </w:r>
            <w:r w:rsidR="00AA7925" w:rsidRPr="007C747A">
              <w:rPr>
                <w:rFonts w:eastAsia="DengXian" w:cs="Arial"/>
                <w:sz w:val="20"/>
                <w:szCs w:val="20"/>
                <w:lang w:val="en-AU"/>
              </w:rPr>
              <w:t>-</w:t>
            </w:r>
            <w:r w:rsidRPr="007C747A">
              <w:rPr>
                <w:rFonts w:eastAsia="DengXian" w:cs="Arial"/>
                <w:sz w:val="20"/>
                <w:szCs w:val="20"/>
                <w:lang w:val="en-AU"/>
              </w:rPr>
              <w:t>term benefits</w:t>
            </w:r>
            <w:r w:rsidR="005907F9" w:rsidRPr="007C747A">
              <w:rPr>
                <w:rFonts w:eastAsia="DengXian" w:cs="Arial"/>
                <w:sz w:val="20"/>
                <w:szCs w:val="20"/>
                <w:lang w:val="en-AU"/>
              </w:rPr>
              <w:t xml:space="preserve"> – </w:t>
            </w:r>
            <w:r w:rsidR="00AA7925" w:rsidRPr="007C747A">
              <w:rPr>
                <w:rFonts w:eastAsia="DengXian" w:cs="Arial"/>
                <w:sz w:val="20"/>
                <w:szCs w:val="20"/>
                <w:lang w:val="en-AU"/>
              </w:rPr>
              <w:t>a</w:t>
            </w:r>
            <w:r w:rsidR="00ED5A66" w:rsidRPr="007C747A">
              <w:rPr>
                <w:rFonts w:eastAsia="DengXian" w:cs="Arial"/>
                <w:sz w:val="20"/>
                <w:szCs w:val="20"/>
                <w:lang w:val="en-AU"/>
              </w:rPr>
              <w:t>verage bonuses</w:t>
            </w:r>
          </w:p>
        </w:tc>
        <w:tc>
          <w:tcPr>
            <w:tcW w:w="1581" w:type="dxa"/>
            <w:hideMark/>
          </w:tcPr>
          <w:p w14:paraId="53BC4C5D" w14:textId="3D10A6D8"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Short</w:t>
            </w:r>
            <w:r w:rsidRPr="007C747A">
              <w:rPr>
                <w:rFonts w:eastAsia="DengXian" w:cs="Arial"/>
                <w:sz w:val="20"/>
                <w:szCs w:val="20"/>
                <w:lang w:val="en-AU"/>
              </w:rPr>
              <w:noBreakHyphen/>
              <w:t xml:space="preserve">term benefits </w:t>
            </w:r>
            <w:r w:rsidR="00AA7925" w:rsidRPr="007C747A">
              <w:rPr>
                <w:rFonts w:eastAsia="DengXian" w:cs="Arial"/>
                <w:sz w:val="20"/>
                <w:szCs w:val="20"/>
                <w:lang w:val="en-AU"/>
              </w:rPr>
              <w:t>–a</w:t>
            </w:r>
            <w:r w:rsidR="00ED5A66" w:rsidRPr="007C747A">
              <w:rPr>
                <w:rFonts w:eastAsia="DengXian" w:cs="Arial"/>
                <w:sz w:val="20"/>
                <w:szCs w:val="20"/>
                <w:lang w:val="en-AU"/>
              </w:rPr>
              <w:t>verage other benefits and allowances</w:t>
            </w:r>
          </w:p>
        </w:tc>
        <w:tc>
          <w:tcPr>
            <w:tcW w:w="1895" w:type="dxa"/>
            <w:hideMark/>
          </w:tcPr>
          <w:p w14:paraId="79CA7FD9" w14:textId="43C5F360"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Post</w:t>
            </w:r>
            <w:r w:rsidRPr="007C747A">
              <w:rPr>
                <w:rFonts w:eastAsia="DengXian" w:cs="Arial"/>
                <w:sz w:val="20"/>
                <w:szCs w:val="20"/>
                <w:lang w:val="en-AU"/>
              </w:rPr>
              <w:noBreakHyphen/>
              <w:t>employment benefits</w:t>
            </w:r>
            <w:r w:rsidR="005907F9" w:rsidRPr="007C747A">
              <w:rPr>
                <w:rFonts w:eastAsia="DengXian" w:cs="Arial"/>
                <w:sz w:val="20"/>
                <w:szCs w:val="20"/>
                <w:lang w:val="en-AU"/>
              </w:rPr>
              <w:t xml:space="preserve"> – </w:t>
            </w:r>
            <w:r w:rsidR="00AA7925" w:rsidRPr="007C747A">
              <w:rPr>
                <w:rFonts w:eastAsia="DengXian" w:cs="Arial"/>
                <w:sz w:val="20"/>
                <w:szCs w:val="20"/>
                <w:lang w:val="en-AU"/>
              </w:rPr>
              <w:t>a</w:t>
            </w:r>
            <w:r w:rsidR="00ED5A66" w:rsidRPr="007C747A">
              <w:rPr>
                <w:rFonts w:eastAsia="DengXian" w:cs="Arial"/>
                <w:sz w:val="20"/>
                <w:szCs w:val="20"/>
                <w:lang w:val="en-AU"/>
              </w:rPr>
              <w:t>verage superannuation contributions</w:t>
            </w:r>
          </w:p>
        </w:tc>
        <w:tc>
          <w:tcPr>
            <w:tcW w:w="1454" w:type="dxa"/>
            <w:hideMark/>
          </w:tcPr>
          <w:p w14:paraId="68978F88" w14:textId="2934B938"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Other long</w:t>
            </w:r>
            <w:r w:rsidRPr="007C747A">
              <w:rPr>
                <w:rFonts w:eastAsia="DengXian" w:cs="Arial"/>
                <w:sz w:val="20"/>
                <w:szCs w:val="20"/>
                <w:lang w:val="en-AU"/>
              </w:rPr>
              <w:noBreakHyphen/>
              <w:t xml:space="preserve">term benefits </w:t>
            </w:r>
            <w:r w:rsidR="00AA7925" w:rsidRPr="007C747A">
              <w:rPr>
                <w:rFonts w:eastAsia="DengXian" w:cs="Arial"/>
                <w:sz w:val="20"/>
                <w:szCs w:val="20"/>
                <w:lang w:val="en-AU"/>
              </w:rPr>
              <w:t>–a</w:t>
            </w:r>
            <w:r w:rsidR="00ED5A66" w:rsidRPr="007C747A">
              <w:rPr>
                <w:rFonts w:eastAsia="DengXian" w:cs="Arial"/>
                <w:sz w:val="20"/>
                <w:szCs w:val="20"/>
                <w:lang w:val="en-AU"/>
              </w:rPr>
              <w:t xml:space="preserve">verage long service leave </w:t>
            </w:r>
          </w:p>
        </w:tc>
        <w:tc>
          <w:tcPr>
            <w:tcW w:w="1172" w:type="dxa"/>
            <w:hideMark/>
          </w:tcPr>
          <w:p w14:paraId="196A3D3C" w14:textId="2FCA2FCE"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Other long</w:t>
            </w:r>
            <w:r w:rsidRPr="007C747A">
              <w:rPr>
                <w:rFonts w:eastAsia="DengXian" w:cs="Arial"/>
                <w:sz w:val="20"/>
                <w:szCs w:val="20"/>
                <w:lang w:val="en-AU"/>
              </w:rPr>
              <w:noBreakHyphen/>
              <w:t>term benefits</w:t>
            </w:r>
            <w:r w:rsidR="005907F9" w:rsidRPr="007C747A">
              <w:rPr>
                <w:rFonts w:eastAsia="DengXian" w:cs="Arial"/>
                <w:sz w:val="20"/>
                <w:szCs w:val="20"/>
                <w:lang w:val="en-AU"/>
              </w:rPr>
              <w:t xml:space="preserve"> – </w:t>
            </w:r>
            <w:r w:rsidR="00AA7925" w:rsidRPr="007C747A">
              <w:rPr>
                <w:rFonts w:eastAsia="DengXian" w:cs="Arial"/>
                <w:sz w:val="20"/>
                <w:szCs w:val="20"/>
                <w:lang w:val="en-AU"/>
              </w:rPr>
              <w:t>a</w:t>
            </w:r>
            <w:r w:rsidR="00ED5A66" w:rsidRPr="007C747A">
              <w:rPr>
                <w:rFonts w:eastAsia="DengXian" w:cs="Arial"/>
                <w:sz w:val="20"/>
                <w:szCs w:val="20"/>
                <w:lang w:val="en-AU"/>
              </w:rPr>
              <w:t>verage other long</w:t>
            </w:r>
            <w:r w:rsidR="00ED5A66" w:rsidRPr="007C747A">
              <w:rPr>
                <w:rFonts w:eastAsia="DengXian" w:cs="Arial"/>
                <w:sz w:val="20"/>
                <w:szCs w:val="20"/>
                <w:lang w:val="en-AU"/>
              </w:rPr>
              <w:noBreakHyphen/>
              <w:t xml:space="preserve">term benefits </w:t>
            </w:r>
          </w:p>
        </w:tc>
        <w:tc>
          <w:tcPr>
            <w:tcW w:w="1361" w:type="dxa"/>
            <w:hideMark/>
          </w:tcPr>
          <w:p w14:paraId="1BBBDEB2" w14:textId="509FB67B"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 xml:space="preserve">Termination benefits </w:t>
            </w:r>
            <w:r w:rsidR="00AA7925" w:rsidRPr="007C747A">
              <w:rPr>
                <w:rFonts w:eastAsia="DengXian" w:cs="Arial"/>
                <w:sz w:val="20"/>
                <w:szCs w:val="20"/>
                <w:lang w:val="en-AU"/>
              </w:rPr>
              <w:t>–a</w:t>
            </w:r>
            <w:r w:rsidR="00ED5A66" w:rsidRPr="007C747A">
              <w:rPr>
                <w:rFonts w:eastAsia="DengXian" w:cs="Arial"/>
                <w:sz w:val="20"/>
                <w:szCs w:val="20"/>
                <w:lang w:val="en-AU"/>
              </w:rPr>
              <w:t xml:space="preserve">verage termination benefits </w:t>
            </w:r>
          </w:p>
        </w:tc>
        <w:tc>
          <w:tcPr>
            <w:tcW w:w="1495" w:type="dxa"/>
            <w:hideMark/>
          </w:tcPr>
          <w:p w14:paraId="115B1979" w14:textId="1959C6B8" w:rsidR="00ED5A66" w:rsidRPr="007C747A" w:rsidRDefault="00332ADA" w:rsidP="008F5E59">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Total remuneration</w:t>
            </w:r>
            <w:r w:rsidR="005907F9" w:rsidRPr="007C747A">
              <w:rPr>
                <w:rFonts w:eastAsia="DengXian" w:cs="Arial"/>
                <w:sz w:val="20"/>
                <w:szCs w:val="20"/>
                <w:lang w:val="en-AU"/>
              </w:rPr>
              <w:t xml:space="preserve"> – </w:t>
            </w:r>
            <w:r w:rsidR="00AA7925" w:rsidRPr="007C747A">
              <w:rPr>
                <w:rFonts w:eastAsia="DengXian" w:cs="Arial"/>
                <w:sz w:val="20"/>
                <w:szCs w:val="20"/>
                <w:lang w:val="en-AU"/>
              </w:rPr>
              <w:t>a</w:t>
            </w:r>
            <w:r w:rsidR="00ED5A66" w:rsidRPr="007C747A">
              <w:rPr>
                <w:rFonts w:eastAsia="DengXian" w:cs="Arial"/>
                <w:sz w:val="20"/>
                <w:szCs w:val="20"/>
                <w:lang w:val="en-AU"/>
              </w:rPr>
              <w:t>verage total remuneration</w:t>
            </w:r>
          </w:p>
        </w:tc>
      </w:tr>
      <w:tr w:rsidR="003B73DE" w:rsidRPr="007C747A" w14:paraId="67FE3F68" w14:textId="77777777" w:rsidTr="003B73DE">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606" w:type="dxa"/>
          </w:tcPr>
          <w:p w14:paraId="15A7AAEF" w14:textId="4C682A58"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$0</w:t>
            </w:r>
            <w:r w:rsidR="00AA7925" w:rsidRPr="007C747A">
              <w:rPr>
                <w:rFonts w:cs="Arial"/>
                <w:sz w:val="22"/>
                <w:szCs w:val="22"/>
                <w:lang w:val="en-AU" w:eastAsia="en-US"/>
              </w:rPr>
              <w:t>–</w:t>
            </w:r>
            <w:r w:rsidRPr="007C747A">
              <w:rPr>
                <w:rFonts w:cs="Arial"/>
                <w:sz w:val="22"/>
                <w:szCs w:val="22"/>
                <w:lang w:val="en-AU" w:eastAsia="en-US"/>
              </w:rPr>
              <w:t>$220,000</w:t>
            </w:r>
          </w:p>
        </w:tc>
        <w:tc>
          <w:tcPr>
            <w:tcW w:w="1615" w:type="dxa"/>
          </w:tcPr>
          <w:p w14:paraId="5C554EB1" w14:textId="52302E36"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99</w:t>
            </w:r>
          </w:p>
        </w:tc>
        <w:tc>
          <w:tcPr>
            <w:tcW w:w="1805" w:type="dxa"/>
          </w:tcPr>
          <w:p w14:paraId="4FB8BB29" w14:textId="1D69B9D1"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39,340</w:t>
            </w:r>
          </w:p>
        </w:tc>
        <w:tc>
          <w:tcPr>
            <w:tcW w:w="1256" w:type="dxa"/>
          </w:tcPr>
          <w:p w14:paraId="7CF0EC15" w14:textId="7C0A457D"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419DD9D0" w14:textId="5C16C42E"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895" w:type="dxa"/>
          </w:tcPr>
          <w:p w14:paraId="5FB9E7E3" w14:textId="7070F8EB" w:rsidR="00ED5A66" w:rsidRPr="007C747A" w:rsidRDefault="00ED5A66" w:rsidP="008F5E59">
            <w:pPr>
              <w:spacing w:before="120" w:after="120" w:line="240" w:lineRule="auto"/>
              <w:ind w:left="-66"/>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5,083</w:t>
            </w:r>
          </w:p>
        </w:tc>
        <w:tc>
          <w:tcPr>
            <w:tcW w:w="1454" w:type="dxa"/>
          </w:tcPr>
          <w:p w14:paraId="7A01DBCF" w14:textId="390A31E7" w:rsidR="00ED5A66" w:rsidRPr="007C747A" w:rsidRDefault="00ED5A66" w:rsidP="008F5E59">
            <w:pPr>
              <w:spacing w:before="120" w:after="120" w:line="240" w:lineRule="auto"/>
              <w:ind w:left="-12"/>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947</w:t>
            </w:r>
          </w:p>
        </w:tc>
        <w:tc>
          <w:tcPr>
            <w:tcW w:w="1172" w:type="dxa"/>
          </w:tcPr>
          <w:p w14:paraId="345A8711" w14:textId="57293F5C" w:rsidR="00ED5A66" w:rsidRPr="007C747A" w:rsidRDefault="00ED5A66" w:rsidP="008F5E59">
            <w:pPr>
              <w:spacing w:before="120" w:after="120" w:line="240" w:lineRule="auto"/>
              <w:ind w:left="-70"/>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0FFC5C30" w14:textId="6470A175" w:rsidR="00ED5A66" w:rsidRPr="007C747A" w:rsidRDefault="00ED5A66" w:rsidP="008F5E59">
            <w:pPr>
              <w:spacing w:before="120" w:after="120" w:line="240" w:lineRule="auto"/>
              <w:ind w:left="-29"/>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5F695C13" w14:textId="4FEEFB11"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45,370</w:t>
            </w:r>
          </w:p>
        </w:tc>
      </w:tr>
      <w:tr w:rsidR="00332ADA" w:rsidRPr="007C747A" w14:paraId="2D5246E7" w14:textId="77777777" w:rsidTr="003B73DE">
        <w:trPr>
          <w:trHeight w:val="344"/>
        </w:trPr>
        <w:tc>
          <w:tcPr>
            <w:cnfStyle w:val="001000000000" w:firstRow="0" w:lastRow="0" w:firstColumn="1" w:lastColumn="0" w:oddVBand="0" w:evenVBand="0" w:oddHBand="0" w:evenHBand="0" w:firstRowFirstColumn="0" w:firstRowLastColumn="0" w:lastRowFirstColumn="0" w:lastRowLastColumn="0"/>
            <w:tcW w:w="1606" w:type="dxa"/>
          </w:tcPr>
          <w:p w14:paraId="1FD37850" w14:textId="2F0E8899"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$220,001</w:t>
            </w:r>
            <w:r w:rsidR="00AA7925" w:rsidRPr="007C747A">
              <w:rPr>
                <w:rFonts w:cs="Arial"/>
                <w:sz w:val="22"/>
                <w:szCs w:val="22"/>
                <w:lang w:val="en-AU" w:eastAsia="en-US"/>
              </w:rPr>
              <w:t>–</w:t>
            </w:r>
            <w:r w:rsidRPr="007C747A">
              <w:rPr>
                <w:rFonts w:cs="Arial"/>
                <w:sz w:val="22"/>
                <w:szCs w:val="22"/>
                <w:lang w:val="en-AU" w:eastAsia="en-US"/>
              </w:rPr>
              <w:t>$245,000</w:t>
            </w:r>
          </w:p>
        </w:tc>
        <w:tc>
          <w:tcPr>
            <w:tcW w:w="1615" w:type="dxa"/>
          </w:tcPr>
          <w:p w14:paraId="0EBB4E63" w14:textId="1E2294CB"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15</w:t>
            </w:r>
          </w:p>
        </w:tc>
        <w:tc>
          <w:tcPr>
            <w:tcW w:w="1805" w:type="dxa"/>
          </w:tcPr>
          <w:p w14:paraId="42BADDB8" w14:textId="2FB2EC84"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200,527</w:t>
            </w:r>
          </w:p>
        </w:tc>
        <w:tc>
          <w:tcPr>
            <w:tcW w:w="1256" w:type="dxa"/>
          </w:tcPr>
          <w:p w14:paraId="15D8A6B3" w14:textId="7E284357"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337FE61D" w14:textId="69AC5411"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140</w:t>
            </w:r>
          </w:p>
        </w:tc>
        <w:tc>
          <w:tcPr>
            <w:tcW w:w="1895" w:type="dxa"/>
          </w:tcPr>
          <w:p w14:paraId="4CABAC25" w14:textId="13220CEF"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28,140</w:t>
            </w:r>
          </w:p>
        </w:tc>
        <w:tc>
          <w:tcPr>
            <w:tcW w:w="1454" w:type="dxa"/>
          </w:tcPr>
          <w:p w14:paraId="70F7D776" w14:textId="1C56F0DD"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4,770</w:t>
            </w:r>
          </w:p>
        </w:tc>
        <w:tc>
          <w:tcPr>
            <w:tcW w:w="1172" w:type="dxa"/>
          </w:tcPr>
          <w:p w14:paraId="6F11C9C4" w14:textId="4E62FF10"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187666CE" w14:textId="46DFEC2B"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1152B765" w14:textId="177401EB"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233,577</w:t>
            </w:r>
          </w:p>
        </w:tc>
      </w:tr>
      <w:tr w:rsidR="003B73DE" w:rsidRPr="007C747A" w14:paraId="2B0D8E15" w14:textId="77777777" w:rsidTr="003B73DE">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606" w:type="dxa"/>
          </w:tcPr>
          <w:p w14:paraId="4876E203" w14:textId="3D62BC9E"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$245,001</w:t>
            </w:r>
            <w:r w:rsidR="00AA7925" w:rsidRPr="007C747A">
              <w:rPr>
                <w:rFonts w:cs="Arial"/>
                <w:sz w:val="22"/>
                <w:szCs w:val="22"/>
                <w:lang w:val="en-AU" w:eastAsia="en-US"/>
              </w:rPr>
              <w:t>–</w:t>
            </w:r>
            <w:r w:rsidRPr="007C747A">
              <w:rPr>
                <w:rFonts w:cs="Arial"/>
                <w:sz w:val="22"/>
                <w:szCs w:val="22"/>
                <w:lang w:val="en-AU" w:eastAsia="en-US"/>
              </w:rPr>
              <w:t>$270,000</w:t>
            </w:r>
          </w:p>
        </w:tc>
        <w:tc>
          <w:tcPr>
            <w:tcW w:w="1615" w:type="dxa"/>
          </w:tcPr>
          <w:p w14:paraId="13C95B9E" w14:textId="587A551C"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13</w:t>
            </w:r>
          </w:p>
        </w:tc>
        <w:tc>
          <w:tcPr>
            <w:tcW w:w="1805" w:type="dxa"/>
          </w:tcPr>
          <w:p w14:paraId="2ECC7DAA" w14:textId="681FEA9C"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218,757</w:t>
            </w:r>
          </w:p>
        </w:tc>
        <w:tc>
          <w:tcPr>
            <w:tcW w:w="1256" w:type="dxa"/>
          </w:tcPr>
          <w:p w14:paraId="75FD9E3F" w14:textId="2B7861E7"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1DACDFA2" w14:textId="7B89B320"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w:t>
            </w:r>
            <w:r w:rsidR="00A82720">
              <w:rPr>
                <w:rFonts w:cs="Arial"/>
                <w:sz w:val="22"/>
                <w:szCs w:val="22"/>
                <w:lang w:val="en-AU" w:eastAsia="en-US"/>
              </w:rPr>
              <w:t>,</w:t>
            </w:r>
            <w:r w:rsidRPr="007C747A">
              <w:rPr>
                <w:rFonts w:cs="Arial"/>
                <w:sz w:val="22"/>
                <w:szCs w:val="22"/>
                <w:lang w:val="en-AU" w:eastAsia="en-US"/>
              </w:rPr>
              <w:t>935</w:t>
            </w:r>
          </w:p>
        </w:tc>
        <w:tc>
          <w:tcPr>
            <w:tcW w:w="1895" w:type="dxa"/>
          </w:tcPr>
          <w:p w14:paraId="0C0C105D" w14:textId="63E62E2B"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29,045</w:t>
            </w:r>
          </w:p>
        </w:tc>
        <w:tc>
          <w:tcPr>
            <w:tcW w:w="1454" w:type="dxa"/>
          </w:tcPr>
          <w:p w14:paraId="45DC7057" w14:textId="10861758"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5,440</w:t>
            </w:r>
          </w:p>
        </w:tc>
        <w:tc>
          <w:tcPr>
            <w:tcW w:w="1172" w:type="dxa"/>
          </w:tcPr>
          <w:p w14:paraId="34CE880E" w14:textId="033A37C8"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724661BE" w14:textId="6B7A9898"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11209C01" w14:textId="593CEE1D"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257,177</w:t>
            </w:r>
          </w:p>
        </w:tc>
      </w:tr>
      <w:tr w:rsidR="00332ADA" w:rsidRPr="007C747A" w14:paraId="01B32154" w14:textId="77777777" w:rsidTr="003B73DE">
        <w:trPr>
          <w:trHeight w:val="344"/>
        </w:trPr>
        <w:tc>
          <w:tcPr>
            <w:cnfStyle w:val="001000000000" w:firstRow="0" w:lastRow="0" w:firstColumn="1" w:lastColumn="0" w:oddVBand="0" w:evenVBand="0" w:oddHBand="0" w:evenHBand="0" w:firstRowFirstColumn="0" w:firstRowLastColumn="0" w:lastRowFirstColumn="0" w:lastRowLastColumn="0"/>
            <w:tcW w:w="1606" w:type="dxa"/>
          </w:tcPr>
          <w:p w14:paraId="42108C8D" w14:textId="358E0574"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$270,001</w:t>
            </w:r>
            <w:r w:rsidR="00AA7925" w:rsidRPr="007C747A">
              <w:rPr>
                <w:rFonts w:cs="Arial"/>
                <w:sz w:val="22"/>
                <w:szCs w:val="22"/>
                <w:lang w:val="en-AU" w:eastAsia="en-US"/>
              </w:rPr>
              <w:t>–</w:t>
            </w:r>
            <w:r w:rsidRPr="007C747A">
              <w:rPr>
                <w:rFonts w:cs="Arial"/>
                <w:sz w:val="22"/>
                <w:szCs w:val="22"/>
                <w:lang w:val="en-AU" w:eastAsia="en-US"/>
              </w:rPr>
              <w:t>$295,000</w:t>
            </w:r>
          </w:p>
        </w:tc>
        <w:tc>
          <w:tcPr>
            <w:tcW w:w="1615" w:type="dxa"/>
          </w:tcPr>
          <w:p w14:paraId="0FECDDA9" w14:textId="1187B8DD"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15</w:t>
            </w:r>
          </w:p>
        </w:tc>
        <w:tc>
          <w:tcPr>
            <w:tcW w:w="1805" w:type="dxa"/>
          </w:tcPr>
          <w:p w14:paraId="0D00471B" w14:textId="1ECBA019"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236,258</w:t>
            </w:r>
          </w:p>
        </w:tc>
        <w:tc>
          <w:tcPr>
            <w:tcW w:w="1256" w:type="dxa"/>
          </w:tcPr>
          <w:p w14:paraId="5EB49ED0" w14:textId="04C9A033"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523D80C1" w14:textId="46137215"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4,009</w:t>
            </w:r>
          </w:p>
        </w:tc>
        <w:tc>
          <w:tcPr>
            <w:tcW w:w="1895" w:type="dxa"/>
          </w:tcPr>
          <w:p w14:paraId="1C815B3C" w14:textId="730C7A40"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33,543</w:t>
            </w:r>
          </w:p>
        </w:tc>
        <w:tc>
          <w:tcPr>
            <w:tcW w:w="1454" w:type="dxa"/>
          </w:tcPr>
          <w:p w14:paraId="2995CE96" w14:textId="40BAD54C"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5,663</w:t>
            </w:r>
          </w:p>
        </w:tc>
        <w:tc>
          <w:tcPr>
            <w:tcW w:w="1172" w:type="dxa"/>
          </w:tcPr>
          <w:p w14:paraId="73231666" w14:textId="5A959BC0"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241F32F4" w14:textId="3884F81B"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5BF283B2" w14:textId="602EF81A"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279,473</w:t>
            </w:r>
          </w:p>
        </w:tc>
      </w:tr>
      <w:tr w:rsidR="003B73DE" w:rsidRPr="007C747A" w14:paraId="02E148AF" w14:textId="77777777" w:rsidTr="003B73DE">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606" w:type="dxa"/>
          </w:tcPr>
          <w:p w14:paraId="501248F0" w14:textId="63DCE0A6"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$295,001</w:t>
            </w:r>
            <w:r w:rsidR="00AA7925" w:rsidRPr="007C747A">
              <w:rPr>
                <w:rFonts w:cs="Arial"/>
                <w:sz w:val="22"/>
                <w:szCs w:val="22"/>
                <w:lang w:val="en-AU" w:eastAsia="en-US"/>
              </w:rPr>
              <w:t>–</w:t>
            </w:r>
            <w:r w:rsidRPr="007C747A">
              <w:rPr>
                <w:rFonts w:cs="Arial"/>
                <w:sz w:val="22"/>
                <w:szCs w:val="22"/>
                <w:lang w:val="en-AU" w:eastAsia="en-US"/>
              </w:rPr>
              <w:t>$320,000</w:t>
            </w:r>
          </w:p>
        </w:tc>
        <w:tc>
          <w:tcPr>
            <w:tcW w:w="1615" w:type="dxa"/>
          </w:tcPr>
          <w:p w14:paraId="68850C95" w14:textId="04F0E48D"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9</w:t>
            </w:r>
          </w:p>
        </w:tc>
        <w:tc>
          <w:tcPr>
            <w:tcW w:w="1805" w:type="dxa"/>
          </w:tcPr>
          <w:p w14:paraId="5340A876" w14:textId="287CA64D"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258,890</w:t>
            </w:r>
          </w:p>
        </w:tc>
        <w:tc>
          <w:tcPr>
            <w:tcW w:w="1256" w:type="dxa"/>
          </w:tcPr>
          <w:p w14:paraId="728BAC21" w14:textId="5104B0D6"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73575217" w14:textId="3C00EBEB"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5,821</w:t>
            </w:r>
          </w:p>
        </w:tc>
        <w:tc>
          <w:tcPr>
            <w:tcW w:w="1895" w:type="dxa"/>
          </w:tcPr>
          <w:p w14:paraId="77F52FF7" w14:textId="0A67589C"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33,587</w:t>
            </w:r>
          </w:p>
        </w:tc>
        <w:tc>
          <w:tcPr>
            <w:tcW w:w="1454" w:type="dxa"/>
          </w:tcPr>
          <w:p w14:paraId="143E216D" w14:textId="2BE936C5"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6,307</w:t>
            </w:r>
          </w:p>
        </w:tc>
        <w:tc>
          <w:tcPr>
            <w:tcW w:w="1172" w:type="dxa"/>
          </w:tcPr>
          <w:p w14:paraId="2E950E77" w14:textId="748939B6"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2758CA17" w14:textId="4F77ECC8"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144DAC8D" w14:textId="46C3A3A0"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304,605</w:t>
            </w:r>
          </w:p>
        </w:tc>
      </w:tr>
      <w:tr w:rsidR="00332ADA" w:rsidRPr="007C747A" w14:paraId="5E542D5C" w14:textId="77777777" w:rsidTr="003B73DE">
        <w:trPr>
          <w:trHeight w:val="344"/>
        </w:trPr>
        <w:tc>
          <w:tcPr>
            <w:cnfStyle w:val="001000000000" w:firstRow="0" w:lastRow="0" w:firstColumn="1" w:lastColumn="0" w:oddVBand="0" w:evenVBand="0" w:oddHBand="0" w:evenHBand="0" w:firstRowFirstColumn="0" w:firstRowLastColumn="0" w:lastRowFirstColumn="0" w:lastRowLastColumn="0"/>
            <w:tcW w:w="1606" w:type="dxa"/>
          </w:tcPr>
          <w:p w14:paraId="17AE228A" w14:textId="428B6A7D"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$320,001</w:t>
            </w:r>
            <w:r w:rsidR="00AA7925" w:rsidRPr="007C747A">
              <w:rPr>
                <w:rFonts w:cs="Arial"/>
                <w:sz w:val="22"/>
                <w:szCs w:val="22"/>
                <w:lang w:val="en-AU" w:eastAsia="en-US"/>
              </w:rPr>
              <w:t>–</w:t>
            </w:r>
            <w:r w:rsidRPr="007C747A">
              <w:rPr>
                <w:rFonts w:cs="Arial"/>
                <w:sz w:val="22"/>
                <w:szCs w:val="22"/>
                <w:lang w:val="en-AU" w:eastAsia="en-US"/>
              </w:rPr>
              <w:t>$345,000</w:t>
            </w:r>
          </w:p>
        </w:tc>
        <w:tc>
          <w:tcPr>
            <w:tcW w:w="1615" w:type="dxa"/>
          </w:tcPr>
          <w:p w14:paraId="0E6FCE1F" w14:textId="5A690B56"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6</w:t>
            </w:r>
          </w:p>
        </w:tc>
        <w:tc>
          <w:tcPr>
            <w:tcW w:w="1805" w:type="dxa"/>
          </w:tcPr>
          <w:p w14:paraId="72433867" w14:textId="0AE4D6C2"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276,731</w:t>
            </w:r>
          </w:p>
        </w:tc>
        <w:tc>
          <w:tcPr>
            <w:tcW w:w="1256" w:type="dxa"/>
          </w:tcPr>
          <w:p w14:paraId="17D7A9A7" w14:textId="080F9544"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4794243D" w14:textId="58DDFB70"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3,956</w:t>
            </w:r>
          </w:p>
        </w:tc>
        <w:tc>
          <w:tcPr>
            <w:tcW w:w="1895" w:type="dxa"/>
          </w:tcPr>
          <w:p w14:paraId="193F1752" w14:textId="5703D832"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43,970</w:t>
            </w:r>
          </w:p>
        </w:tc>
        <w:tc>
          <w:tcPr>
            <w:tcW w:w="1454" w:type="dxa"/>
          </w:tcPr>
          <w:p w14:paraId="246E727E" w14:textId="4989CE34"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5,177</w:t>
            </w:r>
          </w:p>
        </w:tc>
        <w:tc>
          <w:tcPr>
            <w:tcW w:w="1172" w:type="dxa"/>
          </w:tcPr>
          <w:p w14:paraId="3C2B0D1D" w14:textId="46B88B24"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5AA2D3FF" w14:textId="30BEAD49"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33ABBBE6" w14:textId="1E0A8EC1"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329,834</w:t>
            </w:r>
          </w:p>
        </w:tc>
      </w:tr>
      <w:tr w:rsidR="003B73DE" w:rsidRPr="007C747A" w14:paraId="6D138C40" w14:textId="77777777" w:rsidTr="003B73DE">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606" w:type="dxa"/>
          </w:tcPr>
          <w:p w14:paraId="5E5D1536" w14:textId="1B226D75"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$345,001</w:t>
            </w:r>
            <w:r w:rsidR="00AA7925" w:rsidRPr="007C747A">
              <w:rPr>
                <w:rFonts w:cs="Arial"/>
                <w:sz w:val="22"/>
                <w:szCs w:val="22"/>
                <w:lang w:val="en-AU" w:eastAsia="en-US"/>
              </w:rPr>
              <w:t>–</w:t>
            </w:r>
            <w:r w:rsidRPr="007C747A">
              <w:rPr>
                <w:rFonts w:cs="Arial"/>
                <w:sz w:val="22"/>
                <w:szCs w:val="22"/>
                <w:lang w:val="en-AU" w:eastAsia="en-US"/>
              </w:rPr>
              <w:t>$370,000</w:t>
            </w:r>
          </w:p>
        </w:tc>
        <w:tc>
          <w:tcPr>
            <w:tcW w:w="1615" w:type="dxa"/>
          </w:tcPr>
          <w:p w14:paraId="34039CF2" w14:textId="161355A9"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4</w:t>
            </w:r>
          </w:p>
        </w:tc>
        <w:tc>
          <w:tcPr>
            <w:tcW w:w="1805" w:type="dxa"/>
          </w:tcPr>
          <w:p w14:paraId="09A8D213" w14:textId="7EC9FC2C"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294,657</w:t>
            </w:r>
          </w:p>
        </w:tc>
        <w:tc>
          <w:tcPr>
            <w:tcW w:w="1256" w:type="dxa"/>
          </w:tcPr>
          <w:p w14:paraId="2C8FD46E" w14:textId="25DC24A3"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24D55C46" w14:textId="09765669"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13,560</w:t>
            </w:r>
          </w:p>
        </w:tc>
        <w:tc>
          <w:tcPr>
            <w:tcW w:w="1895" w:type="dxa"/>
          </w:tcPr>
          <w:p w14:paraId="2841BAE1" w14:textId="1BDDC1C7"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39,667</w:t>
            </w:r>
          </w:p>
        </w:tc>
        <w:tc>
          <w:tcPr>
            <w:tcW w:w="1454" w:type="dxa"/>
          </w:tcPr>
          <w:p w14:paraId="7CAB0E38" w14:textId="3267E40C" w:rsidR="00ED5A66" w:rsidRPr="007C747A" w:rsidRDefault="00ED5A66" w:rsidP="008F5E59">
            <w:pPr>
              <w:widowControl w:val="0"/>
              <w:autoSpaceDE w:val="0"/>
              <w:autoSpaceDN w:val="0"/>
              <w:spacing w:before="120" w:after="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5,359</w:t>
            </w:r>
          </w:p>
        </w:tc>
        <w:tc>
          <w:tcPr>
            <w:tcW w:w="1172" w:type="dxa"/>
          </w:tcPr>
          <w:p w14:paraId="494D7B4C" w14:textId="738C54C3"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3C7FDD50" w14:textId="699CC309"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105A2394" w14:textId="3DF31666" w:rsidR="00ED5A66" w:rsidRPr="007C747A" w:rsidRDefault="00ED5A66" w:rsidP="008F5E59">
            <w:pPr>
              <w:spacing w:before="120" w:after="120" w:line="240" w:lineRule="auto"/>
              <w:jc w:val="right"/>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353,243</w:t>
            </w:r>
          </w:p>
        </w:tc>
      </w:tr>
      <w:tr w:rsidR="00332ADA" w:rsidRPr="007C747A" w14:paraId="4A715480" w14:textId="77777777" w:rsidTr="003B73DE">
        <w:trPr>
          <w:trHeight w:val="344"/>
        </w:trPr>
        <w:tc>
          <w:tcPr>
            <w:cnfStyle w:val="001000000000" w:firstRow="0" w:lastRow="0" w:firstColumn="1" w:lastColumn="0" w:oddVBand="0" w:evenVBand="0" w:oddHBand="0" w:evenHBand="0" w:firstRowFirstColumn="0" w:firstRowLastColumn="0" w:lastRowFirstColumn="0" w:lastRowLastColumn="0"/>
            <w:tcW w:w="1606" w:type="dxa"/>
          </w:tcPr>
          <w:p w14:paraId="21F868E4" w14:textId="283CA743" w:rsidR="00ED5A66" w:rsidRPr="007C747A" w:rsidRDefault="00ED5A66" w:rsidP="008F5E59">
            <w:pPr>
              <w:widowControl w:val="0"/>
              <w:autoSpaceDE w:val="0"/>
              <w:autoSpaceDN w:val="0"/>
              <w:spacing w:before="71" w:after="0" w:line="210" w:lineRule="exact"/>
              <w:ind w:right="352"/>
              <w:rPr>
                <w:rFonts w:eastAsia="DengXian" w:cs="Arial"/>
                <w:sz w:val="22"/>
                <w:szCs w:val="22"/>
                <w:lang w:val="en-AU"/>
              </w:rPr>
            </w:pPr>
            <w:r w:rsidRPr="007C747A">
              <w:rPr>
                <w:rFonts w:cs="Arial"/>
                <w:sz w:val="22"/>
                <w:szCs w:val="22"/>
                <w:lang w:val="en-AU" w:eastAsia="en-US"/>
              </w:rPr>
              <w:t>$370,001</w:t>
            </w:r>
            <w:r w:rsidR="00AA7925" w:rsidRPr="007C747A">
              <w:rPr>
                <w:rFonts w:cs="Arial"/>
                <w:sz w:val="22"/>
                <w:szCs w:val="22"/>
                <w:lang w:val="en-AU" w:eastAsia="en-US"/>
              </w:rPr>
              <w:t>–</w:t>
            </w:r>
            <w:r w:rsidRPr="007C747A">
              <w:rPr>
                <w:rFonts w:cs="Arial"/>
                <w:sz w:val="22"/>
                <w:szCs w:val="22"/>
                <w:lang w:val="en-AU" w:eastAsia="en-US"/>
              </w:rPr>
              <w:t>$395,000</w:t>
            </w:r>
          </w:p>
        </w:tc>
        <w:tc>
          <w:tcPr>
            <w:tcW w:w="1615" w:type="dxa"/>
          </w:tcPr>
          <w:p w14:paraId="51DCAD32" w14:textId="31AF10A3"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2</w:t>
            </w:r>
          </w:p>
        </w:tc>
        <w:tc>
          <w:tcPr>
            <w:tcW w:w="1805" w:type="dxa"/>
          </w:tcPr>
          <w:p w14:paraId="19ED441D" w14:textId="241DFEEE"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358,931</w:t>
            </w:r>
          </w:p>
        </w:tc>
        <w:tc>
          <w:tcPr>
            <w:tcW w:w="1256" w:type="dxa"/>
          </w:tcPr>
          <w:p w14:paraId="3E5AC40F" w14:textId="2DC9AF67"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581" w:type="dxa"/>
          </w:tcPr>
          <w:p w14:paraId="3B203DC7" w14:textId="2D5ACC13"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895" w:type="dxa"/>
          </w:tcPr>
          <w:p w14:paraId="5EEEDC53" w14:textId="0F53BD96"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17,823</w:t>
            </w:r>
          </w:p>
        </w:tc>
        <w:tc>
          <w:tcPr>
            <w:tcW w:w="1454" w:type="dxa"/>
          </w:tcPr>
          <w:p w14:paraId="0C873E9D" w14:textId="5ECEABB0" w:rsidR="00ED5A66" w:rsidRPr="007C747A" w:rsidRDefault="00ED5A66" w:rsidP="008F5E59">
            <w:pPr>
              <w:widowControl w:val="0"/>
              <w:autoSpaceDE w:val="0"/>
              <w:autoSpaceDN w:val="0"/>
              <w:spacing w:before="120" w:after="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172" w:type="dxa"/>
          </w:tcPr>
          <w:p w14:paraId="3B79B413" w14:textId="74CDE250"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361" w:type="dxa"/>
          </w:tcPr>
          <w:p w14:paraId="46FE08BB" w14:textId="1970097B"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0</w:t>
            </w:r>
          </w:p>
        </w:tc>
        <w:tc>
          <w:tcPr>
            <w:tcW w:w="1495" w:type="dxa"/>
          </w:tcPr>
          <w:p w14:paraId="1AA1C0E2" w14:textId="7A28753E" w:rsidR="00ED5A66" w:rsidRPr="007C747A" w:rsidRDefault="00ED5A66" w:rsidP="008F5E59">
            <w:pPr>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cs="Arial"/>
                <w:sz w:val="22"/>
                <w:szCs w:val="22"/>
                <w:lang w:val="en-AU" w:eastAsia="en-US"/>
              </w:rPr>
              <w:t>376,754</w:t>
            </w:r>
          </w:p>
        </w:tc>
      </w:tr>
    </w:tbl>
    <w:p w14:paraId="18BE2E76" w14:textId="77777777" w:rsidR="00E13D8E" w:rsidRPr="007C747A" w:rsidRDefault="00E13D8E" w:rsidP="0069015F">
      <w:pPr>
        <w:pStyle w:val="FGCNORMAL"/>
        <w:spacing w:before="0" w:after="0" w:line="240" w:lineRule="auto"/>
        <w:ind w:left="0"/>
      </w:pPr>
    </w:p>
    <w:p w14:paraId="1E9E9DA7" w14:textId="77777777" w:rsidR="00E13D8E" w:rsidRPr="007C747A" w:rsidRDefault="00E13D8E" w:rsidP="0069015F">
      <w:pPr>
        <w:pStyle w:val="FGCNORMAL"/>
        <w:spacing w:before="0" w:after="0" w:line="240" w:lineRule="auto"/>
        <w:ind w:left="0"/>
      </w:pPr>
    </w:p>
    <w:p w14:paraId="420F47BF" w14:textId="03A01C58" w:rsidR="007E30D3" w:rsidRPr="007C747A" w:rsidRDefault="007E30D3" w:rsidP="008E637C">
      <w:pPr>
        <w:pStyle w:val="FGCHEADING3"/>
      </w:pPr>
      <w:bookmarkStart w:id="810" w:name="_Toc142039667"/>
      <w:bookmarkStart w:id="811" w:name="_Toc142047775"/>
      <w:bookmarkStart w:id="812" w:name="_Toc142478428"/>
      <w:bookmarkStart w:id="813" w:name="_Toc142573754"/>
      <w:bookmarkStart w:id="814" w:name="_Toc146289483"/>
      <w:r w:rsidRPr="007C747A">
        <w:t>Other highly paid staff</w:t>
      </w:r>
      <w:bookmarkEnd w:id="810"/>
      <w:bookmarkEnd w:id="811"/>
      <w:bookmarkEnd w:id="812"/>
      <w:bookmarkEnd w:id="813"/>
      <w:bookmarkEnd w:id="814"/>
    </w:p>
    <w:p w14:paraId="78A4A482" w14:textId="77777777" w:rsidR="00066FF7" w:rsidRPr="007C747A" w:rsidRDefault="00066FF7" w:rsidP="00806BD0">
      <w:pPr>
        <w:pStyle w:val="FGCNORMAL"/>
        <w:spacing w:line="240" w:lineRule="auto"/>
        <w:ind w:left="0"/>
      </w:pPr>
      <w:r w:rsidRPr="007C747A">
        <w:t>Other highly paid staff are officials, including contractors and consultants prescribed as officials:</w:t>
      </w:r>
    </w:p>
    <w:p w14:paraId="5F480982" w14:textId="399D71CE" w:rsidR="00066FF7" w:rsidRPr="007C747A" w:rsidRDefault="00066FF7" w:rsidP="001E2D18">
      <w:pPr>
        <w:pStyle w:val="FGCBULLET1"/>
        <w:numPr>
          <w:ilvl w:val="0"/>
          <w:numId w:val="41"/>
        </w:numPr>
        <w:spacing w:line="240" w:lineRule="auto"/>
      </w:pPr>
      <w:r w:rsidRPr="007C747A">
        <w:t>who are neither key management personnel nor senior executives</w:t>
      </w:r>
    </w:p>
    <w:p w14:paraId="69A1AAD9" w14:textId="77777777" w:rsidR="00066FF7" w:rsidRPr="007C747A" w:rsidRDefault="00066FF7" w:rsidP="001E2D18">
      <w:pPr>
        <w:pStyle w:val="FGCBULLET1"/>
        <w:numPr>
          <w:ilvl w:val="0"/>
          <w:numId w:val="41"/>
        </w:numPr>
        <w:spacing w:line="240" w:lineRule="auto"/>
      </w:pPr>
      <w:r w:rsidRPr="007C747A">
        <w:t>whose total remuneration exceeds $235,000.</w:t>
      </w:r>
    </w:p>
    <w:p w14:paraId="7A2432E0" w14:textId="7D26C940" w:rsidR="00066FF7" w:rsidRPr="007C747A" w:rsidRDefault="00066FF7" w:rsidP="00806BD0">
      <w:pPr>
        <w:pStyle w:val="FGCNORMAL"/>
        <w:spacing w:line="240" w:lineRule="auto"/>
        <w:ind w:left="0"/>
      </w:pPr>
      <w:r w:rsidRPr="007C747A">
        <w:t xml:space="preserve">The average remuneration received or due to be received for each of the NDIA’s other highly paid staff for the year ended 30 June </w:t>
      </w:r>
      <w:r w:rsidR="00507C57" w:rsidRPr="007C747A">
        <w:t xml:space="preserve">2023 </w:t>
      </w:r>
      <w:r w:rsidRPr="007C747A">
        <w:t xml:space="preserve">is shown in Table </w:t>
      </w:r>
      <w:r w:rsidR="00DE0DC2" w:rsidRPr="007C747A">
        <w:t>6</w:t>
      </w:r>
      <w:r w:rsidRPr="007C747A">
        <w:t>.6.4A.</w:t>
      </w:r>
    </w:p>
    <w:p w14:paraId="0F4AB014" w14:textId="77777777" w:rsidR="00867F3E" w:rsidRPr="007C747A" w:rsidRDefault="00867F3E" w:rsidP="00066FF7">
      <w:pPr>
        <w:pStyle w:val="FGCNORMAL"/>
        <w:keepNext/>
        <w:rPr>
          <w:b/>
        </w:rPr>
      </w:pPr>
    </w:p>
    <w:p w14:paraId="59C0B8BB" w14:textId="6C839727" w:rsidR="00066FF7" w:rsidRPr="007C747A" w:rsidRDefault="00066FF7" w:rsidP="00B001F8">
      <w:pPr>
        <w:pStyle w:val="Heading43"/>
        <w:ind w:left="0"/>
        <w:outlineLvl w:val="3"/>
      </w:pPr>
      <w:r w:rsidRPr="007C747A">
        <w:t xml:space="preserve">Table </w:t>
      </w:r>
      <w:r w:rsidR="00DE0DC2" w:rsidRPr="007C747A">
        <w:t>6.</w:t>
      </w:r>
      <w:r w:rsidRPr="007C747A">
        <w:t xml:space="preserve">6.4A: Average remuneration for other highly paid staff </w:t>
      </w:r>
    </w:p>
    <w:tbl>
      <w:tblPr>
        <w:tblStyle w:val="GridTable2-Accent313"/>
        <w:tblW w:w="15734" w:type="dxa"/>
        <w:jc w:val="center"/>
        <w:tblLayout w:type="fixed"/>
        <w:tblLook w:val="0020" w:firstRow="1" w:lastRow="0" w:firstColumn="0" w:lastColumn="0" w:noHBand="0" w:noVBand="0"/>
      </w:tblPr>
      <w:tblGrid>
        <w:gridCol w:w="2432"/>
        <w:gridCol w:w="1277"/>
        <w:gridCol w:w="1414"/>
        <w:gridCol w:w="1316"/>
        <w:gridCol w:w="1385"/>
        <w:gridCol w:w="1981"/>
        <w:gridCol w:w="1463"/>
        <w:gridCol w:w="1349"/>
        <w:gridCol w:w="1437"/>
        <w:gridCol w:w="1680"/>
      </w:tblGrid>
      <w:tr w:rsidR="003B73DE" w:rsidRPr="007C747A" w14:paraId="360FF5A7" w14:textId="77777777" w:rsidTr="003B73DE">
        <w:trPr>
          <w:cnfStyle w:val="100000000000" w:firstRow="1" w:lastRow="0" w:firstColumn="0" w:lastColumn="0" w:oddVBand="0" w:evenVBand="0" w:oddHBand="0" w:evenHBand="0" w:firstRowFirstColumn="0" w:firstRowLastColumn="0" w:lastRowFirstColumn="0" w:lastRowLastColumn="0"/>
          <w:jc w:val="center"/>
        </w:trPr>
        <w:tc>
          <w:tcPr>
            <w:tcW w:w="2355" w:type="dxa"/>
          </w:tcPr>
          <w:p w14:paraId="65CEEADD" w14:textId="77777777" w:rsidR="002D0B31" w:rsidRPr="007C747A" w:rsidRDefault="002D0B31" w:rsidP="002D0B31">
            <w:pPr>
              <w:spacing w:before="120" w:after="120" w:line="240" w:lineRule="auto"/>
              <w:rPr>
                <w:rFonts w:eastAsia="DengXian" w:cs="Arial"/>
                <w:sz w:val="20"/>
                <w:szCs w:val="20"/>
                <w:lang w:val="en-AU"/>
              </w:rPr>
            </w:pPr>
            <w:r w:rsidRPr="007C747A">
              <w:rPr>
                <w:rFonts w:eastAsia="DengXian" w:cs="Arial"/>
                <w:sz w:val="20"/>
                <w:szCs w:val="20"/>
                <w:lang w:val="en-AU"/>
              </w:rPr>
              <w:t>Total remuneration bands</w:t>
            </w:r>
          </w:p>
        </w:tc>
        <w:tc>
          <w:tcPr>
            <w:tcW w:w="1237" w:type="dxa"/>
          </w:tcPr>
          <w:p w14:paraId="4E150FA1" w14:textId="77777777" w:rsidR="002D0B31" w:rsidRPr="007C747A" w:rsidRDefault="002D0B31" w:rsidP="002D0B31">
            <w:pPr>
              <w:spacing w:before="120" w:after="120" w:line="240" w:lineRule="auto"/>
              <w:rPr>
                <w:rFonts w:eastAsia="DengXian" w:cs="Arial"/>
                <w:sz w:val="20"/>
                <w:szCs w:val="20"/>
                <w:lang w:val="en-AU"/>
              </w:rPr>
            </w:pPr>
            <w:r w:rsidRPr="007C747A">
              <w:rPr>
                <w:rFonts w:eastAsia="DengXian" w:cs="Arial"/>
                <w:sz w:val="20"/>
                <w:szCs w:val="20"/>
                <w:lang w:val="en-AU"/>
              </w:rPr>
              <w:t>Number of other highly paid staff</w:t>
            </w:r>
          </w:p>
        </w:tc>
        <w:tc>
          <w:tcPr>
            <w:tcW w:w="1370" w:type="dxa"/>
          </w:tcPr>
          <w:p w14:paraId="19056A2F" w14:textId="3C41539A"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Short</w:t>
            </w:r>
            <w:r w:rsidRPr="007C747A">
              <w:rPr>
                <w:rFonts w:eastAsia="DengXian" w:cs="Arial"/>
                <w:sz w:val="20"/>
                <w:szCs w:val="20"/>
                <w:lang w:val="en-AU"/>
              </w:rPr>
              <w:noBreakHyphen/>
              <w:t xml:space="preserve">term benefits </w:t>
            </w:r>
            <w:r w:rsidR="00446814" w:rsidRPr="007C747A">
              <w:rPr>
                <w:rFonts w:eastAsia="DengXian" w:cs="Arial"/>
                <w:sz w:val="20"/>
                <w:szCs w:val="20"/>
                <w:lang w:val="en-AU"/>
              </w:rPr>
              <w:t>–a</w:t>
            </w:r>
            <w:r w:rsidR="002D0B31" w:rsidRPr="007C747A">
              <w:rPr>
                <w:rFonts w:eastAsia="DengXian" w:cs="Arial"/>
                <w:sz w:val="20"/>
                <w:szCs w:val="20"/>
                <w:lang w:val="en-AU"/>
              </w:rPr>
              <w:t xml:space="preserve">verage base salary </w:t>
            </w:r>
          </w:p>
        </w:tc>
        <w:tc>
          <w:tcPr>
            <w:tcW w:w="1275" w:type="dxa"/>
          </w:tcPr>
          <w:p w14:paraId="7FC7469E" w14:textId="14E693FD"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Short</w:t>
            </w:r>
            <w:r w:rsidRPr="007C747A">
              <w:rPr>
                <w:rFonts w:eastAsia="DengXian" w:cs="Arial"/>
                <w:sz w:val="20"/>
                <w:szCs w:val="20"/>
                <w:lang w:val="en-AU"/>
              </w:rPr>
              <w:noBreakHyphen/>
              <w:t>term benefits</w:t>
            </w:r>
            <w:r w:rsidR="005907F9" w:rsidRPr="007C747A">
              <w:rPr>
                <w:rFonts w:eastAsia="DengXian" w:cs="Arial"/>
                <w:sz w:val="20"/>
                <w:szCs w:val="20"/>
                <w:lang w:val="en-AU"/>
              </w:rPr>
              <w:t xml:space="preserve"> – </w:t>
            </w:r>
            <w:r w:rsidR="00446814" w:rsidRPr="007C747A">
              <w:rPr>
                <w:rFonts w:eastAsia="DengXian" w:cs="Arial"/>
                <w:sz w:val="20"/>
                <w:szCs w:val="20"/>
                <w:lang w:val="en-AU"/>
              </w:rPr>
              <w:t>a</w:t>
            </w:r>
            <w:r w:rsidR="002D0B31" w:rsidRPr="007C747A">
              <w:rPr>
                <w:rFonts w:eastAsia="DengXian" w:cs="Arial"/>
                <w:sz w:val="20"/>
                <w:szCs w:val="20"/>
                <w:lang w:val="en-AU"/>
              </w:rPr>
              <w:t>verage bonuses</w:t>
            </w:r>
          </w:p>
        </w:tc>
        <w:tc>
          <w:tcPr>
            <w:tcW w:w="1342" w:type="dxa"/>
          </w:tcPr>
          <w:p w14:paraId="1AED086C" w14:textId="53317B0C"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Short</w:t>
            </w:r>
            <w:r w:rsidRPr="007C747A">
              <w:rPr>
                <w:rFonts w:eastAsia="DengXian" w:cs="Arial"/>
                <w:sz w:val="20"/>
                <w:szCs w:val="20"/>
                <w:lang w:val="en-AU"/>
              </w:rPr>
              <w:noBreakHyphen/>
              <w:t xml:space="preserve">term benefits </w:t>
            </w:r>
            <w:r w:rsidR="00446814" w:rsidRPr="007C747A">
              <w:rPr>
                <w:rFonts w:eastAsia="DengXian" w:cs="Arial"/>
                <w:sz w:val="20"/>
                <w:szCs w:val="20"/>
                <w:lang w:val="en-AU"/>
              </w:rPr>
              <w:t>–a</w:t>
            </w:r>
            <w:r w:rsidR="002D0B31" w:rsidRPr="007C747A">
              <w:rPr>
                <w:rFonts w:eastAsia="DengXian" w:cs="Arial"/>
                <w:sz w:val="20"/>
                <w:szCs w:val="20"/>
                <w:lang w:val="en-AU"/>
              </w:rPr>
              <w:t>verage other benefits and allowances</w:t>
            </w:r>
          </w:p>
        </w:tc>
        <w:tc>
          <w:tcPr>
            <w:tcW w:w="1919" w:type="dxa"/>
          </w:tcPr>
          <w:p w14:paraId="1268D5CD" w14:textId="52248D4A"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Post</w:t>
            </w:r>
            <w:r w:rsidRPr="007C747A">
              <w:rPr>
                <w:rFonts w:eastAsia="DengXian" w:cs="Arial"/>
                <w:sz w:val="20"/>
                <w:szCs w:val="20"/>
                <w:lang w:val="en-AU"/>
              </w:rPr>
              <w:noBreakHyphen/>
              <w:t>employment benefits</w:t>
            </w:r>
            <w:r w:rsidR="005907F9" w:rsidRPr="007C747A">
              <w:rPr>
                <w:rFonts w:eastAsia="DengXian" w:cs="Arial"/>
                <w:sz w:val="20"/>
                <w:szCs w:val="20"/>
                <w:lang w:val="en-AU"/>
              </w:rPr>
              <w:t xml:space="preserve"> – </w:t>
            </w:r>
            <w:r w:rsidR="00446814" w:rsidRPr="007C747A">
              <w:rPr>
                <w:rFonts w:eastAsia="DengXian" w:cs="Arial"/>
                <w:sz w:val="20"/>
                <w:szCs w:val="20"/>
                <w:lang w:val="en-AU"/>
              </w:rPr>
              <w:t>a</w:t>
            </w:r>
            <w:r w:rsidR="002D0B31" w:rsidRPr="007C747A">
              <w:rPr>
                <w:rFonts w:eastAsia="DengXian" w:cs="Arial"/>
                <w:sz w:val="20"/>
                <w:szCs w:val="20"/>
                <w:lang w:val="en-AU"/>
              </w:rPr>
              <w:t>verage superannuation contribution</w:t>
            </w:r>
          </w:p>
        </w:tc>
        <w:tc>
          <w:tcPr>
            <w:tcW w:w="1417" w:type="dxa"/>
          </w:tcPr>
          <w:p w14:paraId="5ADEE6A6" w14:textId="3009BB93"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Other long</w:t>
            </w:r>
            <w:r w:rsidRPr="007C747A">
              <w:rPr>
                <w:rFonts w:eastAsia="DengXian" w:cs="Arial"/>
                <w:sz w:val="20"/>
                <w:szCs w:val="20"/>
                <w:lang w:val="en-AU"/>
              </w:rPr>
              <w:noBreakHyphen/>
              <w:t xml:space="preserve">term benefits </w:t>
            </w:r>
            <w:r w:rsidR="00446814" w:rsidRPr="007C747A">
              <w:rPr>
                <w:rFonts w:eastAsia="DengXian" w:cs="Arial"/>
                <w:sz w:val="20"/>
                <w:szCs w:val="20"/>
                <w:lang w:val="en-AU"/>
              </w:rPr>
              <w:t>–a</w:t>
            </w:r>
            <w:r w:rsidR="002D0B31" w:rsidRPr="007C747A">
              <w:rPr>
                <w:rFonts w:eastAsia="DengXian" w:cs="Arial"/>
                <w:sz w:val="20"/>
                <w:szCs w:val="20"/>
                <w:lang w:val="en-AU"/>
              </w:rPr>
              <w:t>verage long service leave</w:t>
            </w:r>
          </w:p>
        </w:tc>
        <w:tc>
          <w:tcPr>
            <w:tcW w:w="1307" w:type="dxa"/>
          </w:tcPr>
          <w:p w14:paraId="34434B97" w14:textId="7660E2AA"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Other long</w:t>
            </w:r>
            <w:r w:rsidRPr="007C747A">
              <w:rPr>
                <w:rFonts w:eastAsia="DengXian" w:cs="Arial"/>
                <w:sz w:val="20"/>
                <w:szCs w:val="20"/>
                <w:lang w:val="en-AU"/>
              </w:rPr>
              <w:noBreakHyphen/>
              <w:t>term benefits</w:t>
            </w:r>
            <w:r w:rsidR="005907F9" w:rsidRPr="007C747A">
              <w:rPr>
                <w:rFonts w:eastAsia="DengXian" w:cs="Arial"/>
                <w:sz w:val="20"/>
                <w:szCs w:val="20"/>
                <w:lang w:val="en-AU"/>
              </w:rPr>
              <w:t xml:space="preserve"> – </w:t>
            </w:r>
            <w:r w:rsidR="00446814" w:rsidRPr="007C747A">
              <w:rPr>
                <w:rFonts w:eastAsia="DengXian" w:cs="Arial"/>
                <w:sz w:val="20"/>
                <w:szCs w:val="20"/>
                <w:lang w:val="en-AU"/>
              </w:rPr>
              <w:t>a</w:t>
            </w:r>
            <w:r w:rsidR="002D0B31" w:rsidRPr="007C747A">
              <w:rPr>
                <w:rFonts w:eastAsia="DengXian" w:cs="Arial"/>
                <w:sz w:val="20"/>
                <w:szCs w:val="20"/>
                <w:lang w:val="en-AU"/>
              </w:rPr>
              <w:t>verage other long</w:t>
            </w:r>
            <w:r w:rsidR="002D0B31" w:rsidRPr="007C747A">
              <w:rPr>
                <w:rFonts w:eastAsia="DengXian" w:cs="Arial"/>
                <w:sz w:val="20"/>
                <w:szCs w:val="20"/>
                <w:lang w:val="en-AU"/>
              </w:rPr>
              <w:noBreakHyphen/>
              <w:t>term benefits</w:t>
            </w:r>
          </w:p>
        </w:tc>
        <w:tc>
          <w:tcPr>
            <w:tcW w:w="1392" w:type="dxa"/>
          </w:tcPr>
          <w:p w14:paraId="14B7BF2B" w14:textId="207E8B9C"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Termination benefits</w:t>
            </w:r>
            <w:r w:rsidR="005907F9" w:rsidRPr="007C747A">
              <w:rPr>
                <w:rFonts w:eastAsia="DengXian" w:cs="Arial"/>
                <w:sz w:val="20"/>
                <w:szCs w:val="20"/>
                <w:lang w:val="en-AU"/>
              </w:rPr>
              <w:t xml:space="preserve"> – </w:t>
            </w:r>
            <w:r w:rsidR="00446814" w:rsidRPr="007C747A">
              <w:rPr>
                <w:rFonts w:eastAsia="DengXian" w:cs="Arial"/>
                <w:sz w:val="20"/>
                <w:szCs w:val="20"/>
                <w:lang w:val="en-AU"/>
              </w:rPr>
              <w:t>a</w:t>
            </w:r>
            <w:r w:rsidR="002D0B31" w:rsidRPr="007C747A">
              <w:rPr>
                <w:rFonts w:eastAsia="DengXian" w:cs="Arial"/>
                <w:sz w:val="20"/>
                <w:szCs w:val="20"/>
                <w:lang w:val="en-AU"/>
              </w:rPr>
              <w:t xml:space="preserve">verage termination benefits </w:t>
            </w:r>
          </w:p>
        </w:tc>
        <w:tc>
          <w:tcPr>
            <w:tcW w:w="1627" w:type="dxa"/>
          </w:tcPr>
          <w:p w14:paraId="682D89E5" w14:textId="37C84A13" w:rsidR="002D0B31" w:rsidRPr="007C747A" w:rsidRDefault="001164A1" w:rsidP="002D0B31">
            <w:pPr>
              <w:spacing w:before="120" w:after="120" w:line="240" w:lineRule="auto"/>
              <w:rPr>
                <w:rFonts w:eastAsia="DengXian" w:cs="Arial"/>
                <w:sz w:val="20"/>
                <w:szCs w:val="20"/>
                <w:lang w:val="en-AU"/>
              </w:rPr>
            </w:pPr>
            <w:r w:rsidRPr="007C747A">
              <w:rPr>
                <w:rFonts w:eastAsia="DengXian" w:cs="Arial"/>
                <w:sz w:val="20"/>
                <w:szCs w:val="20"/>
                <w:lang w:val="en-AU"/>
              </w:rPr>
              <w:t>Total remuneration</w:t>
            </w:r>
            <w:r w:rsidR="005907F9" w:rsidRPr="007C747A">
              <w:rPr>
                <w:rFonts w:eastAsia="DengXian" w:cs="Arial"/>
                <w:sz w:val="20"/>
                <w:szCs w:val="20"/>
                <w:lang w:val="en-AU"/>
              </w:rPr>
              <w:t xml:space="preserve"> – </w:t>
            </w:r>
            <w:r w:rsidR="00446814" w:rsidRPr="007C747A">
              <w:rPr>
                <w:rFonts w:eastAsia="DengXian" w:cs="Arial"/>
                <w:sz w:val="20"/>
                <w:szCs w:val="20"/>
                <w:lang w:val="en-AU"/>
              </w:rPr>
              <w:t>a</w:t>
            </w:r>
            <w:r w:rsidR="002D0B31" w:rsidRPr="007C747A">
              <w:rPr>
                <w:rFonts w:eastAsia="DengXian" w:cs="Arial"/>
                <w:sz w:val="20"/>
                <w:szCs w:val="20"/>
                <w:lang w:val="en-AU"/>
              </w:rPr>
              <w:t>verage total remuneration</w:t>
            </w:r>
          </w:p>
        </w:tc>
      </w:tr>
      <w:tr w:rsidR="003B73DE" w:rsidRPr="007C747A" w14:paraId="0226B2D0" w14:textId="77777777" w:rsidTr="003B73DE">
        <w:trPr>
          <w:cnfStyle w:val="000000100000" w:firstRow="0" w:lastRow="0" w:firstColumn="0" w:lastColumn="0" w:oddVBand="0" w:evenVBand="0" w:oddHBand="1" w:evenHBand="0" w:firstRowFirstColumn="0" w:firstRowLastColumn="0" w:lastRowFirstColumn="0" w:lastRowLastColumn="0"/>
          <w:trHeight w:val="397"/>
          <w:jc w:val="center"/>
        </w:trPr>
        <w:tc>
          <w:tcPr>
            <w:tcW w:w="2355" w:type="dxa"/>
          </w:tcPr>
          <w:p w14:paraId="268B9711" w14:textId="19CE9857" w:rsidR="002D0B31" w:rsidRPr="007C747A" w:rsidRDefault="002D0B31" w:rsidP="002D0B31">
            <w:pPr>
              <w:spacing w:before="120" w:after="120" w:line="240" w:lineRule="auto"/>
              <w:rPr>
                <w:rFonts w:eastAsia="DengXian" w:cs="Arial"/>
                <w:b/>
                <w:bCs/>
                <w:sz w:val="22"/>
                <w:szCs w:val="22"/>
                <w:lang w:val="en-AU"/>
              </w:rPr>
            </w:pPr>
            <w:r w:rsidRPr="007C747A">
              <w:rPr>
                <w:rFonts w:eastAsia="Times New Roman" w:cs="Arial"/>
                <w:b/>
                <w:bCs/>
                <w:sz w:val="22"/>
                <w:szCs w:val="22"/>
                <w:lang w:val="en-AU" w:eastAsia="en-US"/>
              </w:rPr>
              <w:t>$245,001</w:t>
            </w:r>
            <w:r w:rsidR="00446814" w:rsidRPr="007C747A">
              <w:rPr>
                <w:rFonts w:eastAsia="Times New Roman" w:cs="Arial"/>
                <w:b/>
                <w:bCs/>
                <w:sz w:val="22"/>
                <w:szCs w:val="22"/>
                <w:lang w:val="en-AU" w:eastAsia="en-US"/>
              </w:rPr>
              <w:t>–</w:t>
            </w:r>
            <w:r w:rsidRPr="007C747A">
              <w:rPr>
                <w:rFonts w:eastAsia="Times New Roman" w:cs="Arial"/>
                <w:b/>
                <w:bCs/>
                <w:sz w:val="22"/>
                <w:szCs w:val="22"/>
                <w:lang w:val="en-AU" w:eastAsia="en-US"/>
              </w:rPr>
              <w:t>$270,000</w:t>
            </w:r>
          </w:p>
        </w:tc>
        <w:tc>
          <w:tcPr>
            <w:tcW w:w="1237" w:type="dxa"/>
          </w:tcPr>
          <w:p w14:paraId="542F1FAC" w14:textId="43D46DAC"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3</w:t>
            </w:r>
          </w:p>
        </w:tc>
        <w:tc>
          <w:tcPr>
            <w:tcW w:w="1370" w:type="dxa"/>
          </w:tcPr>
          <w:p w14:paraId="2EDEE1AD" w14:textId="47803640"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211,296</w:t>
            </w:r>
          </w:p>
        </w:tc>
        <w:tc>
          <w:tcPr>
            <w:tcW w:w="1275" w:type="dxa"/>
          </w:tcPr>
          <w:p w14:paraId="37847BAC" w14:textId="1CAE1C21"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342" w:type="dxa"/>
          </w:tcPr>
          <w:p w14:paraId="70893672" w14:textId="5E79E086"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919" w:type="dxa"/>
          </w:tcPr>
          <w:p w14:paraId="5AFA9FC2" w14:textId="04A759E9"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33,036</w:t>
            </w:r>
          </w:p>
        </w:tc>
        <w:tc>
          <w:tcPr>
            <w:tcW w:w="1417" w:type="dxa"/>
          </w:tcPr>
          <w:p w14:paraId="19C2B6C0" w14:textId="77777777" w:rsidR="002D0B31" w:rsidRPr="007C747A" w:rsidRDefault="002D0B31" w:rsidP="00AE321D">
            <w:pPr>
              <w:widowControl w:val="0"/>
              <w:autoSpaceDE w:val="0"/>
              <w:autoSpaceDN w:val="0"/>
              <w:spacing w:before="120" w:after="0" w:line="240" w:lineRule="auto"/>
              <w:jc w:val="right"/>
              <w:rPr>
                <w:rFonts w:cs="Arial"/>
                <w:sz w:val="22"/>
                <w:szCs w:val="22"/>
                <w:lang w:val="en-AU" w:eastAsia="en-US"/>
              </w:rPr>
            </w:pPr>
            <w:r w:rsidRPr="007C747A">
              <w:rPr>
                <w:rFonts w:cs="Arial"/>
                <w:sz w:val="22"/>
                <w:szCs w:val="22"/>
                <w:lang w:val="en-AU" w:eastAsia="en-US"/>
              </w:rPr>
              <w:t>3,618</w:t>
            </w:r>
          </w:p>
          <w:p w14:paraId="5BCFC87D" w14:textId="77777777" w:rsidR="002D0B31" w:rsidRPr="007C747A" w:rsidRDefault="002D0B31" w:rsidP="00AE321D">
            <w:pPr>
              <w:spacing w:before="120" w:after="120" w:line="240" w:lineRule="auto"/>
              <w:jc w:val="right"/>
              <w:rPr>
                <w:rFonts w:eastAsia="DengXian" w:cs="Arial"/>
                <w:sz w:val="22"/>
                <w:szCs w:val="22"/>
                <w:lang w:val="en-AU"/>
              </w:rPr>
            </w:pPr>
          </w:p>
        </w:tc>
        <w:tc>
          <w:tcPr>
            <w:tcW w:w="1307" w:type="dxa"/>
          </w:tcPr>
          <w:p w14:paraId="4D4B5CA5" w14:textId="3822CC5E"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392" w:type="dxa"/>
          </w:tcPr>
          <w:p w14:paraId="5F2DFBBC" w14:textId="2A070BEA"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627" w:type="dxa"/>
          </w:tcPr>
          <w:p w14:paraId="021F3451" w14:textId="6B60DAB6"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247,950</w:t>
            </w:r>
          </w:p>
        </w:tc>
      </w:tr>
      <w:tr w:rsidR="003141EB" w:rsidRPr="007C747A" w14:paraId="62DED024" w14:textId="77777777" w:rsidTr="003B73DE">
        <w:trPr>
          <w:trHeight w:val="397"/>
          <w:jc w:val="center"/>
        </w:trPr>
        <w:tc>
          <w:tcPr>
            <w:tcW w:w="2355" w:type="dxa"/>
          </w:tcPr>
          <w:p w14:paraId="26304B8F" w14:textId="25B7087D" w:rsidR="002D0B31" w:rsidRPr="007C747A" w:rsidRDefault="002D0B31" w:rsidP="002D0B31">
            <w:pPr>
              <w:spacing w:before="120" w:after="120" w:line="240" w:lineRule="auto"/>
              <w:rPr>
                <w:rFonts w:eastAsia="DengXian" w:cs="Arial"/>
                <w:b/>
                <w:bCs/>
                <w:sz w:val="22"/>
                <w:szCs w:val="22"/>
                <w:lang w:val="en-AU"/>
              </w:rPr>
            </w:pPr>
            <w:r w:rsidRPr="007C747A">
              <w:rPr>
                <w:rFonts w:eastAsia="Times New Roman" w:cs="Arial"/>
                <w:b/>
                <w:bCs/>
                <w:sz w:val="22"/>
                <w:szCs w:val="22"/>
                <w:lang w:val="en-AU" w:eastAsia="en-US"/>
              </w:rPr>
              <w:t>$270,001</w:t>
            </w:r>
            <w:r w:rsidR="00446814" w:rsidRPr="007C747A">
              <w:rPr>
                <w:rFonts w:eastAsia="Times New Roman" w:cs="Arial"/>
                <w:b/>
                <w:bCs/>
                <w:sz w:val="22"/>
                <w:szCs w:val="22"/>
                <w:lang w:val="en-AU" w:eastAsia="en-US"/>
              </w:rPr>
              <w:t>–</w:t>
            </w:r>
            <w:r w:rsidRPr="007C747A">
              <w:rPr>
                <w:rFonts w:eastAsia="Times New Roman" w:cs="Arial"/>
                <w:b/>
                <w:bCs/>
                <w:sz w:val="22"/>
                <w:szCs w:val="22"/>
                <w:lang w:val="en-AU" w:eastAsia="en-US"/>
              </w:rPr>
              <w:t>$295,000</w:t>
            </w:r>
          </w:p>
        </w:tc>
        <w:tc>
          <w:tcPr>
            <w:tcW w:w="1237" w:type="dxa"/>
          </w:tcPr>
          <w:p w14:paraId="06B833EC" w14:textId="77777777" w:rsidR="002D0B31" w:rsidRPr="007C747A" w:rsidRDefault="002D0B31" w:rsidP="00AE321D">
            <w:pPr>
              <w:widowControl w:val="0"/>
              <w:autoSpaceDE w:val="0"/>
              <w:autoSpaceDN w:val="0"/>
              <w:spacing w:before="120" w:after="0" w:line="240" w:lineRule="auto"/>
              <w:jc w:val="right"/>
              <w:rPr>
                <w:rFonts w:cs="Arial"/>
                <w:sz w:val="22"/>
                <w:szCs w:val="22"/>
                <w:lang w:val="en-AU" w:eastAsia="en-US"/>
              </w:rPr>
            </w:pPr>
            <w:r w:rsidRPr="007C747A">
              <w:rPr>
                <w:rFonts w:cs="Arial"/>
                <w:sz w:val="22"/>
                <w:szCs w:val="22"/>
                <w:lang w:val="en-AU" w:eastAsia="en-US"/>
              </w:rPr>
              <w:t>3</w:t>
            </w:r>
          </w:p>
          <w:p w14:paraId="25CF7362" w14:textId="77777777" w:rsidR="002D0B31" w:rsidRPr="007C747A" w:rsidRDefault="002D0B31" w:rsidP="00AE321D">
            <w:pPr>
              <w:spacing w:before="120" w:after="120" w:line="240" w:lineRule="auto"/>
              <w:jc w:val="right"/>
              <w:rPr>
                <w:rFonts w:eastAsia="DengXian" w:cs="Arial"/>
                <w:sz w:val="22"/>
                <w:szCs w:val="22"/>
                <w:lang w:val="en-AU"/>
              </w:rPr>
            </w:pPr>
          </w:p>
        </w:tc>
        <w:tc>
          <w:tcPr>
            <w:tcW w:w="1370" w:type="dxa"/>
          </w:tcPr>
          <w:p w14:paraId="228A468D" w14:textId="0D427732"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242,645</w:t>
            </w:r>
          </w:p>
        </w:tc>
        <w:tc>
          <w:tcPr>
            <w:tcW w:w="1275" w:type="dxa"/>
          </w:tcPr>
          <w:p w14:paraId="2DC161CC" w14:textId="49E36DD7"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342" w:type="dxa"/>
          </w:tcPr>
          <w:p w14:paraId="6ED18907" w14:textId="34F99F2F"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919" w:type="dxa"/>
          </w:tcPr>
          <w:p w14:paraId="7782BB0A" w14:textId="675C8BE3"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32,597</w:t>
            </w:r>
          </w:p>
        </w:tc>
        <w:tc>
          <w:tcPr>
            <w:tcW w:w="1417" w:type="dxa"/>
          </w:tcPr>
          <w:p w14:paraId="31A95834" w14:textId="77777777" w:rsidR="002D0B31" w:rsidRPr="007C747A" w:rsidRDefault="002D0B31" w:rsidP="00AE321D">
            <w:pPr>
              <w:widowControl w:val="0"/>
              <w:autoSpaceDE w:val="0"/>
              <w:autoSpaceDN w:val="0"/>
              <w:spacing w:before="120" w:after="0" w:line="240" w:lineRule="auto"/>
              <w:jc w:val="right"/>
              <w:rPr>
                <w:rFonts w:cs="Arial"/>
                <w:sz w:val="22"/>
                <w:szCs w:val="22"/>
                <w:lang w:val="en-AU" w:eastAsia="en-US"/>
              </w:rPr>
            </w:pPr>
            <w:r w:rsidRPr="007C747A">
              <w:rPr>
                <w:rFonts w:cs="Arial"/>
                <w:sz w:val="22"/>
                <w:szCs w:val="22"/>
                <w:lang w:val="en-AU" w:eastAsia="en-US"/>
              </w:rPr>
              <w:t>3,927</w:t>
            </w:r>
          </w:p>
          <w:p w14:paraId="6D4E653E" w14:textId="77777777" w:rsidR="002D0B31" w:rsidRPr="007C747A" w:rsidRDefault="002D0B31" w:rsidP="00AE321D">
            <w:pPr>
              <w:spacing w:before="120" w:after="120" w:line="240" w:lineRule="auto"/>
              <w:jc w:val="right"/>
              <w:rPr>
                <w:rFonts w:eastAsia="DengXian" w:cs="Arial"/>
                <w:sz w:val="22"/>
                <w:szCs w:val="22"/>
                <w:lang w:val="en-AU"/>
              </w:rPr>
            </w:pPr>
          </w:p>
        </w:tc>
        <w:tc>
          <w:tcPr>
            <w:tcW w:w="1307" w:type="dxa"/>
          </w:tcPr>
          <w:p w14:paraId="738EEA0A" w14:textId="7DCDE6BB"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392" w:type="dxa"/>
          </w:tcPr>
          <w:p w14:paraId="4CB57ED6" w14:textId="5F1981A1"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0</w:t>
            </w:r>
          </w:p>
        </w:tc>
        <w:tc>
          <w:tcPr>
            <w:tcW w:w="1627" w:type="dxa"/>
          </w:tcPr>
          <w:p w14:paraId="69CFC5A9" w14:textId="708ED454" w:rsidR="002D0B31" w:rsidRPr="007C747A" w:rsidRDefault="002D0B31" w:rsidP="00AE321D">
            <w:pPr>
              <w:spacing w:before="120" w:after="120" w:line="240" w:lineRule="auto"/>
              <w:jc w:val="right"/>
              <w:rPr>
                <w:rFonts w:eastAsia="DengXian" w:cs="Arial"/>
                <w:sz w:val="22"/>
                <w:szCs w:val="22"/>
                <w:lang w:val="en-AU"/>
              </w:rPr>
            </w:pPr>
            <w:r w:rsidRPr="007C747A">
              <w:rPr>
                <w:rFonts w:cs="Arial"/>
                <w:sz w:val="22"/>
                <w:szCs w:val="22"/>
                <w:lang w:val="en-AU" w:eastAsia="en-US"/>
              </w:rPr>
              <w:t>279,169</w:t>
            </w:r>
          </w:p>
        </w:tc>
      </w:tr>
    </w:tbl>
    <w:p w14:paraId="2E4459AA" w14:textId="77777777" w:rsidR="00A76976" w:rsidRPr="007C747A" w:rsidRDefault="00A76976" w:rsidP="00F7256F">
      <w:pPr>
        <w:pStyle w:val="FGCNORMAL"/>
        <w:sectPr w:rsidR="00A76976" w:rsidRPr="007C747A" w:rsidSect="00BD3475">
          <w:pgSz w:w="16840" w:h="11907" w:orient="landscape" w:code="9"/>
          <w:pgMar w:top="1134" w:right="1021" w:bottom="567" w:left="1440" w:header="0" w:footer="0" w:gutter="0"/>
          <w:cols w:space="708"/>
          <w:titlePg/>
          <w:docGrid w:linePitch="360"/>
        </w:sectPr>
      </w:pPr>
    </w:p>
    <w:p w14:paraId="773B8794" w14:textId="77777777" w:rsidR="00C032AB" w:rsidRPr="007C747A" w:rsidRDefault="00C032AB" w:rsidP="00DD0DAE">
      <w:pPr>
        <w:pStyle w:val="FGCHEADING2"/>
      </w:pPr>
      <w:bookmarkStart w:id="815" w:name="_Toc142573755"/>
      <w:bookmarkStart w:id="816" w:name="_Toc146289484"/>
      <w:bookmarkStart w:id="817" w:name="_Toc148108435"/>
      <w:r w:rsidRPr="007C747A">
        <w:t>Reports by parliamentary committees</w:t>
      </w:r>
      <w:bookmarkEnd w:id="815"/>
      <w:bookmarkEnd w:id="816"/>
      <w:bookmarkEnd w:id="817"/>
    </w:p>
    <w:p w14:paraId="41CD3D9D" w14:textId="77777777" w:rsidR="00C032AB" w:rsidRPr="007C747A" w:rsidRDefault="00C032AB" w:rsidP="008E637C">
      <w:pPr>
        <w:pStyle w:val="Style3-NoNumbering"/>
      </w:pPr>
      <w:bookmarkStart w:id="818" w:name="_Toc142573756"/>
      <w:r w:rsidRPr="007C747A">
        <w:t>Joint Standing Committee on the National Disability Insurance Scheme</w:t>
      </w:r>
      <w:bookmarkEnd w:id="818"/>
    </w:p>
    <w:p w14:paraId="79C18BD2" w14:textId="77777777" w:rsidR="00C032AB" w:rsidRPr="007C747A" w:rsidRDefault="00C032AB" w:rsidP="0081258B">
      <w:pPr>
        <w:pStyle w:val="FGCNORMAL"/>
        <w:spacing w:line="240" w:lineRule="auto"/>
      </w:pPr>
      <w:r w:rsidRPr="007C747A">
        <w:t>The Joint Standing Committee on the National Disability Insurance Scheme (JSC) was appointed by resolution by the House of Representatives on 26 July 2022 and the Senate on 27 July 2022.</w:t>
      </w:r>
      <w:r w:rsidRPr="007C747A">
        <w:rPr>
          <w:rStyle w:val="FootnoteReference"/>
        </w:rPr>
        <w:footnoteReference w:id="22"/>
      </w:r>
      <w:r w:rsidRPr="007C747A">
        <w:t xml:space="preserve"> The committee is composed of 5 senators and 5 members. It is tasked with inquiring into: </w:t>
      </w:r>
    </w:p>
    <w:p w14:paraId="111DE4B0" w14:textId="77777777" w:rsidR="00C032AB" w:rsidRPr="007C747A" w:rsidRDefault="00C032AB" w:rsidP="00C032AB">
      <w:pPr>
        <w:pStyle w:val="FGCBULLET1"/>
        <w:spacing w:line="240" w:lineRule="auto"/>
        <w:ind w:left="1366" w:hanging="357"/>
      </w:pPr>
      <w:r w:rsidRPr="007C747A">
        <w:t xml:space="preserve">the implementation, performance and governance of the NDIS </w:t>
      </w:r>
    </w:p>
    <w:p w14:paraId="42DAEEE8" w14:textId="77777777" w:rsidR="00C032AB" w:rsidRPr="007C747A" w:rsidRDefault="00C032AB" w:rsidP="00C032AB">
      <w:pPr>
        <w:pStyle w:val="FGCBULLET1"/>
        <w:spacing w:line="240" w:lineRule="auto"/>
        <w:ind w:left="1366" w:hanging="357"/>
      </w:pPr>
      <w:r w:rsidRPr="007C747A">
        <w:t xml:space="preserve">the administration and expenditure of the NDIS </w:t>
      </w:r>
    </w:p>
    <w:p w14:paraId="640C123F" w14:textId="77777777" w:rsidR="00C032AB" w:rsidRPr="007C747A" w:rsidRDefault="00C032AB" w:rsidP="00C032AB">
      <w:pPr>
        <w:pStyle w:val="FGCBULLET1"/>
        <w:spacing w:line="240" w:lineRule="auto"/>
        <w:ind w:left="1366" w:hanging="357"/>
      </w:pPr>
      <w:r w:rsidRPr="007C747A">
        <w:t>the current scheme implementation and forecasting</w:t>
      </w:r>
    </w:p>
    <w:p w14:paraId="3E24DE2B" w14:textId="77777777" w:rsidR="00C032AB" w:rsidRPr="007C747A" w:rsidRDefault="00C032AB" w:rsidP="00C032AB">
      <w:pPr>
        <w:pStyle w:val="FGCBULLET1"/>
        <w:spacing w:line="240" w:lineRule="auto"/>
        <w:ind w:left="1366" w:hanging="357"/>
      </w:pPr>
      <w:r w:rsidRPr="007C747A">
        <w:t xml:space="preserve">such other matters in relation to the NDIS as may be referred to it by either House of the Parliament. </w:t>
      </w:r>
    </w:p>
    <w:p w14:paraId="276BE4F3" w14:textId="77777777" w:rsidR="00C032AB" w:rsidRPr="007C747A" w:rsidRDefault="00C032AB" w:rsidP="00C032AB">
      <w:pPr>
        <w:pStyle w:val="FGCNORMAL"/>
      </w:pPr>
      <w:r w:rsidRPr="007C747A">
        <w:t xml:space="preserve">In 2022–23 the NDIA participated in 2 inquiries by the JSC: </w:t>
      </w:r>
    </w:p>
    <w:p w14:paraId="713B0322" w14:textId="77777777" w:rsidR="00C032AB" w:rsidRPr="007C747A" w:rsidRDefault="00C032AB" w:rsidP="00C032AB">
      <w:pPr>
        <w:pStyle w:val="FGCBULLET1"/>
        <w:spacing w:line="240" w:lineRule="auto"/>
        <w:ind w:left="1366" w:hanging="357"/>
      </w:pPr>
      <w:r w:rsidRPr="007C747A">
        <w:t>Inquiry into General Issues around the Implementation and Performance of the NDIS</w:t>
      </w:r>
    </w:p>
    <w:p w14:paraId="7FF42CC7" w14:textId="77777777" w:rsidR="00C032AB" w:rsidRPr="007C747A" w:rsidRDefault="00C032AB" w:rsidP="00C032AB">
      <w:pPr>
        <w:pStyle w:val="FGCBULLET1"/>
        <w:spacing w:line="240" w:lineRule="auto"/>
        <w:ind w:left="1366" w:hanging="357"/>
      </w:pPr>
      <w:r w:rsidRPr="007C747A">
        <w:t>Inquiry into Capability and Culture of the NDIA.</w:t>
      </w:r>
    </w:p>
    <w:p w14:paraId="5566D131" w14:textId="77777777" w:rsidR="00C032AB" w:rsidRPr="007C747A" w:rsidRDefault="00C032AB" w:rsidP="00C032AB">
      <w:pPr>
        <w:pStyle w:val="FGCNORMAL"/>
      </w:pPr>
      <w:r w:rsidRPr="007C747A">
        <w:t>In 2022–23 the JSC tabled one interim report of the Inquiry into Capability and Culture of the NDIA.</w:t>
      </w:r>
    </w:p>
    <w:p w14:paraId="64742B3A" w14:textId="77777777" w:rsidR="00C032AB" w:rsidRPr="007C747A" w:rsidRDefault="00C032AB" w:rsidP="008E637C">
      <w:pPr>
        <w:pStyle w:val="Style3-NoNumbering"/>
      </w:pPr>
      <w:bookmarkStart w:id="819" w:name="_Toc142573757"/>
      <w:r w:rsidRPr="007C747A">
        <w:t>Senate Standing Committee on Community Affairs Legislation Committee</w:t>
      </w:r>
      <w:bookmarkEnd w:id="819"/>
    </w:p>
    <w:p w14:paraId="57AB3586" w14:textId="77777777" w:rsidR="00C032AB" w:rsidRPr="007C747A" w:rsidRDefault="00C032AB" w:rsidP="00C032AB">
      <w:pPr>
        <w:pStyle w:val="FGCNORMAL"/>
      </w:pPr>
      <w:r w:rsidRPr="007C747A">
        <w:t>In 2022–23 the NDIA appeared at 4 Senate Estimates hearings before the Senate Community Affairs Legislation Committee for Budget and Additional Estimates, including one spill-over hearing for Additional Estimates.</w:t>
      </w:r>
    </w:p>
    <w:p w14:paraId="5E312D45" w14:textId="77777777" w:rsidR="00C032AB" w:rsidRPr="007C747A" w:rsidRDefault="00C032AB" w:rsidP="008E637C">
      <w:pPr>
        <w:pStyle w:val="Style3-NoNumbering"/>
      </w:pPr>
      <w:bookmarkStart w:id="820" w:name="_Toc142573758"/>
      <w:r w:rsidRPr="007C747A">
        <w:t>Senate Standing Committee on Community Affairs References Committee</w:t>
      </w:r>
      <w:bookmarkEnd w:id="820"/>
    </w:p>
    <w:p w14:paraId="1FA296DF" w14:textId="79CD76CD" w:rsidR="00C032AB" w:rsidRPr="007C747A" w:rsidRDefault="00C032AB" w:rsidP="00031D26">
      <w:pPr>
        <w:pStyle w:val="FGCNORMAL"/>
        <w:spacing w:line="240" w:lineRule="auto"/>
      </w:pPr>
      <w:r w:rsidRPr="007C747A">
        <w:t>In 2022–23 the Senate Community Affairs References Committee inquired into the barriers to consistent, timely and best practice assessment of attention deficit hyperactivity disorder (ADHD) and support services for people with ADHD. The NDIA attended a hearing on 29</w:t>
      </w:r>
      <w:r w:rsidR="00DC40AD" w:rsidRPr="007C747A">
        <w:t> </w:t>
      </w:r>
      <w:r w:rsidRPr="007C747A">
        <w:t>June 2023. The final report of the inquiry is due to be tabled by 27 September 2023.</w:t>
      </w:r>
    </w:p>
    <w:p w14:paraId="3B82A495" w14:textId="77777777" w:rsidR="00C032AB" w:rsidRPr="007C747A" w:rsidRDefault="00C032AB" w:rsidP="00031D26">
      <w:pPr>
        <w:pStyle w:val="FGCNORMAL"/>
        <w:spacing w:line="240" w:lineRule="auto"/>
      </w:pPr>
      <w:r w:rsidRPr="007C747A">
        <w:t>The committee also inquired into universal access to reproductive healthcare. The NDIA provided input to the Department of Health and Aged Care submission to the inquiry. The committee tabled its final report of the inquiry on 25 May 2023.</w:t>
      </w:r>
    </w:p>
    <w:p w14:paraId="1DF0AB1E" w14:textId="77777777" w:rsidR="00C032AB" w:rsidRPr="007C747A" w:rsidRDefault="00C032AB" w:rsidP="008E637C">
      <w:pPr>
        <w:pStyle w:val="Style3-NoNumbering"/>
      </w:pPr>
      <w:bookmarkStart w:id="821" w:name="_Toc142573759"/>
      <w:r w:rsidRPr="007C747A">
        <w:t>Senate Standing Committee on Finance and Public Administration</w:t>
      </w:r>
      <w:bookmarkEnd w:id="821"/>
      <w:r w:rsidRPr="007C747A">
        <w:t xml:space="preserve"> </w:t>
      </w:r>
    </w:p>
    <w:p w14:paraId="34E16036" w14:textId="77777777" w:rsidR="00C032AB" w:rsidRPr="007C747A" w:rsidRDefault="00C032AB" w:rsidP="00031D26">
      <w:pPr>
        <w:pStyle w:val="FGCNORMAL"/>
        <w:spacing w:line="240" w:lineRule="auto"/>
        <w:rPr>
          <w:highlight w:val="yellow"/>
        </w:rPr>
      </w:pPr>
      <w:r w:rsidRPr="007C747A">
        <w:t>In 2022–23 the Senate Standing Committee on Finance and Public Administration inquired into the management and assurance of integrity by consulting services. On 16 May 2023 the NDIA provided a submission to the inquiry. The committee was initially due to report by 26 September 2023. On 16 June 2023 the Senate agreed to extend the presentation of the final report until 30 November 2023.</w:t>
      </w:r>
      <w:r w:rsidRPr="007C747A">
        <w:rPr>
          <w:highlight w:val="yellow"/>
        </w:rPr>
        <w:t xml:space="preserve"> </w:t>
      </w:r>
    </w:p>
    <w:p w14:paraId="4534C7F1" w14:textId="77777777" w:rsidR="00C032AB" w:rsidRPr="007C747A" w:rsidRDefault="00C032AB" w:rsidP="008E637C">
      <w:pPr>
        <w:pStyle w:val="Style3-NoNumbering"/>
      </w:pPr>
      <w:bookmarkStart w:id="822" w:name="_Toc142573760"/>
      <w:r w:rsidRPr="007C747A">
        <w:t>Joint Committee of Public Accounts and Audit</w:t>
      </w:r>
      <w:bookmarkEnd w:id="822"/>
      <w:r w:rsidRPr="007C747A">
        <w:t xml:space="preserve"> </w:t>
      </w:r>
    </w:p>
    <w:p w14:paraId="14E7379A" w14:textId="5A539D0B" w:rsidR="00C032AB" w:rsidRPr="007C747A" w:rsidRDefault="00C032AB" w:rsidP="00031D26">
      <w:pPr>
        <w:pStyle w:val="FGCNORMAL"/>
        <w:spacing w:line="240" w:lineRule="auto"/>
      </w:pPr>
      <w:r w:rsidRPr="007C747A">
        <w:t>In 2022–23 the Joint Committee of Public Accounts and Audit (JCPAA) inquired into Commonwealth procurement. The NDIA attended a hearing with Services Australia on 14</w:t>
      </w:r>
      <w:r w:rsidR="00DC40AD" w:rsidRPr="007C747A">
        <w:t> </w:t>
      </w:r>
      <w:r w:rsidRPr="007C747A">
        <w:t xml:space="preserve">April 2023. </w:t>
      </w:r>
    </w:p>
    <w:p w14:paraId="054CDAA0" w14:textId="54BC9187" w:rsidR="00C032AB" w:rsidRPr="007C747A" w:rsidRDefault="00C032AB" w:rsidP="00031D26">
      <w:pPr>
        <w:pStyle w:val="FGCNORMAL"/>
        <w:spacing w:line="240" w:lineRule="auto"/>
      </w:pPr>
      <w:r w:rsidRPr="007C747A">
        <w:t xml:space="preserve">On 12 May 2023, following the publication of the report of the Independent Review of Services Australia and NDIA Procurement and Contracting (the Watt review), the JCPAA established its own separate inquiry into procurement at Services Australia and the </w:t>
      </w:r>
      <w:r w:rsidR="00DC40AD" w:rsidRPr="007C747A">
        <w:t>NDIA</w:t>
      </w:r>
      <w:r w:rsidRPr="007C747A">
        <w:t xml:space="preserve"> to specifically consider procurement issues arising from the Watt review.</w:t>
      </w:r>
    </w:p>
    <w:p w14:paraId="706BF122" w14:textId="6127BC69" w:rsidR="00C032AB" w:rsidRPr="007C747A" w:rsidRDefault="00C032AB" w:rsidP="00031D26">
      <w:pPr>
        <w:pStyle w:val="FGCNORMAL"/>
        <w:spacing w:line="240" w:lineRule="auto"/>
      </w:pPr>
      <w:r w:rsidRPr="007C747A">
        <w:t>The JCPAA also inquired into Commonwealth Financial Statements 2021–22: Auditor-General Report No. 8 of (2022–23). The NDIA provided a submission to the inquiry on 6</w:t>
      </w:r>
      <w:r w:rsidR="00DC40AD" w:rsidRPr="007C747A">
        <w:t> </w:t>
      </w:r>
      <w:r w:rsidRPr="007C747A">
        <w:t xml:space="preserve">May 2023 and attended a public hearing on 16 June 2023. In June 2023 the JCPAA tabled its report of the inquiry. </w:t>
      </w:r>
    </w:p>
    <w:p w14:paraId="780E8A5A" w14:textId="70617C2B" w:rsidR="00C032AB" w:rsidRPr="007C747A" w:rsidRDefault="00C032AB" w:rsidP="001E2D18">
      <w:pPr>
        <w:pStyle w:val="FGCHEADING3"/>
        <w:numPr>
          <w:ilvl w:val="2"/>
          <w:numId w:val="33"/>
        </w:numPr>
      </w:pPr>
      <w:bookmarkStart w:id="823" w:name="_Toc142039669"/>
      <w:bookmarkStart w:id="824" w:name="_Toc142047777"/>
      <w:bookmarkStart w:id="825" w:name="_Toc142563024"/>
      <w:bookmarkStart w:id="826" w:name="_Toc142573761"/>
      <w:bookmarkStart w:id="827" w:name="_Toc146289485"/>
      <w:r w:rsidRPr="007C747A">
        <w:t>Royal Commission</w:t>
      </w:r>
      <w:bookmarkEnd w:id="823"/>
      <w:bookmarkEnd w:id="824"/>
      <w:bookmarkEnd w:id="825"/>
      <w:bookmarkEnd w:id="826"/>
      <w:bookmarkEnd w:id="827"/>
    </w:p>
    <w:p w14:paraId="60DE9934" w14:textId="77777777" w:rsidR="00C032AB" w:rsidRPr="007C747A" w:rsidRDefault="00C032AB" w:rsidP="001B2546">
      <w:pPr>
        <w:pStyle w:val="FGCHEADING4"/>
        <w:rPr>
          <w:lang w:val="en-AU"/>
        </w:rPr>
      </w:pPr>
      <w:r w:rsidRPr="007C747A">
        <w:rPr>
          <w:lang w:val="en-AU"/>
        </w:rPr>
        <w:t>Royal Commission into Violence, Abuse, Neglect and Exploitation of People with Disability</w:t>
      </w:r>
    </w:p>
    <w:p w14:paraId="56A83921" w14:textId="77777777" w:rsidR="00C032AB" w:rsidRPr="007C747A" w:rsidRDefault="00C032AB" w:rsidP="00031D26">
      <w:pPr>
        <w:pStyle w:val="FGCNORMAL"/>
        <w:spacing w:line="240" w:lineRule="auto"/>
        <w:rPr>
          <w:rFonts w:ascii="Calibri" w:eastAsiaTheme="minorHAnsi" w:hAnsi="Calibri" w:cs="Calibri"/>
          <w:lang w:eastAsia="en-US"/>
        </w:rPr>
      </w:pPr>
      <w:r w:rsidRPr="007C747A">
        <w:t xml:space="preserve">The Royal Commission into Violence, Abuse, Neglect and Exploitation of People with Disability was established in April 2019 in response to community concern about widespread reports of violence against, and the neglect, abuse and exploitation of, people with disability. The Royal Commission is investigating: </w:t>
      </w:r>
    </w:p>
    <w:p w14:paraId="0EA48DA5" w14:textId="77777777" w:rsidR="00C032AB" w:rsidRPr="007C747A" w:rsidRDefault="00C032AB" w:rsidP="00031D26">
      <w:pPr>
        <w:pStyle w:val="FGCBULLET1"/>
        <w:spacing w:line="240" w:lineRule="auto"/>
      </w:pPr>
      <w:r w:rsidRPr="007C747A">
        <w:t xml:space="preserve">preventing and better protecting people with disability from experiencing violence, abuse, neglect and exploitation </w:t>
      </w:r>
    </w:p>
    <w:p w14:paraId="59DAA092" w14:textId="77777777" w:rsidR="00C032AB" w:rsidRPr="007C747A" w:rsidRDefault="00C032AB" w:rsidP="00031D26">
      <w:pPr>
        <w:pStyle w:val="FGCBULLET1"/>
        <w:spacing w:line="240" w:lineRule="auto"/>
      </w:pPr>
      <w:r w:rsidRPr="007C747A">
        <w:t xml:space="preserve">achieving best practice in reporting, investigating and responding to violence, abuse, neglect and exploitation of people with disability </w:t>
      </w:r>
    </w:p>
    <w:p w14:paraId="334EF2A2" w14:textId="77777777" w:rsidR="00C032AB" w:rsidRPr="007C747A" w:rsidRDefault="00C032AB" w:rsidP="00031D26">
      <w:pPr>
        <w:pStyle w:val="FGCBULLET1"/>
        <w:spacing w:line="240" w:lineRule="auto"/>
      </w:pPr>
      <w:r w:rsidRPr="007C747A">
        <w:t xml:space="preserve">promoting a more inclusive society that supports people with disability to be independent and live free from violence, abuse, neglect and exploitation. </w:t>
      </w:r>
    </w:p>
    <w:p w14:paraId="76BEF269" w14:textId="77777777" w:rsidR="00C032AB" w:rsidRPr="007C747A" w:rsidRDefault="00C032AB" w:rsidP="00031D26">
      <w:pPr>
        <w:pStyle w:val="FGCNORMAL"/>
        <w:spacing w:line="240" w:lineRule="auto"/>
        <w:rPr>
          <w:rFonts w:eastAsia="Times New Roman"/>
        </w:rPr>
      </w:pPr>
      <w:r w:rsidRPr="007C747A">
        <w:t xml:space="preserve">In 2022–23 the NDIA responded to 14 notices to produce documents or to give a statement, had 7 witnesses appear at 6 public hearings, and contributed to 11 Commonwealth responses to counsel assisting’s submissions. </w:t>
      </w:r>
    </w:p>
    <w:p w14:paraId="1666A3E1" w14:textId="657CA8FC" w:rsidR="00C032AB" w:rsidRPr="007C747A" w:rsidRDefault="00C032AB" w:rsidP="00031D26">
      <w:pPr>
        <w:pStyle w:val="FGCNORMAL"/>
        <w:spacing w:line="240" w:lineRule="auto"/>
        <w:rPr>
          <w:rFonts w:eastAsia="Times New Roman"/>
        </w:rPr>
      </w:pPr>
      <w:r w:rsidRPr="007C747A">
        <w:rPr>
          <w:rFonts w:eastAsia="Times New Roman"/>
        </w:rPr>
        <w:t xml:space="preserve">The NDIA will support the Australian Government’s response to the Royal Commission’s final report, which </w:t>
      </w:r>
      <w:r w:rsidR="009F4DC6" w:rsidRPr="007C747A">
        <w:rPr>
          <w:rFonts w:eastAsia="Times New Roman"/>
        </w:rPr>
        <w:t>was released on</w:t>
      </w:r>
      <w:r w:rsidRPr="007C747A">
        <w:rPr>
          <w:rFonts w:eastAsia="Times New Roman"/>
        </w:rPr>
        <w:t xml:space="preserve"> 29 September 2023. </w:t>
      </w:r>
    </w:p>
    <w:p w14:paraId="7AA99A6B" w14:textId="77777777" w:rsidR="00C032AB" w:rsidRPr="007C747A" w:rsidRDefault="00C032AB" w:rsidP="001B2546">
      <w:pPr>
        <w:pStyle w:val="FGCHEADING2"/>
      </w:pPr>
      <w:bookmarkStart w:id="828" w:name="_Toc142039670"/>
      <w:bookmarkStart w:id="829" w:name="_Toc142047778"/>
      <w:bookmarkStart w:id="830" w:name="_Toc142563025"/>
      <w:bookmarkStart w:id="831" w:name="_Toc142573762"/>
      <w:bookmarkStart w:id="832" w:name="_Toc146289486"/>
      <w:bookmarkStart w:id="833" w:name="_Toc148108436"/>
      <w:r w:rsidRPr="007C747A">
        <w:t>Judicial decisions and external reviews</w:t>
      </w:r>
      <w:bookmarkEnd w:id="828"/>
      <w:bookmarkEnd w:id="829"/>
      <w:bookmarkEnd w:id="830"/>
      <w:bookmarkEnd w:id="831"/>
      <w:bookmarkEnd w:id="832"/>
      <w:bookmarkEnd w:id="833"/>
    </w:p>
    <w:p w14:paraId="5795F71A" w14:textId="77777777" w:rsidR="00C032AB" w:rsidRPr="007C747A" w:rsidRDefault="00C032AB" w:rsidP="00C032AB">
      <w:pPr>
        <w:pStyle w:val="FGCNORMAL"/>
      </w:pPr>
      <w:r w:rsidRPr="007C747A">
        <w:t>The operations of the NDIA and decisions made in the delivery of the NDIS are subject to scrutiny by external entities.</w:t>
      </w:r>
    </w:p>
    <w:p w14:paraId="2F358094" w14:textId="77777777" w:rsidR="00C032AB" w:rsidRPr="007C747A" w:rsidRDefault="00C032AB" w:rsidP="008E637C">
      <w:pPr>
        <w:pStyle w:val="Style3-NoNumbering"/>
      </w:pPr>
      <w:bookmarkStart w:id="834" w:name="_Toc142573763"/>
      <w:r w:rsidRPr="007C747A">
        <w:t>Administrative Appeals Tribunal appeals – Federal Court of Australia</w:t>
      </w:r>
      <w:bookmarkEnd w:id="834"/>
      <w:r w:rsidRPr="007C747A">
        <w:t xml:space="preserve"> </w:t>
      </w:r>
    </w:p>
    <w:p w14:paraId="32928954" w14:textId="77777777" w:rsidR="00C032AB" w:rsidRPr="007C747A" w:rsidRDefault="00C032AB" w:rsidP="0024140A">
      <w:pPr>
        <w:pStyle w:val="FGCNORMAL"/>
        <w:spacing w:line="240" w:lineRule="auto"/>
      </w:pPr>
      <w:r w:rsidRPr="007C747A">
        <w:t>The Federal Court handed down 4 substantive decisions during 2022–23.</w:t>
      </w:r>
    </w:p>
    <w:p w14:paraId="3AAB3402" w14:textId="77777777" w:rsidR="00C032AB" w:rsidRPr="007C747A" w:rsidRDefault="00C032AB" w:rsidP="0024140A">
      <w:pPr>
        <w:pStyle w:val="FGCNORMAL"/>
        <w:spacing w:line="240" w:lineRule="auto"/>
      </w:pPr>
      <w:r w:rsidRPr="007C747A">
        <w:t xml:space="preserve">Reasons for the decision in </w:t>
      </w:r>
      <w:r w:rsidRPr="007C747A">
        <w:rPr>
          <w:i/>
          <w:iCs/>
        </w:rPr>
        <w:t>National Disability Insurance Agency v Davis [2022] FCA 1002</w:t>
      </w:r>
      <w:r w:rsidRPr="007C747A">
        <w:t xml:space="preserve"> were published on 29 August 2022, concerning the meaning of a ‘permanent’ impairment under section 24(1)(b) of the NDIS Act. The Court held that the Administrative Appeals Tribunal (AAT) had correctly construed rule 5.4 of the National Disability Insurance Scheme</w:t>
      </w:r>
      <w:r w:rsidRPr="007C747A" w:rsidDel="00197256">
        <w:t xml:space="preserve"> </w:t>
      </w:r>
      <w:r w:rsidRPr="007C747A">
        <w:t>(Becoming a Participant) Rules 2016 (Cth) when it found that a treatment was not ‘available’ because it was not affordable to the participant.</w:t>
      </w:r>
    </w:p>
    <w:p w14:paraId="54F6F80F" w14:textId="77777777" w:rsidR="00C032AB" w:rsidRPr="007C747A" w:rsidRDefault="00C032AB" w:rsidP="0024140A">
      <w:pPr>
        <w:pStyle w:val="FGCNORMAL"/>
        <w:spacing w:line="240" w:lineRule="auto"/>
      </w:pPr>
      <w:r w:rsidRPr="007C747A">
        <w:t xml:space="preserve">Reasons for the decision in </w:t>
      </w:r>
      <w:r w:rsidRPr="007C747A">
        <w:rPr>
          <w:i/>
          <w:iCs/>
        </w:rPr>
        <w:t>National Disability Insurance Agency v KKTB, by her litigation representative CVY22 [2022] FCAFC 181</w:t>
      </w:r>
      <w:r w:rsidRPr="007C747A">
        <w:t xml:space="preserve"> were published on 17 November 2022. The Court held that it was open, on the evidence, for the AAT to find that funding for a registered nurse was reasonable and necessary, rather than funding for disability support workers under the supervision of a registered nurse (which was submitted by the Agency as a value-for-money alternative).</w:t>
      </w:r>
    </w:p>
    <w:p w14:paraId="21972E4B" w14:textId="3FEFB636" w:rsidR="00C032AB" w:rsidRPr="007C747A" w:rsidRDefault="00C032AB" w:rsidP="0024140A">
      <w:pPr>
        <w:pStyle w:val="FGCNORMAL"/>
        <w:spacing w:line="240" w:lineRule="auto"/>
      </w:pPr>
      <w:r w:rsidRPr="007C747A">
        <w:t xml:space="preserve">Reasons for the decision in </w:t>
      </w:r>
      <w:r w:rsidRPr="007C747A">
        <w:rPr>
          <w:i/>
          <w:iCs/>
        </w:rPr>
        <w:t>National Disability Insurance Agency v Foster [2023] FCAFC</w:t>
      </w:r>
      <w:r w:rsidR="00DC40AD" w:rsidRPr="007C747A">
        <w:rPr>
          <w:i/>
          <w:iCs/>
        </w:rPr>
        <w:t> </w:t>
      </w:r>
      <w:r w:rsidRPr="007C747A">
        <w:rPr>
          <w:i/>
          <w:iCs/>
        </w:rPr>
        <w:t>11</w:t>
      </w:r>
      <w:r w:rsidRPr="007C747A">
        <w:t xml:space="preserve"> were published by the Full Federal Court of Australia on 17 February 2023. The Court agreed with the Agency’s arguments in finding that the AAT had misconstrued rule</w:t>
      </w:r>
      <w:r w:rsidR="00DC40AD" w:rsidRPr="007C747A">
        <w:t> </w:t>
      </w:r>
      <w:r w:rsidRPr="007C747A">
        <w:t>5.8 of the National Disability Insurance Scheme</w:t>
      </w:r>
      <w:r w:rsidRPr="007C747A" w:rsidDel="00197256">
        <w:t xml:space="preserve"> </w:t>
      </w:r>
      <w:r w:rsidRPr="007C747A">
        <w:t>(Becoming a Participant) Rules 2016 (Cth) when it deemed Mr Foster to be unable to participate effectively or completely in the activity of self-care due solely to the use of a catheter. The Court also held that the need for lifetime support under section 24(1)(e) of the NDIS Act is in respect of a substantially reduced functional capacity to participate in an ‘activity’ as assessed under section</w:t>
      </w:r>
      <w:r w:rsidR="00DC40AD" w:rsidRPr="007C747A">
        <w:t> </w:t>
      </w:r>
      <w:r w:rsidRPr="007C747A">
        <w:t xml:space="preserve">24(1)(c) of the NDIS Act. </w:t>
      </w:r>
    </w:p>
    <w:p w14:paraId="3FD7BABA" w14:textId="77777777" w:rsidR="00C032AB" w:rsidRPr="007C747A" w:rsidRDefault="00C032AB" w:rsidP="0024140A">
      <w:pPr>
        <w:pStyle w:val="FGCNORMAL"/>
        <w:spacing w:line="240" w:lineRule="auto"/>
      </w:pPr>
      <w:r w:rsidRPr="007C747A">
        <w:t xml:space="preserve">Reasons for the decision in </w:t>
      </w:r>
      <w:r w:rsidRPr="007C747A">
        <w:rPr>
          <w:i/>
          <w:iCs/>
        </w:rPr>
        <w:t>Klewer v National Disability Insurance Agency [2023] FCA 630</w:t>
      </w:r>
      <w:r w:rsidRPr="007C747A">
        <w:t xml:space="preserve"> were published by the Federal Court of Australia on 15 June 2023. The Court held that the AAT had denied the participant procedural fairness when it doubted the genuineness of Mr Klewer’s views, in circumstances where he had not been called to give evidence. The matter has been remitted for further decision by the Tribunal. The other 5 errors alleged by the participant were dismissed by the Court.</w:t>
      </w:r>
    </w:p>
    <w:p w14:paraId="52235659" w14:textId="77777777" w:rsidR="00C032AB" w:rsidRPr="007C747A" w:rsidRDefault="00C032AB" w:rsidP="008E637C">
      <w:pPr>
        <w:pStyle w:val="Style3-NoNumbering"/>
      </w:pPr>
      <w:bookmarkStart w:id="835" w:name="_Toc142573764"/>
      <w:r w:rsidRPr="007C747A">
        <w:t>Administrative Appeals Tribunal reviews</w:t>
      </w:r>
      <w:bookmarkEnd w:id="835"/>
      <w:r w:rsidRPr="007C747A">
        <w:t xml:space="preserve"> </w:t>
      </w:r>
    </w:p>
    <w:p w14:paraId="30B479F0" w14:textId="77777777" w:rsidR="00C032AB" w:rsidRPr="007C747A" w:rsidRDefault="00C032AB" w:rsidP="00DB49E3">
      <w:pPr>
        <w:pStyle w:val="FGCNORMAL"/>
        <w:spacing w:line="240" w:lineRule="auto"/>
      </w:pPr>
      <w:r w:rsidRPr="007C747A">
        <w:t xml:space="preserve">The AAT is responsible for independently reviewing a range of decisions made under the NDIS Act, including decisions about whether a person meets the access criteria to become a participant in the Scheme, and relating to supports provided under the Scheme. In 2022–23, 4,333 applications for external merits review were lodged by participants in the AAT. There were 5,779 cases finalised during 2022–23, 98.4% of which were finalised through alternative dispute resolution without requiring a substantive hearing. As at 30 June 2023, 2,915 matters were open; this is a reduction from 34.5% open cases at 1 July 2022. The AAT handed down 92 hearing decisions in 2022–23. The AAT affirmed 42 decisions, varied 16 decisions and set aside 34 decisions. </w:t>
      </w:r>
    </w:p>
    <w:p w14:paraId="16B6AB5B" w14:textId="77777777" w:rsidR="00C032AB" w:rsidRPr="007C747A" w:rsidRDefault="00C032AB" w:rsidP="00DB49E3">
      <w:pPr>
        <w:pStyle w:val="FGCNORMAL"/>
        <w:spacing w:line="240" w:lineRule="auto"/>
      </w:pPr>
      <w:r w:rsidRPr="007C747A">
        <w:t>There were no AAT decisions in 2022–23 that had a significant effect on the operations of the Agency.</w:t>
      </w:r>
    </w:p>
    <w:p w14:paraId="78D87A40" w14:textId="77777777" w:rsidR="00C032AB" w:rsidRPr="007C747A" w:rsidRDefault="00C032AB" w:rsidP="008E637C">
      <w:pPr>
        <w:pStyle w:val="Style3-NoNumbering"/>
      </w:pPr>
      <w:bookmarkStart w:id="836" w:name="_Toc142573765"/>
      <w:r w:rsidRPr="007C747A">
        <w:t>Australian Human Rights Commission</w:t>
      </w:r>
      <w:bookmarkEnd w:id="836"/>
      <w:r w:rsidRPr="007C747A">
        <w:t xml:space="preserve"> </w:t>
      </w:r>
    </w:p>
    <w:p w14:paraId="23D6F24C" w14:textId="77777777" w:rsidR="00C032AB" w:rsidRPr="007C747A" w:rsidRDefault="00C032AB" w:rsidP="00DB49E3">
      <w:pPr>
        <w:pStyle w:val="FGCNORMAL"/>
        <w:spacing w:line="240" w:lineRule="auto"/>
      </w:pPr>
      <w:r w:rsidRPr="007C747A">
        <w:t xml:space="preserve">The Australian Human Rights Commission (AHRC) is an independent statutory organisation established to protect and promote human rights in Australia and internationally. The AHRC has statutory responsibilities under the </w:t>
      </w:r>
      <w:r w:rsidRPr="007C747A">
        <w:rPr>
          <w:i/>
          <w:iCs/>
        </w:rPr>
        <w:t>Age Discrimination Act 2004</w:t>
      </w:r>
      <w:r w:rsidRPr="007C747A">
        <w:t xml:space="preserve">, </w:t>
      </w:r>
      <w:r w:rsidRPr="007C747A">
        <w:rPr>
          <w:i/>
          <w:iCs/>
        </w:rPr>
        <w:t>Australian Human Rights Commission Act 1986</w:t>
      </w:r>
      <w:r w:rsidRPr="007C747A">
        <w:t xml:space="preserve">, </w:t>
      </w:r>
      <w:r w:rsidRPr="007C747A">
        <w:rPr>
          <w:i/>
          <w:iCs/>
        </w:rPr>
        <w:t>Disability Discrimination Act 1992</w:t>
      </w:r>
      <w:r w:rsidRPr="007C747A">
        <w:t xml:space="preserve">, </w:t>
      </w:r>
      <w:r w:rsidRPr="007C747A">
        <w:rPr>
          <w:i/>
          <w:iCs/>
        </w:rPr>
        <w:t>Racial Discrimination Act 1975</w:t>
      </w:r>
      <w:r w:rsidRPr="007C747A">
        <w:t xml:space="preserve">, and </w:t>
      </w:r>
      <w:r w:rsidRPr="007C747A">
        <w:rPr>
          <w:i/>
          <w:iCs/>
        </w:rPr>
        <w:t>Sex Discrimination Act 1984</w:t>
      </w:r>
      <w:r w:rsidRPr="007C747A">
        <w:t>, and investigates and resolves complaints about alleged breaches of human rights against the Commonwealth and its agencies. In 2022–23, the NDIA received 8 requests from the AHRC, of which 3 were open at the end of the financial year.</w:t>
      </w:r>
    </w:p>
    <w:p w14:paraId="081A09A1" w14:textId="77777777" w:rsidR="00C032AB" w:rsidRPr="007C747A" w:rsidRDefault="00C032AB" w:rsidP="008E637C">
      <w:pPr>
        <w:pStyle w:val="Style3-NoNumbering"/>
      </w:pPr>
      <w:bookmarkStart w:id="837" w:name="_Toc142573766"/>
      <w:r w:rsidRPr="007C747A">
        <w:t>Fair Work Commission</w:t>
      </w:r>
      <w:bookmarkEnd w:id="837"/>
      <w:r w:rsidRPr="007C747A">
        <w:t xml:space="preserve"> </w:t>
      </w:r>
    </w:p>
    <w:p w14:paraId="69F02BEB" w14:textId="77777777" w:rsidR="00C032AB" w:rsidRPr="007C747A" w:rsidRDefault="00C032AB" w:rsidP="00DB49E3">
      <w:pPr>
        <w:spacing w:before="120" w:after="120" w:line="240" w:lineRule="auto"/>
        <w:ind w:left="652"/>
        <w:rPr>
          <w:rFonts w:eastAsia="DengXian" w:cs="Arial"/>
          <w:sz w:val="22"/>
          <w:szCs w:val="22"/>
          <w:lang w:val="en-AU"/>
        </w:rPr>
      </w:pPr>
      <w:r w:rsidRPr="007C747A">
        <w:rPr>
          <w:rFonts w:eastAsia="DengXian" w:cs="Arial"/>
          <w:sz w:val="22"/>
          <w:szCs w:val="22"/>
          <w:lang w:val="en-AU"/>
        </w:rPr>
        <w:t>The Fair Work Commission (FWC) is Australia’s national workplace relations tribunal. It was established by the </w:t>
      </w:r>
      <w:r w:rsidRPr="007C747A">
        <w:rPr>
          <w:rFonts w:eastAsia="DengXian" w:cs="Arial"/>
          <w:i/>
          <w:iCs/>
          <w:sz w:val="22"/>
          <w:szCs w:val="22"/>
          <w:lang w:val="en-AU"/>
        </w:rPr>
        <w:t>Fair Work Act 2009</w:t>
      </w:r>
      <w:r w:rsidRPr="007C747A">
        <w:rPr>
          <w:rFonts w:eastAsia="DengXian" w:cs="Arial"/>
          <w:sz w:val="22"/>
          <w:szCs w:val="22"/>
          <w:lang w:val="en-AU"/>
        </w:rPr>
        <w:t xml:space="preserve"> and is responsible for administering the provisions of the Fair Work Act. </w:t>
      </w:r>
    </w:p>
    <w:p w14:paraId="3DD1CCAF" w14:textId="77777777" w:rsidR="00C032AB" w:rsidRPr="007C747A" w:rsidRDefault="00C032AB" w:rsidP="00DB49E3">
      <w:pPr>
        <w:spacing w:before="120" w:after="120" w:line="240" w:lineRule="auto"/>
        <w:ind w:left="652"/>
        <w:rPr>
          <w:rFonts w:eastAsia="DengXian" w:cs="Arial"/>
          <w:sz w:val="22"/>
          <w:szCs w:val="22"/>
          <w:lang w:val="en-AU"/>
        </w:rPr>
      </w:pPr>
      <w:r w:rsidRPr="007C747A">
        <w:rPr>
          <w:rFonts w:eastAsia="DengXian" w:cs="Arial"/>
          <w:sz w:val="22"/>
          <w:szCs w:val="22"/>
          <w:lang w:val="en-AU"/>
        </w:rPr>
        <w:t>In 2022–23 the NDIA received 6 applications to the FWC. All 6 applications were discontinued, and one applicant lodged a further application in the Federal Circuit Court. None are still open.</w:t>
      </w:r>
    </w:p>
    <w:p w14:paraId="34A62825" w14:textId="77777777" w:rsidR="00C032AB" w:rsidRPr="007C747A" w:rsidRDefault="00C032AB" w:rsidP="008E637C">
      <w:pPr>
        <w:pStyle w:val="Style3-NoNumbering"/>
      </w:pPr>
      <w:bookmarkStart w:id="838" w:name="_Toc142573767"/>
      <w:r w:rsidRPr="007C747A">
        <w:t>Federal Circuit Court</w:t>
      </w:r>
      <w:bookmarkEnd w:id="838"/>
      <w:r w:rsidRPr="007C747A">
        <w:t xml:space="preserve"> </w:t>
      </w:r>
    </w:p>
    <w:p w14:paraId="655EF3B9" w14:textId="77777777" w:rsidR="00C032AB" w:rsidRPr="007C747A" w:rsidRDefault="00C032AB" w:rsidP="009F37B0">
      <w:pPr>
        <w:spacing w:before="120" w:after="120" w:line="240" w:lineRule="auto"/>
        <w:ind w:left="652"/>
        <w:rPr>
          <w:rFonts w:eastAsia="DengXian" w:cs="Arial"/>
          <w:sz w:val="22"/>
          <w:szCs w:val="22"/>
          <w:lang w:val="en-AU"/>
        </w:rPr>
      </w:pPr>
      <w:r w:rsidRPr="007C747A">
        <w:rPr>
          <w:rFonts w:eastAsia="DengXian" w:cs="Arial"/>
          <w:sz w:val="22"/>
          <w:szCs w:val="22"/>
          <w:lang w:val="en-AU"/>
        </w:rPr>
        <w:t xml:space="preserve">The Federal Circuit Court (FCC) was established to provide a simple and accessible alternative to litigation in the Federal Court of Australia and the Family Court of Australia and to relieve the workload of those courts. The </w:t>
      </w:r>
      <w:r w:rsidRPr="007C747A">
        <w:rPr>
          <w:rFonts w:eastAsia="DengXian" w:cs="Arial"/>
          <w:i/>
          <w:iCs/>
          <w:sz w:val="22"/>
          <w:szCs w:val="22"/>
          <w:lang w:val="en-AU"/>
        </w:rPr>
        <w:t>Federal Circuit and Family Court of Australia Act 2021</w:t>
      </w:r>
      <w:r w:rsidRPr="007C747A">
        <w:rPr>
          <w:rFonts w:eastAsia="DengXian" w:cs="Arial"/>
          <w:sz w:val="22"/>
          <w:szCs w:val="22"/>
          <w:lang w:val="en-AU"/>
        </w:rPr>
        <w:t xml:space="preserve"> directs the FCC to operate informally and to use streamlined procedures. This complements the Parliament’s initiatives to encourage people to engage in a range of dispute resolution processes.</w:t>
      </w:r>
    </w:p>
    <w:p w14:paraId="06B8E9B6" w14:textId="77777777" w:rsidR="00C032AB" w:rsidRPr="007C747A" w:rsidRDefault="00C032AB" w:rsidP="009F37B0">
      <w:pPr>
        <w:spacing w:before="120" w:after="120" w:line="240" w:lineRule="auto"/>
        <w:ind w:left="652"/>
        <w:rPr>
          <w:rFonts w:eastAsia="DengXian" w:cs="Arial"/>
          <w:sz w:val="22"/>
          <w:szCs w:val="22"/>
          <w:lang w:val="en-AU"/>
        </w:rPr>
      </w:pPr>
      <w:r w:rsidRPr="007C747A">
        <w:rPr>
          <w:rFonts w:eastAsia="DengXian" w:cs="Arial"/>
          <w:sz w:val="22"/>
          <w:szCs w:val="22"/>
          <w:lang w:val="en-AU"/>
        </w:rPr>
        <w:t>In 2022–23 the NDIA received one application to the FCC, which is still open.</w:t>
      </w:r>
    </w:p>
    <w:p w14:paraId="7EEA9500" w14:textId="77777777" w:rsidR="00C032AB" w:rsidRPr="007C747A" w:rsidRDefault="00C032AB" w:rsidP="008E637C">
      <w:pPr>
        <w:pStyle w:val="Style3-NoNumbering"/>
      </w:pPr>
      <w:bookmarkStart w:id="839" w:name="_Toc142039671"/>
      <w:bookmarkStart w:id="840" w:name="_Toc142047779"/>
      <w:bookmarkStart w:id="841" w:name="_Toc142573768"/>
      <w:r w:rsidRPr="007C747A">
        <w:t>Australian National Audit Office reports</w:t>
      </w:r>
      <w:bookmarkEnd w:id="839"/>
      <w:bookmarkEnd w:id="840"/>
      <w:bookmarkEnd w:id="841"/>
    </w:p>
    <w:p w14:paraId="08630F73" w14:textId="77777777" w:rsidR="00C032AB" w:rsidRPr="007C747A" w:rsidRDefault="00C032AB" w:rsidP="009F37B0">
      <w:pPr>
        <w:pStyle w:val="FGCNORMAL"/>
        <w:spacing w:line="240" w:lineRule="auto"/>
      </w:pPr>
      <w:r w:rsidRPr="007C747A">
        <w:t>The Australian National Audit Office (ANAO) conducts performance audits of the efficiency and effectiveness of the NDIA’s operations and financial audits of NDIA financial statements. In 2022–23 the ANAO undertook one performance audit report involving the NDIA. This audit, on Effectiveness of the National Disability Insurance Agency’s Management of Assistance with Daily Life Supports, was published on 28 June 2023. It made 15 recommendations, of which 14 related to the NDIA. The NDIA agreed with the 14 recommendations. All ANAO recommendations, from both the performance and the financial audits, are actively monitored and addressed within the necessary timelines with both Strategic Leadership Team and Board Audit Committee oversight.</w:t>
      </w:r>
    </w:p>
    <w:p w14:paraId="5B54585C" w14:textId="77777777" w:rsidR="00C032AB" w:rsidRPr="007C747A" w:rsidRDefault="00C032AB" w:rsidP="008E637C">
      <w:pPr>
        <w:pStyle w:val="Style3-NoNumbering"/>
      </w:pPr>
      <w:bookmarkStart w:id="842" w:name="_Toc142039672"/>
      <w:bookmarkStart w:id="843" w:name="_Toc142047780"/>
      <w:bookmarkStart w:id="844" w:name="_Toc142573769"/>
      <w:r w:rsidRPr="007C747A">
        <w:t>Freedom of information</w:t>
      </w:r>
      <w:bookmarkEnd w:id="842"/>
      <w:bookmarkEnd w:id="843"/>
      <w:bookmarkEnd w:id="844"/>
      <w:r w:rsidRPr="007C747A">
        <w:t xml:space="preserve"> </w:t>
      </w:r>
    </w:p>
    <w:p w14:paraId="4DCEBA5B" w14:textId="77777777" w:rsidR="00C032AB" w:rsidRPr="007C747A" w:rsidRDefault="00C032AB" w:rsidP="009F37B0">
      <w:pPr>
        <w:pStyle w:val="FGCNORMAL"/>
        <w:spacing w:line="240" w:lineRule="auto"/>
      </w:pPr>
      <w:r w:rsidRPr="007C747A">
        <w:t xml:space="preserve">Under the </w:t>
      </w:r>
      <w:r w:rsidRPr="007C747A">
        <w:rPr>
          <w:i/>
          <w:iCs/>
        </w:rPr>
        <w:t>Freedom of Information Act 1982</w:t>
      </w:r>
      <w:r w:rsidRPr="007C747A">
        <w:t xml:space="preserve"> (FOI Act), a person may request access to information that is held by the NDIA. In 2022–23 the NDIA received 1,752 primary requests under the FOI Act. There were 32 requests for internal review of an access decision. The NDIA received notification that 58 requests were subject to applications for a review by the Office of the Australian Information Commissioner. One matter was subject to an application and determination of the AAT.</w:t>
      </w:r>
    </w:p>
    <w:p w14:paraId="0ED01558" w14:textId="77777777" w:rsidR="00C032AB" w:rsidRPr="007C747A" w:rsidRDefault="00C032AB" w:rsidP="008E637C">
      <w:pPr>
        <w:pStyle w:val="Style3-NoNumbering"/>
      </w:pPr>
      <w:bookmarkStart w:id="845" w:name="_Toc142039673"/>
      <w:bookmarkStart w:id="846" w:name="_Toc142047781"/>
      <w:bookmarkStart w:id="847" w:name="_Toc142573770"/>
      <w:r w:rsidRPr="007C747A">
        <w:t>Participant Information Access scheme</w:t>
      </w:r>
      <w:bookmarkEnd w:id="845"/>
      <w:bookmarkEnd w:id="846"/>
      <w:bookmarkEnd w:id="847"/>
    </w:p>
    <w:p w14:paraId="5FCF941A" w14:textId="77777777" w:rsidR="00C032AB" w:rsidRPr="007C747A" w:rsidRDefault="00C032AB" w:rsidP="009F37B0">
      <w:pPr>
        <w:pStyle w:val="FGCNORMAL"/>
        <w:spacing w:line="240" w:lineRule="auto"/>
      </w:pPr>
      <w:r w:rsidRPr="007C747A">
        <w:t>In 2022–23 the NDIA continued processing requests for information under the Participant Information Access (PIA) scheme as an administrative release function outside of the FOI Act. The PIA scheme allows current and prospective participants, as well as nominated representatives, to request personal information held by the NDIA. The PIA scheme is well used by NDIS participants, with the NDIA receiving 4,807 PIA requests in 2022–23.</w:t>
      </w:r>
    </w:p>
    <w:p w14:paraId="3971A00F" w14:textId="77777777" w:rsidR="00C032AB" w:rsidRPr="007C747A" w:rsidRDefault="00C032AB" w:rsidP="008E637C">
      <w:pPr>
        <w:pStyle w:val="Style3-NoNumbering"/>
      </w:pPr>
      <w:bookmarkStart w:id="848" w:name="_Toc142039674"/>
      <w:bookmarkStart w:id="849" w:name="_Toc142047782"/>
      <w:bookmarkStart w:id="850" w:name="_Toc142573771"/>
      <w:r w:rsidRPr="007C747A">
        <w:t>Merit Protection Commission</w:t>
      </w:r>
      <w:bookmarkStart w:id="851" w:name="_Hlk141879678"/>
      <w:bookmarkEnd w:id="848"/>
      <w:bookmarkEnd w:id="849"/>
      <w:bookmarkEnd w:id="850"/>
    </w:p>
    <w:p w14:paraId="57162787" w14:textId="77777777" w:rsidR="00C032AB" w:rsidRPr="007C747A" w:rsidRDefault="00C032AB" w:rsidP="009F37B0">
      <w:pPr>
        <w:pStyle w:val="FGCNORMAL"/>
        <w:spacing w:line="240" w:lineRule="auto"/>
      </w:pPr>
      <w:r w:rsidRPr="007C747A">
        <w:t>The Merit Protection Commission (MPC) is an independent statutory office providing employment services to the APS and the Parliamentary Service. The MPC reviews certain APS engagement and promotion decisions as well as a range of workplace decisions that may impact an APS employee such as leave requests, misconduct outcomes and performance management. It also provides recruitment and inquiry services to agencies. </w:t>
      </w:r>
    </w:p>
    <w:p w14:paraId="07F75C35" w14:textId="77777777" w:rsidR="00C032AB" w:rsidRPr="007C747A" w:rsidRDefault="00C032AB" w:rsidP="009F37B0">
      <w:pPr>
        <w:pStyle w:val="FGCNORMAL"/>
        <w:spacing w:line="240" w:lineRule="auto"/>
      </w:pPr>
      <w:r w:rsidRPr="007C747A">
        <w:t>In 2022–23 the NDIA had 17 applications to the MPC submitted in relation to workplace decisions. On review, 5 of the Agency’s original decisions in these matters were upheld, one decision was varied, one decision was set aside and substituted, 9 applications were not reviewable, and one matter is ongoing. </w:t>
      </w:r>
    </w:p>
    <w:p w14:paraId="379921E4" w14:textId="77777777" w:rsidR="00C032AB" w:rsidRPr="007C747A" w:rsidRDefault="00C032AB" w:rsidP="009F37B0">
      <w:pPr>
        <w:pStyle w:val="FGCNORMAL"/>
        <w:spacing w:line="240" w:lineRule="auto"/>
      </w:pPr>
      <w:r w:rsidRPr="007C747A">
        <w:t>In 2022–23 the NDIA had 7 applications to the MPC submitted in relation to engagement and promotion decisions. On review, 5 of the Agency’s original decisions were upheld and 2 were withdrawn by the applicant. </w:t>
      </w:r>
    </w:p>
    <w:p w14:paraId="08B5E9FE" w14:textId="77777777" w:rsidR="00C032AB" w:rsidRPr="007C747A" w:rsidRDefault="00C032AB" w:rsidP="008E637C">
      <w:pPr>
        <w:pStyle w:val="Style3-NoNumbering"/>
        <w:rPr>
          <w:szCs w:val="26"/>
        </w:rPr>
      </w:pPr>
      <w:bookmarkStart w:id="852" w:name="_Toc142047783"/>
      <w:bookmarkStart w:id="853" w:name="_Toc142573772"/>
      <w:r w:rsidRPr="007C747A">
        <w:t>Commonwealth Ombudsman</w:t>
      </w:r>
      <w:bookmarkEnd w:id="852"/>
      <w:bookmarkEnd w:id="853"/>
      <w:r w:rsidRPr="007C747A">
        <w:t xml:space="preserve"> </w:t>
      </w:r>
    </w:p>
    <w:p w14:paraId="45DE77A9" w14:textId="6A2E1C44" w:rsidR="00C032AB" w:rsidRPr="007C747A" w:rsidRDefault="00C032AB" w:rsidP="009F37B0">
      <w:pPr>
        <w:pStyle w:val="FGCNORMAL"/>
        <w:spacing w:line="240" w:lineRule="auto"/>
      </w:pPr>
      <w:r w:rsidRPr="007C747A">
        <w:t xml:space="preserve">The NDIA is a prescribed authority for the purposes of the </w:t>
      </w:r>
      <w:r w:rsidRPr="007C747A">
        <w:rPr>
          <w:i/>
          <w:iCs/>
        </w:rPr>
        <w:t>Ombudsman Act 1976</w:t>
      </w:r>
      <w:r w:rsidRPr="007C747A">
        <w:t>. Accordingly, the Office of the Commonwealth Ombudsman (OCO) may investigate complaints from individuals, groups or organisations about the administrative actions of the NDIA. The NDIA may receive complaint transfers, section 7A preliminary inquiries, section</w:t>
      </w:r>
      <w:r w:rsidR="008D1964" w:rsidRPr="007C747A">
        <w:t> </w:t>
      </w:r>
      <w:r w:rsidRPr="007C747A">
        <w:t xml:space="preserve">8 investigations, and section 12 finalisations of investigation from the OCO. The NDIA and the OCO work collaboratively to resolve complaint issues raised by participants and their representatives, and the NDIA provides information to the OCO to assist in investigations. </w:t>
      </w:r>
    </w:p>
    <w:p w14:paraId="02A165B1" w14:textId="77777777" w:rsidR="00C032AB" w:rsidRPr="007C747A" w:rsidRDefault="00C032AB" w:rsidP="008E637C">
      <w:pPr>
        <w:pStyle w:val="Style3-NoNumbering"/>
      </w:pPr>
      <w:bookmarkStart w:id="854" w:name="_Toc142047784"/>
      <w:bookmarkStart w:id="855" w:name="_Toc142573773"/>
      <w:r w:rsidRPr="007C747A">
        <w:t>NDIS Quality and Safeguards Commission</w:t>
      </w:r>
      <w:bookmarkEnd w:id="854"/>
      <w:bookmarkEnd w:id="855"/>
    </w:p>
    <w:p w14:paraId="04C6DBDF" w14:textId="77777777" w:rsidR="00C032AB" w:rsidRPr="007C747A" w:rsidRDefault="00C032AB" w:rsidP="009F37B0">
      <w:pPr>
        <w:pStyle w:val="FGCNORMAL"/>
        <w:spacing w:line="240" w:lineRule="auto"/>
      </w:pPr>
      <w:r w:rsidRPr="007C747A">
        <w:t xml:space="preserve">The NDIS Quality and Safeguards Commission (NDIS Commission) is an independent agency established to improve the quality and safety of NDIS supports and services, regulate NDIS providers, provide national consistency, promote safety and quality services, resolve problems and identify areas for improvement. </w:t>
      </w:r>
    </w:p>
    <w:p w14:paraId="5BED9FB4" w14:textId="77777777" w:rsidR="00C032AB" w:rsidRPr="007C747A" w:rsidRDefault="00C032AB" w:rsidP="009F37B0">
      <w:pPr>
        <w:pStyle w:val="FGCNORMAL"/>
        <w:spacing w:line="240" w:lineRule="auto"/>
      </w:pPr>
      <w:r w:rsidRPr="007C747A">
        <w:t xml:space="preserve">The NDIA works collaboratively with the NDIS Commission to resolve complaints and critical incidents involving participants and providers. An operational protocol has been established between the NDIA and the NDIS Commission to share information to ensure the resolution of complaints and the safety of NDIS participants.  </w:t>
      </w:r>
    </w:p>
    <w:p w14:paraId="461494DF" w14:textId="77777777" w:rsidR="00C032AB" w:rsidRPr="007C747A" w:rsidRDefault="00C032AB" w:rsidP="008E637C">
      <w:pPr>
        <w:pStyle w:val="Style3-NoNumbering"/>
      </w:pPr>
      <w:bookmarkStart w:id="856" w:name="_Toc142047785"/>
      <w:bookmarkStart w:id="857" w:name="_Toc142573774"/>
      <w:r w:rsidRPr="007C747A">
        <w:t>New South Wales Ageing and Disability Commission</w:t>
      </w:r>
      <w:bookmarkEnd w:id="856"/>
      <w:bookmarkEnd w:id="857"/>
    </w:p>
    <w:p w14:paraId="1EA00D6C" w14:textId="77777777" w:rsidR="00C032AB" w:rsidRPr="007C747A" w:rsidRDefault="00C032AB" w:rsidP="009F37B0">
      <w:pPr>
        <w:pStyle w:val="FGCNORMAL"/>
        <w:spacing w:line="240" w:lineRule="auto"/>
      </w:pPr>
      <w:r w:rsidRPr="007C747A">
        <w:t xml:space="preserve">The NSW Ageing and Disability Commission is an independent agency of the New South Wales Government, </w:t>
      </w:r>
      <w:hyperlink r:id="rId70" w:tgtFrame="_blank" w:history="1">
        <w:r w:rsidRPr="007C747A">
          <w:rPr>
            <w:rStyle w:val="Hyperlink"/>
            <w:color w:val="auto"/>
            <w:u w:val="none"/>
          </w:rPr>
          <w:t xml:space="preserve">established on 1 July 2019 to </w:t>
        </w:r>
      </w:hyperlink>
      <w:r w:rsidRPr="007C747A">
        <w:t>protect older people and adults with disability from abuse, neglect and exploitation in their family, home and community. The NDIA shares information with the New South Wales Ageing and Disability Commission when requested to ensure the safety of NDIS participants.</w:t>
      </w:r>
      <w:bookmarkEnd w:id="851"/>
    </w:p>
    <w:p w14:paraId="7D2FBCFA" w14:textId="77777777" w:rsidR="00C032AB" w:rsidRPr="007C747A" w:rsidRDefault="00C032AB" w:rsidP="009B6FB2">
      <w:pPr>
        <w:pStyle w:val="FGCHEADING2"/>
      </w:pPr>
      <w:bookmarkStart w:id="858" w:name="_Toc142039675"/>
      <w:bookmarkStart w:id="859" w:name="_Toc142047786"/>
      <w:bookmarkStart w:id="860" w:name="_Toc142563026"/>
      <w:bookmarkStart w:id="861" w:name="_Toc142573775"/>
      <w:bookmarkStart w:id="862" w:name="_Toc146289487"/>
      <w:bookmarkStart w:id="863" w:name="_Toc148108437"/>
      <w:r w:rsidRPr="007C747A">
        <w:t>Other PGPA reportable items</w:t>
      </w:r>
      <w:bookmarkEnd w:id="858"/>
      <w:bookmarkEnd w:id="859"/>
      <w:bookmarkEnd w:id="860"/>
      <w:bookmarkEnd w:id="861"/>
      <w:bookmarkEnd w:id="862"/>
      <w:bookmarkEnd w:id="863"/>
    </w:p>
    <w:p w14:paraId="2B71AD5F" w14:textId="77777777" w:rsidR="00C032AB" w:rsidRPr="007C747A" w:rsidRDefault="00C032AB" w:rsidP="008E637C">
      <w:pPr>
        <w:pStyle w:val="Style3-NoNumbering"/>
      </w:pPr>
      <w:bookmarkStart w:id="864" w:name="_Toc142039676"/>
      <w:bookmarkStart w:id="865" w:name="_Toc142047787"/>
      <w:bookmarkStart w:id="866" w:name="_Toc142573776"/>
      <w:r w:rsidRPr="007C747A">
        <w:t>Ministerial directions and government policy orders</w:t>
      </w:r>
      <w:bookmarkEnd w:id="864"/>
      <w:bookmarkEnd w:id="865"/>
      <w:bookmarkEnd w:id="866"/>
    </w:p>
    <w:p w14:paraId="4314D460" w14:textId="77777777" w:rsidR="00C032AB" w:rsidRPr="007C747A" w:rsidRDefault="00C032AB" w:rsidP="009F37B0">
      <w:pPr>
        <w:pStyle w:val="FGCNORMAL"/>
        <w:spacing w:line="240" w:lineRule="auto"/>
      </w:pPr>
      <w:r w:rsidRPr="007C747A">
        <w:t xml:space="preserve">The NDIA did not receive any government policy orders or ministerial directions from the Minister for the NDIS in 2022–23. </w:t>
      </w:r>
    </w:p>
    <w:p w14:paraId="11244FED" w14:textId="77777777" w:rsidR="00C032AB" w:rsidRPr="007C747A" w:rsidRDefault="00C032AB" w:rsidP="009F37B0">
      <w:pPr>
        <w:pStyle w:val="FGCNORMAL"/>
        <w:spacing w:line="240" w:lineRule="auto"/>
      </w:pPr>
      <w:r w:rsidRPr="007C747A">
        <w:t>No instances of significant noncompliance with finance law were reported to the responsible Minister under paragraph 19(1)(e) of the PGPA Act in 2022–23.</w:t>
      </w:r>
    </w:p>
    <w:p w14:paraId="391B03E6" w14:textId="7C6E9B3B" w:rsidR="00C032AB" w:rsidRPr="007C747A" w:rsidRDefault="000E099E" w:rsidP="008E637C">
      <w:pPr>
        <w:pStyle w:val="Style3-NoNumbering"/>
      </w:pPr>
      <w:bookmarkStart w:id="867" w:name="_Toc142031475"/>
      <w:bookmarkStart w:id="868" w:name="_Toc142478450"/>
      <w:bookmarkStart w:id="869" w:name="_Toc142573777"/>
      <w:r w:rsidRPr="007C747A">
        <w:t>L</w:t>
      </w:r>
      <w:r w:rsidR="00C032AB" w:rsidRPr="007C747A">
        <w:t>ocation of major activities or facilities</w:t>
      </w:r>
      <w:bookmarkEnd w:id="867"/>
      <w:bookmarkEnd w:id="868"/>
      <w:bookmarkEnd w:id="869"/>
    </w:p>
    <w:p w14:paraId="5C716F5C" w14:textId="08E1FCA8" w:rsidR="00C032AB" w:rsidRPr="007C747A" w:rsidRDefault="00C032AB" w:rsidP="009F37B0">
      <w:pPr>
        <w:pStyle w:val="FGCNORMAL"/>
        <w:spacing w:line="240" w:lineRule="auto"/>
      </w:pPr>
      <w:r w:rsidRPr="007C747A">
        <w:t>As at 30 June 2023, the NDIA had staff at over 160 locations across Australia. Approximately 65% of these sites are shared with other agencies to efficiently deliver Australian Government services. We continue to work with other agencies to consolidate into shared sites, where appropriate</w:t>
      </w:r>
      <w:r w:rsidR="0029751C" w:rsidRPr="007C747A">
        <w:t>.</w:t>
      </w:r>
    </w:p>
    <w:p w14:paraId="06CA1057" w14:textId="77777777" w:rsidR="00C032AB" w:rsidRPr="007C747A" w:rsidRDefault="00C032AB" w:rsidP="008E637C">
      <w:pPr>
        <w:pStyle w:val="Style3-NoNumbering"/>
      </w:pPr>
      <w:bookmarkStart w:id="870" w:name="_Toc142573778"/>
      <w:r w:rsidRPr="007C747A">
        <w:t>Indemnities and insurance premiums</w:t>
      </w:r>
      <w:bookmarkEnd w:id="870"/>
    </w:p>
    <w:p w14:paraId="10E18D02" w14:textId="6864CDD6" w:rsidR="00C032AB" w:rsidRPr="007C747A" w:rsidRDefault="00C032AB" w:rsidP="009F37B0">
      <w:pPr>
        <w:pStyle w:val="FGCNORMAL"/>
        <w:spacing w:line="240" w:lineRule="auto"/>
      </w:pPr>
      <w:r w:rsidRPr="007C747A">
        <w:t>The NDIA purchased directors’ and officers’ liability cover from Comcover (the Commonwealth’s self-insurance fund). The premium paid in 2022–23 for this cover was $</w:t>
      </w:r>
      <w:r w:rsidR="00F6509E" w:rsidRPr="007C747A">
        <w:rPr>
          <w:rStyle w:val="ui-provider"/>
        </w:rPr>
        <w:t>826,614.62</w:t>
      </w:r>
      <w:r w:rsidR="00F6509E" w:rsidRPr="007C747A" w:rsidDel="00F6509E">
        <w:t xml:space="preserve"> </w:t>
      </w:r>
      <w:r w:rsidRPr="007C747A">
        <w:t>(GST inclusive)</w:t>
      </w:r>
    </w:p>
    <w:p w14:paraId="007F98D3" w14:textId="4ED5C9B9" w:rsidR="00B5020A" w:rsidRPr="007C747A" w:rsidRDefault="006B2EB8" w:rsidP="006B2EB8">
      <w:pPr>
        <w:pStyle w:val="Style3-NoNumbering"/>
      </w:pPr>
      <w:r w:rsidRPr="007C747A">
        <w:t>Related entity transactions</w:t>
      </w:r>
    </w:p>
    <w:p w14:paraId="7FF1974F" w14:textId="10F125EC" w:rsidR="00603A6D" w:rsidRPr="007C747A" w:rsidRDefault="008D41FA" w:rsidP="00AE321D">
      <w:pPr>
        <w:pStyle w:val="FGCNORMAL"/>
      </w:pPr>
      <w:r w:rsidRPr="007C747A">
        <w:t>Related entity transactions are addressed in the NDIA Financial Statements.</w:t>
      </w:r>
    </w:p>
    <w:p w14:paraId="73115662" w14:textId="56FB1CCD" w:rsidR="006B2EB8" w:rsidRPr="007C747A" w:rsidRDefault="00763DEF" w:rsidP="00AE321D">
      <w:pPr>
        <w:pStyle w:val="Style3-NoNumbering"/>
      </w:pPr>
      <w:r w:rsidRPr="007C747A">
        <w:t>Obtaining information from subsidiaries</w:t>
      </w:r>
    </w:p>
    <w:p w14:paraId="64E02B16" w14:textId="77777777" w:rsidR="008871B9" w:rsidRPr="007C747A" w:rsidRDefault="008871B9" w:rsidP="008871B9">
      <w:pPr>
        <w:pStyle w:val="FGCNORMAL"/>
      </w:pPr>
      <w:r w:rsidRPr="007C747A">
        <w:t>Not applicable – the NDIA has no subsidiaries.</w:t>
      </w:r>
    </w:p>
    <w:p w14:paraId="37EB506E" w14:textId="77777777" w:rsidR="00C032AB" w:rsidRPr="007C747A" w:rsidRDefault="00C032AB" w:rsidP="009B6FB2">
      <w:pPr>
        <w:pStyle w:val="FGCHEADING2"/>
      </w:pPr>
      <w:bookmarkStart w:id="871" w:name="_Toc145949792"/>
      <w:bookmarkStart w:id="872" w:name="_Toc142039677"/>
      <w:bookmarkStart w:id="873" w:name="_Toc142047788"/>
      <w:bookmarkStart w:id="874" w:name="_Toc142563027"/>
      <w:bookmarkStart w:id="875" w:name="_Toc142573779"/>
      <w:bookmarkStart w:id="876" w:name="_Toc146289488"/>
      <w:bookmarkStart w:id="877" w:name="_Toc148108438"/>
      <w:bookmarkEnd w:id="871"/>
      <w:r w:rsidRPr="007C747A">
        <w:t>Advertising and market research</w:t>
      </w:r>
      <w:bookmarkEnd w:id="872"/>
      <w:bookmarkEnd w:id="873"/>
      <w:bookmarkEnd w:id="874"/>
      <w:bookmarkEnd w:id="875"/>
      <w:bookmarkEnd w:id="876"/>
      <w:bookmarkEnd w:id="877"/>
    </w:p>
    <w:p w14:paraId="6978B147" w14:textId="77777777" w:rsidR="009054A2" w:rsidRPr="007C747A" w:rsidRDefault="009054A2" w:rsidP="00AE321D">
      <w:pPr>
        <w:pStyle w:val="FGCNORMAL"/>
        <w:rPr>
          <w:rFonts w:ascii="Calibri" w:hAnsi="Calibri"/>
          <w:lang w:eastAsia="en-US"/>
        </w:rPr>
      </w:pPr>
      <w:r w:rsidRPr="007C747A">
        <w:t xml:space="preserve">The following information is provided in accordance with section 311A of the </w:t>
      </w:r>
      <w:r w:rsidRPr="007C747A">
        <w:rPr>
          <w:i/>
          <w:iCs/>
        </w:rPr>
        <w:t>Commonwealth Electoral Act 1918</w:t>
      </w:r>
      <w:r w:rsidRPr="007C747A">
        <w:t xml:space="preserve"> and discloses payments above $15,200.00 (including GST), as specified by the Australian Electoral Commission, to advertising, market research, polling, direct mail and media advertising organisations.</w:t>
      </w:r>
    </w:p>
    <w:p w14:paraId="12F3000A" w14:textId="77777777" w:rsidR="00693873" w:rsidRPr="007C747A" w:rsidRDefault="00693873" w:rsidP="00AE321D">
      <w:pPr>
        <w:pStyle w:val="FGCNORMAL"/>
        <w:spacing w:line="240" w:lineRule="auto"/>
        <w:ind w:left="0"/>
      </w:pPr>
    </w:p>
    <w:p w14:paraId="46BB1879" w14:textId="77777777" w:rsidR="00C032AB" w:rsidRPr="007C747A" w:rsidRDefault="00C032AB" w:rsidP="008E637C">
      <w:pPr>
        <w:pStyle w:val="Heading43"/>
      </w:pPr>
      <w:r w:rsidRPr="007C747A">
        <w:t>Table 6.10A: Payments to advertising organisations in 2022–23</w:t>
      </w:r>
    </w:p>
    <w:tbl>
      <w:tblPr>
        <w:tblStyle w:val="GridTable2-Accent314"/>
        <w:tblW w:w="8363" w:type="dxa"/>
        <w:tblInd w:w="709" w:type="dxa"/>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977"/>
        <w:gridCol w:w="3402"/>
        <w:gridCol w:w="1984"/>
      </w:tblGrid>
      <w:tr w:rsidR="00C032AB" w:rsidRPr="007C747A" w14:paraId="40CFE3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12A6BA8B" w14:textId="77777777" w:rsidR="00C032AB" w:rsidRPr="007C747A" w:rsidRDefault="00C032AB">
            <w:pPr>
              <w:pStyle w:val="FGCTabhead"/>
              <w:rPr>
                <w:rFonts w:hint="eastAsia"/>
              </w:rPr>
            </w:pPr>
            <w:r w:rsidRPr="007C747A">
              <w:t>Organisation</w:t>
            </w:r>
          </w:p>
        </w:tc>
        <w:tc>
          <w:tcPr>
            <w:tcW w:w="3402" w:type="dxa"/>
            <w:hideMark/>
          </w:tcPr>
          <w:p w14:paraId="214F1F25"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Service provided</w:t>
            </w:r>
          </w:p>
        </w:tc>
        <w:tc>
          <w:tcPr>
            <w:tcW w:w="1984" w:type="dxa"/>
            <w:hideMark/>
          </w:tcPr>
          <w:p w14:paraId="736A8E34"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Amount paid</w:t>
            </w:r>
          </w:p>
          <w:p w14:paraId="59DE50D5"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 (including GST)</w:t>
            </w:r>
          </w:p>
        </w:tc>
      </w:tr>
      <w:tr w:rsidR="00C032AB" w:rsidRPr="007C747A" w14:paraId="246C87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25B7E30" w14:textId="77777777" w:rsidR="00C032AB" w:rsidRPr="007C747A" w:rsidRDefault="00C032AB">
            <w:pPr>
              <w:pStyle w:val="NoSpacing"/>
              <w:rPr>
                <w:b w:val="0"/>
                <w:bCs w:val="0"/>
              </w:rPr>
            </w:pPr>
            <w:r w:rsidRPr="007C747A">
              <w:rPr>
                <w:rFonts w:ascii="Arial" w:eastAsia="Times New Roman" w:hAnsi="Arial" w:cs="Arial"/>
                <w:b w:val="0"/>
                <w:bCs w:val="0"/>
                <w:color w:val="000000"/>
                <w:sz w:val="20"/>
                <w:szCs w:val="20"/>
                <w:lang w:eastAsia="en-AU"/>
              </w:rPr>
              <w:t>Universal McCann</w:t>
            </w:r>
          </w:p>
        </w:tc>
        <w:tc>
          <w:tcPr>
            <w:tcW w:w="3402" w:type="dxa"/>
          </w:tcPr>
          <w:p w14:paraId="0B04B8DA" w14:textId="77777777" w:rsidR="00C032AB" w:rsidRPr="007C747A" w:rsidRDefault="00C032AB">
            <w:pPr>
              <w:pStyle w:val="NoSpacing"/>
              <w:cnfStyle w:val="000000100000" w:firstRow="0" w:lastRow="0" w:firstColumn="0" w:lastColumn="0" w:oddVBand="0" w:evenVBand="0" w:oddHBand="1" w:evenHBand="0" w:firstRowFirstColumn="0" w:firstRowLastColumn="0" w:lastRowFirstColumn="0" w:lastRowLastColumn="0"/>
            </w:pPr>
            <w:r w:rsidRPr="007C747A">
              <w:rPr>
                <w:rFonts w:ascii="Arial" w:eastAsia="Times New Roman" w:hAnsi="Arial" w:cs="Arial"/>
                <w:color w:val="000000"/>
                <w:sz w:val="20"/>
                <w:szCs w:val="20"/>
                <w:lang w:eastAsia="en-AU"/>
              </w:rPr>
              <w:t>Recruitment Advertising</w:t>
            </w:r>
          </w:p>
        </w:tc>
        <w:tc>
          <w:tcPr>
            <w:tcW w:w="1984" w:type="dxa"/>
          </w:tcPr>
          <w:p w14:paraId="4F344CA0" w14:textId="77777777" w:rsidR="00C032AB" w:rsidRPr="007C747A" w:rsidRDefault="00C032AB">
            <w:pPr>
              <w:pStyle w:val="NoSpacing"/>
              <w:jc w:val="right"/>
              <w:cnfStyle w:val="000000100000" w:firstRow="0" w:lastRow="0" w:firstColumn="0" w:lastColumn="0" w:oddVBand="0" w:evenVBand="0" w:oddHBand="1" w:evenHBand="0" w:firstRowFirstColumn="0" w:firstRowLastColumn="0" w:lastRowFirstColumn="0" w:lastRowLastColumn="0"/>
              <w:rPr>
                <w:highlight w:val="yellow"/>
              </w:rPr>
            </w:pPr>
            <w:r w:rsidRPr="007C747A">
              <w:rPr>
                <w:rFonts w:ascii="Arial" w:eastAsia="Times New Roman" w:hAnsi="Arial" w:cs="Arial"/>
                <w:color w:val="000000"/>
                <w:sz w:val="20"/>
                <w:szCs w:val="20"/>
                <w:lang w:eastAsia="en-AU"/>
              </w:rPr>
              <w:t xml:space="preserve"> $296,165.48 </w:t>
            </w:r>
          </w:p>
        </w:tc>
      </w:tr>
      <w:tr w:rsidR="00C032AB" w:rsidRPr="007C747A" w14:paraId="5B9D031C" w14:textId="77777777" w:rsidTr="00A54815">
        <w:trPr>
          <w:trHeight w:val="290"/>
        </w:trPr>
        <w:tc>
          <w:tcPr>
            <w:cnfStyle w:val="001000000000" w:firstRow="0" w:lastRow="0" w:firstColumn="1" w:lastColumn="0" w:oddVBand="0" w:evenVBand="0" w:oddHBand="0" w:evenHBand="0" w:firstRowFirstColumn="0" w:firstRowLastColumn="0" w:lastRowFirstColumn="0" w:lastRowLastColumn="0"/>
            <w:tcW w:w="2977" w:type="dxa"/>
            <w:shd w:val="clear" w:color="auto" w:fill="F9FAF9" w:themeFill="background2"/>
            <w:noWrap/>
            <w:hideMark/>
          </w:tcPr>
          <w:p w14:paraId="728DC42B" w14:textId="0CEA350B" w:rsidR="00C032AB" w:rsidRPr="007C747A" w:rsidRDefault="00A54815">
            <w:pPr>
              <w:rPr>
                <w:rFonts w:eastAsia="Times New Roman" w:cs="Arial"/>
                <w:color w:val="000000"/>
                <w:sz w:val="20"/>
                <w:szCs w:val="20"/>
                <w:lang w:val="en-AU" w:eastAsia="en-AU"/>
              </w:rPr>
            </w:pPr>
            <w:r w:rsidRPr="007C747A">
              <w:rPr>
                <w:rFonts w:eastAsia="Times New Roman" w:cs="Arial"/>
                <w:color w:val="F9F9F9" w:themeColor="background1"/>
                <w:sz w:val="20"/>
                <w:szCs w:val="20"/>
                <w:lang w:val="en-AU" w:eastAsia="en-AU"/>
              </w:rPr>
              <w:t>Blank</w:t>
            </w:r>
          </w:p>
        </w:tc>
        <w:tc>
          <w:tcPr>
            <w:tcW w:w="3402" w:type="dxa"/>
            <w:noWrap/>
            <w:hideMark/>
          </w:tcPr>
          <w:p w14:paraId="43AB939E"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b/>
                <w:bCs/>
                <w:color w:val="000000"/>
                <w:sz w:val="20"/>
                <w:szCs w:val="20"/>
                <w:lang w:val="en-AU" w:eastAsia="en-AU"/>
              </w:rPr>
              <w:t>Total</w:t>
            </w:r>
          </w:p>
        </w:tc>
        <w:tc>
          <w:tcPr>
            <w:tcW w:w="1984" w:type="dxa"/>
            <w:noWrap/>
            <w:hideMark/>
          </w:tcPr>
          <w:p w14:paraId="284AE0C1"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b/>
                <w:bCs/>
                <w:color w:val="000000"/>
                <w:sz w:val="20"/>
                <w:szCs w:val="20"/>
                <w:lang w:val="en-AU" w:eastAsia="en-AU"/>
              </w:rPr>
              <w:t xml:space="preserve"> $296,165.48 </w:t>
            </w:r>
          </w:p>
        </w:tc>
      </w:tr>
    </w:tbl>
    <w:p w14:paraId="318D2F73" w14:textId="6D2E0A1E" w:rsidR="00C032AB" w:rsidRPr="007C747A" w:rsidRDefault="00C032AB" w:rsidP="008E637C">
      <w:pPr>
        <w:pStyle w:val="Heading43"/>
      </w:pPr>
      <w:r w:rsidRPr="007C747A">
        <w:t>Table 6.1</w:t>
      </w:r>
      <w:r w:rsidR="00FC49D4" w:rsidRPr="007C747A">
        <w:t>0B</w:t>
      </w:r>
      <w:r w:rsidRPr="007C747A">
        <w:t>: Payments to market research organisations in 2022–23</w:t>
      </w:r>
    </w:p>
    <w:tbl>
      <w:tblPr>
        <w:tblStyle w:val="GridTable2-Accent314"/>
        <w:tblW w:w="8363" w:type="dxa"/>
        <w:tblInd w:w="709" w:type="dxa"/>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977"/>
        <w:gridCol w:w="3402"/>
        <w:gridCol w:w="1984"/>
      </w:tblGrid>
      <w:tr w:rsidR="00C032AB" w:rsidRPr="007C747A" w14:paraId="6414F54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1062264C" w14:textId="77777777" w:rsidR="00C032AB" w:rsidRPr="007C747A" w:rsidRDefault="00C032AB">
            <w:pPr>
              <w:pStyle w:val="FGCTabhead"/>
              <w:rPr>
                <w:rFonts w:hint="eastAsia"/>
              </w:rPr>
            </w:pPr>
            <w:bookmarkStart w:id="878" w:name="_Hlk142035277"/>
            <w:r w:rsidRPr="007C747A">
              <w:t>Organisation</w:t>
            </w:r>
          </w:p>
        </w:tc>
        <w:tc>
          <w:tcPr>
            <w:tcW w:w="3402" w:type="dxa"/>
            <w:hideMark/>
          </w:tcPr>
          <w:p w14:paraId="2063EB15"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Service provided</w:t>
            </w:r>
          </w:p>
        </w:tc>
        <w:tc>
          <w:tcPr>
            <w:tcW w:w="1984" w:type="dxa"/>
            <w:hideMark/>
          </w:tcPr>
          <w:p w14:paraId="343E4452"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Amount paid</w:t>
            </w:r>
          </w:p>
          <w:p w14:paraId="53CFC066"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 (including GST)</w:t>
            </w:r>
          </w:p>
        </w:tc>
      </w:tr>
      <w:tr w:rsidR="00C032AB" w:rsidRPr="007C747A" w14:paraId="5BB9CC0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3117D2E" w14:textId="77777777" w:rsidR="00C032AB" w:rsidRPr="007C747A" w:rsidRDefault="00C032AB">
            <w:pPr>
              <w:pStyle w:val="NoSpacing"/>
              <w:rPr>
                <w:rFonts w:ascii="Arial" w:hAnsi="Arial" w:cs="Arial"/>
                <w:b w:val="0"/>
                <w:bCs w:val="0"/>
                <w:sz w:val="20"/>
                <w:szCs w:val="20"/>
              </w:rPr>
            </w:pPr>
            <w:r w:rsidRPr="007C747A">
              <w:rPr>
                <w:rFonts w:ascii="Arial" w:eastAsia="Times New Roman" w:hAnsi="Arial" w:cs="Arial"/>
                <w:b w:val="0"/>
                <w:bCs w:val="0"/>
                <w:color w:val="000000"/>
                <w:sz w:val="20"/>
                <w:szCs w:val="20"/>
                <w:lang w:eastAsia="en-AU"/>
              </w:rPr>
              <w:t>Hall and Partners Pty Ltd</w:t>
            </w:r>
          </w:p>
        </w:tc>
        <w:tc>
          <w:tcPr>
            <w:tcW w:w="3402" w:type="dxa"/>
          </w:tcPr>
          <w:p w14:paraId="20FC1AE4" w14:textId="77777777" w:rsidR="00C032AB" w:rsidRPr="007C747A" w:rsidRDefault="00C032AB">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C747A">
              <w:rPr>
                <w:rFonts w:ascii="Arial" w:eastAsia="Times New Roman" w:hAnsi="Arial" w:cs="Arial"/>
                <w:color w:val="000000"/>
                <w:sz w:val="20"/>
                <w:szCs w:val="20"/>
                <w:lang w:eastAsia="en-AU"/>
              </w:rPr>
              <w:t>Community Sentiment Insights</w:t>
            </w:r>
          </w:p>
        </w:tc>
        <w:tc>
          <w:tcPr>
            <w:tcW w:w="1984" w:type="dxa"/>
          </w:tcPr>
          <w:p w14:paraId="02A053C1" w14:textId="77777777" w:rsidR="00C032AB" w:rsidRPr="007C747A" w:rsidRDefault="00C032AB">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7C747A">
              <w:rPr>
                <w:rFonts w:ascii="Arial" w:eastAsia="Times New Roman" w:hAnsi="Arial" w:cs="Arial"/>
                <w:color w:val="000000"/>
                <w:sz w:val="20"/>
                <w:szCs w:val="20"/>
                <w:lang w:eastAsia="en-AU"/>
              </w:rPr>
              <w:t xml:space="preserve">$340,560.00 </w:t>
            </w:r>
          </w:p>
        </w:tc>
      </w:tr>
      <w:tr w:rsidR="00C032AB" w:rsidRPr="007C747A" w14:paraId="2A94AE5A" w14:textId="77777777">
        <w:trPr>
          <w:trHeight w:val="290"/>
        </w:trPr>
        <w:tc>
          <w:tcPr>
            <w:cnfStyle w:val="001000000000" w:firstRow="0" w:lastRow="0" w:firstColumn="1" w:lastColumn="0" w:oddVBand="0" w:evenVBand="0" w:oddHBand="0" w:evenHBand="0" w:firstRowFirstColumn="0" w:firstRowLastColumn="0" w:lastRowFirstColumn="0" w:lastRowLastColumn="0"/>
            <w:tcW w:w="2977" w:type="dxa"/>
            <w:noWrap/>
          </w:tcPr>
          <w:p w14:paraId="01D63718" w14:textId="3139E799" w:rsidR="00C032AB" w:rsidRPr="007C747A" w:rsidRDefault="00230176">
            <w:pPr>
              <w:rPr>
                <w:rFonts w:ascii="Calibri" w:eastAsia="Times New Roman" w:hAnsi="Calibri" w:cs="Calibri"/>
                <w:color w:val="000000"/>
                <w:sz w:val="22"/>
                <w:szCs w:val="22"/>
                <w:lang w:val="en-AU" w:eastAsia="en-AU"/>
              </w:rPr>
            </w:pPr>
            <w:r w:rsidRPr="007C747A">
              <w:rPr>
                <w:rFonts w:eastAsia="Times New Roman" w:cs="Arial"/>
                <w:color w:val="F9FAF9" w:themeColor="background2"/>
                <w:sz w:val="20"/>
                <w:szCs w:val="20"/>
                <w:lang w:val="en-AU" w:eastAsia="en-AU"/>
              </w:rPr>
              <w:t>Blank</w:t>
            </w:r>
          </w:p>
        </w:tc>
        <w:tc>
          <w:tcPr>
            <w:tcW w:w="3402" w:type="dxa"/>
            <w:noWrap/>
          </w:tcPr>
          <w:p w14:paraId="120C3D75"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2"/>
                <w:szCs w:val="22"/>
                <w:lang w:val="en-AU" w:eastAsia="en-AU"/>
              </w:rPr>
            </w:pPr>
            <w:r w:rsidRPr="007C747A">
              <w:rPr>
                <w:rFonts w:eastAsia="Times New Roman" w:cs="Arial"/>
                <w:b/>
                <w:bCs/>
                <w:color w:val="000000"/>
                <w:sz w:val="20"/>
                <w:szCs w:val="20"/>
                <w:lang w:val="en-AU" w:eastAsia="en-AU"/>
              </w:rPr>
              <w:t>Total</w:t>
            </w:r>
          </w:p>
        </w:tc>
        <w:tc>
          <w:tcPr>
            <w:tcW w:w="1984" w:type="dxa"/>
            <w:noWrap/>
          </w:tcPr>
          <w:p w14:paraId="7A9E6BA6"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sz w:val="22"/>
                <w:szCs w:val="22"/>
                <w:lang w:val="en-AU" w:eastAsia="en-AU"/>
              </w:rPr>
            </w:pPr>
            <w:r w:rsidRPr="007C747A">
              <w:rPr>
                <w:rFonts w:eastAsia="Times New Roman" w:cs="Arial"/>
                <w:b/>
                <w:bCs/>
                <w:color w:val="000000"/>
                <w:sz w:val="20"/>
                <w:szCs w:val="20"/>
                <w:lang w:val="en-AU" w:eastAsia="en-AU"/>
              </w:rPr>
              <w:t>$340,560.00</w:t>
            </w:r>
          </w:p>
        </w:tc>
      </w:tr>
    </w:tbl>
    <w:bookmarkEnd w:id="878"/>
    <w:p w14:paraId="24F16DAA" w14:textId="4155FA85" w:rsidR="00C032AB" w:rsidRPr="007C747A" w:rsidRDefault="00C032AB" w:rsidP="008E637C">
      <w:pPr>
        <w:pStyle w:val="Heading43"/>
      </w:pPr>
      <w:r w:rsidRPr="007C747A">
        <w:t>Table 6.1</w:t>
      </w:r>
      <w:r w:rsidR="00FC49D4" w:rsidRPr="007C747A">
        <w:t>0C</w:t>
      </w:r>
      <w:r w:rsidRPr="007C747A">
        <w:t>: Payments to polling organisations in 2022–23</w:t>
      </w:r>
    </w:p>
    <w:tbl>
      <w:tblPr>
        <w:tblStyle w:val="GridTable2-Accent314"/>
        <w:tblW w:w="8363" w:type="dxa"/>
        <w:tblInd w:w="709" w:type="dxa"/>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977"/>
        <w:gridCol w:w="3402"/>
        <w:gridCol w:w="1984"/>
      </w:tblGrid>
      <w:tr w:rsidR="00C032AB" w:rsidRPr="007C747A" w14:paraId="3DB9FE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hideMark/>
          </w:tcPr>
          <w:p w14:paraId="5D08EAB9" w14:textId="77777777" w:rsidR="00C032AB" w:rsidRPr="007C747A" w:rsidRDefault="00C032AB">
            <w:pPr>
              <w:pStyle w:val="FGCTabhead"/>
              <w:rPr>
                <w:rFonts w:hint="eastAsia"/>
              </w:rPr>
            </w:pPr>
            <w:r w:rsidRPr="007C747A">
              <w:t>Organisation</w:t>
            </w:r>
          </w:p>
        </w:tc>
        <w:tc>
          <w:tcPr>
            <w:tcW w:w="3402" w:type="dxa"/>
            <w:hideMark/>
          </w:tcPr>
          <w:p w14:paraId="3A219E7D"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Service provided</w:t>
            </w:r>
          </w:p>
        </w:tc>
        <w:tc>
          <w:tcPr>
            <w:tcW w:w="1984" w:type="dxa"/>
            <w:hideMark/>
          </w:tcPr>
          <w:p w14:paraId="36C9EEBD"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Amount paid</w:t>
            </w:r>
          </w:p>
          <w:p w14:paraId="7BD88D84"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 (including GST)</w:t>
            </w:r>
          </w:p>
        </w:tc>
      </w:tr>
      <w:tr w:rsidR="00C032AB" w:rsidRPr="007C747A" w14:paraId="65FFD8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360D224" w14:textId="77777777" w:rsidR="00C032AB" w:rsidRPr="007C747A" w:rsidRDefault="00C032AB">
            <w:pPr>
              <w:pStyle w:val="NoSpacing"/>
              <w:rPr>
                <w:rFonts w:ascii="Arial" w:hAnsi="Arial" w:cs="Arial"/>
                <w:b w:val="0"/>
                <w:sz w:val="20"/>
                <w:szCs w:val="20"/>
              </w:rPr>
            </w:pPr>
            <w:r w:rsidRPr="007C747A">
              <w:rPr>
                <w:rFonts w:ascii="Arial" w:hAnsi="Arial" w:cs="Arial"/>
                <w:b w:val="0"/>
                <w:sz w:val="20"/>
                <w:szCs w:val="20"/>
              </w:rPr>
              <w:t xml:space="preserve">Nil </w:t>
            </w:r>
          </w:p>
        </w:tc>
        <w:tc>
          <w:tcPr>
            <w:tcW w:w="3402" w:type="dxa"/>
          </w:tcPr>
          <w:p w14:paraId="546A6F11" w14:textId="33302610" w:rsidR="00C032AB" w:rsidRPr="007C747A" w:rsidRDefault="00A54815">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C747A">
              <w:rPr>
                <w:rFonts w:ascii="Arial" w:hAnsi="Arial" w:cs="Arial"/>
                <w:color w:val="E0E0E0" w:themeColor="background1" w:themeShade="E6"/>
                <w:sz w:val="20"/>
                <w:szCs w:val="20"/>
              </w:rPr>
              <w:t>Blank</w:t>
            </w:r>
          </w:p>
        </w:tc>
        <w:tc>
          <w:tcPr>
            <w:tcW w:w="1984" w:type="dxa"/>
          </w:tcPr>
          <w:p w14:paraId="1233BDAA" w14:textId="37373A9C" w:rsidR="00C032AB" w:rsidRPr="007C747A" w:rsidRDefault="00A54815">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7C747A">
              <w:rPr>
                <w:rFonts w:ascii="Arial" w:hAnsi="Arial" w:cs="Arial"/>
                <w:color w:val="E0E0E0" w:themeColor="background1" w:themeShade="E6"/>
                <w:sz w:val="20"/>
                <w:szCs w:val="20"/>
              </w:rPr>
              <w:t>blank</w:t>
            </w:r>
          </w:p>
        </w:tc>
      </w:tr>
    </w:tbl>
    <w:p w14:paraId="41B888BB" w14:textId="77777777" w:rsidR="00404D88" w:rsidRDefault="00404D88">
      <w:pPr>
        <w:spacing w:after="0" w:line="240" w:lineRule="auto"/>
        <w:rPr>
          <w:rFonts w:eastAsiaTheme="minorEastAsia" w:cs="Arial"/>
          <w:sz w:val="22"/>
          <w:szCs w:val="22"/>
          <w:lang w:val="en-AU"/>
        </w:rPr>
      </w:pPr>
      <w:r>
        <w:br w:type="page"/>
      </w:r>
    </w:p>
    <w:p w14:paraId="23126A3D" w14:textId="69B95A72" w:rsidR="00C032AB" w:rsidRPr="007C747A" w:rsidRDefault="00C032AB" w:rsidP="008E637C">
      <w:pPr>
        <w:pStyle w:val="Heading43"/>
      </w:pPr>
      <w:r w:rsidRPr="007C747A">
        <w:t>Table 6.1</w:t>
      </w:r>
      <w:r w:rsidR="0026666E" w:rsidRPr="007C747A">
        <w:t>0D</w:t>
      </w:r>
      <w:r w:rsidRPr="007C747A">
        <w:t>: Payments to direct mail organisations in 2022–23</w:t>
      </w:r>
    </w:p>
    <w:tbl>
      <w:tblPr>
        <w:tblStyle w:val="GridTable2-Accent314"/>
        <w:tblW w:w="8363" w:type="dxa"/>
        <w:tblInd w:w="709" w:type="dxa"/>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977"/>
        <w:gridCol w:w="3402"/>
        <w:gridCol w:w="1984"/>
      </w:tblGrid>
      <w:tr w:rsidR="00C032AB" w:rsidRPr="007C747A" w14:paraId="221277F8" w14:textId="77777777" w:rsidTr="00C350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hideMark/>
          </w:tcPr>
          <w:p w14:paraId="14826541" w14:textId="77777777" w:rsidR="00C032AB" w:rsidRPr="007C747A" w:rsidRDefault="00C032AB">
            <w:pPr>
              <w:pStyle w:val="FGCTabhead"/>
              <w:rPr>
                <w:rFonts w:hint="eastAsia"/>
              </w:rPr>
            </w:pPr>
            <w:r w:rsidRPr="007C747A">
              <w:t>Organisation</w:t>
            </w:r>
          </w:p>
        </w:tc>
        <w:tc>
          <w:tcPr>
            <w:tcW w:w="3402" w:type="dxa"/>
            <w:hideMark/>
          </w:tcPr>
          <w:p w14:paraId="69731FD7"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Service provided</w:t>
            </w:r>
          </w:p>
        </w:tc>
        <w:tc>
          <w:tcPr>
            <w:tcW w:w="1984" w:type="dxa"/>
            <w:hideMark/>
          </w:tcPr>
          <w:p w14:paraId="009961E9"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Amount paid</w:t>
            </w:r>
          </w:p>
          <w:p w14:paraId="174DE337"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 (including GST)</w:t>
            </w:r>
          </w:p>
        </w:tc>
      </w:tr>
      <w:tr w:rsidR="00C032AB" w:rsidRPr="007C747A" w14:paraId="30D175C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vAlign w:val="bottom"/>
          </w:tcPr>
          <w:p w14:paraId="399132E8" w14:textId="77777777" w:rsidR="00C032AB" w:rsidRPr="007C747A" w:rsidRDefault="00C032AB">
            <w:pPr>
              <w:pStyle w:val="NoSpacing"/>
              <w:rPr>
                <w:rFonts w:ascii="Arial" w:hAnsi="Arial" w:cs="Arial"/>
                <w:b w:val="0"/>
                <w:bCs w:val="0"/>
                <w:sz w:val="20"/>
                <w:szCs w:val="20"/>
              </w:rPr>
            </w:pPr>
            <w:r w:rsidRPr="007C747A">
              <w:rPr>
                <w:rFonts w:ascii="Arial" w:hAnsi="Arial" w:cs="Arial"/>
                <w:b w:val="0"/>
                <w:bCs w:val="0"/>
                <w:color w:val="000000"/>
                <w:sz w:val="20"/>
                <w:szCs w:val="20"/>
              </w:rPr>
              <w:t>Mailchimp</w:t>
            </w:r>
          </w:p>
        </w:tc>
        <w:tc>
          <w:tcPr>
            <w:tcW w:w="3402" w:type="dxa"/>
            <w:vAlign w:val="bottom"/>
          </w:tcPr>
          <w:p w14:paraId="125ACD42" w14:textId="77777777" w:rsidR="00C032AB" w:rsidRPr="007C747A" w:rsidRDefault="00C032AB">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C747A">
              <w:rPr>
                <w:rFonts w:ascii="Arial" w:hAnsi="Arial" w:cs="Arial"/>
                <w:color w:val="000000"/>
                <w:sz w:val="20"/>
                <w:szCs w:val="20"/>
              </w:rPr>
              <w:t>E-newsletter Distribution Service</w:t>
            </w:r>
          </w:p>
        </w:tc>
        <w:tc>
          <w:tcPr>
            <w:tcW w:w="1984" w:type="dxa"/>
            <w:vAlign w:val="bottom"/>
          </w:tcPr>
          <w:p w14:paraId="4081060A" w14:textId="77777777" w:rsidR="00C032AB" w:rsidRPr="007C747A" w:rsidRDefault="00C032AB">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7C747A">
              <w:rPr>
                <w:rFonts w:ascii="Arial" w:hAnsi="Arial" w:cs="Arial"/>
                <w:color w:val="000000"/>
                <w:sz w:val="20"/>
                <w:szCs w:val="20"/>
              </w:rPr>
              <w:t>$24,211.99</w:t>
            </w:r>
          </w:p>
        </w:tc>
      </w:tr>
      <w:tr w:rsidR="00C032AB" w:rsidRPr="007C747A" w14:paraId="3041EC46" w14:textId="77777777">
        <w:trPr>
          <w:trHeight w:val="290"/>
        </w:trPr>
        <w:tc>
          <w:tcPr>
            <w:cnfStyle w:val="001000000000" w:firstRow="0" w:lastRow="0" w:firstColumn="1" w:lastColumn="0" w:oddVBand="0" w:evenVBand="0" w:oddHBand="0" w:evenHBand="0" w:firstRowFirstColumn="0" w:firstRowLastColumn="0" w:lastRowFirstColumn="0" w:lastRowLastColumn="0"/>
            <w:tcW w:w="2977" w:type="dxa"/>
            <w:noWrap/>
            <w:vAlign w:val="bottom"/>
          </w:tcPr>
          <w:p w14:paraId="6EA09D26" w14:textId="77777777" w:rsidR="00C032AB" w:rsidRPr="007C747A" w:rsidRDefault="00C032AB">
            <w:pPr>
              <w:rPr>
                <w:rFonts w:eastAsia="Times New Roman" w:cs="Arial"/>
                <w:b w:val="0"/>
                <w:bCs w:val="0"/>
                <w:color w:val="000000"/>
                <w:sz w:val="20"/>
                <w:szCs w:val="20"/>
                <w:lang w:val="en-AU" w:eastAsia="en-AU"/>
              </w:rPr>
            </w:pPr>
            <w:r w:rsidRPr="007C747A">
              <w:rPr>
                <w:rFonts w:cs="Arial"/>
                <w:b w:val="0"/>
                <w:bCs w:val="0"/>
                <w:color w:val="000000"/>
                <w:sz w:val="20"/>
                <w:szCs w:val="20"/>
                <w:lang w:val="en-AU"/>
              </w:rPr>
              <w:t>National Mailing and Marketing Pty Ltd</w:t>
            </w:r>
          </w:p>
        </w:tc>
        <w:tc>
          <w:tcPr>
            <w:tcW w:w="3402" w:type="dxa"/>
            <w:noWrap/>
            <w:vAlign w:val="bottom"/>
          </w:tcPr>
          <w:p w14:paraId="22B9A1AF"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cs="Arial"/>
                <w:color w:val="000000"/>
                <w:sz w:val="20"/>
                <w:szCs w:val="20"/>
                <w:lang w:val="en-AU"/>
              </w:rPr>
              <w:t>Warehousing and Distribution</w:t>
            </w:r>
          </w:p>
        </w:tc>
        <w:tc>
          <w:tcPr>
            <w:tcW w:w="1984" w:type="dxa"/>
            <w:noWrap/>
            <w:vAlign w:val="bottom"/>
          </w:tcPr>
          <w:p w14:paraId="467C792F"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cs="Arial"/>
                <w:color w:val="000000"/>
                <w:sz w:val="20"/>
                <w:szCs w:val="20"/>
                <w:lang w:val="en-AU"/>
              </w:rPr>
              <w:t xml:space="preserve"> $166,360.67</w:t>
            </w:r>
          </w:p>
        </w:tc>
      </w:tr>
      <w:tr w:rsidR="00C032AB" w:rsidRPr="007C747A" w14:paraId="7EF839E1"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7" w:type="dxa"/>
            <w:noWrap/>
            <w:vAlign w:val="bottom"/>
          </w:tcPr>
          <w:p w14:paraId="6C11F7FE" w14:textId="77777777" w:rsidR="00C032AB" w:rsidRPr="007C747A" w:rsidRDefault="00C032AB">
            <w:pPr>
              <w:rPr>
                <w:rFonts w:eastAsia="Times New Roman" w:cs="Arial"/>
                <w:b w:val="0"/>
                <w:bCs w:val="0"/>
                <w:color w:val="000000"/>
                <w:sz w:val="20"/>
                <w:szCs w:val="20"/>
                <w:lang w:val="en-AU" w:eastAsia="en-AU"/>
              </w:rPr>
            </w:pPr>
            <w:r w:rsidRPr="007C747A">
              <w:rPr>
                <w:rFonts w:cs="Arial"/>
                <w:b w:val="0"/>
                <w:bCs w:val="0"/>
                <w:color w:val="000000"/>
                <w:sz w:val="20"/>
                <w:szCs w:val="20"/>
                <w:lang w:val="en-AU"/>
              </w:rPr>
              <w:t>Directsms Pty Ltd</w:t>
            </w:r>
          </w:p>
        </w:tc>
        <w:tc>
          <w:tcPr>
            <w:tcW w:w="3402" w:type="dxa"/>
            <w:noWrap/>
            <w:vAlign w:val="bottom"/>
          </w:tcPr>
          <w:p w14:paraId="0863BED1" w14:textId="77777777" w:rsidR="00C032AB" w:rsidRPr="007C747A" w:rsidRDefault="00C032AB">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7C747A">
              <w:rPr>
                <w:rFonts w:cs="Arial"/>
                <w:color w:val="000000"/>
                <w:sz w:val="20"/>
                <w:szCs w:val="20"/>
                <w:lang w:val="en-AU"/>
              </w:rPr>
              <w:t>SMS Messaging Service</w:t>
            </w:r>
          </w:p>
        </w:tc>
        <w:tc>
          <w:tcPr>
            <w:tcW w:w="1984" w:type="dxa"/>
            <w:noWrap/>
            <w:vAlign w:val="bottom"/>
          </w:tcPr>
          <w:p w14:paraId="759C0EFF" w14:textId="77777777" w:rsidR="00C032AB" w:rsidRPr="007C747A" w:rsidRDefault="00C032AB">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7C747A">
              <w:rPr>
                <w:rFonts w:cs="Arial"/>
                <w:color w:val="000000"/>
                <w:sz w:val="20"/>
                <w:szCs w:val="20"/>
                <w:lang w:val="en-AU"/>
              </w:rPr>
              <w:t xml:space="preserve"> $17,375.63 </w:t>
            </w:r>
          </w:p>
        </w:tc>
      </w:tr>
      <w:tr w:rsidR="00C032AB" w:rsidRPr="007C747A" w14:paraId="463FBD2A" w14:textId="77777777">
        <w:trPr>
          <w:trHeight w:val="290"/>
        </w:trPr>
        <w:tc>
          <w:tcPr>
            <w:cnfStyle w:val="001000000000" w:firstRow="0" w:lastRow="0" w:firstColumn="1" w:lastColumn="0" w:oddVBand="0" w:evenVBand="0" w:oddHBand="0" w:evenHBand="0" w:firstRowFirstColumn="0" w:firstRowLastColumn="0" w:lastRowFirstColumn="0" w:lastRowLastColumn="0"/>
            <w:tcW w:w="2977" w:type="dxa"/>
            <w:noWrap/>
          </w:tcPr>
          <w:p w14:paraId="13D166A6" w14:textId="1576B2B9" w:rsidR="00C032AB" w:rsidRPr="007C747A" w:rsidRDefault="00230176">
            <w:pPr>
              <w:rPr>
                <w:rFonts w:eastAsia="Times New Roman" w:cs="Arial"/>
                <w:b w:val="0"/>
                <w:bCs w:val="0"/>
                <w:color w:val="000000"/>
                <w:sz w:val="20"/>
                <w:szCs w:val="20"/>
                <w:lang w:val="en-AU" w:eastAsia="en-AU"/>
              </w:rPr>
            </w:pPr>
            <w:r w:rsidRPr="007C747A">
              <w:rPr>
                <w:rFonts w:eastAsia="Times New Roman" w:cs="Arial"/>
                <w:color w:val="F9FAF9" w:themeColor="background2"/>
                <w:sz w:val="20"/>
                <w:szCs w:val="20"/>
                <w:lang w:val="en-AU" w:eastAsia="en-AU"/>
              </w:rPr>
              <w:t>Blank</w:t>
            </w:r>
          </w:p>
        </w:tc>
        <w:tc>
          <w:tcPr>
            <w:tcW w:w="3402" w:type="dxa"/>
            <w:noWrap/>
          </w:tcPr>
          <w:p w14:paraId="635BB629"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0"/>
                <w:szCs w:val="20"/>
                <w:lang w:val="en-AU" w:eastAsia="en-AU"/>
              </w:rPr>
            </w:pPr>
            <w:r w:rsidRPr="007C747A">
              <w:rPr>
                <w:rFonts w:eastAsia="Times New Roman" w:cs="Arial"/>
                <w:b/>
                <w:bCs/>
                <w:color w:val="000000"/>
                <w:sz w:val="20"/>
                <w:szCs w:val="20"/>
                <w:lang w:val="en-AU" w:eastAsia="en-AU"/>
              </w:rPr>
              <w:t>Total</w:t>
            </w:r>
          </w:p>
        </w:tc>
        <w:tc>
          <w:tcPr>
            <w:tcW w:w="1984" w:type="dxa"/>
            <w:noWrap/>
            <w:vAlign w:val="bottom"/>
          </w:tcPr>
          <w:p w14:paraId="50682427"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cs="Arial"/>
                <w:b/>
                <w:bCs/>
                <w:color w:val="000000"/>
                <w:sz w:val="20"/>
                <w:szCs w:val="20"/>
                <w:lang w:val="en-AU"/>
              </w:rPr>
              <w:t xml:space="preserve"> $207,948.29 </w:t>
            </w:r>
          </w:p>
        </w:tc>
      </w:tr>
    </w:tbl>
    <w:p w14:paraId="1648DBA9" w14:textId="4F37132D" w:rsidR="00C032AB" w:rsidRPr="007C747A" w:rsidRDefault="00C032AB" w:rsidP="008E637C">
      <w:pPr>
        <w:pStyle w:val="Heading43"/>
      </w:pPr>
      <w:r w:rsidRPr="007C747A">
        <w:t>Table 6.1</w:t>
      </w:r>
      <w:r w:rsidR="0026666E" w:rsidRPr="007C747A">
        <w:t>0E</w:t>
      </w:r>
      <w:r w:rsidRPr="007C747A">
        <w:t>: Payments to direct media advertising organisations in 2022–23</w:t>
      </w:r>
    </w:p>
    <w:tbl>
      <w:tblPr>
        <w:tblStyle w:val="GridTable2-Accent314"/>
        <w:tblW w:w="8363" w:type="dxa"/>
        <w:tblInd w:w="709" w:type="dxa"/>
        <w:tblLook w:val="04A0" w:firstRow="1" w:lastRow="0" w:firstColumn="1" w:lastColumn="0" w:noHBand="0" w:noVBand="1"/>
        <w:tblCaption w:val="Table I1: Payments to media advertising organisations in 2017-18"/>
        <w:tblDescription w:val="This table provides the information on payments above $13,200 (including GST) to media advertising organisations in 2017-18."/>
      </w:tblPr>
      <w:tblGrid>
        <w:gridCol w:w="2977"/>
        <w:gridCol w:w="3402"/>
        <w:gridCol w:w="1984"/>
      </w:tblGrid>
      <w:tr w:rsidR="00C032AB" w:rsidRPr="007C747A" w14:paraId="14686C38" w14:textId="77777777" w:rsidTr="00F877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hideMark/>
          </w:tcPr>
          <w:p w14:paraId="041FAF5A" w14:textId="77777777" w:rsidR="00C032AB" w:rsidRPr="007C747A" w:rsidRDefault="00C032AB">
            <w:pPr>
              <w:pStyle w:val="FGCTabhead"/>
              <w:rPr>
                <w:rFonts w:hint="eastAsia"/>
              </w:rPr>
            </w:pPr>
            <w:r w:rsidRPr="007C747A">
              <w:t>Organisation</w:t>
            </w:r>
          </w:p>
        </w:tc>
        <w:tc>
          <w:tcPr>
            <w:tcW w:w="3402" w:type="dxa"/>
            <w:hideMark/>
          </w:tcPr>
          <w:p w14:paraId="4E96B1B6"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Service provided</w:t>
            </w:r>
          </w:p>
        </w:tc>
        <w:tc>
          <w:tcPr>
            <w:tcW w:w="1984" w:type="dxa"/>
            <w:hideMark/>
          </w:tcPr>
          <w:p w14:paraId="062C7ECB"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Amount paid</w:t>
            </w:r>
          </w:p>
          <w:p w14:paraId="7408E5E5" w14:textId="77777777" w:rsidR="00C032AB" w:rsidRPr="007C747A" w:rsidRDefault="00C032AB">
            <w:pPr>
              <w:pStyle w:val="FGCTabhead"/>
              <w:cnfStyle w:val="100000000000" w:firstRow="1" w:lastRow="0" w:firstColumn="0" w:lastColumn="0" w:oddVBand="0" w:evenVBand="0" w:oddHBand="0" w:evenHBand="0" w:firstRowFirstColumn="0" w:firstRowLastColumn="0" w:lastRowFirstColumn="0" w:lastRowLastColumn="0"/>
              <w:rPr>
                <w:rFonts w:hint="eastAsia"/>
              </w:rPr>
            </w:pPr>
            <w:r w:rsidRPr="007C747A">
              <w:t>$ (including GST)</w:t>
            </w:r>
          </w:p>
        </w:tc>
      </w:tr>
      <w:tr w:rsidR="00C032AB" w:rsidRPr="007C747A" w14:paraId="2690B1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50C54B9" w14:textId="77777777" w:rsidR="00C032AB" w:rsidRPr="007C747A" w:rsidRDefault="00C032AB">
            <w:pPr>
              <w:pStyle w:val="NoSpacing"/>
              <w:rPr>
                <w:rFonts w:ascii="Arial" w:hAnsi="Arial" w:cs="Arial"/>
                <w:b w:val="0"/>
                <w:bCs w:val="0"/>
                <w:sz w:val="20"/>
                <w:szCs w:val="20"/>
              </w:rPr>
            </w:pPr>
            <w:r w:rsidRPr="007C747A">
              <w:rPr>
                <w:rFonts w:ascii="Arial" w:eastAsia="Times New Roman" w:hAnsi="Arial" w:cs="Arial"/>
                <w:b w:val="0"/>
                <w:bCs w:val="0"/>
                <w:color w:val="000000"/>
                <w:sz w:val="20"/>
                <w:szCs w:val="20"/>
                <w:lang w:eastAsia="en-AU"/>
              </w:rPr>
              <w:t>Hootsuite Inc</w:t>
            </w:r>
          </w:p>
        </w:tc>
        <w:tc>
          <w:tcPr>
            <w:tcW w:w="3402" w:type="dxa"/>
          </w:tcPr>
          <w:p w14:paraId="451AEF69" w14:textId="77777777" w:rsidR="00C032AB" w:rsidRPr="007C747A" w:rsidRDefault="00C032AB">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C747A">
              <w:rPr>
                <w:rFonts w:ascii="Arial" w:eastAsia="Times New Roman" w:hAnsi="Arial" w:cs="Arial"/>
                <w:color w:val="000000"/>
                <w:sz w:val="20"/>
                <w:szCs w:val="20"/>
                <w:lang w:eastAsia="en-AU"/>
              </w:rPr>
              <w:t>Social Media Management</w:t>
            </w:r>
          </w:p>
        </w:tc>
        <w:tc>
          <w:tcPr>
            <w:tcW w:w="1984" w:type="dxa"/>
          </w:tcPr>
          <w:p w14:paraId="355F5D72" w14:textId="77777777" w:rsidR="00C032AB" w:rsidRPr="007C747A" w:rsidRDefault="00C032AB">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highlight w:val="yellow"/>
              </w:rPr>
            </w:pPr>
            <w:r w:rsidRPr="007C747A">
              <w:rPr>
                <w:rFonts w:ascii="Arial" w:eastAsia="Times New Roman" w:hAnsi="Arial" w:cs="Arial"/>
                <w:color w:val="000000"/>
                <w:sz w:val="20"/>
                <w:szCs w:val="20"/>
                <w:lang w:eastAsia="en-AU"/>
              </w:rPr>
              <w:t xml:space="preserve">$40,270.00 </w:t>
            </w:r>
          </w:p>
        </w:tc>
      </w:tr>
      <w:tr w:rsidR="00C032AB" w:rsidRPr="007C747A" w14:paraId="218CF6B6" w14:textId="77777777">
        <w:trPr>
          <w:trHeight w:val="29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7E85393" w14:textId="77777777" w:rsidR="00C032AB" w:rsidRPr="007C747A" w:rsidRDefault="00C032AB">
            <w:pPr>
              <w:rPr>
                <w:rFonts w:eastAsia="Times New Roman" w:cs="Arial"/>
                <w:b w:val="0"/>
                <w:bCs w:val="0"/>
                <w:color w:val="000000"/>
                <w:sz w:val="20"/>
                <w:szCs w:val="20"/>
                <w:lang w:val="en-AU" w:eastAsia="en-AU"/>
              </w:rPr>
            </w:pPr>
            <w:r w:rsidRPr="007C747A">
              <w:rPr>
                <w:rFonts w:eastAsia="Times New Roman" w:cs="Arial"/>
                <w:b w:val="0"/>
                <w:bCs w:val="0"/>
                <w:color w:val="000000"/>
                <w:sz w:val="20"/>
                <w:szCs w:val="20"/>
                <w:lang w:val="en-AU" w:eastAsia="en-AU"/>
              </w:rPr>
              <w:t>Meta Platforms Inc</w:t>
            </w:r>
          </w:p>
        </w:tc>
        <w:tc>
          <w:tcPr>
            <w:tcW w:w="3402" w:type="dxa"/>
            <w:noWrap/>
            <w:hideMark/>
          </w:tcPr>
          <w:p w14:paraId="46DAE94C"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color w:val="000000"/>
                <w:sz w:val="20"/>
                <w:szCs w:val="20"/>
                <w:lang w:val="en-AU" w:eastAsia="en-AU"/>
              </w:rPr>
              <w:t>Social Media Management</w:t>
            </w:r>
          </w:p>
        </w:tc>
        <w:tc>
          <w:tcPr>
            <w:tcW w:w="1984" w:type="dxa"/>
            <w:noWrap/>
            <w:hideMark/>
          </w:tcPr>
          <w:p w14:paraId="5734D99B"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color w:val="000000"/>
                <w:sz w:val="20"/>
                <w:szCs w:val="20"/>
                <w:lang w:val="en-AU" w:eastAsia="en-AU"/>
              </w:rPr>
              <w:t xml:space="preserve">$27,759.78 </w:t>
            </w:r>
          </w:p>
        </w:tc>
      </w:tr>
      <w:tr w:rsidR="00C032AB" w:rsidRPr="007C747A" w14:paraId="2DA53683" w14:textId="777777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7E17112" w14:textId="77777777" w:rsidR="00C032AB" w:rsidRPr="007C747A" w:rsidRDefault="00C032AB">
            <w:pPr>
              <w:rPr>
                <w:rFonts w:eastAsia="Times New Roman" w:cs="Arial"/>
                <w:b w:val="0"/>
                <w:bCs w:val="0"/>
                <w:color w:val="000000"/>
                <w:sz w:val="20"/>
                <w:szCs w:val="20"/>
                <w:lang w:val="en-AU" w:eastAsia="en-AU"/>
              </w:rPr>
            </w:pPr>
            <w:r w:rsidRPr="007C747A">
              <w:rPr>
                <w:rFonts w:eastAsia="Times New Roman" w:cs="Arial"/>
                <w:b w:val="0"/>
                <w:color w:val="000000"/>
                <w:sz w:val="20"/>
                <w:szCs w:val="20"/>
                <w:lang w:val="en-AU" w:eastAsia="en-AU"/>
              </w:rPr>
              <w:t>LinkedIn Singapore Pte Ltd</w:t>
            </w:r>
          </w:p>
        </w:tc>
        <w:tc>
          <w:tcPr>
            <w:tcW w:w="3402" w:type="dxa"/>
            <w:noWrap/>
            <w:hideMark/>
          </w:tcPr>
          <w:p w14:paraId="5EBB87EB" w14:textId="77777777" w:rsidR="00C032AB" w:rsidRPr="007C747A" w:rsidRDefault="00C032AB">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color w:val="000000"/>
                <w:sz w:val="20"/>
                <w:szCs w:val="20"/>
                <w:lang w:val="en-AU" w:eastAsia="en-AU"/>
              </w:rPr>
              <w:t>LinkedIn Learning Annual Subscription</w:t>
            </w:r>
          </w:p>
        </w:tc>
        <w:tc>
          <w:tcPr>
            <w:tcW w:w="1984" w:type="dxa"/>
            <w:noWrap/>
            <w:hideMark/>
          </w:tcPr>
          <w:p w14:paraId="5B5A2E0B" w14:textId="77777777" w:rsidR="00C032AB" w:rsidRPr="007C747A" w:rsidRDefault="00C032AB">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color w:val="000000"/>
                <w:sz w:val="20"/>
                <w:szCs w:val="20"/>
                <w:lang w:val="en-AU" w:eastAsia="en-AU"/>
              </w:rPr>
              <w:t xml:space="preserve">$88,561.87 </w:t>
            </w:r>
          </w:p>
        </w:tc>
      </w:tr>
      <w:tr w:rsidR="00C032AB" w:rsidRPr="007C747A" w14:paraId="4E45EEBB" w14:textId="77777777">
        <w:trPr>
          <w:trHeight w:val="290"/>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6290340" w14:textId="05B32A65" w:rsidR="00C032AB" w:rsidRPr="007C747A" w:rsidRDefault="00230176">
            <w:pPr>
              <w:rPr>
                <w:rFonts w:eastAsia="Times New Roman" w:cs="Arial"/>
                <w:color w:val="000000"/>
                <w:sz w:val="20"/>
                <w:szCs w:val="20"/>
                <w:lang w:val="en-AU" w:eastAsia="en-AU"/>
              </w:rPr>
            </w:pPr>
            <w:r w:rsidRPr="007C747A">
              <w:rPr>
                <w:rFonts w:eastAsia="Times New Roman" w:cs="Arial"/>
                <w:color w:val="F9FAF9" w:themeColor="background2"/>
                <w:sz w:val="20"/>
                <w:szCs w:val="20"/>
                <w:lang w:val="en-AU" w:eastAsia="en-AU"/>
              </w:rPr>
              <w:t>Blank</w:t>
            </w:r>
          </w:p>
        </w:tc>
        <w:tc>
          <w:tcPr>
            <w:tcW w:w="3402" w:type="dxa"/>
            <w:noWrap/>
            <w:hideMark/>
          </w:tcPr>
          <w:p w14:paraId="5E6E88E9"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b/>
                <w:bCs/>
                <w:color w:val="000000"/>
                <w:sz w:val="20"/>
                <w:szCs w:val="20"/>
                <w:lang w:val="en-AU" w:eastAsia="en-AU"/>
              </w:rPr>
              <w:t>Total</w:t>
            </w:r>
          </w:p>
        </w:tc>
        <w:tc>
          <w:tcPr>
            <w:tcW w:w="1984" w:type="dxa"/>
            <w:noWrap/>
            <w:hideMark/>
          </w:tcPr>
          <w:p w14:paraId="51874A9B" w14:textId="77777777" w:rsidR="00C032AB" w:rsidRPr="007C747A" w:rsidRDefault="00C032AB">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val="en-AU" w:eastAsia="en-AU"/>
              </w:rPr>
            </w:pPr>
            <w:r w:rsidRPr="007C747A">
              <w:rPr>
                <w:rFonts w:eastAsia="Times New Roman" w:cs="Arial"/>
                <w:b/>
                <w:bCs/>
                <w:color w:val="000000"/>
                <w:sz w:val="20"/>
                <w:szCs w:val="20"/>
                <w:lang w:val="en-AU" w:eastAsia="en-AU"/>
              </w:rPr>
              <w:t xml:space="preserve">$156,591.65 </w:t>
            </w:r>
          </w:p>
        </w:tc>
      </w:tr>
    </w:tbl>
    <w:p w14:paraId="2EB9827A" w14:textId="1797DD06" w:rsidR="00C032AB" w:rsidRPr="007C747A" w:rsidRDefault="00F8773B" w:rsidP="00F8773B">
      <w:pPr>
        <w:pStyle w:val="FGCNORMAL"/>
      </w:pPr>
      <w:r w:rsidRPr="007C747A">
        <w:t>The grand total of all payments to advertising, market research, polling, direct mail and media advertising organisations in 2022–23 is $1,001,265.42.</w:t>
      </w:r>
    </w:p>
    <w:p w14:paraId="04EE78B7" w14:textId="77777777" w:rsidR="00F8773B" w:rsidRPr="007C747A" w:rsidRDefault="00F8773B" w:rsidP="00C032AB">
      <w:pPr>
        <w:pStyle w:val="FGCNORMAL"/>
      </w:pPr>
    </w:p>
    <w:p w14:paraId="1DCF40AA" w14:textId="77777777" w:rsidR="00C032AB" w:rsidRPr="007C747A" w:rsidRDefault="00C032AB" w:rsidP="009B6FB2">
      <w:pPr>
        <w:pStyle w:val="FGCHEADING2"/>
      </w:pPr>
      <w:bookmarkStart w:id="879" w:name="_Toc142039678"/>
      <w:bookmarkStart w:id="880" w:name="_Toc142047789"/>
      <w:bookmarkStart w:id="881" w:name="_Toc142563028"/>
      <w:bookmarkStart w:id="882" w:name="_Toc142573780"/>
      <w:bookmarkStart w:id="883" w:name="_Toc146289489"/>
      <w:bookmarkStart w:id="884" w:name="_Toc148108439"/>
      <w:r w:rsidRPr="007C747A">
        <w:t>Ecologically sustainable development and environmental performance</w:t>
      </w:r>
      <w:bookmarkEnd w:id="879"/>
      <w:bookmarkEnd w:id="880"/>
      <w:bookmarkEnd w:id="881"/>
      <w:bookmarkEnd w:id="882"/>
      <w:bookmarkEnd w:id="883"/>
      <w:bookmarkEnd w:id="884"/>
    </w:p>
    <w:p w14:paraId="32F08908" w14:textId="77777777" w:rsidR="00C032AB" w:rsidRPr="007C747A" w:rsidRDefault="00C032AB" w:rsidP="0048044C">
      <w:pPr>
        <w:pStyle w:val="Style3-NoNumbering"/>
      </w:pPr>
      <w:bookmarkStart w:id="885" w:name="_Toc142573781"/>
      <w:r w:rsidRPr="007C747A">
        <w:t>Fleet and fuel usage</w:t>
      </w:r>
      <w:bookmarkEnd w:id="885"/>
    </w:p>
    <w:p w14:paraId="040526DB" w14:textId="7BC29E28" w:rsidR="0002624F" w:rsidRPr="007C747A" w:rsidRDefault="0002624F" w:rsidP="0002624F">
      <w:pPr>
        <w:pStyle w:val="FGCNORMAL"/>
        <w:spacing w:line="240" w:lineRule="auto"/>
      </w:pPr>
      <w:r w:rsidRPr="007C747A">
        <w:t xml:space="preserve">During 2022–23, the Agency reduced its vehicle fleet portfolio by 9, from 107 vehicles to 98 vehicles. Approximately 60% of the NDIA fleet consists of hybrid vehicles, which are powered by a combination of petrol and electric engines. </w:t>
      </w:r>
    </w:p>
    <w:p w14:paraId="54B051D6" w14:textId="4471156E" w:rsidR="0002624F" w:rsidRPr="007C747A" w:rsidRDefault="0002624F" w:rsidP="0002624F">
      <w:pPr>
        <w:pStyle w:val="FGCNORMAL"/>
        <w:spacing w:line="240" w:lineRule="auto"/>
      </w:pPr>
      <w:r w:rsidRPr="007C747A">
        <w:t xml:space="preserve">The Agency is moving towards enhancing its green vehicle footprint by replacing its current vehicles with greener options such as </w:t>
      </w:r>
      <w:r w:rsidR="000E099E" w:rsidRPr="007C747A">
        <w:t>p</w:t>
      </w:r>
      <w:r w:rsidRPr="007C747A">
        <w:t>lug-</w:t>
      </w:r>
      <w:r w:rsidR="000E099E" w:rsidRPr="007C747A">
        <w:t>i</w:t>
      </w:r>
      <w:r w:rsidRPr="007C747A">
        <w:t xml:space="preserve">n </w:t>
      </w:r>
      <w:r w:rsidR="000E099E" w:rsidRPr="007C747A">
        <w:t>h</w:t>
      </w:r>
      <w:r w:rsidRPr="007C747A">
        <w:t xml:space="preserve">ybrid </w:t>
      </w:r>
      <w:r w:rsidR="000E099E" w:rsidRPr="007C747A">
        <w:t>e</w:t>
      </w:r>
      <w:r w:rsidRPr="007C747A">
        <w:t xml:space="preserve">lectric </w:t>
      </w:r>
      <w:r w:rsidR="000E099E" w:rsidRPr="007C747A">
        <w:t>v</w:t>
      </w:r>
      <w:r w:rsidRPr="007C747A">
        <w:t>ehicle</w:t>
      </w:r>
      <w:r w:rsidR="000E099E" w:rsidRPr="007C747A">
        <w:t>s</w:t>
      </w:r>
      <w:r w:rsidRPr="007C747A">
        <w:t xml:space="preserve">, </w:t>
      </w:r>
      <w:r w:rsidR="000E099E" w:rsidRPr="007C747A">
        <w:t>b</w:t>
      </w:r>
      <w:r w:rsidRPr="007C747A">
        <w:t xml:space="preserve">attery </w:t>
      </w:r>
      <w:r w:rsidR="000E099E" w:rsidRPr="007C747A">
        <w:t>e</w:t>
      </w:r>
      <w:r w:rsidRPr="007C747A">
        <w:t xml:space="preserve">lectric </w:t>
      </w:r>
      <w:r w:rsidR="000E099E" w:rsidRPr="007C747A">
        <w:t>v</w:t>
      </w:r>
      <w:r w:rsidRPr="007C747A">
        <w:t>ehicle</w:t>
      </w:r>
      <w:r w:rsidR="000E099E" w:rsidRPr="007C747A">
        <w:t>s</w:t>
      </w:r>
      <w:r w:rsidRPr="007C747A">
        <w:t xml:space="preserve"> and lower CO</w:t>
      </w:r>
      <w:r w:rsidRPr="007C747A">
        <w:rPr>
          <w:vertAlign w:val="subscript"/>
        </w:rPr>
        <w:t>2</w:t>
      </w:r>
      <w:r w:rsidRPr="007C747A">
        <w:t xml:space="preserve"> emitting </w:t>
      </w:r>
      <w:r w:rsidR="000E099E" w:rsidRPr="007C747A">
        <w:t>i</w:t>
      </w:r>
      <w:r w:rsidRPr="007C747A">
        <w:t xml:space="preserve">nternal </w:t>
      </w:r>
      <w:r w:rsidR="000E099E" w:rsidRPr="007C747A">
        <w:t>c</w:t>
      </w:r>
      <w:r w:rsidRPr="007C747A">
        <w:t xml:space="preserve">ombustion </w:t>
      </w:r>
      <w:r w:rsidR="000E099E" w:rsidRPr="007C747A">
        <w:t>e</w:t>
      </w:r>
      <w:r w:rsidRPr="007C747A">
        <w:t>ngine vehicles for remote locations.</w:t>
      </w:r>
    </w:p>
    <w:p w14:paraId="0B405404" w14:textId="414FFCDF" w:rsidR="0002624F" w:rsidRPr="007C747A" w:rsidRDefault="0002624F" w:rsidP="0048044C">
      <w:pPr>
        <w:pStyle w:val="Style3-NoNumbering"/>
      </w:pPr>
      <w:r w:rsidRPr="007C747A">
        <w:t xml:space="preserve">Air </w:t>
      </w:r>
      <w:r w:rsidR="000E099E" w:rsidRPr="007C747A">
        <w:t>t</w:t>
      </w:r>
      <w:r w:rsidRPr="007C747A">
        <w:t>ravel</w:t>
      </w:r>
    </w:p>
    <w:p w14:paraId="3DE3C5B1" w14:textId="2FED6BF3" w:rsidR="0002624F" w:rsidRPr="007C747A" w:rsidRDefault="0002624F" w:rsidP="0002624F">
      <w:pPr>
        <w:pStyle w:val="FGCNORMAL"/>
        <w:spacing w:line="240" w:lineRule="auto"/>
      </w:pPr>
      <w:r w:rsidRPr="007C747A">
        <w:t xml:space="preserve">Since </w:t>
      </w:r>
      <w:r w:rsidR="000E099E" w:rsidRPr="007C747A">
        <w:t xml:space="preserve">the COVID-19 pandemic </w:t>
      </w:r>
      <w:r w:rsidRPr="007C747A">
        <w:t>the Agency</w:t>
      </w:r>
      <w:r w:rsidR="000E099E" w:rsidRPr="007C747A">
        <w:t xml:space="preserve"> has</w:t>
      </w:r>
      <w:r w:rsidRPr="007C747A">
        <w:t xml:space="preserve"> continue</w:t>
      </w:r>
      <w:r w:rsidR="000E099E" w:rsidRPr="007C747A">
        <w:t>d</w:t>
      </w:r>
      <w:r w:rsidRPr="007C747A">
        <w:t xml:space="preserve"> to heavily leverage technology such as videoconferencing to minimise the need for travel between locations. Most meetings are now conducted virtually</w:t>
      </w:r>
      <w:r w:rsidR="000E099E" w:rsidRPr="007C747A">
        <w:t>,</w:t>
      </w:r>
      <w:r w:rsidRPr="007C747A">
        <w:t xml:space="preserve"> which has further enhanced collaboration across the Agency. </w:t>
      </w:r>
    </w:p>
    <w:p w14:paraId="6623DF88" w14:textId="77777777" w:rsidR="0002624F" w:rsidRPr="007C747A" w:rsidRDefault="0002624F" w:rsidP="0048044C">
      <w:pPr>
        <w:pStyle w:val="Style3-NoNumbering"/>
      </w:pPr>
      <w:r w:rsidRPr="007C747A">
        <w:t>Property</w:t>
      </w:r>
    </w:p>
    <w:p w14:paraId="09434225" w14:textId="77777777" w:rsidR="0002624F" w:rsidRPr="007C747A" w:rsidRDefault="0002624F" w:rsidP="0002624F">
      <w:pPr>
        <w:pStyle w:val="FGCNORMAL"/>
        <w:spacing w:line="240" w:lineRule="auto"/>
      </w:pPr>
      <w:r w:rsidRPr="007C747A">
        <w:t>The NDIA is committed to sustainable development and environmental performance. Through our property activities, we seek a minimum 5 Star Green Star Design and 4.5 Star NABERS Energy Base Building Office Rating, wherever possible.</w:t>
      </w:r>
    </w:p>
    <w:p w14:paraId="52E371A7" w14:textId="42532836" w:rsidR="0002624F" w:rsidRPr="007C747A" w:rsidRDefault="0002624F" w:rsidP="0048044C">
      <w:pPr>
        <w:pStyle w:val="Style3-NoNumbering"/>
      </w:pPr>
      <w:r w:rsidRPr="007C747A">
        <w:t xml:space="preserve">Carbon </w:t>
      </w:r>
      <w:r w:rsidR="000E099E" w:rsidRPr="007C747A">
        <w:t>e</w:t>
      </w:r>
      <w:r w:rsidRPr="007C747A">
        <w:t>missions</w:t>
      </w:r>
    </w:p>
    <w:p w14:paraId="7A8BF572" w14:textId="3FC23FA3" w:rsidR="0002624F" w:rsidRPr="007C747A" w:rsidRDefault="0002624F" w:rsidP="0002624F">
      <w:pPr>
        <w:pStyle w:val="FGCNORMAL"/>
        <w:spacing w:line="240" w:lineRule="auto"/>
      </w:pPr>
      <w:r w:rsidRPr="007C747A">
        <w:t>The Agency</w:t>
      </w:r>
      <w:r w:rsidR="000E099E" w:rsidRPr="007C747A">
        <w:t>’s</w:t>
      </w:r>
      <w:r w:rsidRPr="007C747A">
        <w:t xml:space="preserve"> </w:t>
      </w:r>
      <w:r w:rsidR="000E099E" w:rsidRPr="007C747A">
        <w:t>g</w:t>
      </w:r>
      <w:r w:rsidRPr="007C747A">
        <w:t xml:space="preserve">reenhouse </w:t>
      </w:r>
      <w:r w:rsidR="000E099E" w:rsidRPr="007C747A">
        <w:t>g</w:t>
      </w:r>
      <w:r w:rsidRPr="007C747A">
        <w:t xml:space="preserve">as </w:t>
      </w:r>
      <w:r w:rsidR="000E099E" w:rsidRPr="007C747A">
        <w:t>e</w:t>
      </w:r>
      <w:r w:rsidRPr="007C747A">
        <w:t xml:space="preserve">missions reporting has been developed </w:t>
      </w:r>
      <w:r w:rsidR="000E099E" w:rsidRPr="007C747A">
        <w:t xml:space="preserve">using </w:t>
      </w:r>
      <w:r w:rsidRPr="007C747A">
        <w:t xml:space="preserve">methodology that is consistent with the </w:t>
      </w:r>
      <w:r w:rsidR="000E099E" w:rsidRPr="007C747A">
        <w:t>w</w:t>
      </w:r>
      <w:r w:rsidRPr="007C747A">
        <w:t>hole</w:t>
      </w:r>
      <w:r w:rsidR="000E099E" w:rsidRPr="007C747A">
        <w:t xml:space="preserve"> </w:t>
      </w:r>
      <w:r w:rsidRPr="007C747A">
        <w:t>of</w:t>
      </w:r>
      <w:r w:rsidR="000E099E" w:rsidRPr="007C747A">
        <w:t xml:space="preserve"> </w:t>
      </w:r>
      <w:r w:rsidRPr="007C747A">
        <w:t xml:space="preserve">Australian Government approach as part of the APS Net Zero 2030 policy. </w:t>
      </w:r>
    </w:p>
    <w:p w14:paraId="002D9B31" w14:textId="07E88E36" w:rsidR="00C032AB" w:rsidRPr="007C747A" w:rsidRDefault="00C032AB" w:rsidP="003626B1">
      <w:pPr>
        <w:pStyle w:val="Heading43"/>
      </w:pPr>
      <w:r w:rsidRPr="007C747A">
        <w:t>Table 6.11</w:t>
      </w:r>
      <w:r w:rsidR="00DB40A5" w:rsidRPr="007C747A">
        <w:t>.1</w:t>
      </w:r>
      <w:r w:rsidRPr="007C747A">
        <w:t>A: Greenhouse gas emissions inventory – location-based method</w:t>
      </w:r>
    </w:p>
    <w:tbl>
      <w:tblPr>
        <w:tblStyle w:val="GridTable2-Accent312"/>
        <w:tblW w:w="9384" w:type="dxa"/>
        <w:tblInd w:w="652" w:type="dxa"/>
        <w:tblLook w:val="04A0" w:firstRow="1" w:lastRow="0" w:firstColumn="1" w:lastColumn="0" w:noHBand="0" w:noVBand="1"/>
      </w:tblPr>
      <w:tblGrid>
        <w:gridCol w:w="4034"/>
        <w:gridCol w:w="1336"/>
        <w:gridCol w:w="1338"/>
        <w:gridCol w:w="1338"/>
        <w:gridCol w:w="1338"/>
      </w:tblGrid>
      <w:tr w:rsidR="00C032AB" w:rsidRPr="007C747A" w14:paraId="0605F887" w14:textId="7777777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70A75434" w14:textId="77777777" w:rsidR="00C032AB" w:rsidRPr="007C747A" w:rsidRDefault="00C032AB">
            <w:pPr>
              <w:jc w:val="center"/>
              <w:rPr>
                <w:rFonts w:eastAsia="Times New Roman" w:cs="Arial"/>
                <w:b w:val="0"/>
                <w:bCs w:val="0"/>
                <w:color w:val="F9F9F9" w:themeColor="background1"/>
                <w:sz w:val="22"/>
                <w:szCs w:val="22"/>
                <w:lang w:val="en-AU" w:eastAsia="en-AU"/>
              </w:rPr>
            </w:pPr>
            <w:bookmarkStart w:id="886" w:name="_Hlk142053568"/>
            <w:r w:rsidRPr="007C747A">
              <w:rPr>
                <w:rFonts w:eastAsia="Times New Roman" w:cs="Arial"/>
                <w:color w:val="F9F9F9" w:themeColor="background1"/>
                <w:sz w:val="22"/>
                <w:szCs w:val="22"/>
                <w:lang w:val="en-AU" w:eastAsia="en-AU"/>
              </w:rPr>
              <w:t>Emission source</w:t>
            </w:r>
          </w:p>
        </w:tc>
        <w:tc>
          <w:tcPr>
            <w:tcW w:w="1336" w:type="dxa"/>
            <w:noWrap/>
            <w:hideMark/>
          </w:tcPr>
          <w:p w14:paraId="5E5651F1"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Scope 1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c>
          <w:tcPr>
            <w:tcW w:w="1338" w:type="dxa"/>
            <w:noWrap/>
            <w:hideMark/>
          </w:tcPr>
          <w:p w14:paraId="309266F0"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Scope 2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c>
          <w:tcPr>
            <w:tcW w:w="1338" w:type="dxa"/>
            <w:noWrap/>
            <w:hideMark/>
          </w:tcPr>
          <w:p w14:paraId="7B83DD99"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Scope 3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c>
          <w:tcPr>
            <w:tcW w:w="1338" w:type="dxa"/>
            <w:noWrap/>
            <w:hideMark/>
          </w:tcPr>
          <w:p w14:paraId="0CD943AD"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Total kg CO2-e</w:t>
            </w:r>
          </w:p>
        </w:tc>
      </w:tr>
      <w:tr w:rsidR="00C032AB" w:rsidRPr="007C747A" w14:paraId="72391A1E"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2E1BFAC2"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Electricity (location-based approach)</w:t>
            </w:r>
          </w:p>
        </w:tc>
        <w:tc>
          <w:tcPr>
            <w:tcW w:w="1336" w:type="dxa"/>
            <w:hideMark/>
          </w:tcPr>
          <w:p w14:paraId="026FA24C"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N/A</w:t>
            </w:r>
          </w:p>
        </w:tc>
        <w:tc>
          <w:tcPr>
            <w:tcW w:w="1338" w:type="dxa"/>
            <w:hideMark/>
          </w:tcPr>
          <w:p w14:paraId="0FB1EB78"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1,939,591</w:t>
            </w:r>
          </w:p>
        </w:tc>
        <w:tc>
          <w:tcPr>
            <w:tcW w:w="1338" w:type="dxa"/>
            <w:hideMark/>
          </w:tcPr>
          <w:p w14:paraId="37A3145E"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200,089</w:t>
            </w:r>
          </w:p>
        </w:tc>
        <w:tc>
          <w:tcPr>
            <w:tcW w:w="1338" w:type="dxa"/>
            <w:hideMark/>
          </w:tcPr>
          <w:p w14:paraId="0651265B"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2,139,680</w:t>
            </w:r>
          </w:p>
        </w:tc>
      </w:tr>
      <w:tr w:rsidR="00C032AB" w:rsidRPr="007C747A" w14:paraId="1AA34B66" w14:textId="77777777">
        <w:trPr>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13ABDF6C"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Natural gas</w:t>
            </w:r>
          </w:p>
        </w:tc>
        <w:tc>
          <w:tcPr>
            <w:tcW w:w="1336" w:type="dxa"/>
            <w:hideMark/>
          </w:tcPr>
          <w:p w14:paraId="43A6E2B7"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37,558</w:t>
            </w:r>
          </w:p>
        </w:tc>
        <w:tc>
          <w:tcPr>
            <w:tcW w:w="1338" w:type="dxa"/>
            <w:hideMark/>
          </w:tcPr>
          <w:p w14:paraId="74544DF6"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N/A</w:t>
            </w:r>
          </w:p>
        </w:tc>
        <w:tc>
          <w:tcPr>
            <w:tcW w:w="1338" w:type="dxa"/>
            <w:hideMark/>
          </w:tcPr>
          <w:p w14:paraId="613FBB25"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9,479</w:t>
            </w:r>
          </w:p>
        </w:tc>
        <w:tc>
          <w:tcPr>
            <w:tcW w:w="1338" w:type="dxa"/>
            <w:hideMark/>
          </w:tcPr>
          <w:p w14:paraId="64FB601E" w14:textId="40066F82"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47,03</w:t>
            </w:r>
            <w:r w:rsidR="000C1F42" w:rsidRPr="007C747A">
              <w:rPr>
                <w:rFonts w:eastAsia="Times New Roman" w:cs="Arial"/>
                <w:color w:val="000000"/>
                <w:sz w:val="22"/>
                <w:szCs w:val="22"/>
                <w:lang w:val="en-AU" w:eastAsia="en-AU"/>
              </w:rPr>
              <w:t>7</w:t>
            </w:r>
          </w:p>
        </w:tc>
      </w:tr>
      <w:tr w:rsidR="00C032AB" w:rsidRPr="007C747A" w14:paraId="313D092A"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05903C22"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Fleet vehicles</w:t>
            </w:r>
          </w:p>
        </w:tc>
        <w:tc>
          <w:tcPr>
            <w:tcW w:w="1336" w:type="dxa"/>
            <w:hideMark/>
          </w:tcPr>
          <w:p w14:paraId="095FA10C"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108,618</w:t>
            </w:r>
          </w:p>
        </w:tc>
        <w:tc>
          <w:tcPr>
            <w:tcW w:w="1338" w:type="dxa"/>
            <w:hideMark/>
          </w:tcPr>
          <w:p w14:paraId="34B201C8"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N/A</w:t>
            </w:r>
          </w:p>
        </w:tc>
        <w:tc>
          <w:tcPr>
            <w:tcW w:w="1338" w:type="dxa"/>
            <w:hideMark/>
          </w:tcPr>
          <w:p w14:paraId="2BFB26E1"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27,112</w:t>
            </w:r>
          </w:p>
        </w:tc>
        <w:tc>
          <w:tcPr>
            <w:tcW w:w="1338" w:type="dxa"/>
            <w:hideMark/>
          </w:tcPr>
          <w:p w14:paraId="5D0F5BAE"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135,730</w:t>
            </w:r>
          </w:p>
        </w:tc>
      </w:tr>
      <w:tr w:rsidR="00C032AB" w:rsidRPr="007C747A" w14:paraId="7982908B" w14:textId="77777777">
        <w:trPr>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0D9559C4"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Domestic flights</w:t>
            </w:r>
          </w:p>
        </w:tc>
        <w:tc>
          <w:tcPr>
            <w:tcW w:w="1336" w:type="dxa"/>
            <w:hideMark/>
          </w:tcPr>
          <w:p w14:paraId="35A16EF3"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N/A</w:t>
            </w:r>
          </w:p>
        </w:tc>
        <w:tc>
          <w:tcPr>
            <w:tcW w:w="1338" w:type="dxa"/>
            <w:hideMark/>
          </w:tcPr>
          <w:p w14:paraId="0D2A2357"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N/A</w:t>
            </w:r>
          </w:p>
        </w:tc>
        <w:tc>
          <w:tcPr>
            <w:tcW w:w="1338" w:type="dxa"/>
            <w:hideMark/>
          </w:tcPr>
          <w:p w14:paraId="249A89E3" w14:textId="4762A091" w:rsidR="00C032AB" w:rsidRPr="007C747A" w:rsidRDefault="00685296"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1,152,348</w:t>
            </w:r>
          </w:p>
        </w:tc>
        <w:tc>
          <w:tcPr>
            <w:tcW w:w="1338" w:type="dxa"/>
            <w:hideMark/>
          </w:tcPr>
          <w:p w14:paraId="57A895AA" w14:textId="02CCD159" w:rsidR="00C032AB" w:rsidRPr="007C747A" w:rsidRDefault="00685296"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1,152,348</w:t>
            </w:r>
          </w:p>
        </w:tc>
      </w:tr>
      <w:tr w:rsidR="00C032AB" w:rsidRPr="007C747A" w14:paraId="63A68C2B"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20F01304"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Other energy</w:t>
            </w:r>
          </w:p>
        </w:tc>
        <w:tc>
          <w:tcPr>
            <w:tcW w:w="1336" w:type="dxa"/>
            <w:hideMark/>
          </w:tcPr>
          <w:p w14:paraId="3516574C" w14:textId="58405850" w:rsidR="00C032AB" w:rsidRPr="007C747A" w:rsidRDefault="00230176"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0</w:t>
            </w:r>
          </w:p>
        </w:tc>
        <w:tc>
          <w:tcPr>
            <w:tcW w:w="1338" w:type="dxa"/>
            <w:hideMark/>
          </w:tcPr>
          <w:p w14:paraId="351FC618"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N/A</w:t>
            </w:r>
          </w:p>
        </w:tc>
        <w:tc>
          <w:tcPr>
            <w:tcW w:w="1338" w:type="dxa"/>
            <w:hideMark/>
          </w:tcPr>
          <w:p w14:paraId="1EFF4523" w14:textId="1981428C" w:rsidR="00C032AB" w:rsidRPr="007C747A" w:rsidRDefault="00230176"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0</w:t>
            </w:r>
          </w:p>
        </w:tc>
        <w:tc>
          <w:tcPr>
            <w:tcW w:w="1338" w:type="dxa"/>
            <w:hideMark/>
          </w:tcPr>
          <w:p w14:paraId="420C0EF4" w14:textId="27ABA510" w:rsidR="00C032AB" w:rsidRPr="007C747A" w:rsidRDefault="00230176"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0</w:t>
            </w:r>
          </w:p>
        </w:tc>
      </w:tr>
      <w:tr w:rsidR="00C032AB" w:rsidRPr="007C747A" w14:paraId="74059C5A" w14:textId="77777777">
        <w:trPr>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075C2C2F" w14:textId="77777777" w:rsidR="00C032AB" w:rsidRPr="007C747A" w:rsidRDefault="00C032AB">
            <w:pPr>
              <w:rPr>
                <w:rFonts w:eastAsia="Times New Roman" w:cs="Arial"/>
                <w:b w:val="0"/>
                <w:bCs w:val="0"/>
                <w:color w:val="000000"/>
                <w:sz w:val="22"/>
                <w:szCs w:val="22"/>
                <w:lang w:val="en-AU" w:eastAsia="en-AU"/>
              </w:rPr>
            </w:pPr>
            <w:r w:rsidRPr="007C747A">
              <w:rPr>
                <w:rFonts w:eastAsia="Times New Roman" w:cs="Arial"/>
                <w:color w:val="000000"/>
                <w:sz w:val="22"/>
                <w:szCs w:val="22"/>
                <w:lang w:val="en-AU" w:eastAsia="en-AU"/>
              </w:rPr>
              <w:t>Total kg CO</w:t>
            </w:r>
            <w:r w:rsidRPr="007C747A">
              <w:rPr>
                <w:rFonts w:eastAsia="Times New Roman" w:cs="Arial"/>
                <w:color w:val="000000"/>
                <w:sz w:val="22"/>
                <w:szCs w:val="22"/>
                <w:vertAlign w:val="subscript"/>
                <w:lang w:val="en-AU" w:eastAsia="en-AU"/>
              </w:rPr>
              <w:t>2</w:t>
            </w:r>
            <w:r w:rsidRPr="007C747A">
              <w:rPr>
                <w:rFonts w:eastAsia="Times New Roman" w:cs="Arial"/>
                <w:color w:val="000000"/>
                <w:sz w:val="22"/>
                <w:szCs w:val="22"/>
                <w:lang w:val="en-AU" w:eastAsia="en-AU"/>
              </w:rPr>
              <w:t>-e</w:t>
            </w:r>
          </w:p>
        </w:tc>
        <w:tc>
          <w:tcPr>
            <w:tcW w:w="1336" w:type="dxa"/>
            <w:hideMark/>
          </w:tcPr>
          <w:p w14:paraId="7617C363"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146,176</w:t>
            </w:r>
          </w:p>
        </w:tc>
        <w:tc>
          <w:tcPr>
            <w:tcW w:w="1338" w:type="dxa"/>
            <w:hideMark/>
          </w:tcPr>
          <w:p w14:paraId="08AFB5A3"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1,939,591</w:t>
            </w:r>
          </w:p>
        </w:tc>
        <w:tc>
          <w:tcPr>
            <w:tcW w:w="1338" w:type="dxa"/>
            <w:hideMark/>
          </w:tcPr>
          <w:p w14:paraId="57D7EDAE" w14:textId="08344499" w:rsidR="00C032AB" w:rsidRPr="007C747A" w:rsidRDefault="00512BBF"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Style w:val="ui-provider"/>
                <w:sz w:val="22"/>
                <w:szCs w:val="22"/>
                <w:lang w:val="en-AU"/>
              </w:rPr>
              <w:t>1,389,028</w:t>
            </w:r>
            <w:r w:rsidRPr="007C747A">
              <w:rPr>
                <w:rStyle w:val="ui-provider"/>
                <w:lang w:val="en-AU"/>
              </w:rPr>
              <w:t> </w:t>
            </w:r>
          </w:p>
        </w:tc>
        <w:tc>
          <w:tcPr>
            <w:tcW w:w="1338" w:type="dxa"/>
            <w:hideMark/>
          </w:tcPr>
          <w:p w14:paraId="11C60049" w14:textId="46041340" w:rsidR="00C032AB" w:rsidRPr="007C747A" w:rsidRDefault="000B486C"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rFonts w:eastAsia="Times New Roman" w:cs="Arial"/>
                <w:color w:val="000000"/>
                <w:sz w:val="22"/>
                <w:szCs w:val="22"/>
                <w:lang w:val="en-AU" w:eastAsia="en-AU"/>
              </w:rPr>
              <w:t>3,474,795</w:t>
            </w:r>
          </w:p>
        </w:tc>
      </w:tr>
    </w:tbl>
    <w:bookmarkEnd w:id="886"/>
    <w:p w14:paraId="19D5E66D" w14:textId="24A6CDB0" w:rsidR="003B6EA4" w:rsidRPr="007C747A" w:rsidRDefault="003B6EA4" w:rsidP="003B6EA4">
      <w:pPr>
        <w:pStyle w:val="FGCNORMAL"/>
        <w:spacing w:line="240" w:lineRule="auto"/>
        <w:rPr>
          <w:lang w:eastAsia="en-AU"/>
        </w:rPr>
      </w:pPr>
      <w:r w:rsidRPr="007C747A">
        <w:rPr>
          <w:lang w:eastAsia="en-AU"/>
        </w:rPr>
        <w:t>The electricity emissions reported in Table 6.11</w:t>
      </w:r>
      <w:r w:rsidR="00B636A4" w:rsidRPr="007C747A">
        <w:rPr>
          <w:lang w:eastAsia="en-AU"/>
        </w:rPr>
        <w:t>.1</w:t>
      </w:r>
      <w:r w:rsidRPr="007C747A">
        <w:rPr>
          <w:lang w:eastAsia="en-AU"/>
        </w:rPr>
        <w:t>B are calculated using the market-based method, which accounts for factors such as GreenPower, purchased large generation certificates (LGCs) and/or being located in the ACT.</w:t>
      </w:r>
    </w:p>
    <w:p w14:paraId="7E88623D" w14:textId="5F505159" w:rsidR="00C032AB" w:rsidRPr="007C747A" w:rsidRDefault="00C032AB" w:rsidP="00806BD0">
      <w:pPr>
        <w:pStyle w:val="Heading43"/>
        <w:rPr>
          <w:lang w:eastAsia="en-AU"/>
        </w:rPr>
      </w:pPr>
      <w:r w:rsidRPr="007C747A">
        <w:rPr>
          <w:bCs/>
        </w:rPr>
        <w:t>Table 6.11</w:t>
      </w:r>
      <w:r w:rsidR="00DB40A5" w:rsidRPr="007C747A">
        <w:rPr>
          <w:bCs/>
        </w:rPr>
        <w:t>.1</w:t>
      </w:r>
      <w:r w:rsidRPr="007C747A">
        <w:rPr>
          <w:bCs/>
        </w:rPr>
        <w:t>B:</w:t>
      </w:r>
      <w:r w:rsidRPr="007C747A">
        <w:t xml:space="preserve"> Greenhouse gas emissions inventory – market-based method</w:t>
      </w:r>
    </w:p>
    <w:tbl>
      <w:tblPr>
        <w:tblStyle w:val="GridTable2-Accent312"/>
        <w:tblW w:w="9384" w:type="dxa"/>
        <w:tblInd w:w="652" w:type="dxa"/>
        <w:tblLook w:val="04A0" w:firstRow="1" w:lastRow="0" w:firstColumn="1" w:lastColumn="0" w:noHBand="0" w:noVBand="1"/>
      </w:tblPr>
      <w:tblGrid>
        <w:gridCol w:w="4034"/>
        <w:gridCol w:w="1336"/>
        <w:gridCol w:w="1338"/>
        <w:gridCol w:w="1338"/>
        <w:gridCol w:w="1338"/>
      </w:tblGrid>
      <w:tr w:rsidR="00C032AB" w:rsidRPr="007C747A" w14:paraId="64DB2F27" w14:textId="77777777">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512DB2E6" w14:textId="77777777" w:rsidR="00C032AB" w:rsidRPr="007C747A" w:rsidRDefault="00C032AB">
            <w:pPr>
              <w:jc w:val="center"/>
              <w:rPr>
                <w:rFonts w:eastAsia="Times New Roman" w:cs="Arial"/>
                <w:b w:val="0"/>
                <w:bCs w:val="0"/>
                <w:color w:val="F9F9F9" w:themeColor="background1"/>
                <w:sz w:val="22"/>
                <w:szCs w:val="22"/>
                <w:lang w:val="en-AU" w:eastAsia="en-AU"/>
              </w:rPr>
            </w:pPr>
            <w:r w:rsidRPr="007C747A">
              <w:rPr>
                <w:rFonts w:eastAsia="Times New Roman" w:cs="Arial"/>
                <w:color w:val="F9F9F9" w:themeColor="background1"/>
                <w:sz w:val="22"/>
                <w:szCs w:val="22"/>
                <w:lang w:val="en-AU" w:eastAsia="en-AU"/>
              </w:rPr>
              <w:t>Emission source</w:t>
            </w:r>
          </w:p>
        </w:tc>
        <w:tc>
          <w:tcPr>
            <w:tcW w:w="1336" w:type="dxa"/>
            <w:noWrap/>
            <w:hideMark/>
          </w:tcPr>
          <w:p w14:paraId="6134FB64"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Scope 1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c>
          <w:tcPr>
            <w:tcW w:w="1338" w:type="dxa"/>
            <w:noWrap/>
            <w:hideMark/>
          </w:tcPr>
          <w:p w14:paraId="489D235D"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Scope 2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c>
          <w:tcPr>
            <w:tcW w:w="1338" w:type="dxa"/>
            <w:noWrap/>
            <w:hideMark/>
          </w:tcPr>
          <w:p w14:paraId="4F62802D"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Scope 3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c>
          <w:tcPr>
            <w:tcW w:w="1338" w:type="dxa"/>
            <w:noWrap/>
            <w:hideMark/>
          </w:tcPr>
          <w:p w14:paraId="10DC0C93" w14:textId="77777777" w:rsidR="00C032AB" w:rsidRPr="007C747A" w:rsidRDefault="00C032AB">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F9F9F9" w:themeColor="background1"/>
                <w:sz w:val="20"/>
                <w:szCs w:val="20"/>
                <w:lang w:val="en-AU" w:eastAsia="en-AU"/>
              </w:rPr>
            </w:pPr>
            <w:r w:rsidRPr="007C747A">
              <w:rPr>
                <w:rFonts w:eastAsia="Times New Roman" w:cs="Arial"/>
                <w:color w:val="F9F9F9" w:themeColor="background1"/>
                <w:sz w:val="20"/>
                <w:szCs w:val="20"/>
                <w:lang w:val="en-AU" w:eastAsia="en-AU"/>
              </w:rPr>
              <w:t>Total kg CO</w:t>
            </w:r>
            <w:r w:rsidRPr="007C747A">
              <w:rPr>
                <w:rFonts w:eastAsia="Times New Roman" w:cs="Arial"/>
                <w:color w:val="F9F9F9" w:themeColor="background1"/>
                <w:sz w:val="20"/>
                <w:szCs w:val="20"/>
                <w:vertAlign w:val="subscript"/>
                <w:lang w:val="en-AU" w:eastAsia="en-AU"/>
              </w:rPr>
              <w:t>2</w:t>
            </w:r>
            <w:r w:rsidRPr="007C747A">
              <w:rPr>
                <w:rFonts w:eastAsia="Times New Roman" w:cs="Arial"/>
                <w:color w:val="F9F9F9" w:themeColor="background1"/>
                <w:sz w:val="20"/>
                <w:szCs w:val="20"/>
                <w:lang w:val="en-AU" w:eastAsia="en-AU"/>
              </w:rPr>
              <w:t>-e</w:t>
            </w:r>
          </w:p>
        </w:tc>
      </w:tr>
      <w:tr w:rsidR="00C032AB" w:rsidRPr="007C747A" w14:paraId="7CF74642"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47ACDD82"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Electricity (market-based approach)</w:t>
            </w:r>
          </w:p>
        </w:tc>
        <w:tc>
          <w:tcPr>
            <w:tcW w:w="1336" w:type="dxa"/>
          </w:tcPr>
          <w:p w14:paraId="4DBAA51C"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 N/A </w:t>
            </w:r>
          </w:p>
        </w:tc>
        <w:tc>
          <w:tcPr>
            <w:tcW w:w="1338" w:type="dxa"/>
          </w:tcPr>
          <w:p w14:paraId="0C5CF7B2"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1,673,670 </w:t>
            </w:r>
          </w:p>
        </w:tc>
        <w:tc>
          <w:tcPr>
            <w:tcW w:w="1338" w:type="dxa"/>
          </w:tcPr>
          <w:p w14:paraId="659716F1"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221,515 </w:t>
            </w:r>
          </w:p>
        </w:tc>
        <w:tc>
          <w:tcPr>
            <w:tcW w:w="1338" w:type="dxa"/>
          </w:tcPr>
          <w:p w14:paraId="70580CFD"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1,895,185 </w:t>
            </w:r>
          </w:p>
        </w:tc>
      </w:tr>
      <w:tr w:rsidR="00C032AB" w:rsidRPr="007C747A" w14:paraId="17320BAA" w14:textId="77777777">
        <w:trPr>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354F5806"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Natural gas</w:t>
            </w:r>
          </w:p>
        </w:tc>
        <w:tc>
          <w:tcPr>
            <w:tcW w:w="1336" w:type="dxa"/>
          </w:tcPr>
          <w:p w14:paraId="3FF0B65F"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37,558 </w:t>
            </w:r>
          </w:p>
        </w:tc>
        <w:tc>
          <w:tcPr>
            <w:tcW w:w="1338" w:type="dxa"/>
          </w:tcPr>
          <w:p w14:paraId="10912C56"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 N/A </w:t>
            </w:r>
          </w:p>
        </w:tc>
        <w:tc>
          <w:tcPr>
            <w:tcW w:w="1338" w:type="dxa"/>
          </w:tcPr>
          <w:p w14:paraId="2C5EA035"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9,479 </w:t>
            </w:r>
          </w:p>
        </w:tc>
        <w:tc>
          <w:tcPr>
            <w:tcW w:w="1338" w:type="dxa"/>
          </w:tcPr>
          <w:p w14:paraId="4534D73D" w14:textId="58A99645"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47,03</w:t>
            </w:r>
            <w:r w:rsidR="001D7FA7" w:rsidRPr="007C747A">
              <w:rPr>
                <w:sz w:val="22"/>
                <w:szCs w:val="22"/>
                <w:lang w:val="en-AU"/>
              </w:rPr>
              <w:t>7</w:t>
            </w:r>
          </w:p>
        </w:tc>
      </w:tr>
      <w:tr w:rsidR="00C032AB" w:rsidRPr="007C747A" w14:paraId="1358A641"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75F63DB0"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Fleet vehicles</w:t>
            </w:r>
          </w:p>
        </w:tc>
        <w:tc>
          <w:tcPr>
            <w:tcW w:w="1336" w:type="dxa"/>
          </w:tcPr>
          <w:p w14:paraId="02A98D57"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108,618 </w:t>
            </w:r>
          </w:p>
        </w:tc>
        <w:tc>
          <w:tcPr>
            <w:tcW w:w="1338" w:type="dxa"/>
          </w:tcPr>
          <w:p w14:paraId="3D9FF495"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 N/A </w:t>
            </w:r>
          </w:p>
        </w:tc>
        <w:tc>
          <w:tcPr>
            <w:tcW w:w="1338" w:type="dxa"/>
          </w:tcPr>
          <w:p w14:paraId="3C76D7E4"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27,112 </w:t>
            </w:r>
          </w:p>
        </w:tc>
        <w:tc>
          <w:tcPr>
            <w:tcW w:w="1338" w:type="dxa"/>
          </w:tcPr>
          <w:p w14:paraId="3645158E"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135,730 </w:t>
            </w:r>
          </w:p>
        </w:tc>
      </w:tr>
      <w:tr w:rsidR="00C032AB" w:rsidRPr="007C747A" w14:paraId="459D5AD0" w14:textId="77777777">
        <w:trPr>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4AEED1E5"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Domestic flights</w:t>
            </w:r>
          </w:p>
        </w:tc>
        <w:tc>
          <w:tcPr>
            <w:tcW w:w="1336" w:type="dxa"/>
          </w:tcPr>
          <w:p w14:paraId="46F72691"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 N/A </w:t>
            </w:r>
          </w:p>
        </w:tc>
        <w:tc>
          <w:tcPr>
            <w:tcW w:w="1338" w:type="dxa"/>
          </w:tcPr>
          <w:p w14:paraId="128F637E"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 N/A </w:t>
            </w:r>
          </w:p>
        </w:tc>
        <w:tc>
          <w:tcPr>
            <w:tcW w:w="1338" w:type="dxa"/>
          </w:tcPr>
          <w:p w14:paraId="21E891F2" w14:textId="4C7D7750" w:rsidR="00C032AB" w:rsidRPr="007C747A" w:rsidRDefault="009C743D"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1,152,348</w:t>
            </w:r>
            <w:r w:rsidR="00C032AB" w:rsidRPr="007C747A">
              <w:rPr>
                <w:sz w:val="22"/>
                <w:szCs w:val="22"/>
                <w:lang w:val="en-AU"/>
              </w:rPr>
              <w:t xml:space="preserve"> </w:t>
            </w:r>
          </w:p>
        </w:tc>
        <w:tc>
          <w:tcPr>
            <w:tcW w:w="1338" w:type="dxa"/>
          </w:tcPr>
          <w:p w14:paraId="7233BB17" w14:textId="29117740" w:rsidR="00C032AB" w:rsidRPr="007C747A" w:rsidRDefault="009C743D"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1,152,348</w:t>
            </w:r>
            <w:r w:rsidR="00C032AB" w:rsidRPr="007C747A">
              <w:rPr>
                <w:sz w:val="22"/>
                <w:szCs w:val="22"/>
                <w:lang w:val="en-AU"/>
              </w:rPr>
              <w:t xml:space="preserve"> </w:t>
            </w:r>
          </w:p>
        </w:tc>
      </w:tr>
      <w:tr w:rsidR="00C032AB" w:rsidRPr="007C747A" w14:paraId="6C21DE1B" w14:textId="77777777">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40B1C856" w14:textId="77777777" w:rsidR="00C032AB" w:rsidRPr="007C747A" w:rsidRDefault="00C032AB">
            <w:pPr>
              <w:rPr>
                <w:rFonts w:eastAsia="Times New Roman" w:cs="Arial"/>
                <w:color w:val="000000"/>
                <w:sz w:val="22"/>
                <w:szCs w:val="22"/>
                <w:lang w:val="en-AU" w:eastAsia="en-AU"/>
              </w:rPr>
            </w:pPr>
            <w:r w:rsidRPr="007C747A">
              <w:rPr>
                <w:rFonts w:eastAsia="Times New Roman" w:cs="Arial"/>
                <w:color w:val="000000"/>
                <w:sz w:val="22"/>
                <w:szCs w:val="22"/>
                <w:lang w:val="en-AU" w:eastAsia="en-AU"/>
              </w:rPr>
              <w:t>Other energy</w:t>
            </w:r>
          </w:p>
        </w:tc>
        <w:tc>
          <w:tcPr>
            <w:tcW w:w="1336" w:type="dxa"/>
          </w:tcPr>
          <w:p w14:paraId="7F5F5EDC" w14:textId="6CA9BFA5" w:rsidR="00C032AB" w:rsidRPr="007C747A" w:rsidRDefault="00F70862"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0</w:t>
            </w:r>
          </w:p>
        </w:tc>
        <w:tc>
          <w:tcPr>
            <w:tcW w:w="1338" w:type="dxa"/>
          </w:tcPr>
          <w:p w14:paraId="08C7130A" w14:textId="77777777" w:rsidR="00C032AB" w:rsidRPr="007C747A" w:rsidRDefault="00C032AB"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 N/A </w:t>
            </w:r>
          </w:p>
        </w:tc>
        <w:tc>
          <w:tcPr>
            <w:tcW w:w="1338" w:type="dxa"/>
          </w:tcPr>
          <w:p w14:paraId="58321683" w14:textId="131DB301" w:rsidR="00C032AB" w:rsidRPr="007C747A" w:rsidRDefault="00F70862"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0</w:t>
            </w:r>
          </w:p>
        </w:tc>
        <w:tc>
          <w:tcPr>
            <w:tcW w:w="1338" w:type="dxa"/>
          </w:tcPr>
          <w:p w14:paraId="14967C0E" w14:textId="67E5B06F" w:rsidR="00C032AB" w:rsidRPr="007C747A" w:rsidRDefault="00F70862" w:rsidP="00AE321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0</w:t>
            </w:r>
          </w:p>
        </w:tc>
      </w:tr>
      <w:tr w:rsidR="00C032AB" w:rsidRPr="007C747A" w14:paraId="6E728D84" w14:textId="77777777">
        <w:trPr>
          <w:trHeight w:val="345"/>
        </w:trPr>
        <w:tc>
          <w:tcPr>
            <w:cnfStyle w:val="001000000000" w:firstRow="0" w:lastRow="0" w:firstColumn="1" w:lastColumn="0" w:oddVBand="0" w:evenVBand="0" w:oddHBand="0" w:evenHBand="0" w:firstRowFirstColumn="0" w:firstRowLastColumn="0" w:lastRowFirstColumn="0" w:lastRowLastColumn="0"/>
            <w:tcW w:w="4034" w:type="dxa"/>
            <w:noWrap/>
            <w:hideMark/>
          </w:tcPr>
          <w:p w14:paraId="6A529469" w14:textId="77777777" w:rsidR="00C032AB" w:rsidRPr="007C747A" w:rsidRDefault="00C032AB">
            <w:pPr>
              <w:rPr>
                <w:rFonts w:eastAsia="Times New Roman" w:cs="Arial"/>
                <w:b w:val="0"/>
                <w:bCs w:val="0"/>
                <w:color w:val="000000"/>
                <w:sz w:val="22"/>
                <w:szCs w:val="22"/>
                <w:lang w:val="en-AU" w:eastAsia="en-AU"/>
              </w:rPr>
            </w:pPr>
            <w:r w:rsidRPr="007C747A">
              <w:rPr>
                <w:rFonts w:eastAsia="Times New Roman" w:cs="Arial"/>
                <w:color w:val="000000"/>
                <w:sz w:val="22"/>
                <w:szCs w:val="22"/>
                <w:lang w:val="en-AU" w:eastAsia="en-AU"/>
              </w:rPr>
              <w:t>Total kg CO</w:t>
            </w:r>
            <w:r w:rsidRPr="007C747A">
              <w:rPr>
                <w:rFonts w:eastAsia="Times New Roman" w:cs="Arial"/>
                <w:color w:val="000000"/>
                <w:sz w:val="22"/>
                <w:szCs w:val="22"/>
                <w:vertAlign w:val="subscript"/>
                <w:lang w:val="en-AU" w:eastAsia="en-AU"/>
              </w:rPr>
              <w:t>2</w:t>
            </w:r>
            <w:r w:rsidRPr="007C747A">
              <w:rPr>
                <w:rFonts w:eastAsia="Times New Roman" w:cs="Arial"/>
                <w:color w:val="000000"/>
                <w:sz w:val="22"/>
                <w:szCs w:val="22"/>
                <w:lang w:val="en-AU" w:eastAsia="en-AU"/>
              </w:rPr>
              <w:t>-e</w:t>
            </w:r>
          </w:p>
        </w:tc>
        <w:tc>
          <w:tcPr>
            <w:tcW w:w="1336" w:type="dxa"/>
          </w:tcPr>
          <w:p w14:paraId="7D1481D8"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146,176 </w:t>
            </w:r>
          </w:p>
        </w:tc>
        <w:tc>
          <w:tcPr>
            <w:tcW w:w="1338" w:type="dxa"/>
          </w:tcPr>
          <w:p w14:paraId="16C6256C" w14:textId="77777777" w:rsidR="00C032AB" w:rsidRPr="007C747A" w:rsidRDefault="00C032AB"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 xml:space="preserve">1,673,670 </w:t>
            </w:r>
          </w:p>
        </w:tc>
        <w:tc>
          <w:tcPr>
            <w:tcW w:w="1338" w:type="dxa"/>
          </w:tcPr>
          <w:p w14:paraId="4A964DB7" w14:textId="10308F8A" w:rsidR="00C032AB" w:rsidRPr="007C747A" w:rsidRDefault="009C743D"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1,</w:t>
            </w:r>
            <w:r w:rsidR="00FB433F" w:rsidRPr="007C747A">
              <w:rPr>
                <w:sz w:val="22"/>
                <w:szCs w:val="22"/>
                <w:lang w:val="en-AU"/>
              </w:rPr>
              <w:t>410,454</w:t>
            </w:r>
          </w:p>
        </w:tc>
        <w:tc>
          <w:tcPr>
            <w:tcW w:w="1338" w:type="dxa"/>
          </w:tcPr>
          <w:p w14:paraId="03304924" w14:textId="41F31D0D" w:rsidR="00C032AB" w:rsidRPr="007C747A" w:rsidRDefault="00FB433F" w:rsidP="00AE321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2"/>
                <w:szCs w:val="22"/>
                <w:lang w:val="en-AU" w:eastAsia="en-AU"/>
              </w:rPr>
            </w:pPr>
            <w:r w:rsidRPr="007C747A">
              <w:rPr>
                <w:sz w:val="22"/>
                <w:szCs w:val="22"/>
                <w:lang w:val="en-AU"/>
              </w:rPr>
              <w:t>3,230,300</w:t>
            </w:r>
            <w:r w:rsidR="00C032AB" w:rsidRPr="007C747A">
              <w:rPr>
                <w:sz w:val="22"/>
                <w:szCs w:val="22"/>
                <w:lang w:val="en-AU"/>
              </w:rPr>
              <w:t xml:space="preserve"> </w:t>
            </w:r>
          </w:p>
        </w:tc>
      </w:tr>
    </w:tbl>
    <w:p w14:paraId="3BABFDF0" w14:textId="77777777" w:rsidR="00C032AB" w:rsidRPr="007C747A" w:rsidRDefault="00C032AB" w:rsidP="00C032AB">
      <w:pPr>
        <w:pStyle w:val="FGCNORMAL"/>
      </w:pPr>
    </w:p>
    <w:p w14:paraId="5039A9D7" w14:textId="77777777" w:rsidR="00C032AB" w:rsidRPr="007C747A" w:rsidRDefault="00C032AB" w:rsidP="00887EB4">
      <w:pPr>
        <w:pStyle w:val="FGCHEADING2"/>
      </w:pPr>
      <w:bookmarkStart w:id="887" w:name="_Toc142487693"/>
      <w:bookmarkStart w:id="888" w:name="_Toc142489683"/>
      <w:bookmarkStart w:id="889" w:name="_Toc142039680"/>
      <w:bookmarkStart w:id="890" w:name="_Toc142047791"/>
      <w:bookmarkStart w:id="891" w:name="_Toc142563029"/>
      <w:bookmarkStart w:id="892" w:name="_Toc142573785"/>
      <w:bookmarkStart w:id="893" w:name="_Toc146289490"/>
      <w:bookmarkStart w:id="894" w:name="_Toc148108440"/>
      <w:bookmarkEnd w:id="887"/>
      <w:bookmarkEnd w:id="888"/>
      <w:r w:rsidRPr="007C747A">
        <w:t>Compliance with Carer Recognition Act</w:t>
      </w:r>
      <w:bookmarkEnd w:id="889"/>
      <w:bookmarkEnd w:id="890"/>
      <w:bookmarkEnd w:id="891"/>
      <w:bookmarkEnd w:id="892"/>
      <w:bookmarkEnd w:id="893"/>
      <w:bookmarkEnd w:id="894"/>
    </w:p>
    <w:p w14:paraId="4F358C26" w14:textId="77777777" w:rsidR="00C032AB" w:rsidRPr="007C747A" w:rsidRDefault="00C032AB" w:rsidP="005B11F6">
      <w:pPr>
        <w:pStyle w:val="FGCNORMAL"/>
        <w:spacing w:line="240" w:lineRule="auto"/>
      </w:pPr>
      <w:r w:rsidRPr="007C747A">
        <w:t xml:space="preserve">Through the </w:t>
      </w:r>
      <w:r w:rsidRPr="007C747A">
        <w:rPr>
          <w:i/>
        </w:rPr>
        <w:t>Carer Recognition Act 2010</w:t>
      </w:r>
      <w:r w:rsidRPr="007C747A">
        <w:t xml:space="preserve">, the Australian Government recognises the exceptional contribution made by unpaid carers. The </w:t>
      </w:r>
      <w:r w:rsidRPr="007C747A">
        <w:rPr>
          <w:i/>
        </w:rPr>
        <w:t>Carer Recognition Act 2010</w:t>
      </w:r>
      <w:r w:rsidRPr="007C747A">
        <w:t xml:space="preserve"> stipulates that carers should have the same rights, choices and opportunities as other Australians.</w:t>
      </w:r>
    </w:p>
    <w:p w14:paraId="544E6EFC" w14:textId="77777777" w:rsidR="00C032AB" w:rsidRPr="007C747A" w:rsidRDefault="00C032AB" w:rsidP="005B11F6">
      <w:pPr>
        <w:pStyle w:val="FGCNORMAL"/>
        <w:spacing w:line="240" w:lineRule="auto"/>
        <w:rPr>
          <w:rFonts w:ascii="Calibri" w:eastAsiaTheme="minorHAnsi" w:hAnsi="Calibri" w:cs="Calibri"/>
          <w:lang w:eastAsia="en-AU"/>
        </w:rPr>
      </w:pPr>
      <w:r w:rsidRPr="007C747A">
        <w:t>The NDIA strives to be an inclusive organisation that supports staff who have caring responsibilities. The NDIA implements initiatives to align with celebrations of Carers Week. The NDIA provides a range of resources for staff who are carers, including information about flexible working arrangements and wellbeing supports.</w:t>
      </w:r>
    </w:p>
    <w:p w14:paraId="6004A9F0" w14:textId="7806CDD2" w:rsidR="00C032AB" w:rsidRPr="007C747A" w:rsidRDefault="00C032AB" w:rsidP="005B11F6">
      <w:pPr>
        <w:pStyle w:val="FGCNORMAL"/>
        <w:spacing w:line="240" w:lineRule="auto"/>
      </w:pPr>
      <w:r w:rsidRPr="007C747A">
        <w:t xml:space="preserve">The NDIA consults with carer organisations to develop support mechanisms and implement reforms. Consultation ensures programs and services continue to consider the needs of carers in addition to those of people with </w:t>
      </w:r>
      <w:r w:rsidR="00120DE1" w:rsidRPr="007C747A">
        <w:t>disability and</w:t>
      </w:r>
      <w:r w:rsidRPr="007C747A">
        <w:t xml:space="preserve"> meet the requirements of the </w:t>
      </w:r>
      <w:r w:rsidRPr="007C747A">
        <w:rPr>
          <w:i/>
          <w:iCs/>
        </w:rPr>
        <w:t>Carer Recognition Act 2010</w:t>
      </w:r>
      <w:r w:rsidRPr="007C747A">
        <w:t>.</w:t>
      </w:r>
    </w:p>
    <w:p w14:paraId="2DF847B6" w14:textId="77777777" w:rsidR="00C032AB" w:rsidRPr="007C747A" w:rsidRDefault="00C032AB" w:rsidP="005B11F6">
      <w:pPr>
        <w:pStyle w:val="FGCNORMAL"/>
        <w:spacing w:line="240" w:lineRule="auto"/>
        <w:rPr>
          <w:rStyle w:val="FGCEMPHASIS"/>
        </w:rPr>
      </w:pPr>
      <w:r w:rsidRPr="007C747A">
        <w:rPr>
          <w:rStyle w:val="FGCEMPHASIS"/>
        </w:rPr>
        <w:t>Subsection 7(1) – each public service agency is to take all practicable measures to ensure that its employees and agents have an awareness and understanding of the Statement for Australia’s Carers.</w:t>
      </w:r>
    </w:p>
    <w:p w14:paraId="28E3DDB2" w14:textId="77777777" w:rsidR="00C032AB" w:rsidRPr="007C747A" w:rsidRDefault="00C032AB" w:rsidP="005B11F6">
      <w:pPr>
        <w:pStyle w:val="FGCNORMAL"/>
        <w:spacing w:line="240" w:lineRule="auto"/>
      </w:pPr>
      <w:r w:rsidRPr="007C747A">
        <w:t xml:space="preserve">The NDIA promotes staff awareness and understanding of the principles contained within the </w:t>
      </w:r>
      <w:r w:rsidRPr="007C747A">
        <w:rPr>
          <w:i/>
          <w:iCs/>
        </w:rPr>
        <w:t>Carer Recognition Act 2010</w:t>
      </w:r>
      <w:r w:rsidRPr="007C747A">
        <w:t xml:space="preserve"> and the Statement for Australia’s Carers through online tools and resources, including guides on the support available to employees with caring responsibilities and also those who support people with caring responsibilities.</w:t>
      </w:r>
    </w:p>
    <w:p w14:paraId="48BCC191" w14:textId="77777777" w:rsidR="00C032AB" w:rsidRPr="007C747A" w:rsidRDefault="00C032AB" w:rsidP="005B11F6">
      <w:pPr>
        <w:pStyle w:val="FGCNORMAL"/>
        <w:spacing w:line="240" w:lineRule="auto"/>
        <w:rPr>
          <w:rStyle w:val="FGCEMPHASIS"/>
        </w:rPr>
      </w:pPr>
      <w:r w:rsidRPr="007C747A">
        <w:rPr>
          <w:rStyle w:val="FGCEMPHASIS"/>
        </w:rPr>
        <w:t>Subsection 7(2) – each public service agency’s internal human resources policies, so far as they may significantly affect an employee’s caring role, are to be developed having due regard to the Statement for Australia’s Carers.</w:t>
      </w:r>
    </w:p>
    <w:p w14:paraId="0C5AB198" w14:textId="77777777" w:rsidR="00C032AB" w:rsidRPr="007C747A" w:rsidRDefault="00C032AB" w:rsidP="005B11F6">
      <w:pPr>
        <w:pStyle w:val="FGCNORMAL"/>
        <w:spacing w:line="240" w:lineRule="auto"/>
      </w:pPr>
      <w:r w:rsidRPr="007C747A">
        <w:t xml:space="preserve">The NDIA complies with its obligations under the </w:t>
      </w:r>
      <w:r w:rsidRPr="007C747A">
        <w:rPr>
          <w:i/>
          <w:iCs/>
        </w:rPr>
        <w:t>Carer Recognition Act 2010</w:t>
      </w:r>
      <w:r w:rsidRPr="007C747A">
        <w:t xml:space="preserve"> and adheres to the principles of the Statement for Australia’s Carers. The NDIA’s Enterprise Agreement 2020–2023 and internal human resources policies are also developed with due regard to the Statement for Australia’s Carers, in areas that may significantly affect an employee’s caring role. </w:t>
      </w:r>
    </w:p>
    <w:p w14:paraId="0E5BC680" w14:textId="77777777" w:rsidR="00C032AB" w:rsidRPr="007C747A" w:rsidRDefault="00C032AB" w:rsidP="005B11F6">
      <w:pPr>
        <w:pStyle w:val="FGCNORMAL"/>
        <w:spacing w:line="240" w:lineRule="auto"/>
      </w:pPr>
      <w:r w:rsidRPr="007C747A">
        <w:t xml:space="preserve">The NDIA supports carers in the workplace through its employment policies, including flexible working arrangements and access to carers leave. The types of flexible working arrangements available to NDIA staff to support carers include: </w:t>
      </w:r>
    </w:p>
    <w:p w14:paraId="71DACB67" w14:textId="1A10348C" w:rsidR="00C032AB" w:rsidRPr="007C747A" w:rsidRDefault="00C032AB" w:rsidP="009F37B0">
      <w:pPr>
        <w:pStyle w:val="FGCBULLET1"/>
        <w:spacing w:line="240" w:lineRule="auto"/>
      </w:pPr>
      <w:r w:rsidRPr="007C747A">
        <w:t>part-time work agreements</w:t>
      </w:r>
    </w:p>
    <w:p w14:paraId="71BA2361" w14:textId="3085D08F" w:rsidR="00C032AB" w:rsidRPr="007C747A" w:rsidRDefault="00C032AB" w:rsidP="009F37B0">
      <w:pPr>
        <w:pStyle w:val="FGCBULLET1"/>
        <w:spacing w:line="240" w:lineRule="auto"/>
      </w:pPr>
      <w:r w:rsidRPr="007C747A">
        <w:t>agreed work patterns</w:t>
      </w:r>
    </w:p>
    <w:p w14:paraId="0CEC2EE9" w14:textId="212AEDA9" w:rsidR="00C032AB" w:rsidRPr="007C747A" w:rsidRDefault="00C032AB" w:rsidP="009F37B0">
      <w:pPr>
        <w:pStyle w:val="FGCBULLET1"/>
        <w:spacing w:line="240" w:lineRule="auto"/>
      </w:pPr>
      <w:r w:rsidRPr="007C747A">
        <w:t>work from home / remote work arrangements</w:t>
      </w:r>
    </w:p>
    <w:p w14:paraId="5BD05F0F" w14:textId="06EC2CC3" w:rsidR="00C032AB" w:rsidRPr="007C747A" w:rsidRDefault="00C032AB" w:rsidP="009F37B0">
      <w:pPr>
        <w:pStyle w:val="FGCBULLET1"/>
        <w:spacing w:line="240" w:lineRule="auto"/>
      </w:pPr>
      <w:r w:rsidRPr="007C747A">
        <w:t>job share arrangements</w:t>
      </w:r>
    </w:p>
    <w:p w14:paraId="63DBA80D" w14:textId="52715B28" w:rsidR="00C032AB" w:rsidRPr="007C747A" w:rsidRDefault="00C032AB" w:rsidP="009F37B0">
      <w:pPr>
        <w:pStyle w:val="FGCBULLET1"/>
        <w:spacing w:line="240" w:lineRule="auto"/>
      </w:pPr>
      <w:r w:rsidRPr="007C747A">
        <w:t>individual flexibility arrangements</w:t>
      </w:r>
    </w:p>
    <w:p w14:paraId="7CCAE03F" w14:textId="0F5DC03A" w:rsidR="00C032AB" w:rsidRPr="007C747A" w:rsidRDefault="00C032AB" w:rsidP="009F37B0">
      <w:pPr>
        <w:pStyle w:val="FGCBULLET1"/>
        <w:spacing w:line="240" w:lineRule="auto"/>
      </w:pPr>
      <w:r w:rsidRPr="007C747A">
        <w:t>purchased leave schemes</w:t>
      </w:r>
    </w:p>
    <w:p w14:paraId="2A5C4908" w14:textId="5E2CCA79" w:rsidR="00C032AB" w:rsidRPr="007C747A" w:rsidRDefault="00C032AB" w:rsidP="000A4C2A">
      <w:pPr>
        <w:pStyle w:val="FGCBULLET1"/>
        <w:spacing w:line="240" w:lineRule="auto"/>
      </w:pPr>
      <w:r w:rsidRPr="007C747A">
        <w:t>flex leave.</w:t>
      </w:r>
    </w:p>
    <w:p w14:paraId="544E2A19" w14:textId="77777777" w:rsidR="001242AE" w:rsidRPr="007C747A" w:rsidRDefault="001242AE" w:rsidP="005B11F6">
      <w:pPr>
        <w:pStyle w:val="FGCNORMAL"/>
        <w:spacing w:line="240" w:lineRule="auto"/>
        <w:rPr>
          <w:b/>
          <w:bCs/>
          <w:lang w:eastAsia="zh-CN" w:bidi="th-TH"/>
        </w:rPr>
      </w:pPr>
      <w:r w:rsidRPr="007C747A">
        <w:rPr>
          <w:b/>
          <w:bCs/>
          <w:lang w:eastAsia="zh-CN" w:bidi="th-TH"/>
        </w:rPr>
        <w:t>Subsection 8(1) – each public service care agency is to take all practicable measures to ensure that it, and its employees and agents, take action to reflect the principles of the Statement for Australia’s Carers in developing, implementing, providing or evaluating care supports.</w:t>
      </w:r>
    </w:p>
    <w:p w14:paraId="26AC18EE" w14:textId="77777777" w:rsidR="001242AE" w:rsidRPr="007C747A" w:rsidRDefault="001242AE" w:rsidP="005B11F6">
      <w:pPr>
        <w:pStyle w:val="FGCNORMAL"/>
        <w:spacing w:line="240" w:lineRule="auto"/>
        <w:rPr>
          <w:rFonts w:eastAsia="Times New Roman"/>
          <w:lang w:eastAsia="en-AU"/>
        </w:rPr>
      </w:pPr>
      <w:r w:rsidRPr="007C747A">
        <w:rPr>
          <w:rFonts w:eastAsia="Times New Roman"/>
          <w:lang w:eastAsia="en-AU"/>
        </w:rPr>
        <w:t xml:space="preserve">The NDIA recognises the essential role carers play in supporting people with disability to pursue their goals. NDIA staff are encouraged to listen to carers and support them in their role. </w:t>
      </w:r>
    </w:p>
    <w:p w14:paraId="7E80F1AC" w14:textId="77777777" w:rsidR="001242AE" w:rsidRPr="007C747A" w:rsidRDefault="001242AE" w:rsidP="005B11F6">
      <w:pPr>
        <w:pStyle w:val="FGCNORMAL"/>
        <w:spacing w:line="240" w:lineRule="auto"/>
        <w:rPr>
          <w:rFonts w:eastAsia="Times New Roman"/>
          <w:lang w:eastAsia="en-AU"/>
        </w:rPr>
      </w:pPr>
      <w:r w:rsidRPr="007C747A">
        <w:rPr>
          <w:rFonts w:eastAsia="Times New Roman"/>
          <w:lang w:eastAsia="en-AU"/>
        </w:rPr>
        <w:t>The NDIA includes information in the participant’s plan about the support they receive from their carers. Carers can also include a carer statement as part of the participant’s plan development, which is recorded in the plan.</w:t>
      </w:r>
    </w:p>
    <w:p w14:paraId="0D38BF35" w14:textId="77777777" w:rsidR="001242AE" w:rsidRPr="007C747A" w:rsidRDefault="001242AE" w:rsidP="005B11F6">
      <w:pPr>
        <w:pStyle w:val="FGCNORMAL"/>
        <w:spacing w:line="240" w:lineRule="auto"/>
        <w:rPr>
          <w:rFonts w:eastAsia="Times New Roman"/>
          <w:lang w:eastAsia="en-AU"/>
        </w:rPr>
      </w:pPr>
      <w:r w:rsidRPr="007C747A">
        <w:rPr>
          <w:rFonts w:eastAsia="Times New Roman"/>
          <w:lang w:eastAsia="en-AU"/>
        </w:rPr>
        <w:t xml:space="preserve">When developing the participant’s plan, the NDIA focuses on capacity building and social and economic inclusion for participants. This includes support to build the participant’s independence, daily life supports and short breaks or respite. These supports are important in helping carers to sustain their caring role. </w:t>
      </w:r>
    </w:p>
    <w:p w14:paraId="4C4063B2" w14:textId="3812FC82" w:rsidR="001242AE" w:rsidRPr="007C747A" w:rsidRDefault="001242AE" w:rsidP="005B11F6">
      <w:pPr>
        <w:pStyle w:val="FGCNORMAL"/>
        <w:spacing w:line="240" w:lineRule="auto"/>
        <w:rPr>
          <w:rFonts w:eastAsia="Times New Roman"/>
          <w:lang w:eastAsia="en-AU"/>
        </w:rPr>
      </w:pPr>
      <w:r w:rsidRPr="007C747A">
        <w:rPr>
          <w:rFonts w:eastAsia="Times New Roman"/>
          <w:lang w:eastAsia="en-AU"/>
        </w:rPr>
        <w:t xml:space="preserve">The NDIA recognises that increasing the capacity of the community to help people with disability and increasing community and workforce participation of people with disability improves the situation of carers. The NDIA encourages feedback from carers to inform improvements to the way the Scheme supports their needs. The NDIA also engages with participant and carer stakeholder groups to co-design tools and resources which the NDIS publishes on </w:t>
      </w:r>
      <w:r w:rsidR="003C1E74" w:rsidRPr="007C747A">
        <w:rPr>
          <w:rFonts w:eastAsia="Times New Roman"/>
          <w:lang w:eastAsia="en-AU"/>
        </w:rPr>
        <w:t xml:space="preserve">its </w:t>
      </w:r>
      <w:r w:rsidRPr="007C747A">
        <w:rPr>
          <w:rFonts w:eastAsia="Times New Roman"/>
          <w:lang w:eastAsia="en-AU"/>
        </w:rPr>
        <w:t xml:space="preserve">website to support them to understand the valuable role carers play in helping participants to increase their community and workforce participation. </w:t>
      </w:r>
    </w:p>
    <w:p w14:paraId="1B47FE68" w14:textId="5EF90797" w:rsidR="00071E1C" w:rsidRPr="007C747A" w:rsidRDefault="00071E1C" w:rsidP="005B11F6">
      <w:pPr>
        <w:pStyle w:val="FGCNORMAL"/>
        <w:spacing w:line="240" w:lineRule="auto"/>
        <w:rPr>
          <w:rStyle w:val="FGCEMPHASIS"/>
        </w:rPr>
      </w:pPr>
      <w:r w:rsidRPr="007C747A">
        <w:rPr>
          <w:rStyle w:val="FGCEMPHASIS"/>
        </w:rPr>
        <w:t>Subsection 8(2) – each public service care agency is to consult carers, or bodies that represent carers, when developing or evaluating care supports.</w:t>
      </w:r>
    </w:p>
    <w:p w14:paraId="3D7E8EC9" w14:textId="77777777" w:rsidR="00071E1C" w:rsidRPr="007C747A" w:rsidRDefault="00071E1C" w:rsidP="005B11F6">
      <w:pPr>
        <w:pStyle w:val="FGCNORMAL"/>
        <w:spacing w:line="240" w:lineRule="auto"/>
      </w:pPr>
      <w:r w:rsidRPr="007C747A">
        <w:t xml:space="preserve">As a respected stakeholder of the NDIA, Carers Australia is consulted and engaged through the NDIA’s Stakeholder Engagement Management model, the NDIA’s Disability Representative and Carer Organisations (DRCO) Forum, and a variety of key projects as a trusted expert. </w:t>
      </w:r>
      <w:r w:rsidRPr="007C747A">
        <w:rPr>
          <w:caps/>
        </w:rPr>
        <w:t>t</w:t>
      </w:r>
      <w:r w:rsidRPr="007C747A">
        <w:t xml:space="preserve">he National Mental Health Consumer and Carer Forum is also a member of the NDIA’s DRCO Forum. </w:t>
      </w:r>
    </w:p>
    <w:p w14:paraId="00F34072" w14:textId="77777777" w:rsidR="00071E1C" w:rsidRPr="007C747A" w:rsidRDefault="00071E1C" w:rsidP="005B11F6">
      <w:pPr>
        <w:pStyle w:val="FGCNORMAL"/>
        <w:spacing w:line="240" w:lineRule="auto"/>
      </w:pPr>
      <w:r w:rsidRPr="007C747A">
        <w:t>Both Carers Australia and the National Mental Health Consumer and Carer Forum have played an important role in the NDIA’s co-design agenda including the most recent Reform for Outcomes program.</w:t>
      </w:r>
    </w:p>
    <w:p w14:paraId="77805264" w14:textId="46D8AE55" w:rsidR="00071E1C" w:rsidRPr="007C747A" w:rsidRDefault="00071E1C" w:rsidP="005B11F6">
      <w:pPr>
        <w:pStyle w:val="FGCNORMAL"/>
        <w:spacing w:line="240" w:lineRule="auto"/>
      </w:pPr>
      <w:r w:rsidRPr="007C747A">
        <w:t xml:space="preserve">The NDIA acknowledges the right of carers to take a break from their caring role and continues to work with family members and carers and </w:t>
      </w:r>
      <w:r w:rsidR="003C1E74" w:rsidRPr="007C747A">
        <w:t xml:space="preserve">with </w:t>
      </w:r>
      <w:r w:rsidRPr="007C747A">
        <w:t xml:space="preserve">key sector stakeholders to ensure this is reflected when developing NDIA policy. </w:t>
      </w:r>
    </w:p>
    <w:p w14:paraId="5B6CA0B3" w14:textId="77777777" w:rsidR="00071E1C" w:rsidRPr="007C747A" w:rsidRDefault="00071E1C" w:rsidP="005B11F6">
      <w:pPr>
        <w:pStyle w:val="FGCNORMAL"/>
        <w:spacing w:line="240" w:lineRule="auto"/>
      </w:pPr>
      <w:r w:rsidRPr="007C747A">
        <w:t>The NDIA continues to work closely with the Department of Social Services to ensure the Carer Gateway information portal has up-to-date information regarding support and information available for carers through the NDIS.</w:t>
      </w:r>
    </w:p>
    <w:p w14:paraId="650D9124" w14:textId="77777777" w:rsidR="00C032AB" w:rsidRPr="007C747A" w:rsidRDefault="00C032AB" w:rsidP="0048044C">
      <w:pPr>
        <w:pStyle w:val="FGCHEADING2"/>
      </w:pPr>
      <w:bookmarkStart w:id="895" w:name="_Toc142039681"/>
      <w:bookmarkStart w:id="896" w:name="_Toc142047792"/>
      <w:bookmarkStart w:id="897" w:name="_Toc142563030"/>
      <w:bookmarkStart w:id="898" w:name="_Toc142573786"/>
      <w:bookmarkStart w:id="899" w:name="_Toc146289491"/>
      <w:bookmarkStart w:id="900" w:name="_Toc148108441"/>
      <w:r w:rsidRPr="007C747A">
        <w:t>Information on other specific statutory provisions</w:t>
      </w:r>
      <w:bookmarkEnd w:id="895"/>
      <w:bookmarkEnd w:id="896"/>
      <w:bookmarkEnd w:id="897"/>
      <w:bookmarkEnd w:id="898"/>
      <w:bookmarkEnd w:id="899"/>
      <w:bookmarkEnd w:id="900"/>
    </w:p>
    <w:p w14:paraId="5485F309" w14:textId="77777777" w:rsidR="00C032AB" w:rsidRPr="007C747A" w:rsidRDefault="00C032AB" w:rsidP="005B11F6">
      <w:pPr>
        <w:pStyle w:val="FGCNORMAL"/>
        <w:spacing w:line="240" w:lineRule="auto"/>
      </w:pPr>
      <w:r w:rsidRPr="007C747A">
        <w:t>The following information addresses other reportable items required by specific statutory provisions.</w:t>
      </w:r>
    </w:p>
    <w:p w14:paraId="31C97BC2" w14:textId="77777777" w:rsidR="00C032AB" w:rsidRPr="007C747A" w:rsidRDefault="00C032AB" w:rsidP="0048044C">
      <w:pPr>
        <w:pStyle w:val="Style3-NoNumbering"/>
      </w:pPr>
      <w:bookmarkStart w:id="901" w:name="_Toc83907195"/>
      <w:bookmarkStart w:id="902" w:name="_Toc84258426"/>
      <w:bookmarkStart w:id="903" w:name="_Toc84258580"/>
      <w:bookmarkStart w:id="904" w:name="_Toc84270329"/>
      <w:bookmarkStart w:id="905" w:name="_Toc85122189"/>
      <w:bookmarkStart w:id="906" w:name="_Toc85462286"/>
      <w:bookmarkStart w:id="907" w:name="_Toc142573787"/>
      <w:r w:rsidRPr="007C747A">
        <w:t>National Disability Insurance Scheme Act 2013</w:t>
      </w:r>
      <w:bookmarkEnd w:id="901"/>
      <w:bookmarkEnd w:id="902"/>
      <w:bookmarkEnd w:id="903"/>
      <w:bookmarkEnd w:id="904"/>
      <w:bookmarkEnd w:id="905"/>
      <w:bookmarkEnd w:id="906"/>
      <w:bookmarkEnd w:id="907"/>
      <w:r w:rsidRPr="007C747A">
        <w:t xml:space="preserve"> </w:t>
      </w:r>
    </w:p>
    <w:p w14:paraId="199D9300" w14:textId="01A4D783" w:rsidR="00C032AB" w:rsidRPr="007C747A" w:rsidRDefault="00C032AB" w:rsidP="005B11F6">
      <w:pPr>
        <w:pStyle w:val="FGCNORMAL"/>
        <w:spacing w:line="240" w:lineRule="auto"/>
      </w:pPr>
      <w:r w:rsidRPr="007C747A">
        <w:t>No directions or ministerial statements were given to the NDIA under sections 121 and 125 of the NDIS Act, and no legislative instruments were made during 2022</w:t>
      </w:r>
      <w:r w:rsidR="00271B50" w:rsidRPr="007C747A">
        <w:t>–2</w:t>
      </w:r>
      <w:r w:rsidRPr="007C747A">
        <w:t>3.</w:t>
      </w:r>
    </w:p>
    <w:p w14:paraId="4D1D3274" w14:textId="77777777" w:rsidR="00C032AB" w:rsidRPr="007C747A" w:rsidRDefault="00C032AB" w:rsidP="0048044C">
      <w:pPr>
        <w:pStyle w:val="Style3-NoNumbering"/>
      </w:pPr>
      <w:bookmarkStart w:id="908" w:name="_Toc142573788"/>
      <w:r w:rsidRPr="007C747A">
        <w:t>Privacy Act 1988</w:t>
      </w:r>
      <w:bookmarkEnd w:id="908"/>
      <w:r w:rsidRPr="007C747A">
        <w:t xml:space="preserve"> </w:t>
      </w:r>
    </w:p>
    <w:p w14:paraId="7425629B" w14:textId="77777777" w:rsidR="00C032AB" w:rsidRPr="007C747A" w:rsidRDefault="00C032AB" w:rsidP="005B11F6">
      <w:pPr>
        <w:pStyle w:val="FGCNORMAL"/>
        <w:spacing w:line="240" w:lineRule="auto"/>
      </w:pPr>
      <w:r w:rsidRPr="007C747A">
        <w:t xml:space="preserve">The NDIA complies with its privacy obligations as required under both the </w:t>
      </w:r>
      <w:r w:rsidRPr="007C747A">
        <w:rPr>
          <w:i/>
          <w:iCs/>
        </w:rPr>
        <w:t>Privacy Act 1988</w:t>
      </w:r>
      <w:r w:rsidRPr="007C747A">
        <w:t xml:space="preserve"> and the NDIS Act. </w:t>
      </w:r>
    </w:p>
    <w:p w14:paraId="5944C5AD" w14:textId="77777777" w:rsidR="00C032AB" w:rsidRPr="007C747A" w:rsidRDefault="00C032AB" w:rsidP="005B11F6">
      <w:pPr>
        <w:pStyle w:val="FGCNORMAL"/>
        <w:spacing w:line="240" w:lineRule="auto"/>
      </w:pPr>
      <w:r w:rsidRPr="007C747A">
        <w:t xml:space="preserve">Compliance includes the NDIA ensuring its practices and procedures are consistent with requirements under the Australian Privacy Principles, the Notifiable Data Breaches Scheme, and the Australian Government Agencies Privacy Code, such as having an established privacy policy and privacy management plan and maintaining privacy incident and privacy impact assessment registers. </w:t>
      </w:r>
    </w:p>
    <w:p w14:paraId="3E6050F2" w14:textId="77777777" w:rsidR="00C032AB" w:rsidRPr="007C747A" w:rsidRDefault="00C032AB" w:rsidP="005B11F6">
      <w:pPr>
        <w:pStyle w:val="FGCNORMAL"/>
        <w:spacing w:line="240" w:lineRule="auto"/>
      </w:pPr>
      <w:r w:rsidRPr="007C747A">
        <w:t xml:space="preserve">The NDIA actively promotes privacy awareness through the appointment of a Privacy Champion and Privacy Officers, and through the ongoing development of training materials for NDIA staff. Advice is also provided to staff regarding the NDIA’s privacy obligations under law, particularly as it relates to ensuring promotion of one of the general principles guiding actions under the NDIS Act, which is to ensure that people with disability have their privacy and dignity respected. </w:t>
      </w:r>
    </w:p>
    <w:p w14:paraId="100E1840" w14:textId="77777777" w:rsidR="00C032AB" w:rsidRPr="007C747A" w:rsidRDefault="00C032AB" w:rsidP="005B11F6">
      <w:pPr>
        <w:pStyle w:val="FGCNORMAL"/>
        <w:spacing w:line="240" w:lineRule="auto"/>
      </w:pPr>
      <w:r w:rsidRPr="007C747A">
        <w:t>As at 1 July 2022 the NDIA had 5 privacy complaints open from the Office of the Australian Information Commissioner. During 2022–23 an additional 5 complaints were received. Four complaints were resolved during that period.</w:t>
      </w:r>
    </w:p>
    <w:p w14:paraId="293BB0E9" w14:textId="77777777" w:rsidR="0040216D" w:rsidRPr="007C747A" w:rsidRDefault="0040216D" w:rsidP="0048044C">
      <w:pPr>
        <w:pStyle w:val="Style3-NoNumbering"/>
      </w:pPr>
      <w:bookmarkStart w:id="909" w:name="_Toc142031487"/>
      <w:r w:rsidRPr="007C747A">
        <w:t>Freedom of Information Act 1982</w:t>
      </w:r>
      <w:bookmarkEnd w:id="909"/>
    </w:p>
    <w:p w14:paraId="71FEB65B" w14:textId="77777777" w:rsidR="0040216D" w:rsidRPr="007C747A" w:rsidRDefault="0040216D" w:rsidP="005B11F6">
      <w:pPr>
        <w:pStyle w:val="FGCNORMAL"/>
        <w:spacing w:line="240" w:lineRule="auto"/>
      </w:pPr>
      <w:r w:rsidRPr="007C747A">
        <w:t xml:space="preserve">The NDIA is subject to the FOI Act and required to make information publicly available as part of the Information Publication Scheme. Consistent with the FOI Act, the NDIA displays a plan showing what information it publishes in accordance with the Information Publication Scheme requirements on its website. To see the NDIA’s plan, go to </w:t>
      </w:r>
      <w:hyperlink r:id="rId71" w:history="1">
        <w:r w:rsidRPr="00B74C35">
          <w:rPr>
            <w:rStyle w:val="Hyperlink"/>
          </w:rPr>
          <w:t>www.ndis.gov.au</w:t>
        </w:r>
      </w:hyperlink>
      <w:r w:rsidRPr="00B74C35">
        <w:rPr>
          <w:color w:val="6B2876" w:themeColor="text1"/>
        </w:rPr>
        <w:t>.</w:t>
      </w:r>
    </w:p>
    <w:p w14:paraId="087BA569" w14:textId="004AD459" w:rsidR="005E6DFB" w:rsidRPr="007C747A" w:rsidRDefault="005E6DFB">
      <w:pPr>
        <w:spacing w:after="0" w:line="240" w:lineRule="auto"/>
        <w:rPr>
          <w:rFonts w:eastAsiaTheme="minorEastAsia" w:cs="Arial"/>
          <w:sz w:val="22"/>
          <w:szCs w:val="22"/>
          <w:lang w:val="en-AU"/>
        </w:rPr>
      </w:pPr>
      <w:r w:rsidRPr="007C747A">
        <w:rPr>
          <w:lang w:val="en-AU"/>
        </w:rPr>
        <w:br w:type="page"/>
      </w:r>
    </w:p>
    <w:p w14:paraId="5DE66775" w14:textId="5BB6D898" w:rsidR="00E04C6E" w:rsidRPr="007C747A" w:rsidRDefault="0026666E" w:rsidP="0048044C">
      <w:pPr>
        <w:pStyle w:val="FGCHEADING2"/>
      </w:pPr>
      <w:bookmarkStart w:id="910" w:name="_Toc144926047"/>
      <w:bookmarkStart w:id="911" w:name="_Toc142039682"/>
      <w:bookmarkStart w:id="912" w:name="_Toc142047793"/>
      <w:bookmarkStart w:id="913" w:name="_Toc142478460"/>
      <w:bookmarkStart w:id="914" w:name="_Toc142573789"/>
      <w:bookmarkEnd w:id="910"/>
      <w:r w:rsidRPr="007C747A">
        <w:t xml:space="preserve"> </w:t>
      </w:r>
      <w:bookmarkStart w:id="915" w:name="_Toc146289492"/>
      <w:bookmarkStart w:id="916" w:name="_Toc148108442"/>
      <w:r w:rsidR="00E04C6E" w:rsidRPr="007C747A">
        <w:t>Glossary</w:t>
      </w:r>
      <w:bookmarkEnd w:id="911"/>
      <w:bookmarkEnd w:id="912"/>
      <w:bookmarkEnd w:id="913"/>
      <w:bookmarkEnd w:id="914"/>
      <w:bookmarkEnd w:id="915"/>
      <w:bookmarkEnd w:id="916"/>
    </w:p>
    <w:p w14:paraId="6C9407BA" w14:textId="77777777" w:rsidR="00CF5F69" w:rsidRPr="007C747A" w:rsidRDefault="00CF5F69" w:rsidP="001E2D18">
      <w:pPr>
        <w:pStyle w:val="FGCHEADING3"/>
        <w:numPr>
          <w:ilvl w:val="2"/>
          <w:numId w:val="31"/>
        </w:numPr>
      </w:pPr>
      <w:bookmarkStart w:id="917" w:name="_Toc51068018"/>
      <w:bookmarkStart w:id="918" w:name="_Toc110532571"/>
      <w:bookmarkStart w:id="919" w:name="_Toc114477570"/>
      <w:bookmarkStart w:id="920" w:name="_Toc141261330"/>
      <w:bookmarkStart w:id="921" w:name="_Toc142039683"/>
      <w:bookmarkStart w:id="922" w:name="_Toc142047794"/>
      <w:bookmarkStart w:id="923" w:name="_Toc142478461"/>
      <w:bookmarkStart w:id="924" w:name="_Toc142573790"/>
      <w:bookmarkStart w:id="925" w:name="_Toc146289493"/>
      <w:r w:rsidRPr="007C747A">
        <w:t>Definitions</w:t>
      </w:r>
      <w:bookmarkEnd w:id="917"/>
      <w:bookmarkEnd w:id="918"/>
      <w:bookmarkEnd w:id="919"/>
      <w:bookmarkEnd w:id="920"/>
      <w:bookmarkEnd w:id="921"/>
      <w:bookmarkEnd w:id="922"/>
      <w:bookmarkEnd w:id="923"/>
      <w:bookmarkEnd w:id="924"/>
      <w:bookmarkEnd w:id="925"/>
    </w:p>
    <w:tbl>
      <w:tblPr>
        <w:tblStyle w:val="GridTable2-Accent312"/>
        <w:tblW w:w="8789" w:type="dxa"/>
        <w:tblInd w:w="842" w:type="dxa"/>
        <w:tblLayout w:type="fixed"/>
        <w:tblLook w:val="04A0" w:firstRow="1" w:lastRow="0" w:firstColumn="1" w:lastColumn="0" w:noHBand="0" w:noVBand="1"/>
      </w:tblPr>
      <w:tblGrid>
        <w:gridCol w:w="2547"/>
        <w:gridCol w:w="6242"/>
      </w:tblGrid>
      <w:tr w:rsidR="00CC7870" w:rsidRPr="007C747A" w14:paraId="3767261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87DF3F6" w14:textId="77777777" w:rsidR="00CC7870" w:rsidRPr="007C747A" w:rsidRDefault="00CC7870" w:rsidP="00CC7870">
            <w:pPr>
              <w:spacing w:before="120" w:after="120" w:line="240" w:lineRule="auto"/>
              <w:rPr>
                <w:rFonts w:eastAsiaTheme="minorEastAsia" w:cs="Arial"/>
                <w:b w:val="0"/>
                <w:bCs w:val="0"/>
                <w:sz w:val="20"/>
                <w:szCs w:val="20"/>
                <w:lang w:val="en-AU"/>
              </w:rPr>
            </w:pPr>
            <w:r w:rsidRPr="007C747A">
              <w:rPr>
                <w:rFonts w:eastAsiaTheme="minorEastAsia" w:cs="Arial"/>
                <w:sz w:val="20"/>
                <w:szCs w:val="20"/>
                <w:lang w:val="en-AU"/>
              </w:rPr>
              <w:t>Term</w:t>
            </w:r>
          </w:p>
        </w:tc>
        <w:tc>
          <w:tcPr>
            <w:tcW w:w="6242" w:type="dxa"/>
          </w:tcPr>
          <w:p w14:paraId="430524F2" w14:textId="77777777" w:rsidR="00CC7870" w:rsidRPr="007C747A" w:rsidRDefault="00CC7870" w:rsidP="00CC7870">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Theme="minorEastAsia" w:cs="Arial"/>
                <w:b w:val="0"/>
                <w:bCs w:val="0"/>
                <w:sz w:val="20"/>
                <w:szCs w:val="20"/>
                <w:lang w:val="en-AU"/>
              </w:rPr>
            </w:pPr>
            <w:r w:rsidRPr="007C747A">
              <w:rPr>
                <w:rFonts w:eastAsiaTheme="minorEastAsia" w:cs="Arial"/>
                <w:sz w:val="20"/>
                <w:szCs w:val="20"/>
                <w:lang w:val="en-AU"/>
              </w:rPr>
              <w:t>Definition</w:t>
            </w:r>
          </w:p>
        </w:tc>
      </w:tr>
      <w:tr w:rsidR="00CC7870" w:rsidRPr="007C747A" w14:paraId="15A21C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B2C1EF7" w14:textId="77777777"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 xml:space="preserve">Administrative Appeals Tribunal (AAT) </w:t>
            </w:r>
          </w:p>
        </w:tc>
        <w:tc>
          <w:tcPr>
            <w:tcW w:w="6242" w:type="dxa"/>
          </w:tcPr>
          <w:p w14:paraId="36AC9377" w14:textId="77777777" w:rsidR="00CC7870" w:rsidRPr="007C747A" w:rsidRDefault="00CC7870" w:rsidP="00CC7870">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An independent body that conducts reviews of administrative decisions made under Commonwealth laws.</w:t>
            </w:r>
          </w:p>
        </w:tc>
      </w:tr>
      <w:tr w:rsidR="00CC7870" w:rsidRPr="007C747A" w14:paraId="11F39C00" w14:textId="77777777">
        <w:tc>
          <w:tcPr>
            <w:cnfStyle w:val="001000000000" w:firstRow="0" w:lastRow="0" w:firstColumn="1" w:lastColumn="0" w:oddVBand="0" w:evenVBand="0" w:oddHBand="0" w:evenHBand="0" w:firstRowFirstColumn="0" w:firstRowLastColumn="0" w:lastRowFirstColumn="0" w:lastRowLastColumn="0"/>
            <w:tcW w:w="2547" w:type="dxa"/>
          </w:tcPr>
          <w:p w14:paraId="073556B4" w14:textId="77777777"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Disability sector</w:t>
            </w:r>
          </w:p>
        </w:tc>
        <w:tc>
          <w:tcPr>
            <w:tcW w:w="6242" w:type="dxa"/>
          </w:tcPr>
          <w:p w14:paraId="244BFB47" w14:textId="77777777" w:rsidR="00CC7870" w:rsidRPr="007C747A" w:rsidRDefault="00CC7870" w:rsidP="00CC78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Refers to organisations and sole traders who deliver disability support services and the peak bodies that represent them.</w:t>
            </w:r>
          </w:p>
        </w:tc>
      </w:tr>
      <w:tr w:rsidR="00CC7870" w:rsidRPr="007C747A" w14:paraId="14269D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9B4713C" w14:textId="5E365FE8" w:rsidR="00CC7870" w:rsidRPr="007C747A" w:rsidRDefault="00113D2A"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Early Childhood Approach</w:t>
            </w:r>
          </w:p>
        </w:tc>
        <w:tc>
          <w:tcPr>
            <w:tcW w:w="6242" w:type="dxa"/>
          </w:tcPr>
          <w:p w14:paraId="66417CBD" w14:textId="1DD014C4" w:rsidR="004977E7" w:rsidRPr="007C747A" w:rsidRDefault="004977E7" w:rsidP="004F0349">
            <w:pPr>
              <w:spacing w:after="0" w:line="240" w:lineRule="auto"/>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 xml:space="preserve"> The Early Childhood Approach supports children younger than 6 with developmental delay or children younger than 9 with disability, and their families and carers, to develop the skills they need to participate in daily activities and achieve the best possible outcomes throughout their life. </w:t>
            </w:r>
          </w:p>
          <w:p w14:paraId="2A68DE58" w14:textId="795B3F51" w:rsidR="00CC7870" w:rsidRPr="007C747A" w:rsidRDefault="00CC7870" w:rsidP="00CC7870">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lang w:val="en-AU"/>
              </w:rPr>
            </w:pPr>
          </w:p>
        </w:tc>
      </w:tr>
      <w:tr w:rsidR="00CC7870" w:rsidRPr="007C747A" w14:paraId="7E7A3DF9" w14:textId="77777777">
        <w:tc>
          <w:tcPr>
            <w:cnfStyle w:val="001000000000" w:firstRow="0" w:lastRow="0" w:firstColumn="1" w:lastColumn="0" w:oddVBand="0" w:evenVBand="0" w:oddHBand="0" w:evenHBand="0" w:firstRowFirstColumn="0" w:firstRowLastColumn="0" w:lastRowFirstColumn="0" w:lastRowLastColumn="0"/>
            <w:tcW w:w="2547" w:type="dxa"/>
          </w:tcPr>
          <w:p w14:paraId="309B5FC4" w14:textId="77777777"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Insurance approach</w:t>
            </w:r>
          </w:p>
        </w:tc>
        <w:tc>
          <w:tcPr>
            <w:tcW w:w="6242" w:type="dxa"/>
          </w:tcPr>
          <w:p w14:paraId="53B5BF57" w14:textId="77777777" w:rsidR="00CC7870" w:rsidRPr="007C747A" w:rsidRDefault="00CC7870" w:rsidP="00CC78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Sharing the financial investment in disability services and supports across the community. Placing emphasis on making up-front investments that reduce participants’ calls on the Scheme into the future, including investments in measuring lifetime costs, research and innovation, and community capability development.</w:t>
            </w:r>
          </w:p>
        </w:tc>
      </w:tr>
      <w:tr w:rsidR="00CC7870" w:rsidRPr="007C747A" w14:paraId="48E324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A883B3" w14:textId="2840B19A"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 xml:space="preserve">Local area coordination </w:t>
            </w:r>
            <w:r w:rsidR="0019224C" w:rsidRPr="007C747A">
              <w:rPr>
                <w:rFonts w:eastAsiaTheme="minorEastAsia" w:cs="Arial"/>
                <w:sz w:val="20"/>
                <w:szCs w:val="20"/>
                <w:lang w:val="en-AU"/>
              </w:rPr>
              <w:t>partners</w:t>
            </w:r>
            <w:r w:rsidRPr="007C747A">
              <w:rPr>
                <w:rFonts w:eastAsiaTheme="minorEastAsia" w:cs="Arial"/>
                <w:sz w:val="20"/>
                <w:szCs w:val="20"/>
                <w:lang w:val="en-AU"/>
              </w:rPr>
              <w:t xml:space="preserve"> </w:t>
            </w:r>
            <w:r w:rsidR="0019224C" w:rsidRPr="007C747A">
              <w:rPr>
                <w:rFonts w:eastAsiaTheme="minorEastAsia" w:cs="Arial"/>
                <w:sz w:val="20"/>
                <w:szCs w:val="20"/>
                <w:lang w:val="en-AU"/>
              </w:rPr>
              <w:t>(LAC partners)</w:t>
            </w:r>
          </w:p>
        </w:tc>
        <w:tc>
          <w:tcPr>
            <w:tcW w:w="6242" w:type="dxa"/>
          </w:tcPr>
          <w:p w14:paraId="05D148D1" w14:textId="77777777" w:rsidR="00CC7870" w:rsidRPr="007C747A" w:rsidRDefault="00CC7870" w:rsidP="00CC7870">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Local organisations working in partnership with the Agency, to help participants, their families and carers access the NDIS.</w:t>
            </w:r>
          </w:p>
        </w:tc>
      </w:tr>
      <w:tr w:rsidR="00CC7870" w:rsidRPr="007C747A" w14:paraId="02B28F4C" w14:textId="77777777">
        <w:tc>
          <w:tcPr>
            <w:cnfStyle w:val="001000000000" w:firstRow="0" w:lastRow="0" w:firstColumn="1" w:lastColumn="0" w:oddVBand="0" w:evenVBand="0" w:oddHBand="0" w:evenHBand="0" w:firstRowFirstColumn="0" w:firstRowLastColumn="0" w:lastRowFirstColumn="0" w:lastRowLastColumn="0"/>
            <w:tcW w:w="2547" w:type="dxa"/>
          </w:tcPr>
          <w:p w14:paraId="4D0708F6" w14:textId="77777777"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Partners in the community (PITC)</w:t>
            </w:r>
          </w:p>
        </w:tc>
        <w:tc>
          <w:tcPr>
            <w:tcW w:w="6242" w:type="dxa"/>
          </w:tcPr>
          <w:p w14:paraId="21EFAC52" w14:textId="4B6DCD95" w:rsidR="00CC7870" w:rsidRPr="007C747A" w:rsidRDefault="00B24013" w:rsidP="00B2401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lang w:val="en-AU"/>
              </w:rPr>
            </w:pPr>
            <w:r w:rsidRPr="007C747A">
              <w:rPr>
                <w:rFonts w:eastAsiaTheme="minorEastAsia" w:cs="Arial"/>
                <w:sz w:val="22"/>
                <w:szCs w:val="22"/>
                <w:lang w:val="en-AU"/>
              </w:rPr>
              <w:t xml:space="preserve"> </w:t>
            </w:r>
            <w:r w:rsidRPr="007C747A">
              <w:rPr>
                <w:rFonts w:eastAsiaTheme="minorEastAsia" w:cs="Arial"/>
                <w:sz w:val="20"/>
                <w:szCs w:val="20"/>
                <w:lang w:val="en-AU"/>
              </w:rPr>
              <w:t>Our partners in the community (PITC) are experienced and qualified organisations with strong local knowledge and understanding of the needs of people with disability. They work with the NDIA to deliver early childhood and local area coordination services to Australians with disability and children younger than 6 with delays in their development</w:t>
            </w:r>
          </w:p>
        </w:tc>
      </w:tr>
      <w:tr w:rsidR="00CC7870" w:rsidRPr="007C747A" w14:paraId="3F16EC8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730115B" w14:textId="77777777"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Plan</w:t>
            </w:r>
          </w:p>
        </w:tc>
        <w:tc>
          <w:tcPr>
            <w:tcW w:w="6242" w:type="dxa"/>
          </w:tcPr>
          <w:p w14:paraId="2A169320" w14:textId="77777777" w:rsidR="00CC7870" w:rsidRPr="007C747A" w:rsidRDefault="00CC7870" w:rsidP="00CC7870">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 xml:space="preserve">A written agreement worked out with the participant, stating their goals and needs, and the reasonable and necessary supports the NDIS will fund for them. Each participant has their own individual plan. </w:t>
            </w:r>
          </w:p>
        </w:tc>
      </w:tr>
      <w:tr w:rsidR="00CC7870" w:rsidRPr="007C747A" w14:paraId="1340D671" w14:textId="77777777">
        <w:tc>
          <w:tcPr>
            <w:cnfStyle w:val="001000000000" w:firstRow="0" w:lastRow="0" w:firstColumn="1" w:lastColumn="0" w:oddVBand="0" w:evenVBand="0" w:oddHBand="0" w:evenHBand="0" w:firstRowFirstColumn="0" w:firstRowLastColumn="0" w:lastRowFirstColumn="0" w:lastRowLastColumn="0"/>
            <w:tcW w:w="2547" w:type="dxa"/>
          </w:tcPr>
          <w:p w14:paraId="52E5D988" w14:textId="77777777" w:rsidR="00CC7870" w:rsidRPr="007C747A" w:rsidRDefault="00CC7870" w:rsidP="00CC7870">
            <w:pPr>
              <w:spacing w:before="120" w:after="120" w:line="240" w:lineRule="auto"/>
              <w:rPr>
                <w:rFonts w:eastAsiaTheme="minorEastAsia" w:cs="Arial"/>
                <w:sz w:val="20"/>
                <w:szCs w:val="20"/>
                <w:lang w:val="en-AU"/>
              </w:rPr>
            </w:pPr>
            <w:r w:rsidRPr="007C747A">
              <w:rPr>
                <w:rFonts w:eastAsiaTheme="minorEastAsia" w:cs="Arial"/>
                <w:sz w:val="20"/>
                <w:szCs w:val="20"/>
                <w:lang w:val="en-AU"/>
              </w:rPr>
              <w:t>Supported independent living (SIL)</w:t>
            </w:r>
          </w:p>
        </w:tc>
        <w:tc>
          <w:tcPr>
            <w:tcW w:w="6242" w:type="dxa"/>
          </w:tcPr>
          <w:p w14:paraId="56D70DFF" w14:textId="77777777" w:rsidR="00CC7870" w:rsidRPr="007C747A" w:rsidRDefault="00CC7870" w:rsidP="00CC78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lang w:val="en-AU"/>
              </w:rPr>
            </w:pPr>
            <w:r w:rsidRPr="007C747A">
              <w:rPr>
                <w:rFonts w:eastAsiaTheme="minorEastAsia" w:cs="Arial"/>
                <w:sz w:val="20"/>
                <w:szCs w:val="20"/>
                <w:lang w:val="en-AU"/>
              </w:rPr>
              <w:t>One type of help or supervision with daily tasks to help participants live as independently as possible, while building their skills.</w:t>
            </w:r>
          </w:p>
        </w:tc>
      </w:tr>
    </w:tbl>
    <w:p w14:paraId="366642DF" w14:textId="77777777" w:rsidR="009C65E7" w:rsidRPr="007C747A" w:rsidRDefault="009C65E7">
      <w:pPr>
        <w:spacing w:after="0" w:line="240" w:lineRule="auto"/>
        <w:rPr>
          <w:rFonts w:eastAsiaTheme="minorEastAsia" w:cs="Arial"/>
          <w:sz w:val="22"/>
          <w:szCs w:val="22"/>
          <w:lang w:val="en-AU"/>
        </w:rPr>
      </w:pPr>
      <w:r w:rsidRPr="007C747A">
        <w:rPr>
          <w:lang w:val="en-AU"/>
        </w:rPr>
        <w:br w:type="page"/>
      </w:r>
    </w:p>
    <w:p w14:paraId="67C70A87" w14:textId="77777777" w:rsidR="005A66E6" w:rsidRPr="007C747A" w:rsidRDefault="005A66E6" w:rsidP="0048044C">
      <w:pPr>
        <w:pStyle w:val="FGCHEADING3"/>
      </w:pPr>
      <w:bookmarkStart w:id="926" w:name="_Toc142039684"/>
      <w:bookmarkStart w:id="927" w:name="_Toc142047795"/>
      <w:bookmarkStart w:id="928" w:name="_Toc142478462"/>
      <w:bookmarkStart w:id="929" w:name="_Toc142573791"/>
      <w:bookmarkStart w:id="930" w:name="_Toc146289494"/>
      <w:r w:rsidRPr="007C747A">
        <w:t>Acronyms</w:t>
      </w:r>
      <w:bookmarkEnd w:id="926"/>
      <w:bookmarkEnd w:id="927"/>
      <w:bookmarkEnd w:id="928"/>
      <w:bookmarkEnd w:id="929"/>
      <w:bookmarkEnd w:id="930"/>
    </w:p>
    <w:tbl>
      <w:tblPr>
        <w:tblStyle w:val="GridTable2-Accent313"/>
        <w:tblW w:w="9271" w:type="dxa"/>
        <w:tblInd w:w="652" w:type="dxa"/>
        <w:tblLook w:val="04A0" w:firstRow="1" w:lastRow="0" w:firstColumn="1" w:lastColumn="0" w:noHBand="0" w:noVBand="1"/>
      </w:tblPr>
      <w:tblGrid>
        <w:gridCol w:w="2325"/>
        <w:gridCol w:w="6946"/>
      </w:tblGrid>
      <w:tr w:rsidR="00BA6D1F" w:rsidRPr="007C747A" w14:paraId="47A059D4" w14:textId="77777777" w:rsidTr="004F0349">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325" w:type="dxa"/>
          </w:tcPr>
          <w:p w14:paraId="5444BE0C" w14:textId="5239CD11" w:rsidR="00BA6D1F" w:rsidRPr="007C747A" w:rsidRDefault="00184156" w:rsidP="00BA6D1F">
            <w:pPr>
              <w:spacing w:before="120" w:after="120"/>
              <w:ind w:left="652"/>
              <w:rPr>
                <w:rFonts w:eastAsia="DengXian" w:cs="Arial"/>
                <w:sz w:val="22"/>
                <w:szCs w:val="22"/>
                <w:lang w:val="en-AU"/>
              </w:rPr>
            </w:pPr>
            <w:r w:rsidRPr="007C747A">
              <w:rPr>
                <w:rFonts w:eastAsia="DengXian" w:cs="Arial"/>
                <w:sz w:val="22"/>
                <w:szCs w:val="22"/>
                <w:lang w:val="en-AU"/>
              </w:rPr>
              <w:t>Acronym</w:t>
            </w:r>
          </w:p>
        </w:tc>
        <w:tc>
          <w:tcPr>
            <w:tcW w:w="6946" w:type="dxa"/>
          </w:tcPr>
          <w:p w14:paraId="6C3BA7C6" w14:textId="4E99CF0F" w:rsidR="00BA6D1F" w:rsidRPr="007C747A" w:rsidRDefault="00184156" w:rsidP="00BA6D1F">
            <w:pPr>
              <w:spacing w:before="120" w:after="120"/>
              <w:ind w:left="652"/>
              <w:cnfStyle w:val="100000000000" w:firstRow="1"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Description</w:t>
            </w:r>
          </w:p>
        </w:tc>
      </w:tr>
      <w:tr w:rsidR="00227EC0" w:rsidRPr="007C747A" w14:paraId="188B6F7A"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A095D2B" w14:textId="67C5D9FF" w:rsidR="00227EC0" w:rsidRPr="007C747A" w:rsidRDefault="00227EC0" w:rsidP="004F0349">
            <w:pPr>
              <w:spacing w:before="120" w:after="120"/>
              <w:rPr>
                <w:rFonts w:eastAsia="DengXian" w:cs="Arial"/>
                <w:sz w:val="22"/>
                <w:szCs w:val="22"/>
                <w:lang w:val="en-AU"/>
              </w:rPr>
            </w:pPr>
            <w:r w:rsidRPr="007C747A">
              <w:rPr>
                <w:rFonts w:eastAsia="DengXian" w:cs="Arial"/>
                <w:sz w:val="22"/>
                <w:szCs w:val="22"/>
                <w:lang w:val="en-AU"/>
              </w:rPr>
              <w:t>AAT</w:t>
            </w:r>
          </w:p>
        </w:tc>
        <w:tc>
          <w:tcPr>
            <w:tcW w:w="6946" w:type="dxa"/>
          </w:tcPr>
          <w:p w14:paraId="4447FB96" w14:textId="4D93C625" w:rsidR="00227EC0" w:rsidRPr="007C747A" w:rsidRDefault="00227EC0"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Administrative Appeals Tribunal</w:t>
            </w:r>
          </w:p>
        </w:tc>
      </w:tr>
      <w:tr w:rsidR="00227EC0" w:rsidRPr="007C747A" w14:paraId="62CF91A5"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0B6BF0B" w14:textId="64045D49" w:rsidR="00227EC0" w:rsidRPr="007C747A" w:rsidRDefault="00227EC0" w:rsidP="004F0349">
            <w:pPr>
              <w:spacing w:before="120" w:after="120"/>
              <w:rPr>
                <w:rFonts w:eastAsia="DengXian" w:cs="Arial"/>
                <w:sz w:val="22"/>
                <w:szCs w:val="22"/>
                <w:lang w:val="en-AU"/>
              </w:rPr>
            </w:pPr>
            <w:r w:rsidRPr="007C747A">
              <w:rPr>
                <w:rFonts w:eastAsia="DengXian" w:cs="Arial"/>
                <w:sz w:val="22"/>
                <w:szCs w:val="22"/>
                <w:lang w:val="en-AU"/>
              </w:rPr>
              <w:t>ABS</w:t>
            </w:r>
          </w:p>
        </w:tc>
        <w:tc>
          <w:tcPr>
            <w:tcW w:w="6946" w:type="dxa"/>
          </w:tcPr>
          <w:p w14:paraId="0DCBE9A8" w14:textId="360BA3C6" w:rsidR="00227EC0" w:rsidRPr="007C747A" w:rsidRDefault="00227EC0"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Australian Bureau of Statistics</w:t>
            </w:r>
          </w:p>
        </w:tc>
      </w:tr>
      <w:tr w:rsidR="00D27713" w:rsidRPr="007C747A" w14:paraId="65910E2B"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664A856F" w14:textId="40874FBB"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ACIC</w:t>
            </w:r>
          </w:p>
        </w:tc>
        <w:tc>
          <w:tcPr>
            <w:tcW w:w="6946" w:type="dxa"/>
          </w:tcPr>
          <w:p w14:paraId="53EDD1A8" w14:textId="67AC5DDF" w:rsidR="00D27713" w:rsidRPr="007C747A" w:rsidRDefault="00D27713"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Australian Criminal Intelligence Commission</w:t>
            </w:r>
          </w:p>
        </w:tc>
      </w:tr>
      <w:tr w:rsidR="00BA6D1F" w:rsidRPr="007C747A" w14:paraId="2D764468"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5C6625E"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AFDO</w:t>
            </w:r>
          </w:p>
        </w:tc>
        <w:tc>
          <w:tcPr>
            <w:tcW w:w="6946" w:type="dxa"/>
          </w:tcPr>
          <w:p w14:paraId="46B8753B"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Australian Federation of Disability Organisations</w:t>
            </w:r>
          </w:p>
        </w:tc>
      </w:tr>
      <w:tr w:rsidR="00BA6D1F" w:rsidRPr="007C747A" w14:paraId="6698B809"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D2B19CE"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AFSR</w:t>
            </w:r>
          </w:p>
        </w:tc>
        <w:tc>
          <w:tcPr>
            <w:tcW w:w="6946" w:type="dxa"/>
          </w:tcPr>
          <w:p w14:paraId="6989CD5F" w14:textId="6C1DE479"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 xml:space="preserve">Annual </w:t>
            </w:r>
            <w:r w:rsidR="004B5327" w:rsidRPr="007C747A">
              <w:rPr>
                <w:rFonts w:eastAsia="DengXian" w:cs="Arial"/>
                <w:sz w:val="22"/>
                <w:szCs w:val="22"/>
                <w:lang w:val="en-AU"/>
              </w:rPr>
              <w:t>f</w:t>
            </w:r>
            <w:r w:rsidRPr="007C747A">
              <w:rPr>
                <w:rFonts w:eastAsia="DengXian" w:cs="Arial"/>
                <w:sz w:val="22"/>
                <w:szCs w:val="22"/>
                <w:lang w:val="en-AU"/>
              </w:rPr>
              <w:t xml:space="preserve">inancial </w:t>
            </w:r>
            <w:r w:rsidR="004B5327" w:rsidRPr="007C747A">
              <w:rPr>
                <w:rFonts w:eastAsia="DengXian" w:cs="Arial"/>
                <w:sz w:val="22"/>
                <w:szCs w:val="22"/>
                <w:lang w:val="en-AU"/>
              </w:rPr>
              <w:t>s</w:t>
            </w:r>
            <w:r w:rsidRPr="007C747A">
              <w:rPr>
                <w:rFonts w:eastAsia="DengXian" w:cs="Arial"/>
                <w:sz w:val="22"/>
                <w:szCs w:val="22"/>
                <w:lang w:val="en-AU"/>
              </w:rPr>
              <w:t xml:space="preserve">ustainability </w:t>
            </w:r>
            <w:r w:rsidR="004B5327" w:rsidRPr="007C747A">
              <w:rPr>
                <w:rFonts w:eastAsia="DengXian" w:cs="Arial"/>
                <w:sz w:val="22"/>
                <w:szCs w:val="22"/>
                <w:lang w:val="en-AU"/>
              </w:rPr>
              <w:t>r</w:t>
            </w:r>
            <w:r w:rsidRPr="007C747A">
              <w:rPr>
                <w:rFonts w:eastAsia="DengXian" w:cs="Arial"/>
                <w:sz w:val="22"/>
                <w:szCs w:val="22"/>
                <w:lang w:val="en-AU"/>
              </w:rPr>
              <w:t>eport</w:t>
            </w:r>
          </w:p>
        </w:tc>
      </w:tr>
      <w:tr w:rsidR="00BA6D1F" w:rsidRPr="007C747A" w14:paraId="65327675"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BD91B26"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AHRC</w:t>
            </w:r>
          </w:p>
        </w:tc>
        <w:tc>
          <w:tcPr>
            <w:tcW w:w="6946" w:type="dxa"/>
          </w:tcPr>
          <w:p w14:paraId="22F3272C"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Australian Human Rights Commission</w:t>
            </w:r>
          </w:p>
        </w:tc>
      </w:tr>
      <w:tr w:rsidR="00BA6D1F" w:rsidRPr="007C747A" w14:paraId="67F7BBE7"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BF75E8A"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AM</w:t>
            </w:r>
          </w:p>
        </w:tc>
        <w:tc>
          <w:tcPr>
            <w:tcW w:w="6946" w:type="dxa"/>
          </w:tcPr>
          <w:p w14:paraId="3BF2AD86"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Member of the Order of Australia</w:t>
            </w:r>
          </w:p>
        </w:tc>
      </w:tr>
      <w:tr w:rsidR="00BA6D1F" w:rsidRPr="007C747A" w14:paraId="214E79C5"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5F07F09"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ANAO</w:t>
            </w:r>
          </w:p>
        </w:tc>
        <w:tc>
          <w:tcPr>
            <w:tcW w:w="6946" w:type="dxa"/>
          </w:tcPr>
          <w:p w14:paraId="16464840"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Australian National Audit Office</w:t>
            </w:r>
          </w:p>
        </w:tc>
      </w:tr>
      <w:tr w:rsidR="00BA6D1F" w:rsidRPr="007C747A" w14:paraId="43AA3C4B"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AA24F16"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AO</w:t>
            </w:r>
          </w:p>
        </w:tc>
        <w:tc>
          <w:tcPr>
            <w:tcW w:w="6946" w:type="dxa"/>
          </w:tcPr>
          <w:p w14:paraId="1FC0D4A3"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Order of Australia, Officer in the General Division</w:t>
            </w:r>
          </w:p>
        </w:tc>
      </w:tr>
      <w:tr w:rsidR="00BA6D1F" w:rsidRPr="007C747A" w14:paraId="2DF3EAEE"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74D7E33B"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APS</w:t>
            </w:r>
          </w:p>
        </w:tc>
        <w:tc>
          <w:tcPr>
            <w:tcW w:w="6946" w:type="dxa"/>
          </w:tcPr>
          <w:p w14:paraId="19355468"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Australian Public Service</w:t>
            </w:r>
          </w:p>
        </w:tc>
      </w:tr>
      <w:tr w:rsidR="00BA6D1F" w:rsidRPr="007C747A" w14:paraId="3526A405"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7601A13D"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CALD</w:t>
            </w:r>
          </w:p>
        </w:tc>
        <w:tc>
          <w:tcPr>
            <w:tcW w:w="6946" w:type="dxa"/>
          </w:tcPr>
          <w:p w14:paraId="37939E24"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Culturally and linguistically diverse</w:t>
            </w:r>
          </w:p>
        </w:tc>
      </w:tr>
      <w:tr w:rsidR="00BA6D1F" w:rsidRPr="007C747A" w14:paraId="6FB61157"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C916720"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CEO</w:t>
            </w:r>
          </w:p>
        </w:tc>
        <w:tc>
          <w:tcPr>
            <w:tcW w:w="6946" w:type="dxa"/>
          </w:tcPr>
          <w:p w14:paraId="512E13AF"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Chief Executive Officer</w:t>
            </w:r>
          </w:p>
        </w:tc>
      </w:tr>
      <w:tr w:rsidR="00BA6D1F" w:rsidRPr="007C747A" w14:paraId="5611CB48"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2278A77"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DRCO Forum</w:t>
            </w:r>
          </w:p>
        </w:tc>
        <w:tc>
          <w:tcPr>
            <w:tcW w:w="6946" w:type="dxa"/>
          </w:tcPr>
          <w:p w14:paraId="41F7AF6D" w14:textId="2EE96D60"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Disability Representative and Carer Organisation</w:t>
            </w:r>
            <w:r w:rsidR="004B5327" w:rsidRPr="007C747A">
              <w:rPr>
                <w:rFonts w:eastAsia="DengXian" w:cs="Arial"/>
                <w:sz w:val="22"/>
                <w:szCs w:val="22"/>
                <w:lang w:val="en-AU"/>
              </w:rPr>
              <w:t>s</w:t>
            </w:r>
            <w:r w:rsidRPr="007C747A">
              <w:rPr>
                <w:rFonts w:eastAsia="DengXian" w:cs="Arial"/>
                <w:sz w:val="22"/>
                <w:szCs w:val="22"/>
                <w:lang w:val="en-AU"/>
              </w:rPr>
              <w:t xml:space="preserve"> Forum</w:t>
            </w:r>
          </w:p>
        </w:tc>
      </w:tr>
      <w:tr w:rsidR="00BA6D1F" w:rsidRPr="007C747A" w14:paraId="2A5B7C26"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3B05C1B"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DSS</w:t>
            </w:r>
          </w:p>
        </w:tc>
        <w:tc>
          <w:tcPr>
            <w:tcW w:w="6946" w:type="dxa"/>
          </w:tcPr>
          <w:p w14:paraId="1FCA2E35"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Department of Social Services</w:t>
            </w:r>
          </w:p>
        </w:tc>
      </w:tr>
      <w:tr w:rsidR="00BA6D1F" w:rsidRPr="007C747A" w14:paraId="44098B30"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FD626F7"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FCC</w:t>
            </w:r>
          </w:p>
        </w:tc>
        <w:tc>
          <w:tcPr>
            <w:tcW w:w="6946" w:type="dxa"/>
          </w:tcPr>
          <w:p w14:paraId="25A19CD0"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Federal Circuit Court</w:t>
            </w:r>
          </w:p>
        </w:tc>
      </w:tr>
      <w:tr w:rsidR="00D27713" w:rsidRPr="007C747A" w14:paraId="6B242ECC"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6A193053" w14:textId="7DE93B59"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FFT</w:t>
            </w:r>
          </w:p>
        </w:tc>
        <w:tc>
          <w:tcPr>
            <w:tcW w:w="6946" w:type="dxa"/>
          </w:tcPr>
          <w:p w14:paraId="635FBEB6" w14:textId="1DE363AA" w:rsidR="00D27713" w:rsidRPr="007C747A" w:rsidRDefault="00D27713"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Fraud Fusion Taskforce</w:t>
            </w:r>
          </w:p>
        </w:tc>
      </w:tr>
      <w:tr w:rsidR="00BA6D1F" w:rsidRPr="007C747A" w14:paraId="36D36334"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3D2D900C"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FOI Act</w:t>
            </w:r>
          </w:p>
        </w:tc>
        <w:tc>
          <w:tcPr>
            <w:tcW w:w="6946" w:type="dxa"/>
          </w:tcPr>
          <w:p w14:paraId="17FBED82"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Freedom of Information Act 1982</w:t>
            </w:r>
          </w:p>
        </w:tc>
      </w:tr>
      <w:tr w:rsidR="00BA6D1F" w:rsidRPr="007C747A" w14:paraId="3C153C88"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66918699"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FWC</w:t>
            </w:r>
          </w:p>
        </w:tc>
        <w:tc>
          <w:tcPr>
            <w:tcW w:w="6946" w:type="dxa"/>
          </w:tcPr>
          <w:p w14:paraId="77E58B12"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Fair Work Commission</w:t>
            </w:r>
          </w:p>
        </w:tc>
      </w:tr>
      <w:tr w:rsidR="00BA6D1F" w:rsidRPr="007C747A" w14:paraId="42412B66"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15C00526"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GST</w:t>
            </w:r>
          </w:p>
        </w:tc>
        <w:tc>
          <w:tcPr>
            <w:tcW w:w="6946" w:type="dxa"/>
          </w:tcPr>
          <w:p w14:paraId="0292512F"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Goods and Services Tax</w:t>
            </w:r>
          </w:p>
        </w:tc>
      </w:tr>
      <w:tr w:rsidR="00BA6D1F" w:rsidRPr="007C747A" w14:paraId="098A1540"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92AD227"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IAC</w:t>
            </w:r>
          </w:p>
        </w:tc>
        <w:tc>
          <w:tcPr>
            <w:tcW w:w="6946" w:type="dxa"/>
          </w:tcPr>
          <w:p w14:paraId="5ACD1ACD"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Independent Advisory Council</w:t>
            </w:r>
          </w:p>
        </w:tc>
      </w:tr>
      <w:tr w:rsidR="00D27713" w:rsidRPr="007C747A" w14:paraId="16F4719B"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696E46D7" w14:textId="7C2FE703"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ICC</w:t>
            </w:r>
          </w:p>
        </w:tc>
        <w:tc>
          <w:tcPr>
            <w:tcW w:w="6946" w:type="dxa"/>
          </w:tcPr>
          <w:p w14:paraId="46A083FE" w14:textId="77635DA3" w:rsidR="00D27713" w:rsidRPr="007C747A" w:rsidRDefault="00D27713"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Integrated Care and Commissioning</w:t>
            </w:r>
          </w:p>
        </w:tc>
      </w:tr>
      <w:tr w:rsidR="00BA6D1F" w:rsidRPr="007C747A" w14:paraId="63B016F7"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7DBC2566"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ICT</w:t>
            </w:r>
          </w:p>
        </w:tc>
        <w:tc>
          <w:tcPr>
            <w:tcW w:w="6946" w:type="dxa"/>
          </w:tcPr>
          <w:p w14:paraId="35F3C3EC"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Information and communications technology</w:t>
            </w:r>
          </w:p>
        </w:tc>
      </w:tr>
      <w:tr w:rsidR="00D27713" w:rsidRPr="007C747A" w14:paraId="238F2DA2"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443516CF" w14:textId="5750E4E2"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IGAP</w:t>
            </w:r>
          </w:p>
        </w:tc>
        <w:tc>
          <w:tcPr>
            <w:tcW w:w="6946" w:type="dxa"/>
          </w:tcPr>
          <w:p w14:paraId="43B8CCA2" w14:textId="29600179" w:rsidR="00D27713" w:rsidRPr="007C747A" w:rsidRDefault="00D27713"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Information gathering for access and planning</w:t>
            </w:r>
          </w:p>
        </w:tc>
      </w:tr>
      <w:tr w:rsidR="00BA6D1F" w:rsidRPr="007C747A" w14:paraId="069B461B"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32E72E9"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KMP</w:t>
            </w:r>
          </w:p>
        </w:tc>
        <w:tc>
          <w:tcPr>
            <w:tcW w:w="6946" w:type="dxa"/>
          </w:tcPr>
          <w:p w14:paraId="47FB1682"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Key management personnel</w:t>
            </w:r>
          </w:p>
        </w:tc>
      </w:tr>
      <w:tr w:rsidR="00D27713" w:rsidRPr="007C747A" w14:paraId="2F9CA423"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437020E" w14:textId="3FBFA48D"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JCPAA</w:t>
            </w:r>
          </w:p>
        </w:tc>
        <w:tc>
          <w:tcPr>
            <w:tcW w:w="6946" w:type="dxa"/>
          </w:tcPr>
          <w:p w14:paraId="6D56A248" w14:textId="1E749CFA" w:rsidR="00D27713" w:rsidRPr="007C747A" w:rsidRDefault="00D27713"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Joint Committee of Public Accounts and Audit</w:t>
            </w:r>
          </w:p>
        </w:tc>
      </w:tr>
      <w:tr w:rsidR="00BA6D1F" w:rsidRPr="007C747A" w14:paraId="588BEFDA"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DDD3B39"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JSC</w:t>
            </w:r>
          </w:p>
        </w:tc>
        <w:tc>
          <w:tcPr>
            <w:tcW w:w="6946" w:type="dxa"/>
          </w:tcPr>
          <w:p w14:paraId="7B35C322"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Joint Standing Committee on the National Disability Insurance Scheme</w:t>
            </w:r>
          </w:p>
        </w:tc>
      </w:tr>
      <w:tr w:rsidR="00BA6D1F" w:rsidRPr="007C747A" w14:paraId="79918412"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B7D6BD2"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LAC</w:t>
            </w:r>
          </w:p>
        </w:tc>
        <w:tc>
          <w:tcPr>
            <w:tcW w:w="6946" w:type="dxa"/>
          </w:tcPr>
          <w:p w14:paraId="659E00CC" w14:textId="7E9E00A2"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Local area coordinat</w:t>
            </w:r>
            <w:r w:rsidR="00227EC0" w:rsidRPr="007C747A">
              <w:rPr>
                <w:rFonts w:eastAsia="DengXian" w:cs="Arial"/>
                <w:sz w:val="22"/>
                <w:szCs w:val="22"/>
                <w:lang w:val="en-AU"/>
              </w:rPr>
              <w:t>ion</w:t>
            </w:r>
          </w:p>
        </w:tc>
      </w:tr>
      <w:tr w:rsidR="00BA6D1F" w:rsidRPr="007C747A" w14:paraId="55A010A3"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E84B14E"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MPC</w:t>
            </w:r>
          </w:p>
        </w:tc>
        <w:tc>
          <w:tcPr>
            <w:tcW w:w="6946" w:type="dxa"/>
          </w:tcPr>
          <w:p w14:paraId="2392E676"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Merit Protection Commission</w:t>
            </w:r>
          </w:p>
        </w:tc>
      </w:tr>
      <w:tr w:rsidR="00BA6D1F" w:rsidRPr="007C747A" w14:paraId="3160836A"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1658695"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NDIA</w:t>
            </w:r>
          </w:p>
        </w:tc>
        <w:tc>
          <w:tcPr>
            <w:tcW w:w="6946" w:type="dxa"/>
          </w:tcPr>
          <w:p w14:paraId="2EE8BB27"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National Disability Insurance Agency</w:t>
            </w:r>
          </w:p>
        </w:tc>
      </w:tr>
      <w:tr w:rsidR="00BA6D1F" w:rsidRPr="007C747A" w14:paraId="1FF8AEBA"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E9E39FB"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NDIS</w:t>
            </w:r>
          </w:p>
        </w:tc>
        <w:tc>
          <w:tcPr>
            <w:tcW w:w="6946" w:type="dxa"/>
          </w:tcPr>
          <w:p w14:paraId="77234AC7"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National Disability Insurance Scheme</w:t>
            </w:r>
          </w:p>
        </w:tc>
      </w:tr>
      <w:tr w:rsidR="00BA6D1F" w:rsidRPr="007C747A" w14:paraId="5A51AE3F"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253E7EB"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NDIS Act</w:t>
            </w:r>
          </w:p>
        </w:tc>
        <w:tc>
          <w:tcPr>
            <w:tcW w:w="6946" w:type="dxa"/>
          </w:tcPr>
          <w:p w14:paraId="07F4EDC1"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National Disability Insurance Scheme Act 2013</w:t>
            </w:r>
          </w:p>
        </w:tc>
      </w:tr>
      <w:tr w:rsidR="00BA6D1F" w:rsidRPr="007C747A" w14:paraId="634D9291"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A969C61"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NDIS Commission</w:t>
            </w:r>
          </w:p>
        </w:tc>
        <w:tc>
          <w:tcPr>
            <w:tcW w:w="6946" w:type="dxa"/>
          </w:tcPr>
          <w:p w14:paraId="4EF9E185"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NDIS Quality and Safeguards Commission</w:t>
            </w:r>
          </w:p>
        </w:tc>
      </w:tr>
      <w:tr w:rsidR="00BA6D1F" w:rsidRPr="007C747A" w14:paraId="50829118"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70D35A08"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OCO</w:t>
            </w:r>
          </w:p>
        </w:tc>
        <w:tc>
          <w:tcPr>
            <w:tcW w:w="6946" w:type="dxa"/>
          </w:tcPr>
          <w:p w14:paraId="7731E747"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Office of the Commonwealth Ombudsman</w:t>
            </w:r>
          </w:p>
        </w:tc>
      </w:tr>
      <w:tr w:rsidR="00BA6D1F" w:rsidRPr="007C747A" w14:paraId="033D6E27"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3C051AC3"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PBS</w:t>
            </w:r>
          </w:p>
        </w:tc>
        <w:tc>
          <w:tcPr>
            <w:tcW w:w="6946" w:type="dxa"/>
          </w:tcPr>
          <w:p w14:paraId="2AE08AE6" w14:textId="5C0A9A98"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NDIA Portfolio Budget Statements 202</w:t>
            </w:r>
            <w:r w:rsidR="00A95837" w:rsidRPr="007C747A">
              <w:rPr>
                <w:rFonts w:eastAsia="DengXian" w:cs="Arial"/>
                <w:sz w:val="22"/>
                <w:szCs w:val="22"/>
                <w:lang w:val="en-AU"/>
              </w:rPr>
              <w:t>2</w:t>
            </w:r>
            <w:r w:rsidRPr="007C747A">
              <w:rPr>
                <w:rFonts w:eastAsia="DengXian" w:cs="Arial"/>
                <w:sz w:val="22"/>
                <w:szCs w:val="22"/>
                <w:lang w:val="en-AU"/>
              </w:rPr>
              <w:t>–2</w:t>
            </w:r>
            <w:r w:rsidR="00A95837" w:rsidRPr="007C747A">
              <w:rPr>
                <w:rFonts w:eastAsia="DengXian" w:cs="Arial"/>
                <w:sz w:val="22"/>
                <w:szCs w:val="22"/>
                <w:lang w:val="en-AU"/>
              </w:rPr>
              <w:t>3</w:t>
            </w:r>
          </w:p>
        </w:tc>
      </w:tr>
      <w:tr w:rsidR="00BA6D1F" w:rsidRPr="007C747A" w14:paraId="26E6008C"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4984BB9F"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PGPA Act</w:t>
            </w:r>
          </w:p>
        </w:tc>
        <w:tc>
          <w:tcPr>
            <w:tcW w:w="6946" w:type="dxa"/>
          </w:tcPr>
          <w:p w14:paraId="041EA67F"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Public Governance, Performance and Accountability Act 2013</w:t>
            </w:r>
          </w:p>
        </w:tc>
      </w:tr>
      <w:tr w:rsidR="00BA6D1F" w:rsidRPr="007C747A" w14:paraId="09832B23"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60AFCD5B"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PGPA Rule</w:t>
            </w:r>
          </w:p>
        </w:tc>
        <w:tc>
          <w:tcPr>
            <w:tcW w:w="6946" w:type="dxa"/>
          </w:tcPr>
          <w:p w14:paraId="5365F55F"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Public Governance, Performance and Accountability Rule 2014</w:t>
            </w:r>
          </w:p>
        </w:tc>
      </w:tr>
      <w:tr w:rsidR="00BA6D1F" w:rsidRPr="007C747A" w14:paraId="4DDBB5E3"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81A873B"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PIA</w:t>
            </w:r>
          </w:p>
        </w:tc>
        <w:tc>
          <w:tcPr>
            <w:tcW w:w="6946" w:type="dxa"/>
          </w:tcPr>
          <w:p w14:paraId="7CC287AB" w14:textId="77777777" w:rsidR="00BA6D1F" w:rsidRPr="007C747A" w:rsidRDefault="00BA6D1F"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Public Information Access scheme</w:t>
            </w:r>
          </w:p>
        </w:tc>
      </w:tr>
      <w:tr w:rsidR="00BA6D1F" w:rsidRPr="007C747A" w14:paraId="63C198D0"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00DDAE98" w14:textId="77777777" w:rsidR="00BA6D1F" w:rsidRPr="007C747A" w:rsidRDefault="00BA6D1F" w:rsidP="004F0349">
            <w:pPr>
              <w:spacing w:before="120" w:after="120"/>
              <w:rPr>
                <w:rFonts w:eastAsia="DengXian" w:cs="Arial"/>
                <w:sz w:val="22"/>
                <w:szCs w:val="22"/>
                <w:lang w:val="en-AU"/>
              </w:rPr>
            </w:pPr>
            <w:r w:rsidRPr="007C747A">
              <w:rPr>
                <w:rFonts w:eastAsia="DengXian" w:cs="Arial"/>
                <w:sz w:val="22"/>
                <w:szCs w:val="22"/>
                <w:lang w:val="en-AU"/>
              </w:rPr>
              <w:t>PITC</w:t>
            </w:r>
          </w:p>
        </w:tc>
        <w:tc>
          <w:tcPr>
            <w:tcW w:w="6946" w:type="dxa"/>
          </w:tcPr>
          <w:p w14:paraId="537FAAA0" w14:textId="77777777" w:rsidR="00BA6D1F" w:rsidRPr="007C747A" w:rsidRDefault="00BA6D1F"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Partners in the community</w:t>
            </w:r>
          </w:p>
        </w:tc>
      </w:tr>
      <w:tr w:rsidR="00D27713" w:rsidRPr="007C747A" w14:paraId="4870C3F3"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3208D337" w14:textId="4008006A"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RAP</w:t>
            </w:r>
          </w:p>
        </w:tc>
        <w:tc>
          <w:tcPr>
            <w:tcW w:w="6946" w:type="dxa"/>
          </w:tcPr>
          <w:p w14:paraId="179BA0B3" w14:textId="24F2B196" w:rsidR="00D27713" w:rsidRPr="007C747A" w:rsidRDefault="00D27713"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Reconciliation Action Plan</w:t>
            </w:r>
          </w:p>
        </w:tc>
      </w:tr>
      <w:tr w:rsidR="00227EC0" w:rsidRPr="007C747A" w14:paraId="2AE5BC26"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7342256A" w14:textId="5BFB67E5" w:rsidR="00227EC0" w:rsidRPr="007C747A" w:rsidRDefault="00227EC0" w:rsidP="004F0349">
            <w:pPr>
              <w:spacing w:before="120" w:after="120"/>
              <w:rPr>
                <w:rFonts w:eastAsia="DengXian" w:cs="Arial"/>
                <w:sz w:val="22"/>
                <w:szCs w:val="22"/>
                <w:lang w:val="en-AU"/>
              </w:rPr>
            </w:pPr>
            <w:r w:rsidRPr="007C747A">
              <w:rPr>
                <w:rFonts w:eastAsia="DengXian" w:cs="Arial"/>
                <w:sz w:val="22"/>
                <w:szCs w:val="22"/>
                <w:lang w:val="en-AU"/>
              </w:rPr>
              <w:t>the Scheme</w:t>
            </w:r>
          </w:p>
        </w:tc>
        <w:tc>
          <w:tcPr>
            <w:tcW w:w="6946" w:type="dxa"/>
          </w:tcPr>
          <w:p w14:paraId="4BA242B3" w14:textId="3877E187" w:rsidR="00227EC0" w:rsidRPr="007C747A" w:rsidRDefault="00227EC0"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National Disability Insurance Scheme</w:t>
            </w:r>
          </w:p>
        </w:tc>
      </w:tr>
      <w:tr w:rsidR="001958C8" w:rsidRPr="007C747A" w14:paraId="06F686F1"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5CD1BFDC" w14:textId="74DFA84E" w:rsidR="001958C8" w:rsidRPr="007C747A" w:rsidRDefault="001958C8" w:rsidP="004F0349">
            <w:pPr>
              <w:spacing w:before="120" w:after="120"/>
              <w:rPr>
                <w:rFonts w:eastAsia="DengXian" w:cs="Arial"/>
                <w:sz w:val="22"/>
                <w:szCs w:val="22"/>
                <w:lang w:val="en-AU"/>
              </w:rPr>
            </w:pPr>
            <w:r w:rsidRPr="007C747A">
              <w:rPr>
                <w:rFonts w:eastAsia="DengXian" w:cs="Arial"/>
                <w:sz w:val="22"/>
                <w:szCs w:val="22"/>
                <w:lang w:val="en-AU"/>
              </w:rPr>
              <w:t>SES</w:t>
            </w:r>
          </w:p>
        </w:tc>
        <w:tc>
          <w:tcPr>
            <w:tcW w:w="6946" w:type="dxa"/>
          </w:tcPr>
          <w:p w14:paraId="75BA4BB0" w14:textId="1752EF76" w:rsidR="001958C8" w:rsidRPr="007C747A" w:rsidRDefault="001958C8"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Senior Executive Service</w:t>
            </w:r>
          </w:p>
        </w:tc>
      </w:tr>
      <w:tr w:rsidR="00D27713" w:rsidRPr="007C747A" w14:paraId="46EC0304"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446E0286" w14:textId="68264C8C"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SLT</w:t>
            </w:r>
          </w:p>
        </w:tc>
        <w:tc>
          <w:tcPr>
            <w:tcW w:w="6946" w:type="dxa"/>
          </w:tcPr>
          <w:p w14:paraId="4B6398DC" w14:textId="3742A4C0" w:rsidR="00D27713" w:rsidRPr="007C747A" w:rsidRDefault="00D27713"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Strategic Leadership Team</w:t>
            </w:r>
          </w:p>
        </w:tc>
      </w:tr>
      <w:tr w:rsidR="00C0049B" w:rsidRPr="007C747A" w14:paraId="4E45D8A2" w14:textId="77777777" w:rsidTr="004F03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325" w:type="dxa"/>
          </w:tcPr>
          <w:p w14:paraId="7AA4AF6F" w14:textId="2C311FD5" w:rsidR="00C0049B" w:rsidRPr="007C747A" w:rsidRDefault="00C0049B" w:rsidP="004F0349">
            <w:pPr>
              <w:spacing w:before="120" w:after="120"/>
              <w:rPr>
                <w:rFonts w:eastAsia="DengXian" w:cs="Arial"/>
                <w:sz w:val="22"/>
                <w:szCs w:val="22"/>
                <w:lang w:val="en-AU"/>
              </w:rPr>
            </w:pPr>
            <w:r w:rsidRPr="007C747A">
              <w:rPr>
                <w:rFonts w:eastAsia="DengXian" w:cs="Arial"/>
                <w:sz w:val="22"/>
                <w:szCs w:val="22"/>
                <w:lang w:val="en-AU"/>
              </w:rPr>
              <w:t>YTD</w:t>
            </w:r>
          </w:p>
        </w:tc>
        <w:tc>
          <w:tcPr>
            <w:tcW w:w="6946" w:type="dxa"/>
          </w:tcPr>
          <w:p w14:paraId="1AEB41BE" w14:textId="5639FB8C" w:rsidR="00C0049B" w:rsidRPr="007C747A" w:rsidRDefault="00C0049B" w:rsidP="004F0349">
            <w:pPr>
              <w:spacing w:before="120" w:after="120"/>
              <w:cnfStyle w:val="000000100000" w:firstRow="0" w:lastRow="0" w:firstColumn="0" w:lastColumn="0" w:oddVBand="0" w:evenVBand="0" w:oddHBand="1"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Year to date</w:t>
            </w:r>
          </w:p>
        </w:tc>
      </w:tr>
      <w:tr w:rsidR="00D27713" w:rsidRPr="007C747A" w14:paraId="70CD5172" w14:textId="77777777" w:rsidTr="004F0349">
        <w:trPr>
          <w:trHeight w:val="567"/>
        </w:trPr>
        <w:tc>
          <w:tcPr>
            <w:cnfStyle w:val="001000000000" w:firstRow="0" w:lastRow="0" w:firstColumn="1" w:lastColumn="0" w:oddVBand="0" w:evenVBand="0" w:oddHBand="0" w:evenHBand="0" w:firstRowFirstColumn="0" w:firstRowLastColumn="0" w:lastRowFirstColumn="0" w:lastRowLastColumn="0"/>
            <w:tcW w:w="2325" w:type="dxa"/>
          </w:tcPr>
          <w:p w14:paraId="2800CFA3" w14:textId="36E4253A" w:rsidR="00D27713" w:rsidRPr="007C747A" w:rsidRDefault="00D27713" w:rsidP="004F0349">
            <w:pPr>
              <w:spacing w:before="120" w:after="120"/>
              <w:rPr>
                <w:rFonts w:eastAsia="DengXian" w:cs="Arial"/>
                <w:sz w:val="22"/>
                <w:szCs w:val="22"/>
                <w:lang w:val="en-AU"/>
              </w:rPr>
            </w:pPr>
            <w:r w:rsidRPr="007C747A">
              <w:rPr>
                <w:rFonts w:eastAsia="DengXian" w:cs="Arial"/>
                <w:sz w:val="22"/>
                <w:szCs w:val="22"/>
                <w:lang w:val="en-AU"/>
              </w:rPr>
              <w:t>WHS Act</w:t>
            </w:r>
          </w:p>
        </w:tc>
        <w:tc>
          <w:tcPr>
            <w:tcW w:w="6946" w:type="dxa"/>
          </w:tcPr>
          <w:p w14:paraId="422A6E11" w14:textId="5AE4AD4D" w:rsidR="00D27713" w:rsidRPr="007C747A" w:rsidRDefault="00D27713" w:rsidP="004F0349">
            <w:pPr>
              <w:spacing w:before="120" w:after="120"/>
              <w:cnfStyle w:val="000000000000" w:firstRow="0" w:lastRow="0" w:firstColumn="0" w:lastColumn="0" w:oddVBand="0" w:evenVBand="0" w:oddHBand="0" w:evenHBand="0" w:firstRowFirstColumn="0" w:firstRowLastColumn="0" w:lastRowFirstColumn="0" w:lastRowLastColumn="0"/>
              <w:rPr>
                <w:rFonts w:eastAsia="DengXian" w:cs="Arial"/>
                <w:sz w:val="22"/>
                <w:szCs w:val="22"/>
                <w:lang w:val="en-AU"/>
              </w:rPr>
            </w:pPr>
            <w:r w:rsidRPr="007C747A">
              <w:rPr>
                <w:rFonts w:eastAsia="DengXian" w:cs="Arial"/>
                <w:sz w:val="22"/>
                <w:szCs w:val="22"/>
                <w:lang w:val="en-AU"/>
              </w:rPr>
              <w:t>Work Health and Safety Act 2011 (Cth)</w:t>
            </w:r>
          </w:p>
        </w:tc>
      </w:tr>
    </w:tbl>
    <w:p w14:paraId="0AA85DA8" w14:textId="77777777" w:rsidR="00BA6D1F" w:rsidRPr="007C747A" w:rsidRDefault="00BA6D1F" w:rsidP="00BA6D1F">
      <w:pPr>
        <w:pStyle w:val="FGCNORMAL"/>
      </w:pPr>
    </w:p>
    <w:p w14:paraId="1D2281C3" w14:textId="76BA442F" w:rsidR="00E04C6E" w:rsidRPr="007C747A" w:rsidRDefault="00E04C6E" w:rsidP="0048044C">
      <w:pPr>
        <w:pStyle w:val="FGCHEADING1"/>
      </w:pPr>
      <w:bookmarkStart w:id="931" w:name="_Toc142039685"/>
      <w:bookmarkStart w:id="932" w:name="_Toc142047796"/>
      <w:bookmarkStart w:id="933" w:name="_Toc142478463"/>
      <w:bookmarkStart w:id="934" w:name="_Toc142573792"/>
      <w:bookmarkStart w:id="935" w:name="_Toc146289495"/>
      <w:bookmarkStart w:id="936" w:name="_Toc148108443"/>
      <w:r w:rsidRPr="007C747A">
        <w:t>Indexes</w:t>
      </w:r>
      <w:bookmarkEnd w:id="931"/>
      <w:bookmarkEnd w:id="932"/>
      <w:bookmarkEnd w:id="933"/>
      <w:bookmarkEnd w:id="934"/>
      <w:bookmarkEnd w:id="935"/>
      <w:bookmarkEnd w:id="936"/>
    </w:p>
    <w:p w14:paraId="2649686A" w14:textId="1E46FB70" w:rsidR="00E04C6E" w:rsidRPr="007C747A" w:rsidRDefault="00E04C6E" w:rsidP="0048044C">
      <w:pPr>
        <w:pStyle w:val="FGCHEADING2"/>
      </w:pPr>
      <w:bookmarkStart w:id="937" w:name="_Toc142039686"/>
      <w:bookmarkStart w:id="938" w:name="_Toc142047797"/>
      <w:bookmarkStart w:id="939" w:name="_Toc142478464"/>
      <w:bookmarkStart w:id="940" w:name="_Toc142573793"/>
      <w:bookmarkStart w:id="941" w:name="_Toc146289496"/>
      <w:bookmarkStart w:id="942" w:name="_Toc148108444"/>
      <w:r w:rsidRPr="007C747A">
        <w:t xml:space="preserve">Compliance </w:t>
      </w:r>
      <w:bookmarkEnd w:id="937"/>
      <w:bookmarkEnd w:id="938"/>
      <w:bookmarkEnd w:id="939"/>
      <w:bookmarkEnd w:id="940"/>
      <w:bookmarkEnd w:id="941"/>
      <w:r w:rsidR="006D1F7D" w:rsidRPr="007C747A">
        <w:t>index</w:t>
      </w:r>
      <w:bookmarkEnd w:id="942"/>
    </w:p>
    <w:p w14:paraId="641E50C9" w14:textId="7673B544" w:rsidR="00221E73" w:rsidRPr="007C747A" w:rsidRDefault="00207E1C" w:rsidP="00783121">
      <w:pPr>
        <w:pStyle w:val="FGCNORMAL"/>
        <w:spacing w:line="276" w:lineRule="auto"/>
      </w:pPr>
      <w:r w:rsidRPr="007C747A">
        <w:t>Below is the table set out in Schedule 2A of the PGPA Rule. Section 17BE(u) requires this table be included in entities’ annual reports</w:t>
      </w:r>
      <w:r w:rsidR="00807314" w:rsidRPr="007C747A">
        <w:t>.</w:t>
      </w:r>
    </w:p>
    <w:tbl>
      <w:tblPr>
        <w:tblStyle w:val="GridTable2-Accent312"/>
        <w:tblW w:w="4735" w:type="pct"/>
        <w:jc w:val="center"/>
        <w:tblLook w:val="04A0" w:firstRow="1" w:lastRow="0" w:firstColumn="1" w:lastColumn="0" w:noHBand="0" w:noVBand="1"/>
      </w:tblPr>
      <w:tblGrid>
        <w:gridCol w:w="1790"/>
        <w:gridCol w:w="1791"/>
        <w:gridCol w:w="3733"/>
        <w:gridCol w:w="1685"/>
      </w:tblGrid>
      <w:tr w:rsidR="0065324C" w:rsidRPr="007C747A" w14:paraId="0F08E8F2" w14:textId="77777777" w:rsidTr="0065324C">
        <w:trPr>
          <w:cnfStyle w:val="100000000000" w:firstRow="1" w:lastRow="0" w:firstColumn="0" w:lastColumn="0" w:oddVBand="0" w:evenVBand="0" w:oddHBand="0" w:evenHBand="0" w:firstRowFirstColumn="0" w:firstRowLastColumn="0" w:lastRowFirstColumn="0" w:lastRowLastColumn="0"/>
          <w:trHeight w:val="361"/>
          <w:tblHeader/>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35D97682" w14:textId="77777777" w:rsidR="00092572" w:rsidRPr="007C747A" w:rsidRDefault="00092572" w:rsidP="00092572">
            <w:pPr>
              <w:spacing w:before="120" w:after="120" w:line="240" w:lineRule="auto"/>
              <w:rPr>
                <w:rFonts w:eastAsia="DengXian" w:cs="Arial"/>
                <w:sz w:val="20"/>
                <w:szCs w:val="20"/>
                <w:lang w:val="en-AU"/>
              </w:rPr>
            </w:pPr>
            <w:bookmarkStart w:id="943" w:name="_Hlk113477874"/>
            <w:r w:rsidRPr="007C747A">
              <w:rPr>
                <w:rFonts w:eastAsia="DengXian" w:cs="Arial"/>
                <w:sz w:val="20"/>
                <w:szCs w:val="20"/>
                <w:lang w:val="en-AU"/>
              </w:rPr>
              <w:t>PGPA Rule reference</w:t>
            </w:r>
          </w:p>
        </w:tc>
        <w:tc>
          <w:tcPr>
            <w:tcW w:w="995" w:type="pct"/>
            <w:hideMark/>
          </w:tcPr>
          <w:p w14:paraId="72A41DA2" w14:textId="77777777" w:rsidR="00092572" w:rsidRPr="007C747A" w:rsidRDefault="00092572" w:rsidP="000925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Part of report</w:t>
            </w:r>
          </w:p>
        </w:tc>
        <w:tc>
          <w:tcPr>
            <w:tcW w:w="2074" w:type="pct"/>
            <w:hideMark/>
          </w:tcPr>
          <w:p w14:paraId="1D11C9D6" w14:textId="77777777" w:rsidR="00092572" w:rsidRPr="007C747A" w:rsidRDefault="00092572" w:rsidP="000925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Description</w:t>
            </w:r>
          </w:p>
        </w:tc>
        <w:tc>
          <w:tcPr>
            <w:tcW w:w="936" w:type="pct"/>
            <w:hideMark/>
          </w:tcPr>
          <w:p w14:paraId="4E78E57E" w14:textId="77777777" w:rsidR="00092572" w:rsidRPr="007C747A" w:rsidRDefault="00092572" w:rsidP="00092572">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Requirement</w:t>
            </w:r>
          </w:p>
        </w:tc>
      </w:tr>
      <w:tr w:rsidR="00092572" w:rsidRPr="007C747A" w14:paraId="53276CCB"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63DD3B0B"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w:t>
            </w:r>
          </w:p>
        </w:tc>
        <w:tc>
          <w:tcPr>
            <w:tcW w:w="3069" w:type="pct"/>
            <w:gridSpan w:val="2"/>
            <w:hideMark/>
          </w:tcPr>
          <w:p w14:paraId="392EF880"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Contents of annual report</w:t>
            </w:r>
          </w:p>
        </w:tc>
        <w:tc>
          <w:tcPr>
            <w:tcW w:w="936" w:type="pct"/>
            <w:hideMark/>
          </w:tcPr>
          <w:p w14:paraId="5A0028BB"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 </w:t>
            </w:r>
          </w:p>
        </w:tc>
      </w:tr>
      <w:tr w:rsidR="00092572" w:rsidRPr="007C747A" w14:paraId="0A63F232"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2A857FF0"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17BE(a)</w:t>
            </w:r>
          </w:p>
        </w:tc>
        <w:tc>
          <w:tcPr>
            <w:tcW w:w="995" w:type="pct"/>
            <w:hideMark/>
          </w:tcPr>
          <w:p w14:paraId="5E89EC02" w14:textId="7B818A8A"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6.1</w:t>
            </w:r>
          </w:p>
        </w:tc>
        <w:tc>
          <w:tcPr>
            <w:tcW w:w="2074" w:type="pct"/>
            <w:hideMark/>
          </w:tcPr>
          <w:p w14:paraId="6C2FF00D"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Details of the legislation establishing the body</w:t>
            </w:r>
          </w:p>
        </w:tc>
        <w:tc>
          <w:tcPr>
            <w:tcW w:w="936" w:type="pct"/>
            <w:hideMark/>
          </w:tcPr>
          <w:p w14:paraId="06190F13"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5A1A9E58"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374F14AC"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17BE(b)(i)</w:t>
            </w:r>
          </w:p>
        </w:tc>
        <w:tc>
          <w:tcPr>
            <w:tcW w:w="995" w:type="pct"/>
            <w:hideMark/>
          </w:tcPr>
          <w:p w14:paraId="6FD8E046" w14:textId="33ACD0B6"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6.1</w:t>
            </w:r>
          </w:p>
        </w:tc>
        <w:tc>
          <w:tcPr>
            <w:tcW w:w="2074" w:type="pct"/>
            <w:hideMark/>
          </w:tcPr>
          <w:p w14:paraId="6E20DCCE"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 summary of the objects and functions of the entity as set out in legislation</w:t>
            </w:r>
          </w:p>
        </w:tc>
        <w:tc>
          <w:tcPr>
            <w:tcW w:w="936" w:type="pct"/>
            <w:hideMark/>
          </w:tcPr>
          <w:p w14:paraId="7DC3C2F1"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5F6205D1"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4A398D7B"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17BE(b)(ii)</w:t>
            </w:r>
          </w:p>
        </w:tc>
        <w:tc>
          <w:tcPr>
            <w:tcW w:w="995" w:type="pct"/>
            <w:hideMark/>
          </w:tcPr>
          <w:p w14:paraId="1CF576A9" w14:textId="07CFA445"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1.6</w:t>
            </w:r>
          </w:p>
        </w:tc>
        <w:tc>
          <w:tcPr>
            <w:tcW w:w="2074" w:type="pct"/>
            <w:hideMark/>
          </w:tcPr>
          <w:p w14:paraId="0FD5F61B"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The purposes of the entity as included in the entity’s corporate plan for the reporting period</w:t>
            </w:r>
          </w:p>
        </w:tc>
        <w:tc>
          <w:tcPr>
            <w:tcW w:w="936" w:type="pct"/>
            <w:hideMark/>
          </w:tcPr>
          <w:p w14:paraId="1E4F32F1"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3EB22103"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4E85FA97"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17BE(c)</w:t>
            </w:r>
          </w:p>
        </w:tc>
        <w:tc>
          <w:tcPr>
            <w:tcW w:w="995" w:type="pct"/>
            <w:hideMark/>
          </w:tcPr>
          <w:p w14:paraId="04EB60A1" w14:textId="43DDAFDA"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5.</w:t>
            </w:r>
            <w:r w:rsidR="00092572" w:rsidRPr="007C747A">
              <w:rPr>
                <w:rFonts w:eastAsia="DengXian" w:cs="Arial"/>
                <w:sz w:val="20"/>
                <w:szCs w:val="20"/>
                <w:lang w:val="en-AU"/>
              </w:rPr>
              <w:t>1.1</w:t>
            </w:r>
          </w:p>
        </w:tc>
        <w:tc>
          <w:tcPr>
            <w:tcW w:w="2074" w:type="pct"/>
            <w:hideMark/>
          </w:tcPr>
          <w:p w14:paraId="54E6B7EF"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The names of the persons holding the position of responsible Minister or responsible Ministers during the reporting period, and the titles of those responsible Ministers</w:t>
            </w:r>
          </w:p>
        </w:tc>
        <w:tc>
          <w:tcPr>
            <w:tcW w:w="936" w:type="pct"/>
            <w:hideMark/>
          </w:tcPr>
          <w:p w14:paraId="322B358D"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1724F698"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52A9522C"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17BE(d)</w:t>
            </w:r>
          </w:p>
        </w:tc>
        <w:tc>
          <w:tcPr>
            <w:tcW w:w="995" w:type="pct"/>
            <w:hideMark/>
          </w:tcPr>
          <w:p w14:paraId="44C232E8" w14:textId="2AB00E4C"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.9</w:t>
            </w:r>
          </w:p>
        </w:tc>
        <w:tc>
          <w:tcPr>
            <w:tcW w:w="2074" w:type="pct"/>
            <w:hideMark/>
          </w:tcPr>
          <w:p w14:paraId="6927CEB6"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Directions given to the entity by the Minister under an Act or instrument during the reporting period</w:t>
            </w:r>
          </w:p>
        </w:tc>
        <w:tc>
          <w:tcPr>
            <w:tcW w:w="936" w:type="pct"/>
            <w:hideMark/>
          </w:tcPr>
          <w:p w14:paraId="3732138E"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16E3C2A6"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0014EE0E"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17BE(e)</w:t>
            </w:r>
          </w:p>
        </w:tc>
        <w:tc>
          <w:tcPr>
            <w:tcW w:w="995" w:type="pct"/>
            <w:hideMark/>
          </w:tcPr>
          <w:p w14:paraId="3DFD317A" w14:textId="3F2133C1"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.9</w:t>
            </w:r>
          </w:p>
        </w:tc>
        <w:tc>
          <w:tcPr>
            <w:tcW w:w="2074" w:type="pct"/>
            <w:hideMark/>
          </w:tcPr>
          <w:p w14:paraId="355FFD79"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Any government policy order that applied in relation to the entity during the reporting period under section 22 of the Act</w:t>
            </w:r>
          </w:p>
        </w:tc>
        <w:tc>
          <w:tcPr>
            <w:tcW w:w="936" w:type="pct"/>
            <w:hideMark/>
          </w:tcPr>
          <w:p w14:paraId="3E8BDE81"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6A0F35A2"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3AAF0E3B"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17BE(f)</w:t>
            </w:r>
          </w:p>
        </w:tc>
        <w:tc>
          <w:tcPr>
            <w:tcW w:w="995" w:type="pct"/>
            <w:hideMark/>
          </w:tcPr>
          <w:p w14:paraId="68C1C28D" w14:textId="77CB4B27"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.9</w:t>
            </w:r>
          </w:p>
        </w:tc>
        <w:tc>
          <w:tcPr>
            <w:tcW w:w="2074" w:type="pct"/>
            <w:hideMark/>
          </w:tcPr>
          <w:p w14:paraId="6C51823F"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Particulars of noncompliance with:</w:t>
            </w:r>
          </w:p>
          <w:p w14:paraId="0DFEA1BA"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 a direction given to the entity by the Minister under an Act or instrument during the reporting period, or</w:t>
            </w:r>
          </w:p>
          <w:p w14:paraId="7C8F1357"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(b) a government policy order that applied in relation to the entity during the reporting period under section 22 of the Act</w:t>
            </w:r>
          </w:p>
        </w:tc>
        <w:tc>
          <w:tcPr>
            <w:tcW w:w="936" w:type="pct"/>
            <w:hideMark/>
          </w:tcPr>
          <w:p w14:paraId="17E5E858"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211E70D2"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6489747F"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17BE(g)</w:t>
            </w:r>
          </w:p>
        </w:tc>
        <w:tc>
          <w:tcPr>
            <w:tcW w:w="995" w:type="pct"/>
            <w:hideMark/>
          </w:tcPr>
          <w:p w14:paraId="08471484" w14:textId="4D0F016A"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2.1</w:t>
            </w:r>
          </w:p>
        </w:tc>
        <w:tc>
          <w:tcPr>
            <w:tcW w:w="2074" w:type="pct"/>
            <w:hideMark/>
          </w:tcPr>
          <w:p w14:paraId="29EAC068"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Annual performance statements in accordance with paragraph 39(1)(b) of the Act and section 16F of the rule</w:t>
            </w:r>
          </w:p>
        </w:tc>
        <w:tc>
          <w:tcPr>
            <w:tcW w:w="936" w:type="pct"/>
            <w:hideMark/>
          </w:tcPr>
          <w:p w14:paraId="2DE40EF4"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60109B6E"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27DAFB63"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17BE(h), 17BE(i)</w:t>
            </w:r>
          </w:p>
        </w:tc>
        <w:tc>
          <w:tcPr>
            <w:tcW w:w="995" w:type="pct"/>
            <w:hideMark/>
          </w:tcPr>
          <w:p w14:paraId="16EAC94D" w14:textId="53B62F3A"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.9</w:t>
            </w:r>
          </w:p>
        </w:tc>
        <w:tc>
          <w:tcPr>
            <w:tcW w:w="2074" w:type="pct"/>
            <w:hideMark/>
          </w:tcPr>
          <w:p w14:paraId="48395BA0"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 statement of significant issues reported to the Minister under paragraph 19(1)(e) of the Act that relates to noncompliance with finance law and action taken to remedy noncompliance</w:t>
            </w:r>
          </w:p>
        </w:tc>
        <w:tc>
          <w:tcPr>
            <w:tcW w:w="936" w:type="pct"/>
            <w:hideMark/>
          </w:tcPr>
          <w:p w14:paraId="5B7CDBFF"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097D7DE5"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7827A3F9"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17BE(j)</w:t>
            </w:r>
          </w:p>
        </w:tc>
        <w:tc>
          <w:tcPr>
            <w:tcW w:w="995" w:type="pct"/>
            <w:hideMark/>
          </w:tcPr>
          <w:p w14:paraId="23CA7F92" w14:textId="0F3E973E"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5</w:t>
            </w:r>
            <w:r w:rsidR="00092572" w:rsidRPr="007C747A">
              <w:rPr>
                <w:rFonts w:eastAsia="DengXian" w:cs="Arial"/>
                <w:sz w:val="20"/>
                <w:szCs w:val="20"/>
                <w:lang w:val="en-AU"/>
              </w:rPr>
              <w:t>.2</w:t>
            </w:r>
          </w:p>
        </w:tc>
        <w:tc>
          <w:tcPr>
            <w:tcW w:w="2074" w:type="pct"/>
            <w:hideMark/>
          </w:tcPr>
          <w:p w14:paraId="2A8CBE1C"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Information on the accountable authority, or each member of the accountable authority, of the entity during the reporting period</w:t>
            </w:r>
          </w:p>
        </w:tc>
        <w:tc>
          <w:tcPr>
            <w:tcW w:w="936" w:type="pct"/>
            <w:hideMark/>
          </w:tcPr>
          <w:p w14:paraId="7466093E"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7E213FD5"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2E538319"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17BE(k)</w:t>
            </w:r>
          </w:p>
        </w:tc>
        <w:tc>
          <w:tcPr>
            <w:tcW w:w="995" w:type="pct"/>
            <w:hideMark/>
          </w:tcPr>
          <w:p w14:paraId="54D925CE" w14:textId="255B3DDF"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5.4.1</w:t>
            </w:r>
          </w:p>
        </w:tc>
        <w:tc>
          <w:tcPr>
            <w:tcW w:w="2074" w:type="pct"/>
            <w:hideMark/>
          </w:tcPr>
          <w:p w14:paraId="298C33DE"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Outline of the organisational structure of the entity (including any subsidiaries of the entity)</w:t>
            </w:r>
          </w:p>
        </w:tc>
        <w:tc>
          <w:tcPr>
            <w:tcW w:w="936" w:type="pct"/>
            <w:hideMark/>
          </w:tcPr>
          <w:p w14:paraId="02AE91EF"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38B5F730"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5C9ACF8E"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17BE(ka)</w:t>
            </w:r>
          </w:p>
        </w:tc>
        <w:tc>
          <w:tcPr>
            <w:tcW w:w="995" w:type="pct"/>
            <w:hideMark/>
          </w:tcPr>
          <w:p w14:paraId="3A197133" w14:textId="6F3CF0D3"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.4</w:t>
            </w:r>
          </w:p>
        </w:tc>
        <w:tc>
          <w:tcPr>
            <w:tcW w:w="2074" w:type="pct"/>
            <w:hideMark/>
          </w:tcPr>
          <w:p w14:paraId="7D18799B"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Statistics on the entity’s employees on an ongoing and non</w:t>
            </w:r>
            <w:r w:rsidRPr="007C747A">
              <w:rPr>
                <w:rFonts w:eastAsia="DengXian" w:cs="Arial"/>
                <w:sz w:val="20"/>
                <w:szCs w:val="20"/>
                <w:lang w:val="en-AU"/>
              </w:rPr>
              <w:noBreakHyphen/>
              <w:t>ongoing basis, including the following:</w:t>
            </w:r>
          </w:p>
          <w:p w14:paraId="2EFE2579"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 statistics on full time employees</w:t>
            </w:r>
          </w:p>
          <w:p w14:paraId="66F057AA"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(b) statistics on part time employees</w:t>
            </w:r>
          </w:p>
          <w:p w14:paraId="2D600441"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(c) statistics on gender</w:t>
            </w:r>
          </w:p>
          <w:p w14:paraId="578FEFE1"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 statistics on staff location</w:t>
            </w:r>
          </w:p>
        </w:tc>
        <w:tc>
          <w:tcPr>
            <w:tcW w:w="936" w:type="pct"/>
            <w:hideMark/>
          </w:tcPr>
          <w:p w14:paraId="47F26267"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63C15638"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37D8CA40"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17BE(l)</w:t>
            </w:r>
          </w:p>
        </w:tc>
        <w:tc>
          <w:tcPr>
            <w:tcW w:w="995" w:type="pct"/>
            <w:hideMark/>
          </w:tcPr>
          <w:p w14:paraId="12D3BC9D" w14:textId="7DCA0F49"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6.9</w:t>
            </w:r>
          </w:p>
        </w:tc>
        <w:tc>
          <w:tcPr>
            <w:tcW w:w="2074" w:type="pct"/>
            <w:hideMark/>
          </w:tcPr>
          <w:p w14:paraId="5FF791D3"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Outline of the location (whether or not in Australia) of major activities or facilities of the entity</w:t>
            </w:r>
          </w:p>
        </w:tc>
        <w:tc>
          <w:tcPr>
            <w:tcW w:w="936" w:type="pct"/>
            <w:hideMark/>
          </w:tcPr>
          <w:p w14:paraId="37A22DBC"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1E7FA28B"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0B1582C8"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17BE(m)</w:t>
            </w:r>
          </w:p>
        </w:tc>
        <w:tc>
          <w:tcPr>
            <w:tcW w:w="995" w:type="pct"/>
            <w:hideMark/>
          </w:tcPr>
          <w:p w14:paraId="5346DD5D" w14:textId="0AC1E345"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5.1, 5.2.3, 5.6</w:t>
            </w:r>
          </w:p>
        </w:tc>
        <w:tc>
          <w:tcPr>
            <w:tcW w:w="2074" w:type="pct"/>
            <w:hideMark/>
          </w:tcPr>
          <w:p w14:paraId="60A72727"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Information relating to the main corporate governance practices used by the entity during the reporting period</w:t>
            </w:r>
          </w:p>
        </w:tc>
        <w:tc>
          <w:tcPr>
            <w:tcW w:w="936" w:type="pct"/>
            <w:hideMark/>
          </w:tcPr>
          <w:p w14:paraId="0795F25E"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092572" w:rsidRPr="007C747A" w14:paraId="58E24710"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218B7049"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17BE(n), 17BE(o)</w:t>
            </w:r>
          </w:p>
        </w:tc>
        <w:tc>
          <w:tcPr>
            <w:tcW w:w="995" w:type="pct"/>
            <w:hideMark/>
          </w:tcPr>
          <w:p w14:paraId="7D5F666D" w14:textId="0FEFBD8D"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3.2</w:t>
            </w:r>
          </w:p>
        </w:tc>
        <w:tc>
          <w:tcPr>
            <w:tcW w:w="2074" w:type="pct"/>
            <w:hideMark/>
          </w:tcPr>
          <w:p w14:paraId="4FE94F7E"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For transactions with a related Commonwealth entity or related company where the value of the transaction, or if there is more than one transaction, the aggregate of those transactions, is more than $10,000 (inclusive of GST):</w:t>
            </w:r>
          </w:p>
          <w:p w14:paraId="449B8431"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 the decision</w:t>
            </w:r>
            <w:r w:rsidRPr="007C747A">
              <w:rPr>
                <w:rFonts w:eastAsia="DengXian" w:cs="Arial"/>
                <w:sz w:val="20"/>
                <w:szCs w:val="20"/>
                <w:lang w:val="en-AU"/>
              </w:rPr>
              <w:noBreakHyphen/>
              <w:t>making process undertaken by the accountable authority to approve the entity paying for a good or service from, or providing a grant to, the related Commonwealth entity or related company, and</w:t>
            </w:r>
          </w:p>
          <w:p w14:paraId="1D2B2977"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(b) the value of the transaction, or if there is more than one transaction, the number of transactions and the aggregate of value of the transactions</w:t>
            </w:r>
          </w:p>
        </w:tc>
        <w:tc>
          <w:tcPr>
            <w:tcW w:w="936" w:type="pct"/>
            <w:hideMark/>
          </w:tcPr>
          <w:p w14:paraId="1BE26FA8"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75C426B7"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7BCD1224"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17BE(p)</w:t>
            </w:r>
          </w:p>
        </w:tc>
        <w:tc>
          <w:tcPr>
            <w:tcW w:w="995" w:type="pct"/>
            <w:hideMark/>
          </w:tcPr>
          <w:p w14:paraId="053DED69" w14:textId="08241E8B"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5.2.4, 5.4.1</w:t>
            </w:r>
          </w:p>
        </w:tc>
        <w:tc>
          <w:tcPr>
            <w:tcW w:w="2074" w:type="pct"/>
            <w:hideMark/>
          </w:tcPr>
          <w:p w14:paraId="33C99236"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Any significant activities and changes that affected the operation or structure of the entity during the reporting period</w:t>
            </w:r>
          </w:p>
        </w:tc>
        <w:tc>
          <w:tcPr>
            <w:tcW w:w="936" w:type="pct"/>
            <w:hideMark/>
          </w:tcPr>
          <w:p w14:paraId="56FAFCE1"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1AB125CB"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010E38AA"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17BE(q)</w:t>
            </w:r>
          </w:p>
        </w:tc>
        <w:tc>
          <w:tcPr>
            <w:tcW w:w="995" w:type="pct"/>
            <w:hideMark/>
          </w:tcPr>
          <w:p w14:paraId="19A080BE" w14:textId="61D77086"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.8</w:t>
            </w:r>
          </w:p>
        </w:tc>
        <w:tc>
          <w:tcPr>
            <w:tcW w:w="2074" w:type="pct"/>
            <w:hideMark/>
          </w:tcPr>
          <w:p w14:paraId="3D77A83B"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Particulars of judicial decisions or decisions of administrative tribunals that may have a significant effect on the operations of the entity</w:t>
            </w:r>
          </w:p>
        </w:tc>
        <w:tc>
          <w:tcPr>
            <w:tcW w:w="936" w:type="pct"/>
            <w:hideMark/>
          </w:tcPr>
          <w:p w14:paraId="327DAF0C"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5A6EE7F6"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1903ACB3"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17BE(r)</w:t>
            </w:r>
          </w:p>
        </w:tc>
        <w:tc>
          <w:tcPr>
            <w:tcW w:w="995" w:type="pct"/>
            <w:hideMark/>
          </w:tcPr>
          <w:p w14:paraId="3D04FB3C" w14:textId="5B326D86"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 xml:space="preserve">.7, </w:t>
            </w:r>
            <w:r>
              <w:rPr>
                <w:rFonts w:eastAsia="DengXian" w:cs="Arial"/>
                <w:sz w:val="20"/>
                <w:szCs w:val="20"/>
                <w:lang w:val="en-AU"/>
              </w:rPr>
              <w:t>6</w:t>
            </w:r>
            <w:r w:rsidR="00092572" w:rsidRPr="007C747A">
              <w:rPr>
                <w:rFonts w:eastAsia="DengXian" w:cs="Arial"/>
                <w:sz w:val="20"/>
                <w:szCs w:val="20"/>
                <w:lang w:val="en-AU"/>
              </w:rPr>
              <w:t xml:space="preserve">.8, </w:t>
            </w:r>
            <w:r>
              <w:rPr>
                <w:rFonts w:eastAsia="DengXian" w:cs="Arial"/>
                <w:sz w:val="20"/>
                <w:szCs w:val="20"/>
                <w:lang w:val="en-AU"/>
              </w:rPr>
              <w:t>6</w:t>
            </w:r>
            <w:r w:rsidR="00092572" w:rsidRPr="007C747A">
              <w:rPr>
                <w:rFonts w:eastAsia="DengXian" w:cs="Arial"/>
                <w:sz w:val="20"/>
                <w:szCs w:val="20"/>
                <w:lang w:val="en-AU"/>
              </w:rPr>
              <w:t>.13</w:t>
            </w:r>
          </w:p>
        </w:tc>
        <w:tc>
          <w:tcPr>
            <w:tcW w:w="2074" w:type="pct"/>
            <w:hideMark/>
          </w:tcPr>
          <w:p w14:paraId="03270D15"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Particulars of any reports on the entity given by:</w:t>
            </w:r>
          </w:p>
          <w:p w14:paraId="0C2DA1C5"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 the Auditor</w:t>
            </w:r>
            <w:r w:rsidRPr="007C747A">
              <w:rPr>
                <w:rFonts w:eastAsia="DengXian" w:cs="Arial"/>
                <w:sz w:val="20"/>
                <w:szCs w:val="20"/>
                <w:lang w:val="en-AU"/>
              </w:rPr>
              <w:noBreakHyphen/>
              <w:t>General (other than a report under section 43 of the Act), or</w:t>
            </w:r>
          </w:p>
          <w:p w14:paraId="4DA3AC74"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(b) a Parliamentary Committee, or</w:t>
            </w:r>
          </w:p>
          <w:p w14:paraId="1B1BBD38"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(c) the Commonwealth Ombudsman, or</w:t>
            </w:r>
          </w:p>
          <w:p w14:paraId="1236C4CB"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 the Office of the Australian Information Commissioner</w:t>
            </w:r>
          </w:p>
        </w:tc>
        <w:tc>
          <w:tcPr>
            <w:tcW w:w="936" w:type="pct"/>
            <w:hideMark/>
          </w:tcPr>
          <w:p w14:paraId="5A28631B"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532D998E"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6BC5AA72"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17BE(s)</w:t>
            </w:r>
          </w:p>
        </w:tc>
        <w:tc>
          <w:tcPr>
            <w:tcW w:w="995" w:type="pct"/>
            <w:hideMark/>
          </w:tcPr>
          <w:p w14:paraId="1928CEB4" w14:textId="055E5E3F" w:rsidR="00092572" w:rsidRPr="007C747A" w:rsidRDefault="00A82720"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.9</w:t>
            </w:r>
          </w:p>
        </w:tc>
        <w:tc>
          <w:tcPr>
            <w:tcW w:w="2074" w:type="pct"/>
            <w:hideMark/>
          </w:tcPr>
          <w:p w14:paraId="4D8E8976"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An explanation of information not obtained from a subsidiary of the entity and the effect of not having the information on the annual report</w:t>
            </w:r>
          </w:p>
        </w:tc>
        <w:tc>
          <w:tcPr>
            <w:tcW w:w="936" w:type="pct"/>
            <w:hideMark/>
          </w:tcPr>
          <w:p w14:paraId="703C44F0" w14:textId="77777777" w:rsidR="00092572" w:rsidRPr="007C747A" w:rsidRDefault="00092572"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092572" w:rsidRPr="007C747A" w14:paraId="0207B45F"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1768CBDB"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17BE(t)</w:t>
            </w:r>
          </w:p>
        </w:tc>
        <w:tc>
          <w:tcPr>
            <w:tcW w:w="995" w:type="pct"/>
            <w:hideMark/>
          </w:tcPr>
          <w:p w14:paraId="2A616049" w14:textId="126C8AF5"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9</w:t>
            </w:r>
          </w:p>
        </w:tc>
        <w:tc>
          <w:tcPr>
            <w:tcW w:w="2074" w:type="pct"/>
            <w:hideMark/>
          </w:tcPr>
          <w:p w14:paraId="74B78E2F"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Details of any indemnity that applied during the reporting period to the accountable authority, any member of the accountable authority or officer of the entity against a liability (including premiums paid, or agreed to be paid, for insurance against the authority, member or officer’s liability for legal costs)</w:t>
            </w:r>
          </w:p>
        </w:tc>
        <w:tc>
          <w:tcPr>
            <w:tcW w:w="936" w:type="pct"/>
            <w:hideMark/>
          </w:tcPr>
          <w:p w14:paraId="40D68DB8"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If applicable, mandatory</w:t>
            </w:r>
          </w:p>
        </w:tc>
      </w:tr>
      <w:tr w:rsidR="00A82720" w:rsidRPr="007C747A" w14:paraId="61A06FEA" w14:textId="77777777" w:rsidTr="0065324C">
        <w:trPr>
          <w:trHeight w:val="50"/>
          <w:jc w:val="center"/>
        </w:trPr>
        <w:tc>
          <w:tcPr>
            <w:cnfStyle w:val="001000000000" w:firstRow="0" w:lastRow="0" w:firstColumn="1" w:lastColumn="0" w:oddVBand="0" w:evenVBand="0" w:oddHBand="0" w:evenHBand="0" w:firstRowFirstColumn="0" w:firstRowLastColumn="0" w:lastRowFirstColumn="0" w:lastRowLastColumn="0"/>
            <w:tcW w:w="995" w:type="pct"/>
          </w:tcPr>
          <w:p w14:paraId="6E234CF7" w14:textId="68F64F7B" w:rsidR="00A82720" w:rsidRPr="007C747A" w:rsidRDefault="00A82720" w:rsidP="00092572">
            <w:pPr>
              <w:spacing w:before="120" w:after="120" w:line="240" w:lineRule="auto"/>
              <w:rPr>
                <w:rFonts w:eastAsia="DengXian" w:cs="Arial"/>
                <w:sz w:val="20"/>
                <w:szCs w:val="20"/>
                <w:lang w:val="en-AU"/>
              </w:rPr>
            </w:pPr>
            <w:r>
              <w:rPr>
                <w:rFonts w:eastAsia="DengXian" w:cs="Arial"/>
                <w:sz w:val="20"/>
                <w:szCs w:val="20"/>
                <w:lang w:val="en-AU"/>
              </w:rPr>
              <w:t>17BE(taa)</w:t>
            </w:r>
          </w:p>
        </w:tc>
        <w:tc>
          <w:tcPr>
            <w:tcW w:w="995" w:type="pct"/>
          </w:tcPr>
          <w:p w14:paraId="5B4C9178" w14:textId="7B47771A" w:rsidR="00A82720" w:rsidRPr="001C61D0" w:rsidRDefault="002643D1" w:rsidP="007C5AF0">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1C61D0">
              <w:rPr>
                <w:sz w:val="20"/>
                <w:szCs w:val="20"/>
              </w:rPr>
              <w:t>5.2.3A, 6.2, 6.6.1A</w:t>
            </w:r>
          </w:p>
        </w:tc>
        <w:tc>
          <w:tcPr>
            <w:tcW w:w="2074" w:type="pct"/>
          </w:tcPr>
          <w:p w14:paraId="23759E9C" w14:textId="78A28439" w:rsidR="00A82720" w:rsidRPr="002643D1" w:rsidRDefault="002643D1"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2643D1">
              <w:rPr>
                <w:rFonts w:eastAsia="DengXian" w:cs="Arial"/>
                <w:sz w:val="20"/>
                <w:szCs w:val="20"/>
                <w:lang w:val="en-AU"/>
              </w:rPr>
              <w:t>The following information about the audit committee for the entity:</w:t>
            </w:r>
            <w:r w:rsidRPr="002643D1">
              <w:rPr>
                <w:rFonts w:eastAsia="DengXian" w:cs="Arial"/>
                <w:sz w:val="20"/>
                <w:szCs w:val="20"/>
                <w:lang w:val="en-AU"/>
              </w:rPr>
              <w:br/>
            </w:r>
            <w:r w:rsidRPr="002643D1">
              <w:rPr>
                <w:sz w:val="20"/>
                <w:szCs w:val="20"/>
              </w:rPr>
              <w:t>(a) a direct electronic address of the charter determining the functions of the audit committee;</w:t>
            </w:r>
            <w:r w:rsidRPr="002643D1">
              <w:rPr>
                <w:sz w:val="20"/>
                <w:szCs w:val="20"/>
              </w:rPr>
              <w:br/>
              <w:t>b) the name of each member of the audit committee;</w:t>
            </w:r>
            <w:r w:rsidRPr="002643D1">
              <w:rPr>
                <w:sz w:val="20"/>
                <w:szCs w:val="20"/>
              </w:rPr>
              <w:br/>
              <w:t>(c) the qualifications, knowledge, skills or experience of each member of the audit committee;</w:t>
            </w:r>
            <w:r w:rsidRPr="002643D1">
              <w:rPr>
                <w:sz w:val="20"/>
                <w:szCs w:val="20"/>
              </w:rPr>
              <w:br/>
              <w:t>(d) information about each member’s attendance at meetings of the audit committee;</w:t>
            </w:r>
            <w:r w:rsidRPr="002643D1">
              <w:rPr>
                <w:sz w:val="20"/>
                <w:szCs w:val="20"/>
              </w:rPr>
              <w:br/>
              <w:t>(e) the remuneration of each member of the audit committee</w:t>
            </w:r>
          </w:p>
        </w:tc>
        <w:tc>
          <w:tcPr>
            <w:tcW w:w="936" w:type="pct"/>
          </w:tcPr>
          <w:p w14:paraId="72527D5E" w14:textId="77777777" w:rsidR="00A82720" w:rsidRPr="007C747A" w:rsidRDefault="00A82720" w:rsidP="0009257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p>
        </w:tc>
      </w:tr>
      <w:tr w:rsidR="00092572" w:rsidRPr="007C747A" w14:paraId="14CB121E" w14:textId="77777777" w:rsidTr="0065324C">
        <w:trPr>
          <w:cnfStyle w:val="000000100000" w:firstRow="0" w:lastRow="0" w:firstColumn="0" w:lastColumn="0" w:oddVBand="0" w:evenVBand="0" w:oddHBand="1" w:evenHBand="0" w:firstRowFirstColumn="0" w:firstRowLastColumn="0" w:lastRowFirstColumn="0" w:lastRowLastColumn="0"/>
          <w:trHeight w:val="50"/>
          <w:jc w:val="center"/>
        </w:trPr>
        <w:tc>
          <w:tcPr>
            <w:cnfStyle w:val="001000000000" w:firstRow="0" w:lastRow="0" w:firstColumn="1" w:lastColumn="0" w:oddVBand="0" w:evenVBand="0" w:oddHBand="0" w:evenHBand="0" w:firstRowFirstColumn="0" w:firstRowLastColumn="0" w:lastRowFirstColumn="0" w:lastRowLastColumn="0"/>
            <w:tcW w:w="995" w:type="pct"/>
            <w:hideMark/>
          </w:tcPr>
          <w:p w14:paraId="7C9F62E5" w14:textId="77777777" w:rsidR="00092572" w:rsidRPr="007C747A" w:rsidRDefault="00092572" w:rsidP="00092572">
            <w:pPr>
              <w:spacing w:before="120" w:after="120" w:line="240" w:lineRule="auto"/>
              <w:rPr>
                <w:rFonts w:eastAsia="DengXian" w:cs="Arial"/>
                <w:sz w:val="20"/>
                <w:szCs w:val="20"/>
                <w:lang w:val="en-AU"/>
              </w:rPr>
            </w:pPr>
            <w:r w:rsidRPr="007C747A">
              <w:rPr>
                <w:rFonts w:eastAsia="DengXian" w:cs="Arial"/>
                <w:sz w:val="20"/>
                <w:szCs w:val="20"/>
                <w:lang w:val="en-AU"/>
              </w:rPr>
              <w:t>17BE(ta)</w:t>
            </w:r>
          </w:p>
        </w:tc>
        <w:tc>
          <w:tcPr>
            <w:tcW w:w="995" w:type="pct"/>
            <w:hideMark/>
          </w:tcPr>
          <w:p w14:paraId="09A1E8DA" w14:textId="43E73BF5" w:rsidR="00092572" w:rsidRPr="007C747A" w:rsidRDefault="00A82720" w:rsidP="007C5AF0">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Pr>
                <w:rFonts w:eastAsia="DengXian" w:cs="Arial"/>
                <w:sz w:val="20"/>
                <w:szCs w:val="20"/>
                <w:lang w:val="en-AU"/>
              </w:rPr>
              <w:t>6</w:t>
            </w:r>
            <w:r w:rsidR="00092572" w:rsidRPr="007C747A">
              <w:rPr>
                <w:rFonts w:eastAsia="DengXian" w:cs="Arial"/>
                <w:sz w:val="20"/>
                <w:szCs w:val="20"/>
                <w:lang w:val="en-AU"/>
              </w:rPr>
              <w:t>.6</w:t>
            </w:r>
          </w:p>
        </w:tc>
        <w:tc>
          <w:tcPr>
            <w:tcW w:w="2074" w:type="pct"/>
            <w:hideMark/>
          </w:tcPr>
          <w:p w14:paraId="236EAEC4"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Information about executive remuneration</w:t>
            </w:r>
          </w:p>
        </w:tc>
        <w:tc>
          <w:tcPr>
            <w:tcW w:w="936" w:type="pct"/>
            <w:hideMark/>
          </w:tcPr>
          <w:p w14:paraId="68335830" w14:textId="77777777" w:rsidR="00092572" w:rsidRPr="007C747A" w:rsidRDefault="00092572" w:rsidP="00092572">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bl>
    <w:p w14:paraId="7FC3FF88" w14:textId="7CB8CEC0" w:rsidR="00207E1C" w:rsidRPr="007C747A" w:rsidRDefault="00207E1C" w:rsidP="00846089">
      <w:pPr>
        <w:pStyle w:val="Heading3"/>
        <w:rPr>
          <w:lang w:val="en-AU"/>
        </w:rPr>
      </w:pPr>
      <w:bookmarkStart w:id="944" w:name="_Toc142039687"/>
      <w:bookmarkStart w:id="945" w:name="_Toc142047798"/>
      <w:bookmarkStart w:id="946" w:name="_Toc142478465"/>
      <w:bookmarkStart w:id="947" w:name="_Toc142573794"/>
      <w:bookmarkEnd w:id="943"/>
      <w:r w:rsidRPr="007C747A">
        <w:rPr>
          <w:lang w:val="en-AU"/>
        </w:rPr>
        <w:t>The NDIS Act</w:t>
      </w:r>
      <w:bookmarkEnd w:id="944"/>
      <w:bookmarkEnd w:id="945"/>
      <w:bookmarkEnd w:id="946"/>
      <w:bookmarkEnd w:id="947"/>
    </w:p>
    <w:tbl>
      <w:tblPr>
        <w:tblStyle w:val="GridTable2-Accent312"/>
        <w:tblW w:w="4685" w:type="pct"/>
        <w:tblInd w:w="567" w:type="dxa"/>
        <w:tblLayout w:type="fixed"/>
        <w:tblLook w:val="04A0" w:firstRow="1"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1789"/>
        <w:gridCol w:w="1790"/>
        <w:gridCol w:w="3733"/>
        <w:gridCol w:w="1592"/>
      </w:tblGrid>
      <w:tr w:rsidR="00BD0FD8" w:rsidRPr="007C747A" w14:paraId="341BD62C" w14:textId="77777777" w:rsidTr="0065324C">
        <w:trPr>
          <w:cnfStyle w:val="100000000000" w:firstRow="1" w:lastRow="0" w:firstColumn="0" w:lastColumn="0" w:oddVBand="0" w:evenVBand="0" w:oddHBand="0" w:evenHBand="0" w:firstRowFirstColumn="0" w:firstRowLastColumn="0" w:lastRowFirstColumn="0" w:lastRowLastColumn="0"/>
          <w:trHeight w:val="1365"/>
          <w:tblHeader/>
        </w:trPr>
        <w:tc>
          <w:tcPr>
            <w:cnfStyle w:val="001000000000" w:firstRow="0" w:lastRow="0" w:firstColumn="1" w:lastColumn="0" w:oddVBand="0" w:evenVBand="0" w:oddHBand="0" w:evenHBand="0" w:firstRowFirstColumn="0" w:firstRowLastColumn="0" w:lastRowFirstColumn="0" w:lastRowLastColumn="0"/>
            <w:tcW w:w="1005" w:type="pct"/>
            <w:hideMark/>
          </w:tcPr>
          <w:p w14:paraId="071A22F8"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 xml:space="preserve">NDIS Act </w:t>
            </w:r>
            <w:r w:rsidRPr="007C747A">
              <w:rPr>
                <w:rFonts w:eastAsia="DengXian" w:cs="Arial"/>
                <w:sz w:val="20"/>
                <w:szCs w:val="20"/>
                <w:lang w:val="en-AU"/>
              </w:rPr>
              <w:br/>
              <w:t>Chapter 6,</w:t>
            </w:r>
            <w:r w:rsidRPr="007C747A">
              <w:rPr>
                <w:rFonts w:eastAsia="DengXian" w:cs="Arial"/>
                <w:sz w:val="20"/>
                <w:szCs w:val="20"/>
                <w:lang w:val="en-AU"/>
              </w:rPr>
              <w:br/>
              <w:t>Part 5, subsection 172</w:t>
            </w:r>
          </w:p>
        </w:tc>
        <w:tc>
          <w:tcPr>
            <w:tcW w:w="1005" w:type="pct"/>
          </w:tcPr>
          <w:p w14:paraId="10BC4B0E" w14:textId="77777777" w:rsidR="00BD0FD8" w:rsidRPr="007C747A" w:rsidRDefault="00BD0FD8" w:rsidP="00BE1D6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Part of report</w:t>
            </w:r>
          </w:p>
        </w:tc>
        <w:tc>
          <w:tcPr>
            <w:tcW w:w="2096" w:type="pct"/>
          </w:tcPr>
          <w:p w14:paraId="22980C17" w14:textId="77777777" w:rsidR="00BD0FD8" w:rsidRPr="007C747A" w:rsidRDefault="00BD0FD8" w:rsidP="00BE1D6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Description</w:t>
            </w:r>
          </w:p>
        </w:tc>
        <w:tc>
          <w:tcPr>
            <w:tcW w:w="894" w:type="pct"/>
          </w:tcPr>
          <w:p w14:paraId="3E148414" w14:textId="77777777" w:rsidR="00BD0FD8" w:rsidRPr="007C747A" w:rsidRDefault="00BD0FD8" w:rsidP="00BE1D6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Requirement</w:t>
            </w:r>
          </w:p>
        </w:tc>
      </w:tr>
      <w:tr w:rsidR="00BD0FD8" w:rsidRPr="007C747A" w14:paraId="016B2AA1" w14:textId="77777777" w:rsidTr="00BE1D61">
        <w:trPr>
          <w:cnfStyle w:val="000000100000" w:firstRow="0" w:lastRow="0" w:firstColumn="0" w:lastColumn="0" w:oddVBand="0" w:evenVBand="0" w:oddHBand="1" w:evenHBand="0" w:firstRowFirstColumn="0" w:firstRowLastColumn="0" w:lastRowFirstColumn="0" w:lastRowLastColumn="0"/>
          <w:trHeight w:val="814"/>
        </w:trPr>
        <w:tc>
          <w:tcPr>
            <w:cnfStyle w:val="001000000000" w:firstRow="0" w:lastRow="0" w:firstColumn="1" w:lastColumn="0" w:oddVBand="0" w:evenVBand="0" w:oddHBand="0" w:evenHBand="0" w:firstRowFirstColumn="0" w:firstRowLastColumn="0" w:lastRowFirstColumn="0" w:lastRowLastColumn="0"/>
            <w:tcW w:w="1005" w:type="pct"/>
          </w:tcPr>
          <w:p w14:paraId="2AF426D5"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(2)(a)</w:t>
            </w:r>
          </w:p>
        </w:tc>
        <w:tc>
          <w:tcPr>
            <w:tcW w:w="1005" w:type="pct"/>
          </w:tcPr>
          <w:p w14:paraId="738292D7" w14:textId="77777777" w:rsidR="00BD0FD8" w:rsidRPr="007C747A" w:rsidRDefault="00BD0FD8" w:rsidP="00BE1D61">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6.13</w:t>
            </w:r>
          </w:p>
        </w:tc>
        <w:tc>
          <w:tcPr>
            <w:tcW w:w="2096" w:type="pct"/>
          </w:tcPr>
          <w:p w14:paraId="73483DA9" w14:textId="77777777" w:rsidR="00BD0FD8" w:rsidRPr="007C747A" w:rsidRDefault="00BD0FD8"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Details of any directions given under section 121 in the period</w:t>
            </w:r>
          </w:p>
        </w:tc>
        <w:tc>
          <w:tcPr>
            <w:tcW w:w="894" w:type="pct"/>
          </w:tcPr>
          <w:p w14:paraId="35726A77" w14:textId="77777777" w:rsidR="00BD0FD8" w:rsidRPr="007C747A" w:rsidRDefault="00BD0FD8"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BD0FD8" w:rsidRPr="007C747A" w14:paraId="1EBBAA6F" w14:textId="77777777" w:rsidTr="00BE1D61">
        <w:trPr>
          <w:trHeight w:val="804"/>
        </w:trPr>
        <w:tc>
          <w:tcPr>
            <w:cnfStyle w:val="001000000000" w:firstRow="0" w:lastRow="0" w:firstColumn="1" w:lastColumn="0" w:oddVBand="0" w:evenVBand="0" w:oddHBand="0" w:evenHBand="0" w:firstRowFirstColumn="0" w:firstRowLastColumn="0" w:lastRowFirstColumn="0" w:lastRowLastColumn="0"/>
            <w:tcW w:w="1005" w:type="pct"/>
          </w:tcPr>
          <w:p w14:paraId="074F1C56"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(2)(b)</w:t>
            </w:r>
          </w:p>
        </w:tc>
        <w:tc>
          <w:tcPr>
            <w:tcW w:w="1005" w:type="pct"/>
          </w:tcPr>
          <w:p w14:paraId="00FECB6A" w14:textId="77777777" w:rsidR="00BD0FD8" w:rsidRPr="007C747A" w:rsidRDefault="00BD0FD8" w:rsidP="00BE1D6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6.13</w:t>
            </w:r>
          </w:p>
        </w:tc>
        <w:tc>
          <w:tcPr>
            <w:tcW w:w="2096" w:type="pct"/>
          </w:tcPr>
          <w:p w14:paraId="49CE5B04" w14:textId="77777777" w:rsidR="00BD0FD8" w:rsidRPr="007C747A" w:rsidRDefault="00BD0FD8"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Details of any statements given under section 125 in the period</w:t>
            </w:r>
          </w:p>
        </w:tc>
        <w:tc>
          <w:tcPr>
            <w:tcW w:w="894" w:type="pct"/>
          </w:tcPr>
          <w:p w14:paraId="0C867ED0" w14:textId="77777777" w:rsidR="00BD0FD8" w:rsidRPr="007C747A" w:rsidRDefault="00BD0FD8"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BD0FD8" w:rsidRPr="007C747A" w14:paraId="31D5E89A" w14:textId="77777777" w:rsidTr="00BE1D61">
        <w:trPr>
          <w:cnfStyle w:val="000000100000" w:firstRow="0" w:lastRow="0" w:firstColumn="0" w:lastColumn="0" w:oddVBand="0" w:evenVBand="0" w:oddHBand="1" w:evenHBand="0" w:firstRowFirstColumn="0" w:firstRowLastColumn="0" w:lastRowFirstColumn="0" w:lastRowLastColumn="0"/>
          <w:trHeight w:val="1925"/>
        </w:trPr>
        <w:tc>
          <w:tcPr>
            <w:cnfStyle w:val="001000000000" w:firstRow="0" w:lastRow="0" w:firstColumn="1" w:lastColumn="0" w:oddVBand="0" w:evenVBand="0" w:oddHBand="0" w:evenHBand="0" w:firstRowFirstColumn="0" w:firstRowLastColumn="0" w:lastRowFirstColumn="0" w:lastRowLastColumn="0"/>
            <w:tcW w:w="1005" w:type="pct"/>
          </w:tcPr>
          <w:p w14:paraId="208638FF"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(2)(c)</w:t>
            </w:r>
          </w:p>
        </w:tc>
        <w:tc>
          <w:tcPr>
            <w:tcW w:w="1005" w:type="pct"/>
          </w:tcPr>
          <w:p w14:paraId="58454BDA" w14:textId="77777777" w:rsidR="00BD0FD8" w:rsidRPr="007C747A" w:rsidRDefault="00BD0FD8" w:rsidP="00BE1D61">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4.1</w:t>
            </w:r>
          </w:p>
        </w:tc>
        <w:tc>
          <w:tcPr>
            <w:tcW w:w="2096" w:type="pct"/>
          </w:tcPr>
          <w:p w14:paraId="757BD364" w14:textId="77777777" w:rsidR="00BD0FD8" w:rsidRPr="007C747A" w:rsidRDefault="00BD0FD8"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Information (including statistics) and analysis that relates to either or both of the following in the period:</w:t>
            </w:r>
            <w:r w:rsidRPr="007C747A">
              <w:rPr>
                <w:rFonts w:eastAsia="DengXian" w:cs="Arial"/>
                <w:sz w:val="20"/>
                <w:szCs w:val="20"/>
                <w:lang w:val="en-AU"/>
              </w:rPr>
              <w:br/>
              <w:t xml:space="preserve"> (i) participants;</w:t>
            </w:r>
            <w:r w:rsidRPr="007C747A">
              <w:rPr>
                <w:rFonts w:eastAsia="DengXian" w:cs="Arial"/>
                <w:sz w:val="20"/>
                <w:szCs w:val="20"/>
                <w:lang w:val="en-AU"/>
              </w:rPr>
              <w:br/>
              <w:t xml:space="preserve"> (ii) funding or provision of supports by the Agency</w:t>
            </w:r>
          </w:p>
        </w:tc>
        <w:tc>
          <w:tcPr>
            <w:tcW w:w="894" w:type="pct"/>
          </w:tcPr>
          <w:p w14:paraId="2A69A46E" w14:textId="77777777" w:rsidR="00BD0FD8" w:rsidRPr="007C747A" w:rsidRDefault="00BD0FD8"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BD0FD8" w:rsidRPr="007C747A" w14:paraId="76530F0C" w14:textId="77777777" w:rsidTr="00BE1D61">
        <w:trPr>
          <w:trHeight w:val="1375"/>
        </w:trPr>
        <w:tc>
          <w:tcPr>
            <w:cnfStyle w:val="001000000000" w:firstRow="0" w:lastRow="0" w:firstColumn="1" w:lastColumn="0" w:oddVBand="0" w:evenVBand="0" w:oddHBand="0" w:evenHBand="0" w:firstRowFirstColumn="0" w:firstRowLastColumn="0" w:lastRowFirstColumn="0" w:lastRowLastColumn="0"/>
            <w:tcW w:w="1005" w:type="pct"/>
          </w:tcPr>
          <w:p w14:paraId="76493136"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(3)</w:t>
            </w:r>
          </w:p>
        </w:tc>
        <w:tc>
          <w:tcPr>
            <w:tcW w:w="1005" w:type="pct"/>
          </w:tcPr>
          <w:p w14:paraId="70F1D994" w14:textId="77777777" w:rsidR="00BD0FD8" w:rsidRPr="007C747A" w:rsidRDefault="00BD0FD8" w:rsidP="00BE1D6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6.13</w:t>
            </w:r>
          </w:p>
        </w:tc>
        <w:tc>
          <w:tcPr>
            <w:tcW w:w="2096" w:type="pct"/>
          </w:tcPr>
          <w:p w14:paraId="0934F170" w14:textId="77777777" w:rsidR="00BD0FD8" w:rsidRPr="007C747A" w:rsidRDefault="00BD0FD8"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Any particular information or analysis to be included in the annual report as prescribed by the Minister in legislative instruments</w:t>
            </w:r>
          </w:p>
        </w:tc>
        <w:tc>
          <w:tcPr>
            <w:tcW w:w="894" w:type="pct"/>
          </w:tcPr>
          <w:p w14:paraId="4F1F141A" w14:textId="77777777" w:rsidR="00BD0FD8" w:rsidRPr="007C747A" w:rsidRDefault="00BD0FD8"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BD0FD8" w:rsidRPr="007C747A" w14:paraId="7B875DFD" w14:textId="77777777" w:rsidTr="00BE1D61">
        <w:trPr>
          <w:cnfStyle w:val="000000100000" w:firstRow="0" w:lastRow="0" w:firstColumn="0" w:lastColumn="0" w:oddVBand="0" w:evenVBand="0" w:oddHBand="1" w:evenHBand="0" w:firstRowFirstColumn="0" w:firstRowLastColumn="0" w:lastRowFirstColumn="0" w:lastRowLastColumn="0"/>
          <w:trHeight w:val="1365"/>
        </w:trPr>
        <w:tc>
          <w:tcPr>
            <w:cnfStyle w:val="001000000000" w:firstRow="0" w:lastRow="0" w:firstColumn="1" w:lastColumn="0" w:oddVBand="0" w:evenVBand="0" w:oddHBand="0" w:evenHBand="0" w:firstRowFirstColumn="0" w:firstRowLastColumn="0" w:lastRowFirstColumn="0" w:lastRowLastColumn="0"/>
            <w:tcW w:w="1005" w:type="pct"/>
          </w:tcPr>
          <w:p w14:paraId="6B7524E3"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(4)(a)</w:t>
            </w:r>
          </w:p>
        </w:tc>
        <w:tc>
          <w:tcPr>
            <w:tcW w:w="1005" w:type="pct"/>
          </w:tcPr>
          <w:p w14:paraId="0814F71A" w14:textId="77777777" w:rsidR="00BD0FD8" w:rsidRPr="007C747A" w:rsidRDefault="00BD0FD8" w:rsidP="00BE1D61">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4.1</w:t>
            </w:r>
          </w:p>
        </w:tc>
        <w:tc>
          <w:tcPr>
            <w:tcW w:w="2096" w:type="pct"/>
          </w:tcPr>
          <w:p w14:paraId="275863CF" w14:textId="77777777" w:rsidR="00BD0FD8" w:rsidRPr="007C747A" w:rsidRDefault="00BD0FD8"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The summary, that was prepared under section 180B when the annual report was being prepared, of the annual financial sustainability report</w:t>
            </w:r>
          </w:p>
        </w:tc>
        <w:tc>
          <w:tcPr>
            <w:tcW w:w="894" w:type="pct"/>
          </w:tcPr>
          <w:p w14:paraId="04F9BAFE" w14:textId="77777777" w:rsidR="00BD0FD8" w:rsidRPr="007C747A" w:rsidRDefault="00BD0FD8"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BD0FD8" w:rsidRPr="007C747A" w14:paraId="41101777" w14:textId="77777777" w:rsidTr="00BE1D61">
        <w:trPr>
          <w:trHeight w:val="1375"/>
        </w:trPr>
        <w:tc>
          <w:tcPr>
            <w:cnfStyle w:val="001000000000" w:firstRow="0" w:lastRow="0" w:firstColumn="1" w:lastColumn="0" w:oddVBand="0" w:evenVBand="0" w:oddHBand="0" w:evenHBand="0" w:firstRowFirstColumn="0" w:firstRowLastColumn="0" w:lastRowFirstColumn="0" w:lastRowLastColumn="0"/>
            <w:tcW w:w="1005" w:type="pct"/>
          </w:tcPr>
          <w:p w14:paraId="132DAA33" w14:textId="77777777" w:rsidR="00BD0FD8" w:rsidRPr="007C747A" w:rsidRDefault="00BD0FD8" w:rsidP="00BE1D61">
            <w:pPr>
              <w:spacing w:before="120" w:after="120" w:line="240" w:lineRule="auto"/>
              <w:rPr>
                <w:rFonts w:eastAsia="DengXian" w:cs="Arial"/>
                <w:sz w:val="20"/>
                <w:szCs w:val="20"/>
                <w:lang w:val="en-AU"/>
              </w:rPr>
            </w:pPr>
            <w:r w:rsidRPr="007C747A">
              <w:rPr>
                <w:rFonts w:eastAsia="DengXian" w:cs="Arial"/>
                <w:sz w:val="20"/>
                <w:szCs w:val="20"/>
                <w:lang w:val="en-AU"/>
              </w:rPr>
              <w:t>(4)(b)</w:t>
            </w:r>
          </w:p>
        </w:tc>
        <w:tc>
          <w:tcPr>
            <w:tcW w:w="1005" w:type="pct"/>
          </w:tcPr>
          <w:p w14:paraId="59E72098" w14:textId="77777777" w:rsidR="00BD0FD8" w:rsidRPr="007C747A" w:rsidRDefault="00BD0FD8" w:rsidP="00BE1D6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4.1</w:t>
            </w:r>
          </w:p>
        </w:tc>
        <w:tc>
          <w:tcPr>
            <w:tcW w:w="2096" w:type="pct"/>
          </w:tcPr>
          <w:p w14:paraId="12DA5EA8" w14:textId="77777777" w:rsidR="00BD0FD8" w:rsidRPr="007C747A" w:rsidRDefault="00BD0FD8"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The report of the reviewing actuary’s review under subsection 180E(2) of the summary mentioned in paragraph (4)(a)</w:t>
            </w:r>
          </w:p>
        </w:tc>
        <w:tc>
          <w:tcPr>
            <w:tcW w:w="894" w:type="pct"/>
          </w:tcPr>
          <w:p w14:paraId="5E6E1B09" w14:textId="77777777" w:rsidR="00BD0FD8" w:rsidRPr="007C747A" w:rsidRDefault="00BD0FD8"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bl>
    <w:p w14:paraId="3EC00FC9" w14:textId="7C4341B7" w:rsidR="002369C1" w:rsidRPr="007C747A" w:rsidRDefault="00207E1C" w:rsidP="003859B1">
      <w:pPr>
        <w:pStyle w:val="FGCHEADING43"/>
        <w:ind w:left="142"/>
      </w:pPr>
      <w:bookmarkStart w:id="948" w:name="_Toc142039688"/>
      <w:bookmarkStart w:id="949" w:name="_Toc142047799"/>
      <w:bookmarkStart w:id="950" w:name="_Toc142478466"/>
      <w:bookmarkStart w:id="951" w:name="_Toc142573795"/>
      <w:bookmarkStart w:id="952" w:name="_Toc146289497"/>
      <w:r w:rsidRPr="007C747A">
        <w:t>Information provided in compliance with other statutory provisions</w:t>
      </w:r>
      <w:bookmarkEnd w:id="948"/>
      <w:bookmarkEnd w:id="949"/>
      <w:bookmarkEnd w:id="950"/>
      <w:bookmarkEnd w:id="951"/>
      <w:bookmarkEnd w:id="952"/>
    </w:p>
    <w:tbl>
      <w:tblPr>
        <w:tblStyle w:val="GridTable2-Accent312"/>
        <w:tblW w:w="4685" w:type="pct"/>
        <w:tblInd w:w="567" w:type="dxa"/>
        <w:tblLayout w:type="fixed"/>
        <w:tblLook w:val="04A0" w:firstRow="1" w:lastRow="0" w:firstColumn="1" w:lastColumn="0" w:noHBand="0" w:noVBand="1"/>
        <w:tblCaption w:val="The NDIS Act (index)"/>
        <w:tblDescription w:val="The NDIS Act requires the NDIA annual report to include additional mandatory information. This table provides advice on where this information is located."/>
      </w:tblPr>
      <w:tblGrid>
        <w:gridCol w:w="1789"/>
        <w:gridCol w:w="1790"/>
        <w:gridCol w:w="3733"/>
        <w:gridCol w:w="1592"/>
      </w:tblGrid>
      <w:tr w:rsidR="00321714" w:rsidRPr="007C747A" w14:paraId="79810F6D" w14:textId="77777777" w:rsidTr="00BE1D61">
        <w:trPr>
          <w:cnfStyle w:val="100000000000" w:firstRow="1" w:lastRow="0" w:firstColumn="0" w:lastColumn="0" w:oddVBand="0" w:evenVBand="0" w:oddHBand="0" w:evenHBand="0" w:firstRowFirstColumn="0" w:firstRowLastColumn="0" w:lastRowFirstColumn="0" w:lastRowLastColumn="0"/>
          <w:trHeight w:val="551"/>
          <w:tblHeader/>
        </w:trPr>
        <w:tc>
          <w:tcPr>
            <w:cnfStyle w:val="001000000000" w:firstRow="0" w:lastRow="0" w:firstColumn="1" w:lastColumn="0" w:oddVBand="0" w:evenVBand="0" w:oddHBand="0" w:evenHBand="0" w:firstRowFirstColumn="0" w:firstRowLastColumn="0" w:lastRowFirstColumn="0" w:lastRowLastColumn="0"/>
            <w:tcW w:w="0" w:type="pct"/>
          </w:tcPr>
          <w:p w14:paraId="6EA5F0E2" w14:textId="77777777" w:rsidR="00321714" w:rsidRPr="007C747A" w:rsidRDefault="00321714" w:rsidP="00BE1D61">
            <w:pPr>
              <w:spacing w:before="120" w:after="120" w:line="240" w:lineRule="auto"/>
              <w:rPr>
                <w:rFonts w:eastAsia="DengXian" w:cs="Arial"/>
                <w:sz w:val="20"/>
                <w:szCs w:val="20"/>
                <w:lang w:val="en-AU"/>
              </w:rPr>
            </w:pPr>
            <w:r w:rsidRPr="007C747A">
              <w:rPr>
                <w:rFonts w:eastAsia="DengXian" w:cs="Arial"/>
                <w:sz w:val="20"/>
                <w:szCs w:val="20"/>
                <w:lang w:val="en-AU"/>
              </w:rPr>
              <w:t>Act</w:t>
            </w:r>
          </w:p>
        </w:tc>
        <w:tc>
          <w:tcPr>
            <w:tcW w:w="0" w:type="pct"/>
          </w:tcPr>
          <w:p w14:paraId="6F16F1AE" w14:textId="77777777" w:rsidR="00321714" w:rsidRPr="007C747A" w:rsidRDefault="00321714" w:rsidP="00BE1D6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Part of report</w:t>
            </w:r>
          </w:p>
        </w:tc>
        <w:tc>
          <w:tcPr>
            <w:tcW w:w="0" w:type="pct"/>
          </w:tcPr>
          <w:p w14:paraId="5E42897C" w14:textId="77777777" w:rsidR="00321714" w:rsidRPr="007C747A" w:rsidRDefault="00321714" w:rsidP="00BE1D6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Reference and description</w:t>
            </w:r>
          </w:p>
        </w:tc>
        <w:tc>
          <w:tcPr>
            <w:tcW w:w="0" w:type="pct"/>
          </w:tcPr>
          <w:p w14:paraId="39A13BD4" w14:textId="77777777" w:rsidR="00321714" w:rsidRPr="007C747A" w:rsidRDefault="00321714" w:rsidP="00BE1D61">
            <w:pPr>
              <w:spacing w:before="120" w:after="120" w:line="240" w:lineRule="auto"/>
              <w:cnfStyle w:val="100000000000" w:firstRow="1"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Requirement</w:t>
            </w:r>
          </w:p>
        </w:tc>
      </w:tr>
      <w:tr w:rsidR="00321714" w:rsidRPr="007C747A" w14:paraId="3ACDCD1E" w14:textId="77777777" w:rsidTr="00BE1D61">
        <w:trPr>
          <w:cnfStyle w:val="000000100000" w:firstRow="0" w:lastRow="0" w:firstColumn="0" w:lastColumn="0" w:oddVBand="0" w:evenVBand="0" w:oddHBand="1" w:evenHBand="0" w:firstRowFirstColumn="0" w:firstRowLastColumn="0" w:lastRowFirstColumn="0" w:lastRowLastColumn="0"/>
          <w:trHeight w:val="1281"/>
        </w:trPr>
        <w:tc>
          <w:tcPr>
            <w:cnfStyle w:val="001000000000" w:firstRow="0" w:lastRow="0" w:firstColumn="1" w:lastColumn="0" w:oddVBand="0" w:evenVBand="0" w:oddHBand="0" w:evenHBand="0" w:firstRowFirstColumn="0" w:firstRowLastColumn="0" w:lastRowFirstColumn="0" w:lastRowLastColumn="0"/>
            <w:tcW w:w="1005" w:type="pct"/>
          </w:tcPr>
          <w:p w14:paraId="6739B983" w14:textId="77777777" w:rsidR="00321714" w:rsidRPr="007C747A" w:rsidRDefault="00321714" w:rsidP="00BE1D61">
            <w:pPr>
              <w:spacing w:before="120" w:after="120" w:line="240" w:lineRule="auto"/>
              <w:rPr>
                <w:rFonts w:eastAsia="DengXian" w:cs="Arial"/>
                <w:i/>
                <w:iCs/>
                <w:sz w:val="20"/>
                <w:szCs w:val="20"/>
                <w:lang w:val="en-AU"/>
              </w:rPr>
            </w:pPr>
            <w:r w:rsidRPr="007C747A">
              <w:rPr>
                <w:rFonts w:eastAsia="DengXian" w:cs="Arial"/>
                <w:i/>
                <w:iCs/>
                <w:sz w:val="20"/>
                <w:szCs w:val="20"/>
                <w:lang w:val="en-AU"/>
              </w:rPr>
              <w:t>Work Health and Safety Act 2011</w:t>
            </w:r>
            <w:r w:rsidRPr="007C747A">
              <w:rPr>
                <w:rFonts w:eastAsia="DengXian" w:cs="Arial"/>
                <w:i/>
                <w:iCs/>
                <w:sz w:val="20"/>
                <w:szCs w:val="20"/>
                <w:lang w:val="en-AU"/>
              </w:rPr>
              <w:br/>
            </w:r>
            <w:r w:rsidRPr="007C747A">
              <w:rPr>
                <w:rFonts w:eastAsia="DengXian" w:cs="Arial"/>
                <w:sz w:val="20"/>
                <w:szCs w:val="20"/>
                <w:lang w:val="en-AU"/>
              </w:rPr>
              <w:t>Schedule 2</w:t>
            </w:r>
          </w:p>
        </w:tc>
        <w:tc>
          <w:tcPr>
            <w:tcW w:w="1005" w:type="pct"/>
          </w:tcPr>
          <w:p w14:paraId="2C8ECC9A" w14:textId="77777777" w:rsidR="00321714" w:rsidRPr="007C747A" w:rsidRDefault="00321714" w:rsidP="00BE1D61">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6.3</w:t>
            </w:r>
          </w:p>
        </w:tc>
        <w:tc>
          <w:tcPr>
            <w:tcW w:w="2096" w:type="pct"/>
          </w:tcPr>
          <w:p w14:paraId="7D4C0D01"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4(1) – Work Health and Safety</w:t>
            </w:r>
          </w:p>
          <w:p w14:paraId="699BD021"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4(2) – Summary of incidents pursuant to section 38 of the WHS Act</w:t>
            </w:r>
          </w:p>
        </w:tc>
        <w:tc>
          <w:tcPr>
            <w:tcW w:w="894" w:type="pct"/>
          </w:tcPr>
          <w:p w14:paraId="198C6A11"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321714" w:rsidRPr="007C747A" w14:paraId="33AEDD4C" w14:textId="77777777" w:rsidTr="00BE1D61">
        <w:trPr>
          <w:trHeight w:val="1281"/>
        </w:trPr>
        <w:tc>
          <w:tcPr>
            <w:cnfStyle w:val="001000000000" w:firstRow="0" w:lastRow="0" w:firstColumn="1" w:lastColumn="0" w:oddVBand="0" w:evenVBand="0" w:oddHBand="0" w:evenHBand="0" w:firstRowFirstColumn="0" w:firstRowLastColumn="0" w:lastRowFirstColumn="0" w:lastRowLastColumn="0"/>
            <w:tcW w:w="1005" w:type="pct"/>
          </w:tcPr>
          <w:p w14:paraId="0442C18F" w14:textId="77777777" w:rsidR="00321714" w:rsidRPr="007C747A" w:rsidRDefault="00321714" w:rsidP="00BE1D61">
            <w:pPr>
              <w:spacing w:before="120" w:after="120" w:line="240" w:lineRule="auto"/>
              <w:rPr>
                <w:rFonts w:eastAsia="DengXian" w:cs="Arial"/>
                <w:i/>
                <w:iCs/>
                <w:sz w:val="20"/>
                <w:szCs w:val="20"/>
                <w:lang w:val="en-AU"/>
              </w:rPr>
            </w:pPr>
            <w:r w:rsidRPr="007C747A">
              <w:rPr>
                <w:rFonts w:eastAsia="DengXian" w:cs="Arial"/>
                <w:i/>
                <w:iCs/>
                <w:sz w:val="20"/>
                <w:szCs w:val="20"/>
                <w:lang w:val="en-AU"/>
              </w:rPr>
              <w:t>Commonwealth Electoral Act 1918</w:t>
            </w:r>
          </w:p>
        </w:tc>
        <w:tc>
          <w:tcPr>
            <w:tcW w:w="1005" w:type="pct"/>
          </w:tcPr>
          <w:p w14:paraId="10082D45" w14:textId="77777777" w:rsidR="00321714" w:rsidRPr="007C747A" w:rsidRDefault="00321714" w:rsidP="00BE1D6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6.10</w:t>
            </w:r>
          </w:p>
        </w:tc>
        <w:tc>
          <w:tcPr>
            <w:tcW w:w="2096" w:type="pct"/>
          </w:tcPr>
          <w:p w14:paraId="24BD6AE3" w14:textId="77777777" w:rsidR="00321714" w:rsidRPr="007C747A" w:rsidRDefault="00321714"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311A – Advertising and Market Research</w:t>
            </w:r>
          </w:p>
        </w:tc>
        <w:tc>
          <w:tcPr>
            <w:tcW w:w="894" w:type="pct"/>
          </w:tcPr>
          <w:p w14:paraId="11BA507F" w14:textId="77777777" w:rsidR="00321714" w:rsidRPr="007C747A" w:rsidRDefault="00321714"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321714" w:rsidRPr="007C747A" w14:paraId="13B16F46" w14:textId="77777777" w:rsidTr="00BE1D61">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1005" w:type="pct"/>
          </w:tcPr>
          <w:p w14:paraId="566C792F" w14:textId="77777777" w:rsidR="00321714" w:rsidRPr="007C747A" w:rsidRDefault="00321714" w:rsidP="00BE1D61">
            <w:pPr>
              <w:spacing w:before="120" w:after="120" w:line="240" w:lineRule="auto"/>
              <w:rPr>
                <w:rFonts w:eastAsia="DengXian" w:cs="Arial"/>
                <w:i/>
                <w:iCs/>
                <w:sz w:val="20"/>
                <w:szCs w:val="20"/>
                <w:lang w:val="en-AU"/>
              </w:rPr>
            </w:pPr>
            <w:r w:rsidRPr="007C747A">
              <w:rPr>
                <w:rFonts w:eastAsia="DengXian" w:cs="Arial"/>
                <w:i/>
                <w:iCs/>
                <w:sz w:val="20"/>
                <w:szCs w:val="20"/>
                <w:lang w:val="en-AU"/>
              </w:rPr>
              <w:t xml:space="preserve">Environment Protection and Biodiversity Conservation Act 1999 </w:t>
            </w:r>
          </w:p>
        </w:tc>
        <w:tc>
          <w:tcPr>
            <w:tcW w:w="1005" w:type="pct"/>
          </w:tcPr>
          <w:p w14:paraId="1A71F258" w14:textId="77777777" w:rsidR="00321714" w:rsidRPr="007C747A" w:rsidRDefault="00321714" w:rsidP="00BE1D61">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6.11</w:t>
            </w:r>
          </w:p>
        </w:tc>
        <w:tc>
          <w:tcPr>
            <w:tcW w:w="2096" w:type="pct"/>
          </w:tcPr>
          <w:p w14:paraId="206ACD86"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516A – Ecologically sustainable development and environmental performance</w:t>
            </w:r>
          </w:p>
        </w:tc>
        <w:tc>
          <w:tcPr>
            <w:tcW w:w="894" w:type="pct"/>
          </w:tcPr>
          <w:p w14:paraId="3C5B3FF5"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321714" w:rsidRPr="007C747A" w14:paraId="3E28E2AE" w14:textId="77777777" w:rsidTr="00BE1D61">
        <w:trPr>
          <w:trHeight w:val="1134"/>
        </w:trPr>
        <w:tc>
          <w:tcPr>
            <w:cnfStyle w:val="001000000000" w:firstRow="0" w:lastRow="0" w:firstColumn="1" w:lastColumn="0" w:oddVBand="0" w:evenVBand="0" w:oddHBand="0" w:evenHBand="0" w:firstRowFirstColumn="0" w:firstRowLastColumn="0" w:lastRowFirstColumn="0" w:lastRowLastColumn="0"/>
            <w:tcW w:w="1005" w:type="pct"/>
          </w:tcPr>
          <w:p w14:paraId="19069F08" w14:textId="77777777" w:rsidR="00321714" w:rsidRPr="007C747A" w:rsidRDefault="00321714" w:rsidP="00BE1D61">
            <w:pPr>
              <w:spacing w:before="120" w:after="120" w:line="240" w:lineRule="auto"/>
              <w:rPr>
                <w:rFonts w:eastAsia="DengXian" w:cs="Arial"/>
                <w:i/>
                <w:iCs/>
                <w:sz w:val="20"/>
                <w:szCs w:val="20"/>
                <w:lang w:val="en-AU"/>
              </w:rPr>
            </w:pPr>
            <w:r w:rsidRPr="007C747A">
              <w:rPr>
                <w:rFonts w:eastAsia="DengXian" w:cs="Arial"/>
                <w:i/>
                <w:iCs/>
                <w:sz w:val="20"/>
                <w:szCs w:val="20"/>
                <w:lang w:val="en-AU"/>
              </w:rPr>
              <w:t>Carer Recognition Act 2010</w:t>
            </w:r>
          </w:p>
        </w:tc>
        <w:tc>
          <w:tcPr>
            <w:tcW w:w="1005" w:type="pct"/>
          </w:tcPr>
          <w:p w14:paraId="2E0FBE23" w14:textId="77777777" w:rsidR="00321714" w:rsidRPr="007C747A" w:rsidRDefault="00321714" w:rsidP="00BE1D6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6.12</w:t>
            </w:r>
          </w:p>
        </w:tc>
        <w:tc>
          <w:tcPr>
            <w:tcW w:w="2096" w:type="pct"/>
          </w:tcPr>
          <w:p w14:paraId="2CFE2274" w14:textId="77777777" w:rsidR="00321714" w:rsidRPr="007C747A" w:rsidRDefault="00321714"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4 – Statement of compliance with Carer Recognition Act</w:t>
            </w:r>
          </w:p>
        </w:tc>
        <w:tc>
          <w:tcPr>
            <w:tcW w:w="894" w:type="pct"/>
          </w:tcPr>
          <w:p w14:paraId="2C7C7889" w14:textId="77777777" w:rsidR="00321714" w:rsidRPr="007C747A" w:rsidRDefault="00321714"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321714" w:rsidRPr="007C747A" w14:paraId="3A65A10E" w14:textId="77777777" w:rsidTr="00BE1D61">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005" w:type="pct"/>
          </w:tcPr>
          <w:p w14:paraId="418D0EEB" w14:textId="77777777" w:rsidR="00321714" w:rsidRPr="007C747A" w:rsidRDefault="00321714" w:rsidP="00BE1D61">
            <w:pPr>
              <w:spacing w:before="120" w:after="120" w:line="240" w:lineRule="auto"/>
              <w:rPr>
                <w:rFonts w:eastAsia="DengXian" w:cs="Arial"/>
                <w:i/>
                <w:iCs/>
                <w:sz w:val="20"/>
                <w:szCs w:val="20"/>
                <w:lang w:val="en-AU"/>
              </w:rPr>
            </w:pPr>
            <w:r w:rsidRPr="007C747A">
              <w:rPr>
                <w:rFonts w:eastAsia="DengXian" w:cs="Arial"/>
                <w:i/>
                <w:iCs/>
                <w:sz w:val="20"/>
                <w:szCs w:val="20"/>
                <w:lang w:val="en-AU"/>
              </w:rPr>
              <w:t>Freedom of Information Act 1982</w:t>
            </w:r>
          </w:p>
        </w:tc>
        <w:tc>
          <w:tcPr>
            <w:tcW w:w="1005" w:type="pct"/>
          </w:tcPr>
          <w:p w14:paraId="5B8221D0" w14:textId="77777777" w:rsidR="00321714" w:rsidRPr="007C747A" w:rsidRDefault="00321714" w:rsidP="00BE1D61">
            <w:pPr>
              <w:spacing w:before="120" w:after="120" w:line="240" w:lineRule="auto"/>
              <w:jc w:val="center"/>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6.13</w:t>
            </w:r>
          </w:p>
        </w:tc>
        <w:tc>
          <w:tcPr>
            <w:tcW w:w="2096" w:type="pct"/>
          </w:tcPr>
          <w:p w14:paraId="2A581D9A"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8 – Information Publication Scheme Statement</w:t>
            </w:r>
          </w:p>
        </w:tc>
        <w:tc>
          <w:tcPr>
            <w:tcW w:w="894" w:type="pct"/>
          </w:tcPr>
          <w:p w14:paraId="11746C26" w14:textId="77777777" w:rsidR="00321714" w:rsidRPr="007C747A" w:rsidRDefault="00321714" w:rsidP="00BE1D61">
            <w:pPr>
              <w:spacing w:before="120" w:after="120" w:line="240" w:lineRule="auto"/>
              <w:cnfStyle w:val="000000100000" w:firstRow="0" w:lastRow="0" w:firstColumn="0" w:lastColumn="0" w:oddVBand="0" w:evenVBand="0" w:oddHBand="1"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r w:rsidR="00321714" w:rsidRPr="007C747A" w14:paraId="1DA05BF2" w14:textId="77777777" w:rsidTr="00BE1D61">
        <w:trPr>
          <w:trHeight w:val="848"/>
        </w:trPr>
        <w:tc>
          <w:tcPr>
            <w:cnfStyle w:val="001000000000" w:firstRow="0" w:lastRow="0" w:firstColumn="1" w:lastColumn="0" w:oddVBand="0" w:evenVBand="0" w:oddHBand="0" w:evenHBand="0" w:firstRowFirstColumn="0" w:firstRowLastColumn="0" w:lastRowFirstColumn="0" w:lastRowLastColumn="0"/>
            <w:tcW w:w="1005" w:type="pct"/>
          </w:tcPr>
          <w:p w14:paraId="67E07937" w14:textId="77777777" w:rsidR="00321714" w:rsidRPr="007C747A" w:rsidRDefault="00321714" w:rsidP="00BE1D61">
            <w:pPr>
              <w:spacing w:before="120" w:after="120" w:line="240" w:lineRule="auto"/>
              <w:rPr>
                <w:rFonts w:eastAsia="DengXian" w:cs="Arial"/>
                <w:i/>
                <w:iCs/>
                <w:sz w:val="20"/>
                <w:szCs w:val="20"/>
                <w:lang w:val="en-AU"/>
              </w:rPr>
            </w:pPr>
            <w:r w:rsidRPr="007C747A">
              <w:rPr>
                <w:rFonts w:eastAsia="DengXian" w:cs="Arial"/>
                <w:i/>
                <w:iCs/>
                <w:sz w:val="20"/>
                <w:szCs w:val="20"/>
                <w:lang w:val="en-AU"/>
              </w:rPr>
              <w:t>Privacy Act 1988</w:t>
            </w:r>
          </w:p>
        </w:tc>
        <w:tc>
          <w:tcPr>
            <w:tcW w:w="1005" w:type="pct"/>
          </w:tcPr>
          <w:p w14:paraId="299718BC" w14:textId="77777777" w:rsidR="00321714" w:rsidRPr="007C747A" w:rsidRDefault="00321714" w:rsidP="00BE1D6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6.13</w:t>
            </w:r>
          </w:p>
        </w:tc>
        <w:tc>
          <w:tcPr>
            <w:tcW w:w="2096" w:type="pct"/>
          </w:tcPr>
          <w:p w14:paraId="249CB166" w14:textId="77777777" w:rsidR="00321714" w:rsidRPr="007C747A" w:rsidRDefault="00321714"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Statement of Compliance</w:t>
            </w:r>
          </w:p>
        </w:tc>
        <w:tc>
          <w:tcPr>
            <w:tcW w:w="894" w:type="pct"/>
          </w:tcPr>
          <w:p w14:paraId="2A4E6C60" w14:textId="77777777" w:rsidR="00321714" w:rsidRPr="007C747A" w:rsidRDefault="00321714" w:rsidP="00BE1D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DengXian" w:cs="Arial"/>
                <w:sz w:val="20"/>
                <w:szCs w:val="20"/>
                <w:lang w:val="en-AU"/>
              </w:rPr>
            </w:pPr>
            <w:r w:rsidRPr="007C747A">
              <w:rPr>
                <w:rFonts w:eastAsia="DengXian" w:cs="Arial"/>
                <w:sz w:val="20"/>
                <w:szCs w:val="20"/>
                <w:lang w:val="en-AU"/>
              </w:rPr>
              <w:t>Mandatory</w:t>
            </w:r>
          </w:p>
        </w:tc>
      </w:tr>
    </w:tbl>
    <w:p w14:paraId="1A2CC1EC" w14:textId="77777777" w:rsidR="004B4851" w:rsidRPr="007C747A" w:rsidRDefault="004B4851" w:rsidP="004B4851">
      <w:pPr>
        <w:pStyle w:val="FGCHEADING2"/>
      </w:pPr>
      <w:bookmarkStart w:id="953" w:name="_Toc148108445"/>
      <w:r w:rsidRPr="007C747A">
        <w:t>Tables index</w:t>
      </w:r>
      <w:bookmarkEnd w:id="953"/>
    </w:p>
    <w:tbl>
      <w:tblPr>
        <w:tblStyle w:val="GridTable2-Accent312"/>
        <w:tblW w:w="0" w:type="auto"/>
        <w:tblInd w:w="567" w:type="dxa"/>
        <w:tblLook w:val="04A0" w:firstRow="1" w:lastRow="0" w:firstColumn="1" w:lastColumn="0" w:noHBand="0" w:noVBand="1"/>
        <w:tblCaption w:val="Tables (index)"/>
        <w:tblDescription w:val="This is an index of tables that are included in the annual report with the relevant page number."/>
      </w:tblPr>
      <w:tblGrid>
        <w:gridCol w:w="1367"/>
        <w:gridCol w:w="6288"/>
        <w:gridCol w:w="1276"/>
      </w:tblGrid>
      <w:tr w:rsidR="00D92E59" w:rsidRPr="007C747A" w14:paraId="67FA97D7" w14:textId="77777777" w:rsidTr="009709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7" w:type="dxa"/>
          </w:tcPr>
          <w:p w14:paraId="02126D65" w14:textId="13C77B28" w:rsidR="00D92E59" w:rsidRPr="007C747A" w:rsidRDefault="00D92E59" w:rsidP="0097092D">
            <w:pPr>
              <w:pStyle w:val="Tableformat"/>
              <w:spacing w:line="240" w:lineRule="auto"/>
              <w:rPr>
                <w:rFonts w:eastAsia="DengXian"/>
              </w:rPr>
            </w:pPr>
            <w:r w:rsidRPr="007C747A">
              <w:rPr>
                <w:rFonts w:eastAsia="DengXian"/>
              </w:rPr>
              <w:t>Table</w:t>
            </w:r>
          </w:p>
        </w:tc>
        <w:tc>
          <w:tcPr>
            <w:tcW w:w="6288" w:type="dxa"/>
          </w:tcPr>
          <w:p w14:paraId="17FB7324" w14:textId="77777777" w:rsidR="00D92E59" w:rsidRPr="007C747A" w:rsidRDefault="00D92E59" w:rsidP="0097092D">
            <w:pPr>
              <w:pStyle w:val="Tableformat"/>
              <w:spacing w:line="240" w:lineRule="auto"/>
              <w:cnfStyle w:val="100000000000" w:firstRow="1" w:lastRow="0" w:firstColumn="0" w:lastColumn="0" w:oddVBand="0" w:evenVBand="0" w:oddHBand="0" w:evenHBand="0" w:firstRowFirstColumn="0" w:firstRowLastColumn="0" w:lastRowFirstColumn="0" w:lastRowLastColumn="0"/>
              <w:rPr>
                <w:rFonts w:eastAsia="DengXian"/>
              </w:rPr>
            </w:pPr>
            <w:r w:rsidRPr="007C747A">
              <w:rPr>
                <w:rFonts w:eastAsia="DengXian"/>
              </w:rPr>
              <w:t>Description</w:t>
            </w:r>
          </w:p>
        </w:tc>
        <w:tc>
          <w:tcPr>
            <w:tcW w:w="1276" w:type="dxa"/>
          </w:tcPr>
          <w:p w14:paraId="247CEF71" w14:textId="77777777" w:rsidR="00D92E59" w:rsidRPr="007C747A" w:rsidRDefault="00D92E59" w:rsidP="0097092D">
            <w:pPr>
              <w:pStyle w:val="Tableformat"/>
              <w:spacing w:line="240" w:lineRule="auto"/>
              <w:cnfStyle w:val="100000000000" w:firstRow="1" w:lastRow="0" w:firstColumn="0" w:lastColumn="0" w:oddVBand="0" w:evenVBand="0" w:oddHBand="0" w:evenHBand="0" w:firstRowFirstColumn="0" w:firstRowLastColumn="0" w:lastRowFirstColumn="0" w:lastRowLastColumn="0"/>
              <w:rPr>
                <w:rFonts w:eastAsia="DengXian"/>
              </w:rPr>
            </w:pPr>
            <w:r w:rsidRPr="007C747A">
              <w:rPr>
                <w:rFonts w:eastAsia="DengXian"/>
              </w:rPr>
              <w:t>Page</w:t>
            </w:r>
          </w:p>
        </w:tc>
      </w:tr>
      <w:tr w:rsidR="00D92E59" w:rsidRPr="007C747A" w14:paraId="4138E210"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13A0127D" w14:textId="77777777" w:rsidR="00D92E59" w:rsidRPr="007C747A" w:rsidRDefault="00D92E59" w:rsidP="0097092D">
            <w:pPr>
              <w:pStyle w:val="FGCNORMAL"/>
              <w:ind w:left="0"/>
              <w:jc w:val="both"/>
              <w:rPr>
                <w:sz w:val="20"/>
                <w:szCs w:val="20"/>
              </w:rPr>
            </w:pPr>
            <w:r w:rsidRPr="007C747A">
              <w:rPr>
                <w:sz w:val="20"/>
                <w:szCs w:val="20"/>
              </w:rPr>
              <w:t>2.2A</w:t>
            </w:r>
          </w:p>
        </w:tc>
        <w:tc>
          <w:tcPr>
            <w:tcW w:w="6288" w:type="dxa"/>
          </w:tcPr>
          <w:p w14:paraId="7EF1F0CA" w14:textId="77777777" w:rsidR="00D92E59" w:rsidRPr="007C747A" w:rsidRDefault="00D92E59" w:rsidP="0097092D">
            <w:pPr>
              <w:pStyle w:val="FGCNORMAL"/>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Aspiration 1 – performance targets, measures and functions</w:t>
            </w:r>
          </w:p>
        </w:tc>
        <w:tc>
          <w:tcPr>
            <w:tcW w:w="1276" w:type="dxa"/>
          </w:tcPr>
          <w:p w14:paraId="22AF7C1B" w14:textId="24C69FBB" w:rsidR="00D92E59" w:rsidRPr="007C747A" w:rsidRDefault="0026328A"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14</w:t>
            </w:r>
          </w:p>
        </w:tc>
      </w:tr>
      <w:tr w:rsidR="00D92E59" w:rsidRPr="007C747A" w14:paraId="7E1C6477"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3E4559E0" w14:textId="77777777" w:rsidR="00D92E59" w:rsidRPr="007C747A" w:rsidRDefault="00D92E59" w:rsidP="0097092D">
            <w:pPr>
              <w:pStyle w:val="FGCNORMAL"/>
              <w:ind w:left="0"/>
              <w:jc w:val="both"/>
              <w:rPr>
                <w:sz w:val="20"/>
                <w:szCs w:val="20"/>
              </w:rPr>
            </w:pPr>
            <w:r w:rsidRPr="007C747A">
              <w:rPr>
                <w:sz w:val="20"/>
                <w:szCs w:val="20"/>
              </w:rPr>
              <w:t>2.2B</w:t>
            </w:r>
          </w:p>
        </w:tc>
        <w:tc>
          <w:tcPr>
            <w:tcW w:w="6288" w:type="dxa"/>
          </w:tcPr>
          <w:p w14:paraId="0595CCF5" w14:textId="77777777" w:rsidR="00D92E59" w:rsidRPr="007C747A" w:rsidRDefault="00D92E59" w:rsidP="0097092D">
            <w:pPr>
              <w:pStyle w:val="FGCNORMAL"/>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Aspiration 2 – performance targets, measures and functions</w:t>
            </w:r>
          </w:p>
        </w:tc>
        <w:tc>
          <w:tcPr>
            <w:tcW w:w="1276" w:type="dxa"/>
          </w:tcPr>
          <w:p w14:paraId="5EE479AA" w14:textId="233BAC13" w:rsidR="00D92E59" w:rsidRPr="007C747A" w:rsidRDefault="0026328A"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16</w:t>
            </w:r>
          </w:p>
        </w:tc>
      </w:tr>
      <w:tr w:rsidR="00D92E59" w:rsidRPr="007C747A" w14:paraId="2C86EBA8"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22473726" w14:textId="77777777" w:rsidR="00D92E59" w:rsidRPr="007C747A" w:rsidRDefault="00D92E59" w:rsidP="0097092D">
            <w:pPr>
              <w:pStyle w:val="FGCNORMAL"/>
              <w:ind w:left="0"/>
              <w:jc w:val="both"/>
              <w:rPr>
                <w:sz w:val="20"/>
                <w:szCs w:val="20"/>
              </w:rPr>
            </w:pPr>
            <w:r w:rsidRPr="007C747A">
              <w:rPr>
                <w:sz w:val="20"/>
                <w:szCs w:val="20"/>
              </w:rPr>
              <w:t>2.2C</w:t>
            </w:r>
          </w:p>
        </w:tc>
        <w:tc>
          <w:tcPr>
            <w:tcW w:w="6288" w:type="dxa"/>
          </w:tcPr>
          <w:p w14:paraId="211B617B" w14:textId="77777777" w:rsidR="00D92E59" w:rsidRPr="007C747A" w:rsidRDefault="00D92E59" w:rsidP="0097092D">
            <w:pPr>
              <w:pStyle w:val="FGCNORMAL"/>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Aspiration 3 – performance targets, measures and functions</w:t>
            </w:r>
          </w:p>
        </w:tc>
        <w:tc>
          <w:tcPr>
            <w:tcW w:w="1276" w:type="dxa"/>
          </w:tcPr>
          <w:p w14:paraId="327779C3" w14:textId="4EDD0F2E" w:rsidR="00D92E59" w:rsidRPr="007C747A" w:rsidRDefault="0026328A"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17</w:t>
            </w:r>
          </w:p>
        </w:tc>
      </w:tr>
      <w:tr w:rsidR="00D92E59" w:rsidRPr="007C747A" w14:paraId="3C6DF1C0"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4F0B6040" w14:textId="77777777" w:rsidR="00D92E59" w:rsidRPr="007C747A" w:rsidRDefault="00D92E59" w:rsidP="0097092D">
            <w:pPr>
              <w:pStyle w:val="FGCNORMAL"/>
              <w:ind w:left="0"/>
              <w:jc w:val="both"/>
              <w:rPr>
                <w:sz w:val="20"/>
                <w:szCs w:val="20"/>
              </w:rPr>
            </w:pPr>
            <w:r w:rsidRPr="007C747A">
              <w:rPr>
                <w:sz w:val="20"/>
                <w:szCs w:val="20"/>
              </w:rPr>
              <w:t>2.2D</w:t>
            </w:r>
          </w:p>
        </w:tc>
        <w:tc>
          <w:tcPr>
            <w:tcW w:w="6288" w:type="dxa"/>
          </w:tcPr>
          <w:p w14:paraId="02785763" w14:textId="77777777" w:rsidR="00D92E59" w:rsidRPr="007C747A" w:rsidRDefault="00D92E59" w:rsidP="0097092D">
            <w:pPr>
              <w:pStyle w:val="FGCNORMAL"/>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Aspiration 4 – performance targets, measures and functions</w:t>
            </w:r>
          </w:p>
        </w:tc>
        <w:tc>
          <w:tcPr>
            <w:tcW w:w="1276" w:type="dxa"/>
          </w:tcPr>
          <w:p w14:paraId="5DBD262A" w14:textId="4054F416" w:rsidR="00D92E59" w:rsidRPr="007C747A" w:rsidRDefault="00DF20DF"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19</w:t>
            </w:r>
          </w:p>
        </w:tc>
      </w:tr>
      <w:tr w:rsidR="00D92E59" w:rsidRPr="007C747A" w14:paraId="77BBDEB6"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60E03115" w14:textId="77777777" w:rsidR="00D92E59" w:rsidRPr="007C747A" w:rsidRDefault="00D92E59" w:rsidP="0097092D">
            <w:pPr>
              <w:pStyle w:val="FGCNORMAL"/>
              <w:ind w:left="0"/>
              <w:jc w:val="both"/>
              <w:rPr>
                <w:sz w:val="20"/>
                <w:szCs w:val="20"/>
              </w:rPr>
            </w:pPr>
            <w:r w:rsidRPr="007C747A">
              <w:rPr>
                <w:sz w:val="20"/>
                <w:szCs w:val="20"/>
              </w:rPr>
              <w:t>2.2E</w:t>
            </w:r>
          </w:p>
        </w:tc>
        <w:tc>
          <w:tcPr>
            <w:tcW w:w="6288" w:type="dxa"/>
          </w:tcPr>
          <w:p w14:paraId="13C7E6C5" w14:textId="77777777" w:rsidR="00D92E59" w:rsidRPr="007C747A" w:rsidRDefault="00D92E59" w:rsidP="0097092D">
            <w:pPr>
              <w:pStyle w:val="FGCNORMAL"/>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Aspiration 5 – performance targets, measures and functions</w:t>
            </w:r>
          </w:p>
        </w:tc>
        <w:tc>
          <w:tcPr>
            <w:tcW w:w="1276" w:type="dxa"/>
          </w:tcPr>
          <w:p w14:paraId="76ECDBDF" w14:textId="28BA8D38" w:rsidR="00D92E59" w:rsidRPr="007C747A" w:rsidRDefault="00F309EE"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20</w:t>
            </w:r>
          </w:p>
        </w:tc>
      </w:tr>
      <w:tr w:rsidR="00D92E59" w:rsidRPr="007C747A" w14:paraId="7A8C3FF0"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7D5BF11D" w14:textId="77777777" w:rsidR="00D92E59" w:rsidRPr="007C747A" w:rsidRDefault="00D92E59" w:rsidP="0097092D">
            <w:pPr>
              <w:pStyle w:val="FGCNORMAL"/>
              <w:ind w:left="0"/>
              <w:jc w:val="both"/>
              <w:rPr>
                <w:sz w:val="20"/>
                <w:szCs w:val="20"/>
              </w:rPr>
            </w:pPr>
            <w:r w:rsidRPr="007C747A">
              <w:rPr>
                <w:sz w:val="20"/>
                <w:szCs w:val="20"/>
              </w:rPr>
              <w:t>4.3A</w:t>
            </w:r>
          </w:p>
        </w:tc>
        <w:tc>
          <w:tcPr>
            <w:tcW w:w="6288" w:type="dxa"/>
          </w:tcPr>
          <w:p w14:paraId="4B3DCF42" w14:textId="77777777" w:rsidR="00D92E59" w:rsidRPr="007C747A" w:rsidRDefault="00D92E59" w:rsidP="0097092D">
            <w:pPr>
              <w:pStyle w:val="FGCNORMAL"/>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Comparison of 2022-23 AFSR with previous projections</w:t>
            </w:r>
          </w:p>
        </w:tc>
        <w:tc>
          <w:tcPr>
            <w:tcW w:w="1276" w:type="dxa"/>
          </w:tcPr>
          <w:p w14:paraId="1D44FC35" w14:textId="7B94D12A" w:rsidR="00D92E59" w:rsidRPr="007C747A" w:rsidRDefault="00F309EE"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61</w:t>
            </w:r>
          </w:p>
        </w:tc>
      </w:tr>
      <w:tr w:rsidR="00D92E59" w:rsidRPr="007C747A" w14:paraId="41176609"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717DCD59" w14:textId="77777777" w:rsidR="00D92E59" w:rsidRPr="007C747A" w:rsidRDefault="00D92E59" w:rsidP="0097092D">
            <w:pPr>
              <w:pStyle w:val="FGCNORMAL"/>
              <w:ind w:left="0"/>
              <w:jc w:val="both"/>
              <w:rPr>
                <w:sz w:val="20"/>
                <w:szCs w:val="20"/>
              </w:rPr>
            </w:pPr>
            <w:r w:rsidRPr="007C747A">
              <w:rPr>
                <w:sz w:val="20"/>
                <w:szCs w:val="20"/>
              </w:rPr>
              <w:t>4.3B</w:t>
            </w:r>
          </w:p>
        </w:tc>
        <w:tc>
          <w:tcPr>
            <w:tcW w:w="6288" w:type="dxa"/>
          </w:tcPr>
          <w:p w14:paraId="023BD695" w14:textId="77777777" w:rsidR="00D92E59" w:rsidRPr="007C747A" w:rsidRDefault="00D92E59" w:rsidP="0097092D">
            <w:pPr>
              <w:pStyle w:val="FGCNORMAL"/>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Movements in project Scheme expenses since previous review</w:t>
            </w:r>
          </w:p>
        </w:tc>
        <w:tc>
          <w:tcPr>
            <w:tcW w:w="1276" w:type="dxa"/>
          </w:tcPr>
          <w:p w14:paraId="4CA3C05C" w14:textId="67552EF2" w:rsidR="00D92E59" w:rsidRPr="007C747A" w:rsidRDefault="00F309EE"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61</w:t>
            </w:r>
          </w:p>
        </w:tc>
      </w:tr>
      <w:tr w:rsidR="00D92E59" w:rsidRPr="007C747A" w14:paraId="68FF9C4C"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39B2453B" w14:textId="77777777" w:rsidR="00D92E59" w:rsidRPr="007C747A" w:rsidRDefault="00D92E59" w:rsidP="0097092D">
            <w:pPr>
              <w:pStyle w:val="FGCNORMAL"/>
              <w:ind w:left="0"/>
              <w:jc w:val="both"/>
              <w:rPr>
                <w:rFonts w:eastAsia="DengXian"/>
                <w:sz w:val="20"/>
                <w:szCs w:val="20"/>
              </w:rPr>
            </w:pPr>
            <w:r w:rsidRPr="007C747A">
              <w:rPr>
                <w:sz w:val="20"/>
                <w:szCs w:val="20"/>
              </w:rPr>
              <w:t xml:space="preserve">5.2.2A </w:t>
            </w:r>
          </w:p>
        </w:tc>
        <w:tc>
          <w:tcPr>
            <w:tcW w:w="6288" w:type="dxa"/>
          </w:tcPr>
          <w:p w14:paraId="0716B9BC" w14:textId="77777777" w:rsidR="00D92E59" w:rsidRPr="007C747A" w:rsidRDefault="00D92E59" w:rsidP="0097092D">
            <w:pPr>
              <w:pStyle w:val="FGCNORMAL"/>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7C747A">
              <w:rPr>
                <w:sz w:val="20"/>
                <w:szCs w:val="20"/>
              </w:rPr>
              <w:t>Board committees and members as at 30 June 2023</w:t>
            </w:r>
          </w:p>
        </w:tc>
        <w:tc>
          <w:tcPr>
            <w:tcW w:w="1276" w:type="dxa"/>
          </w:tcPr>
          <w:p w14:paraId="0DE017D9" w14:textId="2F4C15A8" w:rsidR="00D92E59" w:rsidRPr="007C747A" w:rsidRDefault="00F309EE"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73</w:t>
            </w:r>
          </w:p>
        </w:tc>
      </w:tr>
      <w:tr w:rsidR="00D92E59" w:rsidRPr="007C747A" w14:paraId="42054F79"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311BFFDA" w14:textId="77777777" w:rsidR="00D92E59" w:rsidRPr="007C747A" w:rsidRDefault="00D92E59" w:rsidP="0097092D">
            <w:pPr>
              <w:pStyle w:val="FGCNORMAL"/>
              <w:ind w:left="0"/>
              <w:jc w:val="both"/>
              <w:rPr>
                <w:rFonts w:eastAsia="DengXian"/>
                <w:sz w:val="20"/>
                <w:szCs w:val="20"/>
              </w:rPr>
            </w:pPr>
            <w:r w:rsidRPr="007C747A">
              <w:rPr>
                <w:sz w:val="20"/>
                <w:szCs w:val="20"/>
              </w:rPr>
              <w:t xml:space="preserve">5.2.3A </w:t>
            </w:r>
          </w:p>
        </w:tc>
        <w:tc>
          <w:tcPr>
            <w:tcW w:w="6288" w:type="dxa"/>
          </w:tcPr>
          <w:p w14:paraId="1A332BC9" w14:textId="77777777" w:rsidR="00D92E59" w:rsidRPr="007C747A" w:rsidRDefault="00D92E59"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bCs/>
              </w:rPr>
              <w:t>Number of meetings attended by Board members in 2022–23</w:t>
            </w:r>
          </w:p>
        </w:tc>
        <w:tc>
          <w:tcPr>
            <w:tcW w:w="1276" w:type="dxa"/>
          </w:tcPr>
          <w:p w14:paraId="38236C7A" w14:textId="253A3D60" w:rsidR="00D92E59" w:rsidRPr="007C747A" w:rsidRDefault="00E500FB"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74</w:t>
            </w:r>
          </w:p>
        </w:tc>
      </w:tr>
      <w:tr w:rsidR="00D92E59" w:rsidRPr="007C747A" w14:paraId="4E13C8D9"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60C6B5EA" w14:textId="77777777" w:rsidR="00D92E59" w:rsidRPr="007C747A" w:rsidRDefault="00D92E59" w:rsidP="0097092D">
            <w:pPr>
              <w:pStyle w:val="Tableformat"/>
              <w:spacing w:line="240" w:lineRule="auto"/>
              <w:rPr>
                <w:rFonts w:eastAsia="DengXian"/>
              </w:rPr>
            </w:pPr>
            <w:r w:rsidRPr="007C747A">
              <w:rPr>
                <w:rFonts w:eastAsia="DengXian"/>
              </w:rPr>
              <w:t>6.2A</w:t>
            </w:r>
          </w:p>
        </w:tc>
        <w:tc>
          <w:tcPr>
            <w:tcW w:w="6288" w:type="dxa"/>
          </w:tcPr>
          <w:p w14:paraId="423DAD7F" w14:textId="77777777" w:rsidR="00D92E59" w:rsidRPr="007C747A" w:rsidRDefault="00D92E59" w:rsidP="0097092D">
            <w:pPr>
              <w:pStyle w:val="FGCNORMAL"/>
              <w:keepNext/>
              <w:ind w:left="0"/>
              <w:cnfStyle w:val="000000000000" w:firstRow="0" w:lastRow="0" w:firstColumn="0" w:lastColumn="0" w:oddVBand="0" w:evenVBand="0" w:oddHBand="0" w:evenHBand="0" w:firstRowFirstColumn="0" w:firstRowLastColumn="0" w:lastRowFirstColumn="0" w:lastRowLastColumn="0"/>
              <w:rPr>
                <w:rFonts w:eastAsia="DengXian"/>
                <w:sz w:val="20"/>
                <w:szCs w:val="20"/>
              </w:rPr>
            </w:pPr>
            <w:r w:rsidRPr="007C747A">
              <w:rPr>
                <w:sz w:val="20"/>
                <w:szCs w:val="20"/>
              </w:rPr>
              <w:t>Audit Committee remuneration in 2022–23</w:t>
            </w:r>
          </w:p>
        </w:tc>
        <w:tc>
          <w:tcPr>
            <w:tcW w:w="1276" w:type="dxa"/>
          </w:tcPr>
          <w:p w14:paraId="5335B2A8" w14:textId="41CF4A5E" w:rsidR="00D92E59" w:rsidRPr="007C747A" w:rsidRDefault="00FE146C"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85</w:t>
            </w:r>
          </w:p>
        </w:tc>
      </w:tr>
      <w:tr w:rsidR="00D92E59" w:rsidRPr="007C747A" w14:paraId="06FEA3D7"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680D034C" w14:textId="77777777" w:rsidR="00D92E59" w:rsidRPr="007C747A" w:rsidRDefault="00D92E59" w:rsidP="0097092D">
            <w:pPr>
              <w:pStyle w:val="Tableformat"/>
              <w:spacing w:line="240" w:lineRule="auto"/>
              <w:rPr>
                <w:rFonts w:eastAsia="DengXian"/>
              </w:rPr>
            </w:pPr>
            <w:r w:rsidRPr="007C747A">
              <w:rPr>
                <w:rFonts w:eastAsia="DengXian"/>
              </w:rPr>
              <w:t>6.3A</w:t>
            </w:r>
          </w:p>
        </w:tc>
        <w:tc>
          <w:tcPr>
            <w:tcW w:w="6288" w:type="dxa"/>
          </w:tcPr>
          <w:p w14:paraId="56446BFA" w14:textId="77777777" w:rsidR="00D92E59" w:rsidRPr="007C747A" w:rsidRDefault="00D92E59"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Summary of incidents pursuant to section 38 of the WHS Act, 2022–23</w:t>
            </w:r>
          </w:p>
        </w:tc>
        <w:tc>
          <w:tcPr>
            <w:tcW w:w="1276" w:type="dxa"/>
          </w:tcPr>
          <w:p w14:paraId="19EF28D8" w14:textId="726CDC30" w:rsidR="00D92E59" w:rsidRPr="007C747A" w:rsidRDefault="00BA3B80"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86</w:t>
            </w:r>
          </w:p>
        </w:tc>
      </w:tr>
      <w:tr w:rsidR="00D92E59" w:rsidRPr="007C747A" w14:paraId="185247D9"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71E01983" w14:textId="77777777" w:rsidR="00D92E59" w:rsidRPr="007C747A" w:rsidRDefault="00D92E59" w:rsidP="0097092D">
            <w:pPr>
              <w:pStyle w:val="Tableformat"/>
              <w:spacing w:line="240" w:lineRule="auto"/>
              <w:rPr>
                <w:rFonts w:eastAsia="DengXian"/>
              </w:rPr>
            </w:pPr>
            <w:r w:rsidRPr="007C747A">
              <w:rPr>
                <w:rFonts w:eastAsia="DengXian"/>
              </w:rPr>
              <w:t>6.4A</w:t>
            </w:r>
          </w:p>
        </w:tc>
        <w:tc>
          <w:tcPr>
            <w:tcW w:w="6288" w:type="dxa"/>
          </w:tcPr>
          <w:p w14:paraId="3D3FAF73" w14:textId="77777777" w:rsidR="00D92E59" w:rsidRPr="007C747A" w:rsidRDefault="00D92E59"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All ongoing employees current reporting period (2022–23)</w:t>
            </w:r>
          </w:p>
        </w:tc>
        <w:tc>
          <w:tcPr>
            <w:tcW w:w="1276" w:type="dxa"/>
            <w:shd w:val="clear" w:color="auto" w:fill="auto"/>
          </w:tcPr>
          <w:p w14:paraId="4F3AA82B" w14:textId="67BEF2B8" w:rsidR="00D92E59" w:rsidRPr="007C747A" w:rsidRDefault="00BB4BE2"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88</w:t>
            </w:r>
          </w:p>
        </w:tc>
      </w:tr>
      <w:tr w:rsidR="00D92E59" w:rsidRPr="007C747A" w14:paraId="517C85D7"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279B1B96" w14:textId="77777777" w:rsidR="00D92E59" w:rsidRPr="007C747A" w:rsidRDefault="00D92E59" w:rsidP="0097092D">
            <w:pPr>
              <w:pStyle w:val="Tableformat"/>
              <w:spacing w:line="240" w:lineRule="auto"/>
              <w:rPr>
                <w:rFonts w:eastAsia="DengXian"/>
              </w:rPr>
            </w:pPr>
            <w:r w:rsidRPr="007C747A">
              <w:rPr>
                <w:rFonts w:eastAsia="DengXian"/>
              </w:rPr>
              <w:t>6.4B</w:t>
            </w:r>
          </w:p>
        </w:tc>
        <w:tc>
          <w:tcPr>
            <w:tcW w:w="6288" w:type="dxa"/>
          </w:tcPr>
          <w:p w14:paraId="047E1579" w14:textId="77777777" w:rsidR="00D92E59" w:rsidRPr="007C747A" w:rsidRDefault="00D92E59"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All non-ongoing employees current reporting period (2022–23)</w:t>
            </w:r>
          </w:p>
        </w:tc>
        <w:tc>
          <w:tcPr>
            <w:tcW w:w="1276" w:type="dxa"/>
          </w:tcPr>
          <w:p w14:paraId="740A7D79" w14:textId="2D53355E" w:rsidR="00D92E59" w:rsidRPr="007C747A" w:rsidRDefault="003A7197"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89</w:t>
            </w:r>
          </w:p>
        </w:tc>
      </w:tr>
      <w:tr w:rsidR="00D92E59" w:rsidRPr="007C747A" w14:paraId="3E03AEF9"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31275EC0" w14:textId="77777777" w:rsidR="00D92E59" w:rsidRPr="007C747A" w:rsidRDefault="00D92E59" w:rsidP="0097092D">
            <w:pPr>
              <w:pStyle w:val="Tableformat"/>
              <w:spacing w:line="240" w:lineRule="auto"/>
              <w:rPr>
                <w:rFonts w:eastAsia="DengXian"/>
              </w:rPr>
            </w:pPr>
            <w:r w:rsidRPr="007C747A">
              <w:rPr>
                <w:rFonts w:eastAsia="DengXian"/>
              </w:rPr>
              <w:t>6.4C</w:t>
            </w:r>
          </w:p>
        </w:tc>
        <w:tc>
          <w:tcPr>
            <w:tcW w:w="6288" w:type="dxa"/>
          </w:tcPr>
          <w:p w14:paraId="4E6AB6D4" w14:textId="77777777" w:rsidR="00D92E59" w:rsidRPr="007C747A" w:rsidRDefault="00D92E59"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All ongoing employees previous reporting period (2020–21)</w:t>
            </w:r>
          </w:p>
        </w:tc>
        <w:tc>
          <w:tcPr>
            <w:tcW w:w="1276" w:type="dxa"/>
          </w:tcPr>
          <w:p w14:paraId="6EF4BD01" w14:textId="08D62955" w:rsidR="00D92E59" w:rsidRPr="007C747A" w:rsidRDefault="000024E0"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90</w:t>
            </w:r>
          </w:p>
        </w:tc>
      </w:tr>
      <w:tr w:rsidR="00D92E59" w:rsidRPr="007C747A" w14:paraId="59462590"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2E5C579B" w14:textId="77777777" w:rsidR="00D92E59" w:rsidRPr="007C747A" w:rsidRDefault="00D92E59" w:rsidP="0097092D">
            <w:pPr>
              <w:pStyle w:val="Tableformat"/>
              <w:spacing w:line="240" w:lineRule="auto"/>
              <w:rPr>
                <w:rFonts w:eastAsia="DengXian"/>
              </w:rPr>
            </w:pPr>
            <w:r w:rsidRPr="007C747A">
              <w:rPr>
                <w:rFonts w:eastAsia="DengXian"/>
              </w:rPr>
              <w:t>6.4D</w:t>
            </w:r>
          </w:p>
        </w:tc>
        <w:tc>
          <w:tcPr>
            <w:tcW w:w="6288" w:type="dxa"/>
          </w:tcPr>
          <w:p w14:paraId="2799A449" w14:textId="77777777" w:rsidR="00D92E59" w:rsidRPr="007C747A" w:rsidRDefault="00D92E59"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All non-ongoing employees previous reporting period (2020–21)</w:t>
            </w:r>
          </w:p>
        </w:tc>
        <w:tc>
          <w:tcPr>
            <w:tcW w:w="1276" w:type="dxa"/>
          </w:tcPr>
          <w:p w14:paraId="4C40493A" w14:textId="6031F566" w:rsidR="00D92E59" w:rsidRPr="007C747A" w:rsidRDefault="000024E0"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90</w:t>
            </w:r>
          </w:p>
        </w:tc>
      </w:tr>
      <w:tr w:rsidR="00D92E59" w:rsidRPr="007C747A" w14:paraId="7826EC4C"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731BE9F0" w14:textId="77777777" w:rsidR="00D92E59" w:rsidRPr="007C747A" w:rsidRDefault="00D92E59" w:rsidP="0097092D">
            <w:pPr>
              <w:pStyle w:val="Tableformat"/>
              <w:spacing w:line="240" w:lineRule="auto"/>
              <w:rPr>
                <w:rFonts w:eastAsia="DengXian"/>
              </w:rPr>
            </w:pPr>
            <w:r w:rsidRPr="007C747A">
              <w:rPr>
                <w:rFonts w:eastAsia="DengXian"/>
              </w:rPr>
              <w:t>6.6.1A</w:t>
            </w:r>
          </w:p>
        </w:tc>
        <w:tc>
          <w:tcPr>
            <w:tcW w:w="6288" w:type="dxa"/>
          </w:tcPr>
          <w:p w14:paraId="10EA9A38" w14:textId="77777777" w:rsidR="00D92E59" w:rsidRPr="007C747A" w:rsidRDefault="00D92E59" w:rsidP="0097092D">
            <w:pPr>
              <w:pStyle w:val="FGCNORMAL"/>
              <w:keepNext/>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lang w:eastAsia="en-AU"/>
              </w:rPr>
              <w:t>Key management personnel</w:t>
            </w:r>
          </w:p>
        </w:tc>
        <w:tc>
          <w:tcPr>
            <w:tcW w:w="1276" w:type="dxa"/>
          </w:tcPr>
          <w:p w14:paraId="132B1DE7" w14:textId="3DDCF8A7" w:rsidR="00D92E59" w:rsidRPr="007C747A" w:rsidRDefault="00D77914"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92</w:t>
            </w:r>
          </w:p>
        </w:tc>
      </w:tr>
      <w:tr w:rsidR="00D92E59" w:rsidRPr="007C747A" w14:paraId="6F7AB93C"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08442775" w14:textId="77777777" w:rsidR="00D92E59" w:rsidRPr="007C747A" w:rsidRDefault="00D92E59" w:rsidP="0097092D">
            <w:pPr>
              <w:pStyle w:val="Tableformat"/>
              <w:spacing w:line="240" w:lineRule="auto"/>
              <w:rPr>
                <w:rFonts w:eastAsia="DengXian"/>
              </w:rPr>
            </w:pPr>
            <w:r w:rsidRPr="007C747A">
              <w:rPr>
                <w:rFonts w:eastAsia="DengXian"/>
              </w:rPr>
              <w:t>6.6.2A</w:t>
            </w:r>
          </w:p>
        </w:tc>
        <w:tc>
          <w:tcPr>
            <w:tcW w:w="6288" w:type="dxa"/>
          </w:tcPr>
          <w:p w14:paraId="39AA731E" w14:textId="77777777" w:rsidR="00D92E59" w:rsidRPr="007C747A" w:rsidRDefault="00D92E59" w:rsidP="0097092D">
            <w:pPr>
              <w:pStyle w:val="FGCNORMAL"/>
              <w:keepNext/>
              <w:tabs>
                <w:tab w:val="right" w:pos="6072"/>
              </w:tabs>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lang w:eastAsia="en-AU"/>
              </w:rPr>
              <w:t>Key management personnel remuneration</w:t>
            </w:r>
            <w:r w:rsidRPr="007C747A">
              <w:rPr>
                <w:sz w:val="20"/>
                <w:szCs w:val="20"/>
                <w:lang w:eastAsia="en-AU"/>
              </w:rPr>
              <w:tab/>
            </w:r>
          </w:p>
        </w:tc>
        <w:tc>
          <w:tcPr>
            <w:tcW w:w="1276" w:type="dxa"/>
          </w:tcPr>
          <w:p w14:paraId="5B0F27E7" w14:textId="55C798BE" w:rsidR="00D92E59" w:rsidRPr="007C747A" w:rsidRDefault="00D77914"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94</w:t>
            </w:r>
          </w:p>
        </w:tc>
      </w:tr>
      <w:tr w:rsidR="00D92E59" w:rsidRPr="007C747A" w14:paraId="05387391"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5221175A" w14:textId="77777777" w:rsidR="00D92E59" w:rsidRPr="007C747A" w:rsidRDefault="00D92E59" w:rsidP="0097092D">
            <w:pPr>
              <w:pStyle w:val="Tableformat"/>
              <w:spacing w:line="240" w:lineRule="auto"/>
              <w:rPr>
                <w:rFonts w:eastAsia="DengXian"/>
              </w:rPr>
            </w:pPr>
            <w:r w:rsidRPr="007C747A">
              <w:rPr>
                <w:rFonts w:eastAsia="DengXian"/>
              </w:rPr>
              <w:t>6.6.3A</w:t>
            </w:r>
          </w:p>
        </w:tc>
        <w:tc>
          <w:tcPr>
            <w:tcW w:w="6288" w:type="dxa"/>
          </w:tcPr>
          <w:p w14:paraId="5A89A88B" w14:textId="77777777" w:rsidR="00D92E59" w:rsidRPr="007C747A" w:rsidRDefault="00D92E59" w:rsidP="0097092D">
            <w:pPr>
              <w:pStyle w:val="FGCNORMAL"/>
              <w:keepNext/>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lang w:eastAsia="en-AU"/>
              </w:rPr>
              <w:t>Senior Executive remuneration</w:t>
            </w:r>
          </w:p>
        </w:tc>
        <w:tc>
          <w:tcPr>
            <w:tcW w:w="1276" w:type="dxa"/>
          </w:tcPr>
          <w:p w14:paraId="6E13B5F5" w14:textId="37AA1933" w:rsidR="00D92E59" w:rsidRPr="007C747A" w:rsidRDefault="00D77914"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98</w:t>
            </w:r>
          </w:p>
        </w:tc>
      </w:tr>
      <w:tr w:rsidR="00D92E59" w:rsidRPr="007C747A" w14:paraId="1D43EC4B"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61B62304" w14:textId="77777777" w:rsidR="00D92E59" w:rsidRPr="007C747A" w:rsidRDefault="00D92E59" w:rsidP="0097092D">
            <w:pPr>
              <w:pStyle w:val="Tableformat"/>
              <w:spacing w:line="240" w:lineRule="auto"/>
              <w:rPr>
                <w:rFonts w:eastAsia="DengXian"/>
              </w:rPr>
            </w:pPr>
            <w:r w:rsidRPr="007C747A">
              <w:rPr>
                <w:rFonts w:eastAsia="DengXian"/>
              </w:rPr>
              <w:t>6.6.4A</w:t>
            </w:r>
          </w:p>
        </w:tc>
        <w:tc>
          <w:tcPr>
            <w:tcW w:w="6288" w:type="dxa"/>
          </w:tcPr>
          <w:p w14:paraId="236A4A24" w14:textId="77777777" w:rsidR="00D92E59" w:rsidRPr="007C747A" w:rsidRDefault="00D92E59" w:rsidP="0097092D">
            <w:pPr>
              <w:pStyle w:val="FGCNORMAL"/>
              <w:keepNext/>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lang w:eastAsia="en-AU"/>
              </w:rPr>
              <w:t>Average remuneration for other highly paid staff</w:t>
            </w:r>
          </w:p>
        </w:tc>
        <w:tc>
          <w:tcPr>
            <w:tcW w:w="1276" w:type="dxa"/>
          </w:tcPr>
          <w:p w14:paraId="3FAAF9F4" w14:textId="605A6225" w:rsidR="00D92E59" w:rsidRPr="007C747A" w:rsidRDefault="00675F5D"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99</w:t>
            </w:r>
          </w:p>
        </w:tc>
      </w:tr>
      <w:tr w:rsidR="00D92E59" w:rsidRPr="007C747A" w14:paraId="75F81B36"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51CCCD3D" w14:textId="77777777" w:rsidR="00D92E59" w:rsidRPr="007C747A" w:rsidRDefault="00D92E59" w:rsidP="0097092D">
            <w:pPr>
              <w:pStyle w:val="Tableformat"/>
              <w:spacing w:line="240" w:lineRule="auto"/>
              <w:rPr>
                <w:rFonts w:eastAsia="DengXian"/>
              </w:rPr>
            </w:pPr>
            <w:r w:rsidRPr="007C747A">
              <w:rPr>
                <w:rFonts w:eastAsia="DengXian"/>
              </w:rPr>
              <w:t>6.10A</w:t>
            </w:r>
          </w:p>
        </w:tc>
        <w:tc>
          <w:tcPr>
            <w:tcW w:w="6288" w:type="dxa"/>
          </w:tcPr>
          <w:p w14:paraId="38EA8EC1" w14:textId="77777777" w:rsidR="00D92E59" w:rsidRPr="007C747A" w:rsidRDefault="00D92E59" w:rsidP="0097092D">
            <w:pPr>
              <w:pStyle w:val="FGCNORMAL"/>
              <w:keepNext/>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Payments to advertising organisations in 2022–23</w:t>
            </w:r>
          </w:p>
        </w:tc>
        <w:tc>
          <w:tcPr>
            <w:tcW w:w="1276" w:type="dxa"/>
          </w:tcPr>
          <w:p w14:paraId="197343AE" w14:textId="160DC4F2" w:rsidR="00D92E59" w:rsidRPr="007C747A" w:rsidRDefault="00675F5D"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105</w:t>
            </w:r>
          </w:p>
        </w:tc>
      </w:tr>
      <w:tr w:rsidR="00D92E59" w:rsidRPr="007C747A" w14:paraId="65610219"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4A38DEE0" w14:textId="77777777" w:rsidR="00D92E59" w:rsidRPr="007C747A" w:rsidRDefault="00D92E59" w:rsidP="0097092D">
            <w:pPr>
              <w:pStyle w:val="Tableformat"/>
              <w:spacing w:line="240" w:lineRule="auto"/>
              <w:rPr>
                <w:rFonts w:eastAsia="DengXian"/>
              </w:rPr>
            </w:pPr>
            <w:r w:rsidRPr="007C747A">
              <w:rPr>
                <w:rFonts w:eastAsia="DengXian"/>
              </w:rPr>
              <w:t>6.10B</w:t>
            </w:r>
          </w:p>
        </w:tc>
        <w:tc>
          <w:tcPr>
            <w:tcW w:w="6288" w:type="dxa"/>
          </w:tcPr>
          <w:p w14:paraId="02CB25C0" w14:textId="77777777" w:rsidR="00D92E59" w:rsidRPr="007C747A" w:rsidRDefault="00D92E59" w:rsidP="0097092D">
            <w:pPr>
              <w:pStyle w:val="FGCNORMAL"/>
              <w:keepNext/>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Payments to market research organisations in 2022–23</w:t>
            </w:r>
          </w:p>
        </w:tc>
        <w:tc>
          <w:tcPr>
            <w:tcW w:w="1276" w:type="dxa"/>
          </w:tcPr>
          <w:p w14:paraId="4673D938" w14:textId="2842B002" w:rsidR="00D92E59" w:rsidRPr="007C747A" w:rsidRDefault="00675F5D"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105</w:t>
            </w:r>
          </w:p>
        </w:tc>
      </w:tr>
      <w:tr w:rsidR="00D92E59" w:rsidRPr="007C747A" w14:paraId="65F13F2F"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559A783C" w14:textId="77777777" w:rsidR="00D92E59" w:rsidRPr="007C747A" w:rsidRDefault="00D92E59" w:rsidP="0097092D">
            <w:pPr>
              <w:pStyle w:val="Tableformat"/>
              <w:spacing w:line="240" w:lineRule="auto"/>
              <w:rPr>
                <w:rFonts w:eastAsia="DengXian"/>
              </w:rPr>
            </w:pPr>
            <w:r w:rsidRPr="007C747A">
              <w:rPr>
                <w:rFonts w:eastAsia="DengXian"/>
              </w:rPr>
              <w:t>6.10C</w:t>
            </w:r>
          </w:p>
        </w:tc>
        <w:tc>
          <w:tcPr>
            <w:tcW w:w="6288" w:type="dxa"/>
          </w:tcPr>
          <w:p w14:paraId="22037901" w14:textId="77777777" w:rsidR="00D92E59" w:rsidRPr="007C747A" w:rsidRDefault="00D92E59" w:rsidP="0097092D">
            <w:pPr>
              <w:pStyle w:val="FGCNORMAL"/>
              <w:keepNext/>
              <w:ind w:left="0"/>
              <w:cnfStyle w:val="000000000000" w:firstRow="0" w:lastRow="0" w:firstColumn="0" w:lastColumn="0" w:oddVBand="0" w:evenVBand="0" w:oddHBand="0" w:evenHBand="0" w:firstRowFirstColumn="0" w:firstRowLastColumn="0" w:lastRowFirstColumn="0" w:lastRowLastColumn="0"/>
              <w:rPr>
                <w:sz w:val="20"/>
                <w:szCs w:val="20"/>
              </w:rPr>
            </w:pPr>
            <w:r w:rsidRPr="007C747A">
              <w:rPr>
                <w:sz w:val="20"/>
                <w:szCs w:val="20"/>
              </w:rPr>
              <w:t>Payments to polling organisations in 2022–23</w:t>
            </w:r>
          </w:p>
        </w:tc>
        <w:tc>
          <w:tcPr>
            <w:tcW w:w="1276" w:type="dxa"/>
          </w:tcPr>
          <w:p w14:paraId="7A45E1B8" w14:textId="4502D8B8" w:rsidR="00D92E59" w:rsidRPr="007C747A" w:rsidRDefault="00675F5D"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105</w:t>
            </w:r>
          </w:p>
        </w:tc>
      </w:tr>
      <w:tr w:rsidR="00D92E59" w:rsidRPr="007C747A" w14:paraId="4C4C929E"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7311EB47" w14:textId="77777777" w:rsidR="00D92E59" w:rsidRPr="007C747A" w:rsidRDefault="00D92E59" w:rsidP="0097092D">
            <w:pPr>
              <w:pStyle w:val="Tableformat"/>
              <w:spacing w:line="240" w:lineRule="auto"/>
              <w:rPr>
                <w:rFonts w:eastAsia="DengXian"/>
              </w:rPr>
            </w:pPr>
            <w:r w:rsidRPr="007C747A">
              <w:rPr>
                <w:rFonts w:eastAsia="DengXian"/>
              </w:rPr>
              <w:t>6.10D</w:t>
            </w:r>
          </w:p>
        </w:tc>
        <w:tc>
          <w:tcPr>
            <w:tcW w:w="6288" w:type="dxa"/>
          </w:tcPr>
          <w:p w14:paraId="117BF0A4" w14:textId="77777777" w:rsidR="00D92E59" w:rsidRPr="007C747A" w:rsidRDefault="00D92E59" w:rsidP="0097092D">
            <w:pPr>
              <w:pStyle w:val="FGCNORMAL"/>
              <w:keepNext/>
              <w:ind w:left="0"/>
              <w:cnfStyle w:val="000000100000" w:firstRow="0" w:lastRow="0" w:firstColumn="0" w:lastColumn="0" w:oddVBand="0" w:evenVBand="0" w:oddHBand="1" w:evenHBand="0" w:firstRowFirstColumn="0" w:firstRowLastColumn="0" w:lastRowFirstColumn="0" w:lastRowLastColumn="0"/>
              <w:rPr>
                <w:sz w:val="20"/>
                <w:szCs w:val="20"/>
              </w:rPr>
            </w:pPr>
            <w:r w:rsidRPr="007C747A">
              <w:rPr>
                <w:sz w:val="20"/>
                <w:szCs w:val="20"/>
              </w:rPr>
              <w:t>Payments to direct mail organisations in 2022–23</w:t>
            </w:r>
          </w:p>
        </w:tc>
        <w:tc>
          <w:tcPr>
            <w:tcW w:w="1276" w:type="dxa"/>
          </w:tcPr>
          <w:p w14:paraId="5ACB8224" w14:textId="45798257" w:rsidR="00D92E59" w:rsidRPr="007C747A" w:rsidRDefault="0013151B"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106</w:t>
            </w:r>
          </w:p>
        </w:tc>
      </w:tr>
      <w:tr w:rsidR="00D92E59" w:rsidRPr="007C747A" w14:paraId="2BCA231F"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30A194AF" w14:textId="77777777" w:rsidR="00D92E59" w:rsidRPr="007C747A" w:rsidRDefault="00D92E59" w:rsidP="0097092D">
            <w:pPr>
              <w:pStyle w:val="Tableformat"/>
              <w:spacing w:line="240" w:lineRule="auto"/>
              <w:rPr>
                <w:rFonts w:eastAsia="DengXian"/>
              </w:rPr>
            </w:pPr>
            <w:r w:rsidRPr="007C747A">
              <w:rPr>
                <w:rFonts w:eastAsia="DengXian"/>
              </w:rPr>
              <w:t>6.10E</w:t>
            </w:r>
          </w:p>
        </w:tc>
        <w:tc>
          <w:tcPr>
            <w:tcW w:w="6288" w:type="dxa"/>
          </w:tcPr>
          <w:p w14:paraId="41D1DCE2" w14:textId="77777777" w:rsidR="00D92E59" w:rsidRPr="007C747A" w:rsidRDefault="00D92E59"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pPr>
            <w:r w:rsidRPr="007C747A">
              <w:t>Payments to direct media advertising organisations in 2022–23</w:t>
            </w:r>
          </w:p>
        </w:tc>
        <w:tc>
          <w:tcPr>
            <w:tcW w:w="1276" w:type="dxa"/>
          </w:tcPr>
          <w:p w14:paraId="2B13A5BE" w14:textId="096942CA" w:rsidR="00D92E59" w:rsidRPr="007C747A" w:rsidRDefault="0013151B"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106</w:t>
            </w:r>
          </w:p>
        </w:tc>
      </w:tr>
      <w:tr w:rsidR="00D92E59" w:rsidRPr="007C747A" w14:paraId="1353FCE0"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tcPr>
          <w:p w14:paraId="04B21F7A" w14:textId="77777777" w:rsidR="00D92E59" w:rsidRPr="007C747A" w:rsidRDefault="00D92E59" w:rsidP="0097092D">
            <w:pPr>
              <w:pStyle w:val="Tableformat"/>
              <w:spacing w:line="240" w:lineRule="auto"/>
              <w:rPr>
                <w:rFonts w:eastAsia="DengXian"/>
              </w:rPr>
            </w:pPr>
            <w:r w:rsidRPr="007C747A">
              <w:rPr>
                <w:rFonts w:eastAsia="DengXian"/>
              </w:rPr>
              <w:t>6.11.1A</w:t>
            </w:r>
          </w:p>
        </w:tc>
        <w:tc>
          <w:tcPr>
            <w:tcW w:w="6288" w:type="dxa"/>
          </w:tcPr>
          <w:p w14:paraId="406E3C2D" w14:textId="77777777" w:rsidR="00D92E59" w:rsidRPr="007C747A" w:rsidRDefault="00D92E59"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t>Greenhouse gas emissions inventory – location-based method</w:t>
            </w:r>
          </w:p>
        </w:tc>
        <w:tc>
          <w:tcPr>
            <w:tcW w:w="1276" w:type="dxa"/>
          </w:tcPr>
          <w:p w14:paraId="60074E4E" w14:textId="7F99B473" w:rsidR="00D92E59" w:rsidRPr="007C747A" w:rsidRDefault="0013151B" w:rsidP="0097092D">
            <w:pPr>
              <w:pStyle w:val="Tableformat"/>
              <w:spacing w:line="240" w:lineRule="auto"/>
              <w:cnfStyle w:val="000000100000" w:firstRow="0" w:lastRow="0" w:firstColumn="0" w:lastColumn="0" w:oddVBand="0" w:evenVBand="0" w:oddHBand="1" w:evenHBand="0" w:firstRowFirstColumn="0" w:firstRowLastColumn="0" w:lastRowFirstColumn="0" w:lastRowLastColumn="0"/>
              <w:rPr>
                <w:rFonts w:eastAsia="DengXian"/>
              </w:rPr>
            </w:pPr>
            <w:r w:rsidRPr="007C747A">
              <w:rPr>
                <w:rFonts w:eastAsia="DengXian"/>
              </w:rPr>
              <w:t>107</w:t>
            </w:r>
          </w:p>
        </w:tc>
      </w:tr>
      <w:tr w:rsidR="00D92E59" w:rsidRPr="007C747A" w14:paraId="65C2A4C2" w14:textId="77777777" w:rsidTr="0097092D">
        <w:tc>
          <w:tcPr>
            <w:cnfStyle w:val="001000000000" w:firstRow="0" w:lastRow="0" w:firstColumn="1" w:lastColumn="0" w:oddVBand="0" w:evenVBand="0" w:oddHBand="0" w:evenHBand="0" w:firstRowFirstColumn="0" w:firstRowLastColumn="0" w:lastRowFirstColumn="0" w:lastRowLastColumn="0"/>
            <w:tcW w:w="1367" w:type="dxa"/>
          </w:tcPr>
          <w:p w14:paraId="1818DE7E" w14:textId="77777777" w:rsidR="00D92E59" w:rsidRPr="007C747A" w:rsidRDefault="00D92E59" w:rsidP="0097092D">
            <w:pPr>
              <w:pStyle w:val="Tableformat"/>
              <w:spacing w:line="240" w:lineRule="auto"/>
              <w:rPr>
                <w:rFonts w:eastAsia="DengXian"/>
              </w:rPr>
            </w:pPr>
            <w:r w:rsidRPr="007C747A">
              <w:rPr>
                <w:rFonts w:eastAsia="DengXian"/>
              </w:rPr>
              <w:t>6.11.1B</w:t>
            </w:r>
          </w:p>
        </w:tc>
        <w:tc>
          <w:tcPr>
            <w:tcW w:w="6288" w:type="dxa"/>
          </w:tcPr>
          <w:p w14:paraId="0D1C3555" w14:textId="77777777" w:rsidR="00D92E59" w:rsidRPr="007C747A" w:rsidRDefault="00D92E59"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lang w:eastAsia="en-AU"/>
              </w:rPr>
              <w:t>Greenhouse gas emissions inventory – market-based method</w:t>
            </w:r>
          </w:p>
        </w:tc>
        <w:tc>
          <w:tcPr>
            <w:tcW w:w="1276" w:type="dxa"/>
          </w:tcPr>
          <w:p w14:paraId="0E36C224" w14:textId="04781B44" w:rsidR="00D92E59" w:rsidRPr="007C747A" w:rsidRDefault="0013151B" w:rsidP="0097092D">
            <w:pPr>
              <w:pStyle w:val="Tableformat"/>
              <w:spacing w:line="240" w:lineRule="auto"/>
              <w:cnfStyle w:val="000000000000" w:firstRow="0" w:lastRow="0" w:firstColumn="0" w:lastColumn="0" w:oddVBand="0" w:evenVBand="0" w:oddHBand="0" w:evenHBand="0" w:firstRowFirstColumn="0" w:firstRowLastColumn="0" w:lastRowFirstColumn="0" w:lastRowLastColumn="0"/>
              <w:rPr>
                <w:rFonts w:eastAsia="DengXian"/>
              </w:rPr>
            </w:pPr>
            <w:r w:rsidRPr="007C747A">
              <w:rPr>
                <w:rFonts w:eastAsia="DengXian"/>
              </w:rPr>
              <w:t>107</w:t>
            </w:r>
          </w:p>
        </w:tc>
      </w:tr>
    </w:tbl>
    <w:p w14:paraId="44AC184E" w14:textId="77777777" w:rsidR="00C35027" w:rsidRPr="007C747A" w:rsidRDefault="00C35027">
      <w:pPr>
        <w:spacing w:after="0" w:line="240" w:lineRule="auto"/>
        <w:rPr>
          <w:rFonts w:eastAsiaTheme="minorEastAsia" w:cs="Arial"/>
          <w:sz w:val="22"/>
          <w:szCs w:val="22"/>
          <w:lang w:val="en-AU"/>
        </w:rPr>
      </w:pPr>
      <w:r w:rsidRPr="007C747A">
        <w:rPr>
          <w:lang w:val="en-AU"/>
        </w:rPr>
        <w:br w:type="page"/>
      </w:r>
    </w:p>
    <w:p w14:paraId="20DF07F7" w14:textId="36ECC3D7" w:rsidR="004B4851" w:rsidRPr="007C747A" w:rsidRDefault="00C03E72" w:rsidP="00C03E72">
      <w:pPr>
        <w:pStyle w:val="FGCHEADING2"/>
      </w:pPr>
      <w:bookmarkStart w:id="954" w:name="_Toc148108446"/>
      <w:r w:rsidRPr="007C747A">
        <w:t>Figures Index</w:t>
      </w:r>
      <w:bookmarkEnd w:id="954"/>
    </w:p>
    <w:tbl>
      <w:tblPr>
        <w:tblStyle w:val="GridTable2-Accent312"/>
        <w:tblW w:w="0" w:type="auto"/>
        <w:tblInd w:w="567" w:type="dxa"/>
        <w:tblLook w:val="04A0" w:firstRow="1" w:lastRow="0" w:firstColumn="1" w:lastColumn="0" w:noHBand="0" w:noVBand="1"/>
        <w:tblCaption w:val="Figures (index)"/>
        <w:tblDescription w:val="This is an index of figures that are included in the annual report with the relevant page number."/>
      </w:tblPr>
      <w:tblGrid>
        <w:gridCol w:w="1418"/>
        <w:gridCol w:w="6520"/>
        <w:gridCol w:w="989"/>
      </w:tblGrid>
      <w:tr w:rsidR="00A46C49" w:rsidRPr="007C747A" w14:paraId="73DDBBB2" w14:textId="77777777" w:rsidTr="00C3502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hideMark/>
          </w:tcPr>
          <w:p w14:paraId="6D828980" w14:textId="553CAD0C" w:rsidR="00A46C49" w:rsidRPr="007C747A" w:rsidRDefault="00A46C49" w:rsidP="0097092D">
            <w:pPr>
              <w:pStyle w:val="Tableformat"/>
              <w:spacing w:line="240" w:lineRule="auto"/>
            </w:pPr>
            <w:r w:rsidRPr="007C747A">
              <w:t>Figure</w:t>
            </w:r>
          </w:p>
        </w:tc>
        <w:tc>
          <w:tcPr>
            <w:tcW w:w="6520" w:type="dxa"/>
          </w:tcPr>
          <w:p w14:paraId="43E1F1E7" w14:textId="77777777" w:rsidR="00A46C49" w:rsidRPr="007C747A" w:rsidRDefault="00A46C49" w:rsidP="0097092D">
            <w:pPr>
              <w:pStyle w:val="Tableformat"/>
              <w:spacing w:line="240" w:lineRule="auto"/>
              <w:cnfStyle w:val="100000000000" w:firstRow="1" w:lastRow="0" w:firstColumn="0" w:lastColumn="0" w:oddVBand="0" w:evenVBand="0" w:oddHBand="0" w:evenHBand="0" w:firstRowFirstColumn="0" w:firstRowLastColumn="0" w:lastRowFirstColumn="0" w:lastRowLastColumn="0"/>
            </w:pPr>
            <w:r w:rsidRPr="007C747A">
              <w:t>Description</w:t>
            </w:r>
          </w:p>
        </w:tc>
        <w:tc>
          <w:tcPr>
            <w:tcW w:w="989" w:type="dxa"/>
            <w:hideMark/>
          </w:tcPr>
          <w:p w14:paraId="4E0A153E" w14:textId="77777777" w:rsidR="00A46C49" w:rsidRPr="007C747A" w:rsidRDefault="00A46C49" w:rsidP="0097092D">
            <w:pPr>
              <w:pStyle w:val="Tableformat"/>
              <w:spacing w:line="240" w:lineRule="auto"/>
              <w:cnfStyle w:val="100000000000" w:firstRow="1" w:lastRow="0" w:firstColumn="0" w:lastColumn="0" w:oddVBand="0" w:evenVBand="0" w:oddHBand="0" w:evenHBand="0" w:firstRowFirstColumn="0" w:firstRowLastColumn="0" w:lastRowFirstColumn="0" w:lastRowLastColumn="0"/>
              <w:rPr>
                <w:b w:val="0"/>
                <w:bCs w:val="0"/>
              </w:rPr>
            </w:pPr>
            <w:r w:rsidRPr="007C747A">
              <w:t>Page</w:t>
            </w:r>
          </w:p>
        </w:tc>
      </w:tr>
      <w:tr w:rsidR="00A46C49" w:rsidRPr="007C747A" w14:paraId="1C24BDEB"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1C768324" w14:textId="77777777" w:rsidR="00A46C49" w:rsidRPr="007C747A" w:rsidRDefault="00A46C49" w:rsidP="0097092D">
            <w:pPr>
              <w:spacing w:line="240" w:lineRule="auto"/>
              <w:rPr>
                <w:rFonts w:eastAsia="DengXian"/>
                <w:sz w:val="20"/>
                <w:szCs w:val="20"/>
                <w:lang w:val="en-AU"/>
              </w:rPr>
            </w:pPr>
            <w:r w:rsidRPr="007C747A">
              <w:rPr>
                <w:rFonts w:eastAsia="DengXian"/>
                <w:sz w:val="20"/>
                <w:szCs w:val="20"/>
                <w:lang w:val="en-AU"/>
              </w:rPr>
              <w:t>2.1A</w:t>
            </w:r>
          </w:p>
        </w:tc>
        <w:tc>
          <w:tcPr>
            <w:tcW w:w="6520" w:type="dxa"/>
          </w:tcPr>
          <w:p w14:paraId="0991D014" w14:textId="77777777" w:rsidR="00A46C49" w:rsidRPr="007C747A" w:rsidRDefault="00A46C49" w:rsidP="0097092D">
            <w:pPr>
              <w:spacing w:line="240" w:lineRule="auto"/>
              <w:cnfStyle w:val="000000100000" w:firstRow="0" w:lastRow="0" w:firstColumn="0" w:lastColumn="0" w:oddVBand="0" w:evenVBand="0" w:oddHBand="1" w:evenHBand="0" w:firstRowFirstColumn="0" w:firstRowLastColumn="0" w:lastRowFirstColumn="0" w:lastRowLastColumn="0"/>
              <w:rPr>
                <w:rFonts w:eastAsia="DengXian"/>
                <w:sz w:val="20"/>
                <w:szCs w:val="20"/>
                <w:lang w:val="en-AU"/>
              </w:rPr>
            </w:pPr>
            <w:r w:rsidRPr="007C747A">
              <w:rPr>
                <w:rFonts w:eastAsia="DengXian"/>
                <w:sz w:val="20"/>
                <w:szCs w:val="20"/>
                <w:lang w:val="en-AU"/>
              </w:rPr>
              <w:t>Commonwealth Performance Framework</w:t>
            </w:r>
          </w:p>
        </w:tc>
        <w:tc>
          <w:tcPr>
            <w:tcW w:w="989" w:type="dxa"/>
          </w:tcPr>
          <w:p w14:paraId="39E83422" w14:textId="58F33DE9" w:rsidR="00A46C49" w:rsidRPr="007C747A" w:rsidRDefault="004926E6" w:rsidP="0097092D">
            <w:pPr>
              <w:spacing w:line="240" w:lineRule="auto"/>
              <w:cnfStyle w:val="000000100000" w:firstRow="0" w:lastRow="0" w:firstColumn="0" w:lastColumn="0" w:oddVBand="0" w:evenVBand="0" w:oddHBand="1" w:evenHBand="0" w:firstRowFirstColumn="0" w:firstRowLastColumn="0" w:lastRowFirstColumn="0" w:lastRowLastColumn="0"/>
              <w:rPr>
                <w:rFonts w:eastAsia="DengXian"/>
                <w:sz w:val="20"/>
                <w:szCs w:val="20"/>
                <w:lang w:val="en-AU"/>
              </w:rPr>
            </w:pPr>
            <w:r w:rsidRPr="007C747A">
              <w:rPr>
                <w:rFonts w:eastAsia="DengXian"/>
                <w:sz w:val="20"/>
                <w:szCs w:val="20"/>
                <w:lang w:val="en-AU"/>
              </w:rPr>
              <w:t>12</w:t>
            </w:r>
          </w:p>
        </w:tc>
      </w:tr>
      <w:tr w:rsidR="00A46C49" w:rsidRPr="007C747A" w14:paraId="7FA45025" w14:textId="77777777" w:rsidTr="0097092D">
        <w:tc>
          <w:tcPr>
            <w:cnfStyle w:val="001000000000" w:firstRow="0" w:lastRow="0" w:firstColumn="1" w:lastColumn="0" w:oddVBand="0" w:evenVBand="0" w:oddHBand="0" w:evenHBand="0" w:firstRowFirstColumn="0" w:firstRowLastColumn="0" w:lastRowFirstColumn="0" w:lastRowLastColumn="0"/>
            <w:tcW w:w="1418" w:type="dxa"/>
          </w:tcPr>
          <w:p w14:paraId="48969160" w14:textId="77777777" w:rsidR="00A46C49" w:rsidRPr="007C747A" w:rsidRDefault="00A46C49" w:rsidP="0097092D">
            <w:pPr>
              <w:spacing w:line="240" w:lineRule="auto"/>
              <w:rPr>
                <w:rFonts w:eastAsia="DengXian"/>
                <w:sz w:val="20"/>
                <w:szCs w:val="20"/>
                <w:lang w:val="en-AU"/>
              </w:rPr>
            </w:pPr>
            <w:r w:rsidRPr="007C747A">
              <w:rPr>
                <w:rFonts w:eastAsia="DengXian"/>
                <w:sz w:val="20"/>
                <w:szCs w:val="20"/>
                <w:lang w:val="en-AU"/>
              </w:rPr>
              <w:t>5.1A</w:t>
            </w:r>
          </w:p>
        </w:tc>
        <w:tc>
          <w:tcPr>
            <w:tcW w:w="6520" w:type="dxa"/>
          </w:tcPr>
          <w:p w14:paraId="5353E1C5" w14:textId="77777777" w:rsidR="00A46C49" w:rsidRPr="007C747A" w:rsidRDefault="00A46C49" w:rsidP="0097092D">
            <w:pPr>
              <w:spacing w:line="240" w:lineRule="auto"/>
              <w:cnfStyle w:val="000000000000" w:firstRow="0" w:lastRow="0" w:firstColumn="0" w:lastColumn="0" w:oddVBand="0" w:evenVBand="0" w:oddHBand="0" w:evenHBand="0" w:firstRowFirstColumn="0" w:firstRowLastColumn="0" w:lastRowFirstColumn="0" w:lastRowLastColumn="0"/>
              <w:rPr>
                <w:rFonts w:eastAsia="DengXian"/>
                <w:sz w:val="20"/>
                <w:szCs w:val="20"/>
                <w:lang w:val="en-AU"/>
              </w:rPr>
            </w:pPr>
            <w:r w:rsidRPr="007C747A">
              <w:rPr>
                <w:rFonts w:eastAsia="DengXian"/>
                <w:sz w:val="20"/>
                <w:szCs w:val="20"/>
                <w:lang w:val="en-AU"/>
              </w:rPr>
              <w:t>Agency governance diagram</w:t>
            </w:r>
          </w:p>
        </w:tc>
        <w:tc>
          <w:tcPr>
            <w:tcW w:w="989" w:type="dxa"/>
          </w:tcPr>
          <w:p w14:paraId="540930DC" w14:textId="3B4529D3" w:rsidR="00A46C49" w:rsidRPr="007C747A" w:rsidRDefault="008D255E" w:rsidP="0097092D">
            <w:pPr>
              <w:spacing w:line="240" w:lineRule="auto"/>
              <w:cnfStyle w:val="000000000000" w:firstRow="0" w:lastRow="0" w:firstColumn="0" w:lastColumn="0" w:oddVBand="0" w:evenVBand="0" w:oddHBand="0" w:evenHBand="0" w:firstRowFirstColumn="0" w:firstRowLastColumn="0" w:lastRowFirstColumn="0" w:lastRowLastColumn="0"/>
              <w:rPr>
                <w:rFonts w:eastAsia="DengXian"/>
                <w:sz w:val="20"/>
                <w:szCs w:val="20"/>
                <w:lang w:val="en-AU"/>
              </w:rPr>
            </w:pPr>
            <w:r w:rsidRPr="007C747A">
              <w:rPr>
                <w:rFonts w:eastAsia="DengXian"/>
                <w:sz w:val="20"/>
                <w:szCs w:val="20"/>
                <w:lang w:val="en-AU"/>
              </w:rPr>
              <w:t>64</w:t>
            </w:r>
          </w:p>
        </w:tc>
      </w:tr>
      <w:tr w:rsidR="00A46C49" w:rsidRPr="007C747A" w14:paraId="22F1CE87" w14:textId="77777777" w:rsidTr="009709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5DA38EAE" w14:textId="77777777" w:rsidR="00A46C49" w:rsidRPr="007C747A" w:rsidRDefault="00A46C49" w:rsidP="0097092D">
            <w:pPr>
              <w:spacing w:line="240" w:lineRule="auto"/>
              <w:rPr>
                <w:rFonts w:eastAsia="DengXian"/>
                <w:sz w:val="20"/>
                <w:szCs w:val="20"/>
                <w:lang w:val="en-AU"/>
              </w:rPr>
            </w:pPr>
            <w:r w:rsidRPr="007C747A">
              <w:rPr>
                <w:rFonts w:eastAsia="DengXian"/>
                <w:sz w:val="20"/>
                <w:szCs w:val="20"/>
                <w:lang w:val="en-AU"/>
              </w:rPr>
              <w:t>5.4A</w:t>
            </w:r>
          </w:p>
        </w:tc>
        <w:tc>
          <w:tcPr>
            <w:tcW w:w="6520" w:type="dxa"/>
          </w:tcPr>
          <w:p w14:paraId="66A59122" w14:textId="77777777" w:rsidR="00A46C49" w:rsidRPr="007C747A" w:rsidRDefault="00A46C49" w:rsidP="0097092D">
            <w:pPr>
              <w:spacing w:line="240" w:lineRule="auto"/>
              <w:cnfStyle w:val="000000100000" w:firstRow="0" w:lastRow="0" w:firstColumn="0" w:lastColumn="0" w:oddVBand="0" w:evenVBand="0" w:oddHBand="1" w:evenHBand="0" w:firstRowFirstColumn="0" w:firstRowLastColumn="0" w:lastRowFirstColumn="0" w:lastRowLastColumn="0"/>
              <w:rPr>
                <w:rFonts w:eastAsia="DengXian"/>
                <w:sz w:val="20"/>
                <w:szCs w:val="20"/>
                <w:lang w:val="en-AU"/>
              </w:rPr>
            </w:pPr>
            <w:r w:rsidRPr="007C747A">
              <w:rPr>
                <w:rFonts w:eastAsia="DengXian"/>
                <w:sz w:val="20"/>
                <w:szCs w:val="20"/>
                <w:lang w:val="en-AU"/>
              </w:rPr>
              <w:t>Agency organisation structure</w:t>
            </w:r>
          </w:p>
        </w:tc>
        <w:tc>
          <w:tcPr>
            <w:tcW w:w="989" w:type="dxa"/>
          </w:tcPr>
          <w:p w14:paraId="78BDC314" w14:textId="42C0A6EC" w:rsidR="00A46C49" w:rsidRPr="007C747A" w:rsidRDefault="008D255E" w:rsidP="0097092D">
            <w:pPr>
              <w:spacing w:line="240" w:lineRule="auto"/>
              <w:cnfStyle w:val="000000100000" w:firstRow="0" w:lastRow="0" w:firstColumn="0" w:lastColumn="0" w:oddVBand="0" w:evenVBand="0" w:oddHBand="1" w:evenHBand="0" w:firstRowFirstColumn="0" w:firstRowLastColumn="0" w:lastRowFirstColumn="0" w:lastRowLastColumn="0"/>
              <w:rPr>
                <w:rFonts w:eastAsia="DengXian"/>
                <w:sz w:val="20"/>
                <w:szCs w:val="20"/>
                <w:lang w:val="en-AU"/>
              </w:rPr>
            </w:pPr>
            <w:r w:rsidRPr="007C747A">
              <w:rPr>
                <w:rFonts w:eastAsia="DengXian"/>
                <w:sz w:val="20"/>
                <w:szCs w:val="20"/>
                <w:lang w:val="en-AU"/>
              </w:rPr>
              <w:t>77</w:t>
            </w:r>
          </w:p>
        </w:tc>
      </w:tr>
    </w:tbl>
    <w:p w14:paraId="59C7FC03" w14:textId="109B6C18" w:rsidR="003A6A3A" w:rsidRPr="007C747A" w:rsidRDefault="003A6A3A">
      <w:pPr>
        <w:spacing w:after="0" w:line="240" w:lineRule="auto"/>
        <w:rPr>
          <w:rFonts w:eastAsiaTheme="minorEastAsia" w:cs="Arial"/>
          <w:sz w:val="22"/>
          <w:szCs w:val="22"/>
          <w:lang w:val="en-AU"/>
        </w:rPr>
      </w:pPr>
    </w:p>
    <w:p w14:paraId="6FA898DA" w14:textId="77777777" w:rsidR="00FF527E" w:rsidRPr="007C747A" w:rsidRDefault="00FF527E" w:rsidP="00FF527E">
      <w:pPr>
        <w:pageBreakBefore/>
        <w:spacing w:before="240" w:after="120"/>
        <w:outlineLvl w:val="0"/>
        <w:rPr>
          <w:rFonts w:eastAsia="Georgia" w:cs="Arial"/>
          <w:b/>
          <w:color w:val="6B2976"/>
          <w:sz w:val="36"/>
          <w:szCs w:val="48"/>
          <w:lang w:val="en-AU" w:eastAsia="en-US"/>
        </w:rPr>
      </w:pPr>
      <w:r w:rsidRPr="007C747A">
        <w:rPr>
          <w:rFonts w:eastAsia="Georgia" w:cs="Arial"/>
          <w:b/>
          <w:color w:val="6B2976"/>
          <w:sz w:val="36"/>
          <w:szCs w:val="48"/>
          <w:lang w:val="en-AU" w:eastAsia="en-US"/>
        </w:rPr>
        <w:t>Disclaimer</w:t>
      </w:r>
    </w:p>
    <w:p w14:paraId="7B6EDB6E" w14:textId="77777777" w:rsidR="000420D0" w:rsidRPr="007C747A" w:rsidRDefault="000420D0" w:rsidP="000420D0">
      <w:pPr>
        <w:rPr>
          <w:lang w:val="en-AU"/>
        </w:rPr>
      </w:pPr>
      <w:r w:rsidRPr="007C747A">
        <w:rPr>
          <w:lang w:val="en-AU"/>
        </w:rPr>
        <w:t>The material in this document, with the exception of logos, trademarks, third party materials and other content as specified is licensed under Creative CC-BY-NC-ND licence, version 4.0 International. You may share, copy and redistribute the document in any format. You must acknowledge the National Disability Insurance Agency as the owner of all property rights in the reproduced material by using ‘© National Disability Insurance Agency' and you must not use the material for commercial purposes.</w:t>
      </w:r>
    </w:p>
    <w:p w14:paraId="6A200CA7" w14:textId="2F835F46" w:rsidR="00B55F08" w:rsidRPr="007C747A" w:rsidRDefault="000420D0" w:rsidP="000420D0">
      <w:pPr>
        <w:rPr>
          <w:lang w:val="en-AU"/>
        </w:rPr>
      </w:pPr>
      <w:r w:rsidRPr="007C747A">
        <w:rPr>
          <w:lang w:val="en-AU"/>
        </w:rPr>
        <w:t>If you remix, transform or build upon the material contained in this document, you must not distribute the modified material.</w:t>
      </w:r>
    </w:p>
    <w:p w14:paraId="1DBD54B0" w14:textId="77777777" w:rsidR="009A4CD8" w:rsidRPr="007C747A" w:rsidRDefault="009A4CD8" w:rsidP="009A4CD8">
      <w:pPr>
        <w:rPr>
          <w:rFonts w:eastAsiaTheme="minorEastAsia" w:cs="Arial"/>
          <w:sz w:val="22"/>
          <w:szCs w:val="22"/>
          <w:lang w:val="en-AU"/>
        </w:rPr>
      </w:pPr>
      <w:r w:rsidRPr="007C747A">
        <w:rPr>
          <w:rFonts w:eastAsiaTheme="minorEastAsia" w:cs="Arial"/>
          <w:noProof/>
          <w:sz w:val="22"/>
          <w:szCs w:val="22"/>
          <w:lang w:val="en-AU"/>
        </w:rPr>
        <w:drawing>
          <wp:inline distT="0" distB="0" distL="0" distR="0" wp14:anchorId="5B15C568" wp14:editId="70188A21">
            <wp:extent cx="1247775" cy="495300"/>
            <wp:effectExtent l="0" t="0" r="9525" b="0"/>
            <wp:docPr id="819460184" name="Picture 1" descr="Creative CC-BY-NC-ND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60184" name="Picture 1" descr="Creative CC-BY-NC-ND licence"/>
                    <pic:cNvPicPr/>
                  </pic:nvPicPr>
                  <pic:blipFill rotWithShape="1">
                    <a:blip r:embed="rId72" cstate="print">
                      <a:extLst>
                        <a:ext uri="{28A0092B-C50C-407E-A947-70E740481C1C}">
                          <a14:useLocalDpi xmlns:a14="http://schemas.microsoft.com/office/drawing/2010/main" val="0"/>
                        </a:ext>
                      </a:extLst>
                    </a:blip>
                    <a:srcRect/>
                    <a:stretch/>
                  </pic:blipFill>
                  <pic:spPr bwMode="auto">
                    <a:xfrm>
                      <a:off x="0" y="0"/>
                      <a:ext cx="1247775" cy="495300"/>
                    </a:xfrm>
                    <a:prstGeom prst="rect">
                      <a:avLst/>
                    </a:prstGeom>
                    <a:ln>
                      <a:noFill/>
                    </a:ln>
                    <a:extLst>
                      <a:ext uri="{53640926-AAD7-44D8-BBD7-CCE9431645EC}">
                        <a14:shadowObscured xmlns:a14="http://schemas.microsoft.com/office/drawing/2010/main"/>
                      </a:ext>
                    </a:extLst>
                  </pic:spPr>
                </pic:pic>
              </a:graphicData>
            </a:graphic>
          </wp:inline>
        </w:drawing>
      </w:r>
    </w:p>
    <w:p w14:paraId="26213BEF" w14:textId="69B69D4C" w:rsidR="00F25DEA" w:rsidRPr="007C747A" w:rsidRDefault="00F25DEA" w:rsidP="009A4CD8">
      <w:pPr>
        <w:rPr>
          <w:rFonts w:eastAsiaTheme="minorEastAsia" w:cs="Arial"/>
          <w:sz w:val="22"/>
          <w:szCs w:val="22"/>
          <w:lang w:val="en-AU"/>
        </w:rPr>
      </w:pPr>
      <w:r w:rsidRPr="007C747A">
        <w:rPr>
          <w:rFonts w:eastAsiaTheme="minorEastAsia" w:cs="Arial"/>
          <w:sz w:val="22"/>
          <w:szCs w:val="22"/>
          <w:lang w:val="en-AU"/>
        </w:rPr>
        <w:br w:type="page"/>
      </w:r>
    </w:p>
    <w:p w14:paraId="0070261B" w14:textId="77777777" w:rsidR="00454AC6" w:rsidRDefault="00454AC6" w:rsidP="00454AC6">
      <w:pPr>
        <w:pStyle w:val="FGCNORMAL"/>
        <w:spacing w:before="840"/>
      </w:pPr>
    </w:p>
    <w:p w14:paraId="450CFFCD" w14:textId="007AC1F9" w:rsidR="00454AC6" w:rsidRDefault="000F3390" w:rsidP="00454AC6">
      <w:pPr>
        <w:pStyle w:val="FGCNORMAL"/>
        <w:spacing w:before="1200"/>
      </w:pPr>
      <w:r w:rsidRPr="007C747A">
        <w:rPr>
          <w:noProof/>
        </w:rPr>
        <w:drawing>
          <wp:inline distT="0" distB="0" distL="0" distR="0" wp14:anchorId="0256D81F" wp14:editId="03453F3E">
            <wp:extent cx="1222375" cy="656057"/>
            <wp:effectExtent l="0" t="0" r="0" b="0"/>
            <wp:docPr id="2" name="Picture 2" descr="NDIS, delivered by the National Disability Insurance Agenc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DIS, delivered by the National Disability Insurance Agency">
                      <a:extLst>
                        <a:ext uri="{C183D7F6-B498-43B3-948B-1728B52AA6E4}">
                          <adec:decorative xmlns:adec="http://schemas.microsoft.com/office/drawing/2017/decorative" val="0"/>
                        </a:ext>
                      </a:extLst>
                    </pic:cNvPr>
                    <pic:cNvPicPr/>
                  </pic:nvPicPr>
                  <pic:blipFill rotWithShape="1">
                    <a:blip r:embed="rId73" cstate="print">
                      <a:extLst>
                        <a:ext uri="{28A0092B-C50C-407E-A947-70E740481C1C}">
                          <a14:useLocalDpi xmlns:a14="http://schemas.microsoft.com/office/drawing/2010/main" val="0"/>
                        </a:ext>
                      </a:extLst>
                    </a:blip>
                    <a:srcRect l="4570" t="7800" r="4025" b="12933"/>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39739A51" w14:textId="38ED7D93" w:rsidR="003A6A3A" w:rsidRPr="00454AC6" w:rsidRDefault="00A21E0D" w:rsidP="003A6A3A">
      <w:pPr>
        <w:pStyle w:val="FGCNORMAL"/>
        <w:rPr>
          <w:b/>
          <w:bCs/>
        </w:rPr>
      </w:pPr>
      <w:hyperlink r:id="rId74" w:history="1">
        <w:r w:rsidR="000F3390" w:rsidRPr="00454AC6">
          <w:rPr>
            <w:rStyle w:val="Hyperlink"/>
            <w:b/>
            <w:bCs/>
          </w:rPr>
          <w:t>n</w:t>
        </w:r>
        <w:r w:rsidR="00FF527E" w:rsidRPr="00454AC6">
          <w:rPr>
            <w:rStyle w:val="Hyperlink"/>
            <w:b/>
            <w:bCs/>
          </w:rPr>
          <w:t>dis.gov.au</w:t>
        </w:r>
      </w:hyperlink>
    </w:p>
    <w:p w14:paraId="09AFB851" w14:textId="77777777" w:rsidR="000F3390" w:rsidRPr="00454AC6" w:rsidRDefault="000F3390" w:rsidP="003A6A3A">
      <w:pPr>
        <w:pStyle w:val="FGCNORMAL"/>
        <w:rPr>
          <w:b/>
          <w:bCs/>
        </w:rPr>
        <w:sectPr w:rsidR="000F3390" w:rsidRPr="00454AC6" w:rsidSect="004C2887">
          <w:headerReference w:type="default" r:id="rId75"/>
          <w:footnotePr>
            <w:numRestart w:val="eachPage"/>
          </w:footnotePr>
          <w:pgSz w:w="11907" w:h="16840" w:code="9"/>
          <w:pgMar w:top="1021" w:right="1440" w:bottom="1134" w:left="964" w:header="0" w:footer="0" w:gutter="0"/>
          <w:cols w:space="708"/>
          <w:titlePg/>
          <w:docGrid w:linePitch="360"/>
        </w:sectPr>
      </w:pPr>
    </w:p>
    <w:p w14:paraId="44E65911" w14:textId="50167C69" w:rsidR="00FF527E" w:rsidRPr="000F3390" w:rsidRDefault="00FF527E" w:rsidP="003A6A3A">
      <w:pPr>
        <w:pStyle w:val="FGCNORMAL"/>
        <w:rPr>
          <w:b/>
          <w:bCs/>
        </w:rPr>
      </w:pPr>
      <w:r w:rsidRPr="000F3390">
        <w:rPr>
          <w:b/>
          <w:bCs/>
        </w:rPr>
        <w:t>National Disability Insurance Agency</w:t>
      </w:r>
    </w:p>
    <w:p w14:paraId="67F8C9DB" w14:textId="3F33F2C0" w:rsidR="00FF527E" w:rsidRDefault="00FF527E" w:rsidP="003A6A3A">
      <w:pPr>
        <w:pStyle w:val="FGCNORMAL"/>
      </w:pPr>
      <w:r>
        <w:t>Telephone: 1800 800 110</w:t>
      </w:r>
    </w:p>
    <w:p w14:paraId="46F48AA3" w14:textId="785F69B4" w:rsidR="00FF527E" w:rsidRPr="00B74C35" w:rsidRDefault="00FF527E" w:rsidP="003A6A3A">
      <w:pPr>
        <w:pStyle w:val="FGCNORMAL"/>
        <w:rPr>
          <w:color w:val="6B2876" w:themeColor="text1"/>
        </w:rPr>
      </w:pPr>
      <w:r>
        <w:t xml:space="preserve">Webchat </w:t>
      </w:r>
      <w:hyperlink r:id="rId76" w:history="1">
        <w:r w:rsidRPr="00B74C35">
          <w:rPr>
            <w:rStyle w:val="Hyperlink"/>
          </w:rPr>
          <w:t>ndis.gov.au</w:t>
        </w:r>
      </w:hyperlink>
    </w:p>
    <w:p w14:paraId="479EA565" w14:textId="1294862A" w:rsidR="000F3390" w:rsidRDefault="00FF527E" w:rsidP="00454AC6">
      <w:pPr>
        <w:pStyle w:val="FGCNORMAL"/>
        <w:spacing w:before="360"/>
        <w:rPr>
          <w:b/>
          <w:bCs/>
        </w:rPr>
      </w:pPr>
      <w:r w:rsidRPr="000F3390">
        <w:rPr>
          <w:b/>
          <w:bCs/>
        </w:rPr>
        <w:t>Follow us on our social channels</w:t>
      </w:r>
    </w:p>
    <w:p w14:paraId="66EBC3A9" w14:textId="53A0D3F2" w:rsidR="000F3390" w:rsidRPr="00B74C35" w:rsidRDefault="00A21E0D" w:rsidP="003A6A3A">
      <w:pPr>
        <w:pStyle w:val="FGCNORMAL"/>
        <w:rPr>
          <w:color w:val="6B2876" w:themeColor="text1"/>
        </w:rPr>
      </w:pPr>
      <w:hyperlink r:id="rId77" w:history="1">
        <w:r w:rsidR="000F3390" w:rsidRPr="00B74C35">
          <w:rPr>
            <w:rStyle w:val="Hyperlink"/>
          </w:rPr>
          <w:t>Facebook</w:t>
        </w:r>
      </w:hyperlink>
    </w:p>
    <w:p w14:paraId="1F59CD3D" w14:textId="052E50CD" w:rsidR="000F3390" w:rsidRPr="00B74C35" w:rsidRDefault="00A21E0D" w:rsidP="003A6A3A">
      <w:pPr>
        <w:pStyle w:val="FGCNORMAL"/>
        <w:rPr>
          <w:color w:val="6B2876" w:themeColor="text1"/>
        </w:rPr>
      </w:pPr>
      <w:hyperlink r:id="rId78" w:history="1">
        <w:r w:rsidR="000F3390" w:rsidRPr="00B74C35">
          <w:rPr>
            <w:rStyle w:val="Hyperlink"/>
          </w:rPr>
          <w:t>Twitter</w:t>
        </w:r>
      </w:hyperlink>
    </w:p>
    <w:p w14:paraId="477069F4" w14:textId="35391FCC" w:rsidR="000F3390" w:rsidRPr="00B74C35" w:rsidRDefault="00A21E0D" w:rsidP="003A6A3A">
      <w:pPr>
        <w:pStyle w:val="FGCNORMAL"/>
        <w:rPr>
          <w:color w:val="6B2876" w:themeColor="text1"/>
        </w:rPr>
      </w:pPr>
      <w:hyperlink r:id="rId79" w:history="1">
        <w:r w:rsidR="000F3390" w:rsidRPr="00B74C35">
          <w:rPr>
            <w:rStyle w:val="Hyperlink"/>
          </w:rPr>
          <w:t>Instagram</w:t>
        </w:r>
      </w:hyperlink>
    </w:p>
    <w:p w14:paraId="758D29DA" w14:textId="3CF5FFF5" w:rsidR="000F3390" w:rsidRPr="00B74C35" w:rsidRDefault="00A21E0D" w:rsidP="003A6A3A">
      <w:pPr>
        <w:pStyle w:val="FGCNORMAL"/>
        <w:rPr>
          <w:color w:val="6B2876" w:themeColor="text1"/>
        </w:rPr>
      </w:pPr>
      <w:hyperlink r:id="rId80" w:history="1">
        <w:r w:rsidR="000F3390" w:rsidRPr="00B74C35">
          <w:rPr>
            <w:rStyle w:val="Hyperlink"/>
          </w:rPr>
          <w:t>YouTube</w:t>
        </w:r>
      </w:hyperlink>
    </w:p>
    <w:p w14:paraId="3ED78F22" w14:textId="470FC617" w:rsidR="000F3390" w:rsidRPr="00B74C35" w:rsidRDefault="00A21E0D" w:rsidP="003A6A3A">
      <w:pPr>
        <w:pStyle w:val="FGCNORMAL"/>
        <w:rPr>
          <w:color w:val="6B2876" w:themeColor="text1"/>
        </w:rPr>
      </w:pPr>
      <w:hyperlink r:id="rId81" w:history="1">
        <w:r w:rsidR="000F3390" w:rsidRPr="00B74C35">
          <w:rPr>
            <w:rStyle w:val="Hyperlink"/>
          </w:rPr>
          <w:t>LinkedIn</w:t>
        </w:r>
      </w:hyperlink>
    </w:p>
    <w:p w14:paraId="200E7257" w14:textId="66B1A1F2" w:rsidR="00FF527E" w:rsidRPr="000F3390" w:rsidRDefault="000F3390" w:rsidP="003A6A3A">
      <w:pPr>
        <w:pStyle w:val="FGCNORMAL"/>
        <w:rPr>
          <w:b/>
          <w:bCs/>
        </w:rPr>
      </w:pPr>
      <w:r>
        <w:br w:type="column"/>
      </w:r>
      <w:r w:rsidR="00FF527E" w:rsidRPr="000F3390">
        <w:rPr>
          <w:b/>
          <w:bCs/>
        </w:rPr>
        <w:t>For people who need help with English</w:t>
      </w:r>
    </w:p>
    <w:p w14:paraId="2AD13217" w14:textId="49F53C07" w:rsidR="00FF527E" w:rsidRDefault="00FF527E" w:rsidP="003A6A3A">
      <w:pPr>
        <w:pStyle w:val="FGCNORMAL"/>
      </w:pPr>
      <w:r>
        <w:t>TIS: 131 450</w:t>
      </w:r>
    </w:p>
    <w:p w14:paraId="600CB6BA" w14:textId="14B9B715" w:rsidR="00FF527E" w:rsidRPr="000F3390" w:rsidRDefault="00FF527E" w:rsidP="00454AC6">
      <w:pPr>
        <w:pStyle w:val="FGCNORMAL"/>
        <w:spacing w:before="360"/>
        <w:rPr>
          <w:b/>
          <w:bCs/>
        </w:rPr>
      </w:pPr>
      <w:r w:rsidRPr="000F3390">
        <w:rPr>
          <w:b/>
          <w:bCs/>
        </w:rPr>
        <w:t>For people who are deaf or hard of hearing</w:t>
      </w:r>
    </w:p>
    <w:p w14:paraId="33B15E5F" w14:textId="2987137A" w:rsidR="00FF527E" w:rsidRDefault="00FF527E" w:rsidP="003A6A3A">
      <w:pPr>
        <w:pStyle w:val="FGCNORMAL"/>
      </w:pPr>
      <w:r>
        <w:t>TTY: 1800 555 677</w:t>
      </w:r>
    </w:p>
    <w:p w14:paraId="3E02E80B" w14:textId="01379B5E" w:rsidR="00FF527E" w:rsidRDefault="00FF527E" w:rsidP="003A6A3A">
      <w:pPr>
        <w:pStyle w:val="FGCNORMAL"/>
      </w:pPr>
      <w:r>
        <w:t>Voice relay: 1800 555 727</w:t>
      </w:r>
    </w:p>
    <w:p w14:paraId="4D500B70" w14:textId="15E979AC" w:rsidR="00FF527E" w:rsidRDefault="00FF527E" w:rsidP="003A6A3A">
      <w:pPr>
        <w:pStyle w:val="FGCNORMAL"/>
      </w:pPr>
      <w:r>
        <w:t xml:space="preserve">National Relay Service: </w:t>
      </w:r>
      <w:hyperlink r:id="rId82" w:history="1">
        <w:r w:rsidRPr="00B74C35">
          <w:rPr>
            <w:rStyle w:val="Hyperlink"/>
          </w:rPr>
          <w:t>relayservice.gov.au</w:t>
        </w:r>
      </w:hyperlink>
    </w:p>
    <w:p w14:paraId="00B0072A" w14:textId="77777777" w:rsidR="000F3390" w:rsidRDefault="000F3390" w:rsidP="003A6A3A">
      <w:pPr>
        <w:pStyle w:val="FGCNORMAL"/>
        <w:sectPr w:rsidR="000F3390" w:rsidSect="00454AC6">
          <w:footnotePr>
            <w:numRestart w:val="eachPage"/>
          </w:footnotePr>
          <w:type w:val="continuous"/>
          <w:pgSz w:w="11907" w:h="16840" w:code="9"/>
          <w:pgMar w:top="1021" w:right="1440" w:bottom="1134" w:left="964" w:header="0" w:footer="0" w:gutter="0"/>
          <w:cols w:num="2" w:space="0"/>
          <w:titlePg/>
          <w:docGrid w:linePitch="360"/>
        </w:sectPr>
      </w:pPr>
    </w:p>
    <w:p w14:paraId="2E59EF46" w14:textId="61D93E92" w:rsidR="000F3390" w:rsidRPr="007C747A" w:rsidRDefault="000F3390" w:rsidP="00454AC6">
      <w:pPr>
        <w:pStyle w:val="FGCNORMAL"/>
        <w:spacing w:before="1440"/>
      </w:pPr>
      <w:r>
        <w:t>DA0744 ANNUAL REPORT 2022-2023 – OCTOBER 2023</w:t>
      </w:r>
    </w:p>
    <w:sectPr w:rsidR="000F3390" w:rsidRPr="007C747A" w:rsidSect="000F3390">
      <w:footnotePr>
        <w:numRestart w:val="eachPage"/>
      </w:footnotePr>
      <w:type w:val="continuous"/>
      <w:pgSz w:w="11907" w:h="16840" w:code="9"/>
      <w:pgMar w:top="1021" w:right="1440" w:bottom="1134" w:left="96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03ED" w14:textId="77777777" w:rsidR="004C4298" w:rsidRDefault="004C4298" w:rsidP="00863C7F">
      <w:r>
        <w:separator/>
      </w:r>
    </w:p>
    <w:p w14:paraId="40AD53F8" w14:textId="77777777" w:rsidR="004C4298" w:rsidRDefault="004C4298" w:rsidP="00863C7F"/>
    <w:p w14:paraId="547B25C3" w14:textId="77777777" w:rsidR="004C4298" w:rsidRDefault="004C4298" w:rsidP="00863C7F"/>
    <w:p w14:paraId="13648D6C" w14:textId="77777777" w:rsidR="004C4298" w:rsidRDefault="004C4298" w:rsidP="00863C7F"/>
    <w:p w14:paraId="13922B13" w14:textId="77777777" w:rsidR="004C4298" w:rsidRDefault="004C4298" w:rsidP="00863C7F"/>
    <w:p w14:paraId="698B2C46" w14:textId="77777777" w:rsidR="004C4298" w:rsidRDefault="004C4298" w:rsidP="00863C7F"/>
    <w:p w14:paraId="1B2E785C" w14:textId="77777777" w:rsidR="004C4298" w:rsidRDefault="004C4298" w:rsidP="00863C7F"/>
    <w:p w14:paraId="60CC2FB8" w14:textId="77777777" w:rsidR="004C4298" w:rsidRDefault="004C4298" w:rsidP="00863C7F"/>
    <w:p w14:paraId="144F9EEE" w14:textId="77777777" w:rsidR="004C4298" w:rsidRDefault="004C4298" w:rsidP="00863C7F"/>
    <w:p w14:paraId="4D90D851" w14:textId="77777777" w:rsidR="004C4298" w:rsidRDefault="004C4298" w:rsidP="00863C7F"/>
  </w:endnote>
  <w:endnote w:type="continuationSeparator" w:id="0">
    <w:p w14:paraId="28071693" w14:textId="77777777" w:rsidR="004C4298" w:rsidRDefault="004C4298" w:rsidP="00863C7F">
      <w:r>
        <w:continuationSeparator/>
      </w:r>
    </w:p>
    <w:p w14:paraId="32F9C671" w14:textId="77777777" w:rsidR="004C4298" w:rsidRDefault="004C4298" w:rsidP="00863C7F"/>
    <w:p w14:paraId="333EAA01" w14:textId="77777777" w:rsidR="004C4298" w:rsidRDefault="004C4298" w:rsidP="00863C7F"/>
    <w:p w14:paraId="060CB0BF" w14:textId="77777777" w:rsidR="004C4298" w:rsidRDefault="004C4298" w:rsidP="00863C7F"/>
    <w:p w14:paraId="2FE554B2" w14:textId="77777777" w:rsidR="004C4298" w:rsidRDefault="004C4298" w:rsidP="00863C7F"/>
    <w:p w14:paraId="0BEF0B2E" w14:textId="77777777" w:rsidR="004C4298" w:rsidRDefault="004C4298" w:rsidP="00863C7F"/>
    <w:p w14:paraId="6C8CA75E" w14:textId="77777777" w:rsidR="004C4298" w:rsidRDefault="004C4298" w:rsidP="00863C7F"/>
    <w:p w14:paraId="6AFDC22C" w14:textId="77777777" w:rsidR="004C4298" w:rsidRDefault="004C4298" w:rsidP="00863C7F"/>
    <w:p w14:paraId="240F0A19" w14:textId="77777777" w:rsidR="004C4298" w:rsidRDefault="004C4298" w:rsidP="00863C7F"/>
    <w:p w14:paraId="70031B26" w14:textId="77777777" w:rsidR="004C4298" w:rsidRDefault="004C4298" w:rsidP="00863C7F"/>
  </w:endnote>
  <w:endnote w:type="continuationNotice" w:id="1">
    <w:p w14:paraId="1852AAAF" w14:textId="77777777" w:rsidR="004C4298" w:rsidRDefault="004C42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FS Me Pro Light">
    <w:altName w:val="Calibri"/>
    <w:charset w:val="00"/>
    <w:family w:val="auto"/>
    <w:pitch w:val="variable"/>
    <w:sig w:usb0="A00002EF" w:usb1="4000606A" w:usb2="00000000" w:usb3="00000000" w:csb0="0000009F"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 w:name="FS Me">
    <w:altName w:val="Calibri"/>
    <w:charset w:val="00"/>
    <w:family w:val="modern"/>
    <w:pitch w:val="variable"/>
    <w:sig w:usb0="800000AF" w:usb1="4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Arial Bold">
    <w:panose1 w:val="020B0704020202020204"/>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S Me Pro">
    <w:altName w:val="Calibri"/>
    <w:charset w:val="00"/>
    <w:family w:val="auto"/>
    <w:pitch w:val="variable"/>
    <w:sig w:usb0="A00002EF" w:usb1="4000606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MS P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78830"/>
      <w:docPartObj>
        <w:docPartGallery w:val="Page Numbers (Bottom of Page)"/>
        <w:docPartUnique/>
      </w:docPartObj>
    </w:sdtPr>
    <w:sdtEndPr>
      <w:rPr>
        <w:noProof/>
        <w:sz w:val="22"/>
        <w:szCs w:val="22"/>
      </w:rPr>
    </w:sdtEndPr>
    <w:sdtContent>
      <w:p w14:paraId="776E4EB2" w14:textId="77777777" w:rsidR="00A60036" w:rsidRDefault="00A60036">
        <w:pPr>
          <w:pStyle w:val="Footer"/>
          <w:jc w:val="right"/>
        </w:pPr>
        <w:r w:rsidRPr="00865C50">
          <w:rPr>
            <w:sz w:val="22"/>
            <w:szCs w:val="22"/>
          </w:rPr>
          <w:fldChar w:fldCharType="begin"/>
        </w:r>
        <w:r w:rsidRPr="00865C50">
          <w:rPr>
            <w:sz w:val="22"/>
            <w:szCs w:val="22"/>
          </w:rPr>
          <w:instrText xml:space="preserve"> PAGE   \* MERGEFORMAT </w:instrText>
        </w:r>
        <w:r w:rsidRPr="00865C50">
          <w:rPr>
            <w:sz w:val="22"/>
            <w:szCs w:val="22"/>
          </w:rPr>
          <w:fldChar w:fldCharType="separate"/>
        </w:r>
        <w:r w:rsidRPr="00865C50">
          <w:rPr>
            <w:noProof/>
            <w:sz w:val="22"/>
            <w:szCs w:val="22"/>
          </w:rPr>
          <w:t>2</w:t>
        </w:r>
        <w:r w:rsidRPr="00865C50">
          <w:rPr>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9242" w14:textId="77777777" w:rsidR="00A60036" w:rsidRDefault="00A60036">
    <w:pPr>
      <w:pStyle w:val="Footer"/>
      <w:jc w:val="right"/>
    </w:pPr>
    <w:r w:rsidRPr="00FE3595">
      <w:rPr>
        <w:sz w:val="22"/>
        <w:szCs w:val="22"/>
      </w:rPr>
      <w:fldChar w:fldCharType="begin"/>
    </w:r>
    <w:r w:rsidRPr="00FE3595">
      <w:rPr>
        <w:sz w:val="22"/>
        <w:szCs w:val="22"/>
      </w:rPr>
      <w:instrText xml:space="preserve"> PAGE   \* MERGEFORMAT </w:instrText>
    </w:r>
    <w:r w:rsidRPr="00FE3595">
      <w:rPr>
        <w:sz w:val="22"/>
        <w:szCs w:val="22"/>
      </w:rPr>
      <w:fldChar w:fldCharType="separate"/>
    </w:r>
    <w:r w:rsidRPr="00FE3595">
      <w:rPr>
        <w:noProof/>
        <w:sz w:val="22"/>
        <w:szCs w:val="22"/>
      </w:rPr>
      <w:t>2</w:t>
    </w:r>
    <w:r w:rsidRPr="00FE3595">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979655"/>
      <w:docPartObj>
        <w:docPartGallery w:val="Page Numbers (Bottom of Page)"/>
        <w:docPartUnique/>
      </w:docPartObj>
    </w:sdtPr>
    <w:sdtEndPr>
      <w:rPr>
        <w:rFonts w:cs="Arial"/>
        <w:noProof/>
        <w:sz w:val="18"/>
        <w:szCs w:val="18"/>
      </w:rPr>
    </w:sdtEndPr>
    <w:sdtContent>
      <w:p w14:paraId="0F22A50D" w14:textId="77777777" w:rsidR="00F2518A" w:rsidRPr="0098183D" w:rsidRDefault="00F2518A">
        <w:pPr>
          <w:pStyle w:val="Footer"/>
          <w:rPr>
            <w:rFonts w:cs="Arial"/>
            <w:sz w:val="18"/>
            <w:szCs w:val="18"/>
          </w:rPr>
        </w:pPr>
        <w:r w:rsidRPr="0098183D">
          <w:rPr>
            <w:rFonts w:cs="Arial"/>
            <w:sz w:val="18"/>
            <w:szCs w:val="18"/>
          </w:rPr>
          <w:fldChar w:fldCharType="begin"/>
        </w:r>
        <w:r w:rsidRPr="0098183D">
          <w:rPr>
            <w:rFonts w:cs="Arial"/>
            <w:sz w:val="18"/>
            <w:szCs w:val="18"/>
          </w:rPr>
          <w:instrText xml:space="preserve"> PAGE   \* MERGEFORMAT </w:instrText>
        </w:r>
        <w:r w:rsidRPr="0098183D">
          <w:rPr>
            <w:rFonts w:cs="Arial"/>
            <w:sz w:val="18"/>
            <w:szCs w:val="18"/>
          </w:rPr>
          <w:fldChar w:fldCharType="separate"/>
        </w:r>
        <w:r>
          <w:rPr>
            <w:rFonts w:cs="Arial"/>
            <w:noProof/>
            <w:sz w:val="18"/>
            <w:szCs w:val="18"/>
          </w:rPr>
          <w:t>30</w:t>
        </w:r>
        <w:r w:rsidRPr="0098183D">
          <w:rPr>
            <w:rFonts w:cs="Arial"/>
            <w:noProof/>
            <w:sz w:val="18"/>
            <w:szCs w:val="18"/>
          </w:rPr>
          <w:fldChar w:fldCharType="end"/>
        </w:r>
      </w:p>
    </w:sdtContent>
  </w:sdt>
  <w:p w14:paraId="3F22A416" w14:textId="77777777" w:rsidR="00F2518A" w:rsidRPr="00D609CD" w:rsidRDefault="00F2518A">
    <w:pPr>
      <w:pStyle w:val="Footer"/>
      <w:jc w:val="right"/>
      <w:rPr>
        <w:rFonts w:cs="Arial"/>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61933"/>
      <w:docPartObj>
        <w:docPartGallery w:val="Page Numbers (Bottom of Page)"/>
        <w:docPartUnique/>
      </w:docPartObj>
    </w:sdtPr>
    <w:sdtEndPr>
      <w:rPr>
        <w:rFonts w:cs="Arial"/>
        <w:noProof/>
        <w:sz w:val="18"/>
        <w:szCs w:val="18"/>
      </w:rPr>
    </w:sdtEndPr>
    <w:sdtContent>
      <w:p w14:paraId="1AA14336" w14:textId="77777777" w:rsidR="00F2518A" w:rsidRPr="0098183D" w:rsidRDefault="00F2518A">
        <w:pPr>
          <w:pStyle w:val="Footer"/>
          <w:rPr>
            <w:rFonts w:cs="Arial"/>
            <w:sz w:val="18"/>
            <w:szCs w:val="18"/>
          </w:rPr>
        </w:pPr>
        <w:r w:rsidRPr="0098183D">
          <w:rPr>
            <w:rFonts w:cs="Arial"/>
            <w:sz w:val="18"/>
            <w:szCs w:val="18"/>
          </w:rPr>
          <w:fldChar w:fldCharType="begin"/>
        </w:r>
        <w:r w:rsidRPr="0098183D">
          <w:rPr>
            <w:rFonts w:cs="Arial"/>
            <w:sz w:val="18"/>
            <w:szCs w:val="18"/>
          </w:rPr>
          <w:instrText xml:space="preserve"> PAGE   \* MERGEFORMAT </w:instrText>
        </w:r>
        <w:r w:rsidRPr="0098183D">
          <w:rPr>
            <w:rFonts w:cs="Arial"/>
            <w:sz w:val="18"/>
            <w:szCs w:val="18"/>
          </w:rPr>
          <w:fldChar w:fldCharType="separate"/>
        </w:r>
        <w:r>
          <w:rPr>
            <w:rFonts w:cs="Arial"/>
            <w:noProof/>
            <w:sz w:val="18"/>
            <w:szCs w:val="18"/>
          </w:rPr>
          <w:t>30</w:t>
        </w:r>
        <w:r w:rsidRPr="0098183D">
          <w:rPr>
            <w:rFonts w:cs="Arial"/>
            <w:noProof/>
            <w:sz w:val="18"/>
            <w:szCs w:val="18"/>
          </w:rPr>
          <w:fldChar w:fldCharType="end"/>
        </w:r>
      </w:p>
    </w:sdtContent>
  </w:sdt>
  <w:p w14:paraId="379C3B1F" w14:textId="77777777" w:rsidR="00F2518A" w:rsidRPr="00D609CD" w:rsidRDefault="00F2518A">
    <w:pPr>
      <w:pStyle w:val="Footer"/>
      <w:jc w:val="right"/>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2140" w14:textId="77777777" w:rsidR="004C4298" w:rsidRDefault="004C4298" w:rsidP="00863C7F">
      <w:r>
        <w:separator/>
      </w:r>
    </w:p>
  </w:footnote>
  <w:footnote w:type="continuationSeparator" w:id="0">
    <w:p w14:paraId="7AC96597" w14:textId="77777777" w:rsidR="004C4298" w:rsidRDefault="004C4298" w:rsidP="00863C7F">
      <w:r>
        <w:continuationSeparator/>
      </w:r>
    </w:p>
    <w:p w14:paraId="1B4B52A9" w14:textId="77777777" w:rsidR="004C4298" w:rsidRDefault="004C4298" w:rsidP="00863C7F"/>
    <w:p w14:paraId="33AEDA2A" w14:textId="77777777" w:rsidR="004C4298" w:rsidRDefault="004C4298" w:rsidP="00863C7F"/>
    <w:p w14:paraId="55F43CA5" w14:textId="77777777" w:rsidR="004C4298" w:rsidRDefault="004C4298" w:rsidP="00863C7F"/>
    <w:p w14:paraId="15C77969" w14:textId="77777777" w:rsidR="004C4298" w:rsidRDefault="004C4298" w:rsidP="00863C7F"/>
    <w:p w14:paraId="2089611A" w14:textId="77777777" w:rsidR="004C4298" w:rsidRDefault="004C4298" w:rsidP="00863C7F"/>
    <w:p w14:paraId="515EDF83" w14:textId="77777777" w:rsidR="004C4298" w:rsidRDefault="004C4298" w:rsidP="00863C7F"/>
    <w:p w14:paraId="3FB17FDA" w14:textId="77777777" w:rsidR="004C4298" w:rsidRDefault="004C4298" w:rsidP="00863C7F"/>
    <w:p w14:paraId="1782B12E" w14:textId="77777777" w:rsidR="004C4298" w:rsidRDefault="004C4298" w:rsidP="00863C7F"/>
    <w:p w14:paraId="0BD3E32B" w14:textId="77777777" w:rsidR="004C4298" w:rsidRDefault="004C4298" w:rsidP="00863C7F"/>
  </w:footnote>
  <w:footnote w:type="continuationNotice" w:id="1">
    <w:p w14:paraId="5CCAC483" w14:textId="77777777" w:rsidR="004C4298" w:rsidRDefault="004C4298">
      <w:pPr>
        <w:spacing w:after="0" w:line="240" w:lineRule="auto"/>
      </w:pPr>
    </w:p>
  </w:footnote>
  <w:footnote w:id="2">
    <w:p w14:paraId="61616536" w14:textId="77777777" w:rsidR="00E11341" w:rsidRPr="00252EAF" w:rsidRDefault="00E11341" w:rsidP="009E307A">
      <w:pPr>
        <w:pStyle w:val="FootnoteText"/>
        <w:spacing w:after="0" w:line="240" w:lineRule="auto"/>
      </w:pPr>
      <w:r>
        <w:rPr>
          <w:rStyle w:val="FootnoteReference"/>
        </w:rPr>
        <w:footnoteRef/>
      </w:r>
      <w:r>
        <w:t xml:space="preserve"> </w:t>
      </w:r>
      <w:hyperlink r:id="rId1" w:history="1">
        <w:r w:rsidRPr="00B74C35">
          <w:rPr>
            <w:rStyle w:val="Hyperlink"/>
          </w:rPr>
          <w:t>Annual Financial Sustainability Reports | NDIS</w:t>
        </w:r>
      </w:hyperlink>
    </w:p>
  </w:footnote>
  <w:footnote w:id="3">
    <w:p w14:paraId="30012DE9" w14:textId="77777777" w:rsidR="00B46740" w:rsidRDefault="00B46740" w:rsidP="009E307A">
      <w:pPr>
        <w:pStyle w:val="FootnoteText"/>
        <w:spacing w:after="0" w:line="240" w:lineRule="auto"/>
      </w:pPr>
      <w:r>
        <w:rPr>
          <w:rStyle w:val="FootnoteReference"/>
        </w:rPr>
        <w:footnoteRef/>
      </w:r>
      <w:r>
        <w:t xml:space="preserve"> </w:t>
      </w:r>
      <w:hyperlink r:id="rId2" w:history="1">
        <w:r w:rsidRPr="00B74C35">
          <w:rPr>
            <w:rStyle w:val="Hyperlink"/>
          </w:rPr>
          <w:t>Budget Paper No. 2: Budget Measures</w:t>
        </w:r>
      </w:hyperlink>
      <w:r>
        <w:t>: Improving the Effectiveness and Sustainability of the National Disability Insurance Scheme, pgs. 197-8.</w:t>
      </w:r>
    </w:p>
  </w:footnote>
  <w:footnote w:id="4">
    <w:p w14:paraId="384B13E5" w14:textId="77777777" w:rsidR="00B46740" w:rsidRDefault="00B46740" w:rsidP="009E307A">
      <w:pPr>
        <w:pStyle w:val="FootnoteText"/>
        <w:spacing w:after="0" w:line="240" w:lineRule="auto"/>
      </w:pPr>
      <w:r>
        <w:rPr>
          <w:rStyle w:val="FootnoteReference"/>
        </w:rPr>
        <w:footnoteRef/>
      </w:r>
      <w:r>
        <w:t xml:space="preserve"> </w:t>
      </w:r>
      <w:hyperlink r:id="rId3" w:history="1">
        <w:r w:rsidRPr="00B74C35">
          <w:rPr>
            <w:rStyle w:val="Hyperlink"/>
          </w:rPr>
          <w:t>National Cabinet commits to a sustainable NDIS | Department of Social Services Ministers (dss.gov.au)</w:t>
        </w:r>
      </w:hyperlink>
    </w:p>
  </w:footnote>
  <w:footnote w:id="5">
    <w:p w14:paraId="33470046" w14:textId="77777777" w:rsidR="00B46740" w:rsidRDefault="00B46740" w:rsidP="00E25D92">
      <w:pPr>
        <w:pStyle w:val="FootnoteText"/>
        <w:spacing w:after="0" w:line="240" w:lineRule="auto"/>
      </w:pPr>
      <w:r>
        <w:rPr>
          <w:rStyle w:val="FootnoteReference"/>
        </w:rPr>
        <w:footnoteRef/>
      </w:r>
      <w:r>
        <w:t xml:space="preserve"> </w:t>
      </w:r>
      <w:hyperlink r:id="rId4" w:history="1">
        <w:r w:rsidRPr="00B74C35">
          <w:rPr>
            <w:rStyle w:val="Hyperlink"/>
          </w:rPr>
          <w:t>2023 Intergenerational Report | Treasury.gov.au</w:t>
        </w:r>
      </w:hyperlink>
    </w:p>
  </w:footnote>
  <w:footnote w:id="6">
    <w:p w14:paraId="45E24D3A" w14:textId="77777777" w:rsidR="00B46740" w:rsidRDefault="00B46740" w:rsidP="00E25D92">
      <w:pPr>
        <w:pStyle w:val="FootnoteText"/>
        <w:spacing w:after="0" w:line="240" w:lineRule="auto"/>
      </w:pPr>
      <w:r>
        <w:rPr>
          <w:rStyle w:val="FootnoteReference"/>
        </w:rPr>
        <w:footnoteRef/>
      </w:r>
      <w:r>
        <w:t xml:space="preserve"> </w:t>
      </w:r>
      <w:hyperlink r:id="rId5" w:history="1">
        <w:r w:rsidRPr="00B74C35">
          <w:rPr>
            <w:rStyle w:val="Hyperlink"/>
          </w:rPr>
          <w:t>Terms of Reference: Building a strong, effective NDIS | NDIS Review</w:t>
        </w:r>
      </w:hyperlink>
    </w:p>
  </w:footnote>
  <w:footnote w:id="7">
    <w:p w14:paraId="0BB0E0CF" w14:textId="77777777" w:rsidR="00B37019" w:rsidRDefault="00B37019" w:rsidP="00E25D92">
      <w:pPr>
        <w:pStyle w:val="FootnoteText"/>
        <w:spacing w:after="0" w:line="240" w:lineRule="auto"/>
      </w:pPr>
      <w:r>
        <w:rPr>
          <w:rStyle w:val="FootnoteReference"/>
        </w:rPr>
        <w:footnoteRef/>
      </w:r>
      <w:r>
        <w:t xml:space="preserve"> Scheme expenses relate to the payments made for participant supports and does not include operating expenses. It</w:t>
      </w:r>
      <w:r w:rsidRPr="00921CFB">
        <w:t xml:space="preserve"> is based on when the service was provided to the participant recognising some services are paid f</w:t>
      </w:r>
      <w:r>
        <w:t>or after the end of the period.</w:t>
      </w:r>
    </w:p>
  </w:footnote>
  <w:footnote w:id="8">
    <w:p w14:paraId="785ABBE7" w14:textId="77777777" w:rsidR="002C25B9" w:rsidRPr="00A743DF" w:rsidRDefault="002C25B9" w:rsidP="00C319DD">
      <w:pPr>
        <w:pStyle w:val="FootnoteText"/>
        <w:spacing w:after="120"/>
        <w:rPr>
          <w:lang w:val="en-AU"/>
        </w:rPr>
      </w:pPr>
      <w:r w:rsidRPr="00A743DF">
        <w:rPr>
          <w:rStyle w:val="FootnoteReference"/>
        </w:rPr>
        <w:footnoteRef/>
      </w:r>
      <w:r w:rsidRPr="00A743DF">
        <w:t xml:space="preserve"> </w:t>
      </w:r>
      <w:r w:rsidRPr="00A743DF">
        <w:rPr>
          <w:lang w:val="en-AU"/>
        </w:rPr>
        <w:t xml:space="preserve">Chair of the NDIA </w:t>
      </w:r>
      <w:r>
        <w:rPr>
          <w:lang w:val="en-AU"/>
        </w:rPr>
        <w:t>B</w:t>
      </w:r>
      <w:r w:rsidRPr="00A743DF">
        <w:rPr>
          <w:lang w:val="en-AU"/>
        </w:rPr>
        <w:t>oard and</w:t>
      </w:r>
      <w:r>
        <w:rPr>
          <w:lang w:val="en-AU"/>
        </w:rPr>
        <w:t xml:space="preserve"> the</w:t>
      </w:r>
      <w:r w:rsidRPr="00A743DF">
        <w:rPr>
          <w:lang w:val="en-AU"/>
        </w:rPr>
        <w:t xml:space="preserve"> People and Remuneration Committee</w:t>
      </w:r>
      <w:r>
        <w:rPr>
          <w:lang w:val="en-AU"/>
        </w:rPr>
        <w:t>.</w:t>
      </w:r>
    </w:p>
  </w:footnote>
  <w:footnote w:id="9">
    <w:p w14:paraId="4BE7822E" w14:textId="77777777" w:rsidR="002C25B9" w:rsidRPr="00A743DF" w:rsidRDefault="002C25B9" w:rsidP="00C319DD">
      <w:pPr>
        <w:pStyle w:val="FootnoteText"/>
        <w:spacing w:after="120"/>
        <w:rPr>
          <w:lang w:val="en-AU"/>
        </w:rPr>
      </w:pPr>
      <w:r w:rsidRPr="00A743DF">
        <w:rPr>
          <w:rStyle w:val="FootnoteReference"/>
        </w:rPr>
        <w:footnoteRef/>
      </w:r>
      <w:r w:rsidRPr="00A743DF">
        <w:t xml:space="preserve"> Chair of the Audi</w:t>
      </w:r>
      <w:r>
        <w:t>t</w:t>
      </w:r>
      <w:r w:rsidRPr="00A743DF">
        <w:t xml:space="preserve"> Committee</w:t>
      </w:r>
      <w:r>
        <w:t>.</w:t>
      </w:r>
    </w:p>
  </w:footnote>
  <w:footnote w:id="10">
    <w:p w14:paraId="0B7A02E5" w14:textId="77777777" w:rsidR="002C25B9" w:rsidRPr="00A743DF" w:rsidRDefault="002C25B9" w:rsidP="00C319DD">
      <w:pPr>
        <w:pStyle w:val="FootnoteText"/>
        <w:spacing w:after="120"/>
        <w:rPr>
          <w:lang w:val="en-AU"/>
        </w:rPr>
      </w:pPr>
      <w:r w:rsidRPr="00A743DF">
        <w:rPr>
          <w:rStyle w:val="FootnoteReference"/>
        </w:rPr>
        <w:footnoteRef/>
      </w:r>
      <w:r w:rsidRPr="00A743DF">
        <w:t xml:space="preserve"> </w:t>
      </w:r>
      <w:r w:rsidRPr="00A743DF">
        <w:rPr>
          <w:lang w:val="en-AU"/>
        </w:rPr>
        <w:t>Appointment ended 31 March 2023</w:t>
      </w:r>
      <w:r>
        <w:rPr>
          <w:lang w:val="en-AU"/>
        </w:rPr>
        <w:t>.</w:t>
      </w:r>
    </w:p>
  </w:footnote>
  <w:footnote w:id="11">
    <w:p w14:paraId="62CDB90C" w14:textId="77777777" w:rsidR="002C25B9" w:rsidRPr="00A743DF" w:rsidRDefault="002C25B9" w:rsidP="00C319DD">
      <w:pPr>
        <w:pStyle w:val="FootnoteText"/>
        <w:spacing w:after="120"/>
        <w:rPr>
          <w:lang w:val="en-AU"/>
        </w:rPr>
      </w:pPr>
      <w:r w:rsidRPr="00A743DF">
        <w:rPr>
          <w:rStyle w:val="FootnoteReference"/>
        </w:rPr>
        <w:footnoteRef/>
      </w:r>
      <w:r w:rsidRPr="00A743DF">
        <w:t xml:space="preserve"> </w:t>
      </w:r>
      <w:r w:rsidRPr="00A743DF">
        <w:rPr>
          <w:lang w:val="en-AU"/>
        </w:rPr>
        <w:t>Chair of the ICT and Digita</w:t>
      </w:r>
      <w:r>
        <w:rPr>
          <w:lang w:val="en-AU"/>
        </w:rPr>
        <w:t>l Committee</w:t>
      </w:r>
      <w:r w:rsidRPr="00A743DF">
        <w:rPr>
          <w:lang w:val="en-AU"/>
        </w:rPr>
        <w:t xml:space="preserve"> and</w:t>
      </w:r>
      <w:r>
        <w:rPr>
          <w:lang w:val="en-AU"/>
        </w:rPr>
        <w:t xml:space="preserve"> the</w:t>
      </w:r>
      <w:r w:rsidRPr="00A743DF">
        <w:rPr>
          <w:lang w:val="en-AU"/>
        </w:rPr>
        <w:t xml:space="preserve"> Risk Committee</w:t>
      </w:r>
      <w:r>
        <w:rPr>
          <w:lang w:val="en-AU"/>
        </w:rPr>
        <w:t>.</w:t>
      </w:r>
    </w:p>
  </w:footnote>
  <w:footnote w:id="12">
    <w:p w14:paraId="0940E17F" w14:textId="77777777" w:rsidR="002C25B9" w:rsidRPr="00A743DF" w:rsidRDefault="002C25B9" w:rsidP="00C319DD">
      <w:pPr>
        <w:pStyle w:val="FootnoteText"/>
        <w:spacing w:after="120"/>
        <w:rPr>
          <w:lang w:val="en-AU"/>
        </w:rPr>
      </w:pPr>
      <w:r w:rsidRPr="00A743DF">
        <w:rPr>
          <w:rStyle w:val="FootnoteReference"/>
        </w:rPr>
        <w:footnoteRef/>
      </w:r>
      <w:r w:rsidRPr="00A743DF">
        <w:t xml:space="preserve"> Chair of the Sustainability Committee</w:t>
      </w:r>
      <w:r>
        <w:t>.</w:t>
      </w:r>
    </w:p>
  </w:footnote>
  <w:footnote w:id="13">
    <w:p w14:paraId="19177A57" w14:textId="77777777" w:rsidR="002C25B9" w:rsidRPr="006209A9" w:rsidRDefault="002C25B9" w:rsidP="00C319DD">
      <w:pPr>
        <w:pStyle w:val="FootnoteText"/>
        <w:rPr>
          <w:color w:val="000000" w:themeColor="accent6"/>
        </w:rPr>
      </w:pPr>
      <w:r w:rsidRPr="006209A9">
        <w:rPr>
          <w:rStyle w:val="FootnoteReference"/>
          <w:color w:val="000000" w:themeColor="accent6"/>
        </w:rPr>
        <w:footnoteRef/>
      </w:r>
      <w:r w:rsidRPr="006209A9">
        <w:rPr>
          <w:color w:val="000000" w:themeColor="accent6"/>
        </w:rPr>
        <w:t xml:space="preserve"> Appointment ended on 31 December 2022. Chair of the ICT and Digital Committee until 31 December 2023.</w:t>
      </w:r>
    </w:p>
  </w:footnote>
  <w:footnote w:id="14">
    <w:p w14:paraId="61040A5B" w14:textId="77777777" w:rsidR="007F6999" w:rsidRPr="00CE2CE1" w:rsidRDefault="007F6999" w:rsidP="007F6999">
      <w:pPr>
        <w:pStyle w:val="FootnoteText"/>
        <w:rPr>
          <w:lang w:val="en-AU"/>
        </w:rPr>
      </w:pPr>
      <w:r>
        <w:rPr>
          <w:rStyle w:val="FootnoteReference"/>
        </w:rPr>
        <w:footnoteRef/>
      </w:r>
      <w:r>
        <w:t xml:space="preserve"> In January 2023, Kerry Allan took a leave of absence from her role as IAC Member.</w:t>
      </w:r>
    </w:p>
  </w:footnote>
  <w:footnote w:id="15">
    <w:p w14:paraId="302000B6" w14:textId="77777777" w:rsidR="004D3172" w:rsidRPr="000C257E" w:rsidRDefault="004D3172" w:rsidP="004D3172">
      <w:pPr>
        <w:pStyle w:val="FootnoteText"/>
        <w:spacing w:after="0" w:line="240" w:lineRule="auto"/>
        <w:rPr>
          <w:lang w:val="en-AU"/>
        </w:rPr>
      </w:pPr>
      <w:r>
        <w:rPr>
          <w:rStyle w:val="FootnoteReference"/>
        </w:rPr>
        <w:footnoteRef/>
      </w:r>
      <w:r>
        <w:t xml:space="preserve"> </w:t>
      </w:r>
      <w:r>
        <w:rPr>
          <w:rStyle w:val="normaltextrun"/>
          <w:rFonts w:cs="Arial"/>
          <w:color w:val="000000"/>
          <w:sz w:val="16"/>
          <w:szCs w:val="16"/>
          <w:shd w:val="clear" w:color="auto" w:fill="FFFFFF"/>
        </w:rPr>
        <w:t>The Engagement Index measures the emotional connection and commitment employees have to working for their organisation. It comprises 3 elements:</w:t>
      </w:r>
      <w:r>
        <w:rPr>
          <w:rStyle w:val="scxw267793510"/>
          <w:rFonts w:cs="Arial"/>
          <w:color w:val="000000"/>
          <w:sz w:val="16"/>
          <w:szCs w:val="16"/>
          <w:shd w:val="clear" w:color="auto" w:fill="FFFFFF"/>
        </w:rPr>
        <w:t> </w:t>
      </w:r>
      <w:r>
        <w:rPr>
          <w:rFonts w:cs="Arial"/>
          <w:color w:val="000000"/>
          <w:sz w:val="16"/>
          <w:szCs w:val="16"/>
          <w:shd w:val="clear" w:color="auto" w:fill="FFFFFF"/>
        </w:rPr>
        <w:br/>
      </w:r>
      <w:r>
        <w:rPr>
          <w:rStyle w:val="normaltextrun"/>
          <w:rFonts w:cs="Arial"/>
          <w:color w:val="000000"/>
          <w:sz w:val="16"/>
          <w:szCs w:val="16"/>
          <w:shd w:val="clear" w:color="auto" w:fill="FFFFFF"/>
        </w:rPr>
        <w:t>Say - the extent to which team members are advocates of the organisation.</w:t>
      </w:r>
      <w:r>
        <w:rPr>
          <w:rStyle w:val="scxw267793510"/>
          <w:rFonts w:cs="Arial"/>
          <w:color w:val="000000"/>
          <w:sz w:val="16"/>
          <w:szCs w:val="16"/>
          <w:shd w:val="clear" w:color="auto" w:fill="FFFFFF"/>
        </w:rPr>
        <w:t> </w:t>
      </w:r>
      <w:r>
        <w:rPr>
          <w:rFonts w:cs="Arial"/>
          <w:color w:val="000000"/>
          <w:sz w:val="16"/>
          <w:szCs w:val="16"/>
          <w:shd w:val="clear" w:color="auto" w:fill="FFFFFF"/>
        </w:rPr>
        <w:br/>
      </w:r>
      <w:r>
        <w:rPr>
          <w:rStyle w:val="normaltextrun"/>
          <w:rFonts w:cs="Arial"/>
          <w:color w:val="000000"/>
          <w:sz w:val="16"/>
          <w:szCs w:val="16"/>
          <w:shd w:val="clear" w:color="auto" w:fill="FFFFFF"/>
        </w:rPr>
        <w:t>Stay - the extent to which team members are committed to the organisation and want to stay.</w:t>
      </w:r>
      <w:r>
        <w:rPr>
          <w:rStyle w:val="scxw267793510"/>
          <w:rFonts w:cs="Arial"/>
          <w:color w:val="000000"/>
          <w:sz w:val="16"/>
          <w:szCs w:val="16"/>
          <w:shd w:val="clear" w:color="auto" w:fill="FFFFFF"/>
        </w:rPr>
        <w:t> </w:t>
      </w:r>
      <w:r>
        <w:rPr>
          <w:rFonts w:cs="Arial"/>
          <w:color w:val="000000"/>
          <w:sz w:val="16"/>
          <w:szCs w:val="16"/>
          <w:shd w:val="clear" w:color="auto" w:fill="FFFFFF"/>
        </w:rPr>
        <w:br/>
      </w:r>
      <w:r>
        <w:rPr>
          <w:rStyle w:val="normaltextrun"/>
          <w:rFonts w:cs="Arial"/>
          <w:color w:val="000000"/>
          <w:sz w:val="16"/>
          <w:szCs w:val="16"/>
          <w:shd w:val="clear" w:color="auto" w:fill="FFFFFF"/>
        </w:rPr>
        <w:t>Strive - the extent to which team members are willing to put in discretionary effort to excel in their jobs and help the organisation succeed. The Wellbeing Index measures the wellbeing of employees within an organisation; it measures both the practical and cultural elements that allow for a sustainable and healthy working environment.</w:t>
      </w:r>
      <w:r>
        <w:rPr>
          <w:rStyle w:val="eop"/>
          <w:rFonts w:cs="Arial"/>
          <w:color w:val="000000"/>
          <w:sz w:val="16"/>
          <w:szCs w:val="16"/>
          <w:shd w:val="clear" w:color="auto" w:fill="FFFFFF"/>
        </w:rPr>
        <w:t> </w:t>
      </w:r>
    </w:p>
    <w:p w14:paraId="66D9BF7D" w14:textId="56C81816" w:rsidR="004D3172" w:rsidRPr="000F771D" w:rsidRDefault="004D3172">
      <w:pPr>
        <w:pStyle w:val="FootnoteText"/>
        <w:rPr>
          <w:lang w:val="en-AU"/>
        </w:rPr>
      </w:pPr>
    </w:p>
  </w:footnote>
  <w:footnote w:id="16">
    <w:p w14:paraId="31AC890F" w14:textId="2762EA6D" w:rsidR="00EC1CED" w:rsidRPr="00EC1CED" w:rsidRDefault="00EC1CED">
      <w:pPr>
        <w:pStyle w:val="FootnoteText"/>
        <w:rPr>
          <w:lang w:val="en-AU"/>
        </w:rPr>
      </w:pPr>
      <w:r w:rsidRPr="00AF437E">
        <w:rPr>
          <w:rStyle w:val="FootnoteReference"/>
        </w:rPr>
        <w:t>*</w:t>
      </w:r>
      <w:r w:rsidRPr="00AF437E">
        <w:t xml:space="preserve"> </w:t>
      </w:r>
      <w:r w:rsidRPr="00AF437E">
        <w:rPr>
          <w:lang w:val="en-AU"/>
        </w:rPr>
        <w:t>Indicate</w:t>
      </w:r>
      <w:r w:rsidR="00F5483D" w:rsidRPr="00AF437E">
        <w:rPr>
          <w:lang w:val="en-AU"/>
        </w:rPr>
        <w:t>s</w:t>
      </w:r>
      <w:r w:rsidRPr="00AF437E">
        <w:rPr>
          <w:lang w:val="en-AU"/>
        </w:rPr>
        <w:t xml:space="preserve"> part</w:t>
      </w:r>
      <w:r w:rsidR="00F5483D" w:rsidRPr="00AF437E">
        <w:rPr>
          <w:lang w:val="en-AU"/>
        </w:rPr>
        <w:t>-</w:t>
      </w:r>
      <w:r w:rsidRPr="00AF437E">
        <w:rPr>
          <w:lang w:val="en-AU"/>
        </w:rPr>
        <w:t>year Board members</w:t>
      </w:r>
      <w:r w:rsidR="00F5483D" w:rsidRPr="00AF437E">
        <w:rPr>
          <w:lang w:val="en-AU"/>
        </w:rPr>
        <w:t>;</w:t>
      </w:r>
      <w:r w:rsidRPr="00AF437E">
        <w:rPr>
          <w:lang w:val="en-AU"/>
        </w:rPr>
        <w:t xml:space="preserve"> refer to </w:t>
      </w:r>
      <w:r w:rsidR="00F5483D" w:rsidRPr="00AF437E">
        <w:rPr>
          <w:lang w:val="en-AU"/>
        </w:rPr>
        <w:t>T</w:t>
      </w:r>
      <w:r w:rsidRPr="00AF437E">
        <w:rPr>
          <w:lang w:val="en-AU"/>
        </w:rPr>
        <w:t>able 6.6.1A for detail of tenure.</w:t>
      </w:r>
    </w:p>
  </w:footnote>
  <w:footnote w:id="17">
    <w:p w14:paraId="766B975E" w14:textId="2DBF63C9" w:rsidR="000B2BEC" w:rsidRPr="000F771D" w:rsidRDefault="000B2BEC" w:rsidP="000F771D">
      <w:pPr>
        <w:pStyle w:val="FootnoteText"/>
        <w:spacing w:after="0" w:line="240" w:lineRule="auto"/>
        <w:rPr>
          <w:lang w:val="en-AU"/>
        </w:rPr>
      </w:pPr>
      <w:r>
        <w:rPr>
          <w:rStyle w:val="FootnoteReference"/>
        </w:rPr>
        <w:footnoteRef/>
      </w:r>
      <w:r>
        <w:t xml:space="preserve"> </w:t>
      </w:r>
      <w:r w:rsidR="00F3426A">
        <w:rPr>
          <w:rStyle w:val="normaltextrun"/>
          <w:rFonts w:cs="Arial"/>
          <w:color w:val="000000"/>
          <w:shd w:val="clear" w:color="auto" w:fill="FFFFFF"/>
        </w:rPr>
        <w:t>An improvement notice under section 191 of the WHS Act was issued as a result of a site inspection in April 2021. Comcare deemed the NDIA had contravened WHS Act section 19(3)(e), WHS Regulation 42 – Duty to Provide First Aid, due to inadequate first aid facilities at the Wollongong site. The NDIA responded within the set timeframes and Comcare has closed this matter, noting compliance.</w:t>
      </w:r>
      <w:r w:rsidR="00F3426A">
        <w:rPr>
          <w:rStyle w:val="eop"/>
          <w:rFonts w:cs="Arial"/>
          <w:color w:val="000000"/>
          <w:shd w:val="clear" w:color="auto" w:fill="FFFFFF"/>
        </w:rPr>
        <w:t> </w:t>
      </w:r>
    </w:p>
  </w:footnote>
  <w:footnote w:id="18">
    <w:p w14:paraId="3928FC2C" w14:textId="4F5792D0" w:rsidR="00AE4B27" w:rsidRPr="00F66523" w:rsidRDefault="00AE4B27">
      <w:pPr>
        <w:pStyle w:val="FootnoteText"/>
      </w:pPr>
      <w:r>
        <w:rPr>
          <w:rStyle w:val="FootnoteReference"/>
        </w:rPr>
        <w:footnoteRef/>
      </w:r>
      <w:r>
        <w:t xml:space="preserve"> Information in </w:t>
      </w:r>
      <w:r w:rsidR="00F5483D">
        <w:t>this section</w:t>
      </w:r>
      <w:r>
        <w:t xml:space="preserve"> utilises data from the Agency’s HR Information System</w:t>
      </w:r>
      <w:r w:rsidR="00F5483D">
        <w:t>.</w:t>
      </w:r>
    </w:p>
  </w:footnote>
  <w:footnote w:id="19">
    <w:p w14:paraId="3CE87256" w14:textId="360EC1F1" w:rsidR="00982740" w:rsidRPr="00162879" w:rsidRDefault="00982740" w:rsidP="00982740">
      <w:pPr>
        <w:pStyle w:val="FootnoteText"/>
        <w:rPr>
          <w:lang w:val="en-GB"/>
        </w:rPr>
      </w:pPr>
      <w:r w:rsidRPr="00162879">
        <w:rPr>
          <w:rStyle w:val="FootnoteReference"/>
        </w:rPr>
        <w:footnoteRef/>
      </w:r>
      <w:r w:rsidRPr="00162879">
        <w:t xml:space="preserve"> All data is calculated on an accrual basis</w:t>
      </w:r>
      <w:r w:rsidR="00AD5CD1">
        <w:t>.</w:t>
      </w:r>
    </w:p>
  </w:footnote>
  <w:footnote w:id="20">
    <w:p w14:paraId="3C771F5E" w14:textId="2E20D6AD" w:rsidR="00982740" w:rsidRPr="00144DE1" w:rsidRDefault="00982740" w:rsidP="00982740">
      <w:pPr>
        <w:pStyle w:val="FootnoteText"/>
        <w:rPr>
          <w:lang w:val="en-GB"/>
        </w:rPr>
      </w:pPr>
      <w:r w:rsidRPr="00162879">
        <w:rPr>
          <w:rStyle w:val="FootnoteReference"/>
        </w:rPr>
        <w:footnoteRef/>
      </w:r>
      <w:r w:rsidRPr="00162879">
        <w:t xml:space="preserve"> The NDIA engaged some senior executives through contract arrangements that may include superannuation and long service leave entitlements. All other contract-engaged senior executives’ total contract costs are included as short-term employee benefits</w:t>
      </w:r>
      <w:r w:rsidR="00AD5CD1">
        <w:t>.</w:t>
      </w:r>
    </w:p>
  </w:footnote>
  <w:footnote w:id="21">
    <w:p w14:paraId="0AD030AD" w14:textId="244363CD" w:rsidR="00723C93" w:rsidRPr="00723C93" w:rsidRDefault="00723C93">
      <w:pPr>
        <w:pStyle w:val="FootnoteText"/>
        <w:rPr>
          <w:lang w:val="en-AU"/>
        </w:rPr>
      </w:pPr>
      <w:r w:rsidRPr="002A37AA">
        <w:rPr>
          <w:rStyle w:val="FootnoteReference"/>
          <w:sz w:val="24"/>
          <w:szCs w:val="24"/>
        </w:rPr>
        <w:t>*</w:t>
      </w:r>
      <w:r>
        <w:t xml:space="preserve"> Indicates part-year Board members; refer to Table 6.6.1A for detail of tenure.</w:t>
      </w:r>
    </w:p>
  </w:footnote>
  <w:footnote w:id="22">
    <w:p w14:paraId="139F0A89" w14:textId="77777777" w:rsidR="00C032AB" w:rsidRPr="00CE2CE1" w:rsidRDefault="00C032AB" w:rsidP="00C032AB">
      <w:pPr>
        <w:pStyle w:val="FootnoteText"/>
        <w:rPr>
          <w:lang w:val="en-AU"/>
        </w:rPr>
      </w:pPr>
      <w:r>
        <w:rPr>
          <w:rStyle w:val="FootnoteReference"/>
        </w:rPr>
        <w:footnoteRef/>
      </w:r>
      <w:r>
        <w:t xml:space="preserve"> </w:t>
      </w:r>
      <w:r>
        <w:rPr>
          <w:lang w:val="en-AU"/>
        </w:rPr>
        <w:t>A Joint Standing Committee on the National Disability Insurance Scheme also operated under the previous parliament, from 2019 until the dissolution of the House of Representatives for the May 2022 federal election.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13C7" w14:textId="7158B72F" w:rsidR="00A60036" w:rsidRPr="004B31F3" w:rsidRDefault="00E9493A" w:rsidP="00DF55B8">
    <w:pPr>
      <w:spacing w:after="840"/>
      <w:rPr>
        <w:noProof/>
      </w:rPr>
    </w:pPr>
    <w:bookmarkStart w:id="126" w:name="_Hlk141873744"/>
    <w:bookmarkStart w:id="127" w:name="_Hlk141873745"/>
    <w:r>
      <w:rPr>
        <w:noProof/>
      </w:rPr>
      <w:drawing>
        <wp:anchor distT="0" distB="0" distL="114300" distR="114300" simplePos="0" relativeHeight="251660288" behindDoc="1" locked="0" layoutInCell="1" allowOverlap="1" wp14:anchorId="57BC2727" wp14:editId="7F1537B2">
          <wp:simplePos x="0" y="0"/>
          <wp:positionH relativeFrom="column">
            <wp:posOffset>-602615</wp:posOffset>
          </wp:positionH>
          <wp:positionV relativeFrom="paragraph">
            <wp:posOffset>-295275</wp:posOffset>
          </wp:positionV>
          <wp:extent cx="7561580" cy="4631377"/>
          <wp:effectExtent l="0" t="0" r="1270" b="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61580" cy="4631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26"/>
    <w:bookmarkEnd w:id="127"/>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35" w:name="_Toc146200264"/>
  <w:bookmarkEnd w:id="135"/>
  <w:p w14:paraId="4A4BDB9D" w14:textId="77777777" w:rsidR="006A4808" w:rsidRDefault="006A4808" w:rsidP="006A4808">
    <w:pPr>
      <w:pStyle w:val="StatementHeading"/>
      <w:spacing w:after="0"/>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9C1B8C">
      <w:t xml:space="preserve"> Agency</w:t>
    </w:r>
    <w:r>
      <w:fldChar w:fldCharType="end"/>
    </w:r>
  </w:p>
  <w:p w14:paraId="5B34E04A" w14:textId="77777777" w:rsidR="006A4808" w:rsidRDefault="006A4808" w:rsidP="006A4808">
    <w:pPr>
      <w:pStyle w:val="StatementHeading"/>
      <w:spacing w:after="0"/>
      <w:rPr>
        <w:rFonts w:cs="Arial"/>
        <w:szCs w:val="24"/>
      </w:rPr>
    </w:pPr>
    <w:r>
      <w:rPr>
        <w:szCs w:val="24"/>
      </w:rPr>
      <w:t>CASH FLOW STATEMENT</w:t>
    </w:r>
  </w:p>
  <w:p w14:paraId="168D50F3" w14:textId="77777777" w:rsidR="006A4808" w:rsidRPr="00DD22CA" w:rsidRDefault="006A4808" w:rsidP="006A4808">
    <w:pPr>
      <w:pStyle w:val="StatementDateHeader"/>
      <w:spacing w:after="0"/>
    </w:pPr>
    <w:r>
      <w:rPr>
        <w:szCs w:val="24"/>
      </w:rPr>
      <w:t xml:space="preserve">for the year ended </w:t>
    </w:r>
    <w:r w:rsidR="00A21E0D">
      <w:fldChar w:fldCharType="begin"/>
    </w:r>
    <w:r w:rsidR="00A21E0D">
      <w:instrText xml:space="preserve"> DOCPROPERTY  pEnd  \* MERGEFORMAT </w:instrText>
    </w:r>
    <w:r w:rsidR="00A21E0D">
      <w:fldChar w:fldCharType="separate"/>
    </w:r>
    <w:r>
      <w:t>30 June</w:t>
    </w:r>
    <w:r w:rsidR="00A21E0D">
      <w:fldChar w:fldCharType="end"/>
    </w:r>
    <w:r>
      <w:t xml:space="preserve"> </w:t>
    </w:r>
    <w:r>
      <w:rPr>
        <w:szCs w:val="24"/>
      </w:rPr>
      <w:fldChar w:fldCharType="begin"/>
    </w:r>
    <w:r>
      <w:rPr>
        <w:szCs w:val="24"/>
      </w:rPr>
      <w:instrText xml:space="preserve"> DOCPROPERTY  crYear  \* MERGEFORMAT </w:instrText>
    </w:r>
    <w:r>
      <w:rPr>
        <w:szCs w:val="24"/>
      </w:rPr>
      <w:fldChar w:fldCharType="separate"/>
    </w:r>
    <w:r>
      <w:rPr>
        <w:szCs w:val="24"/>
      </w:rPr>
      <w:t>2023</w:t>
    </w:r>
    <w:r>
      <w:rPr>
        <w:szCs w:val="24"/>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A908" w14:textId="77777777" w:rsidR="00F2518A" w:rsidRDefault="00F2518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31BA9" w14:textId="77777777" w:rsidR="00F2518A" w:rsidRDefault="00F2518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0244" w14:textId="77777777" w:rsidR="00F2518A" w:rsidRDefault="00F2518A" w:rsidP="00DD22CA">
    <w:pPr>
      <w:pStyle w:val="StatementName"/>
      <w:spacing w:after="0"/>
    </w:pPr>
    <w:r>
      <w:t>National Disability Insurance Agency</w:t>
    </w:r>
  </w:p>
  <w:p w14:paraId="57CACCEF" w14:textId="77777777" w:rsidR="00F2518A" w:rsidRDefault="00F2518A" w:rsidP="00DD22CA">
    <w:pPr>
      <w:pStyle w:val="StatementName"/>
      <w:spacing w:after="0"/>
    </w:pPr>
    <w:r w:rsidRPr="00990DB5">
      <w:t>NOTES TO AND FORMING PART OF THE FINANCIAL STATEMENTS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C106" w14:textId="77777777" w:rsidR="00F2518A" w:rsidRDefault="00F2518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4427" w14:textId="77777777" w:rsidR="002D1108" w:rsidRDefault="002D1108" w:rsidP="002D1108">
    <w:pPr>
      <w:pStyle w:val="StatementName"/>
      <w:spacing w:after="0"/>
    </w:pPr>
    <w:r>
      <w:t>National Disability Insurance Agency</w:t>
    </w:r>
  </w:p>
  <w:p w14:paraId="56D5809B" w14:textId="77777777" w:rsidR="002D1108" w:rsidRDefault="002D1108" w:rsidP="002D1108">
    <w:pPr>
      <w:pStyle w:val="StatementName"/>
      <w:spacing w:after="0"/>
    </w:pPr>
    <w:r w:rsidRPr="00990DB5">
      <w:t>NOTES TO AND FORMING PART OF THE FINANCIAL STATEMENTS</w:t>
    </w:r>
  </w:p>
  <w:p w14:paraId="72B42E6E" w14:textId="609839AD" w:rsidR="00FF2180" w:rsidRDefault="00FF2180"/>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6AD6" w14:textId="77777777" w:rsidR="00F06474" w:rsidRPr="00F06474" w:rsidRDefault="00F06474" w:rsidP="00F0647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AF89" w14:textId="77777777" w:rsidR="00EB3F0F" w:rsidRPr="005A3554" w:rsidRDefault="00EB3F0F" w:rsidP="005A3554">
    <w:pPr>
      <w:pStyle w:val="Header"/>
      <w:jc w:val="left"/>
      <w:rPr>
        <w:color w:val="auto"/>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38097" w14:textId="77777777" w:rsidR="00A60DCF" w:rsidRPr="004168E7" w:rsidRDefault="00A60DCF" w:rsidP="00D646ED">
    <w:pPr>
      <w:spacing w:after="120"/>
      <w:rPr>
        <w:sz w:val="16"/>
        <w:szCs w:val="16"/>
        <w:lang w:val="en-AU" w:eastAsia="en-US"/>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2846" w14:textId="65CE305D" w:rsidR="00524DD9" w:rsidRPr="005A3554" w:rsidRDefault="00524DD9" w:rsidP="005A3554">
    <w:pPr>
      <w:pStyle w:val="Header"/>
      <w:spacing w:line="240" w:lineRule="auto"/>
      <w:jc w:val="left"/>
      <w:rPr>
        <w:color w:val="auto"/>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BE37D" w14:textId="77777777" w:rsidR="00F2518A" w:rsidRDefault="00F2518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13F7" w14:textId="77777777" w:rsidR="00A60DCF" w:rsidRPr="00BD3475" w:rsidRDefault="00A60DCF" w:rsidP="00BD3475">
    <w:pPr>
      <w:pStyle w:val="Header"/>
      <w:rPr>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6B07" w14:textId="77777777" w:rsidR="00081BB1" w:rsidRPr="00BD3475" w:rsidRDefault="00081BB1" w:rsidP="00BD3475">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6638" w14:textId="77777777" w:rsidR="00220B4C" w:rsidRDefault="00220B4C" w:rsidP="00220B4C">
    <w:pPr>
      <w:pStyle w:val="StatementHeading"/>
      <w:spacing w:after="0" w:line="240" w:lineRule="auto"/>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9C1B8C">
      <w:t xml:space="preserve"> Agency</w:t>
    </w:r>
    <w:r>
      <w:fldChar w:fldCharType="end"/>
    </w:r>
  </w:p>
  <w:p w14:paraId="37C45374" w14:textId="77777777" w:rsidR="00220B4C" w:rsidRDefault="00220B4C" w:rsidP="00220B4C">
    <w:pPr>
      <w:pStyle w:val="StatementHeading"/>
      <w:spacing w:after="0" w:line="240" w:lineRule="auto"/>
      <w:rPr>
        <w:rFonts w:cs="Arial"/>
        <w:szCs w:val="24"/>
      </w:rPr>
    </w:pPr>
    <w:r>
      <w:rPr>
        <w:rFonts w:cs="Arial"/>
        <w:szCs w:val="24"/>
      </w:rPr>
      <w:t>STATEMENT OF COMPREHENSIVE INCOME</w:t>
    </w:r>
  </w:p>
  <w:p w14:paraId="01C24C35" w14:textId="77777777" w:rsidR="00220B4C" w:rsidRDefault="00220B4C" w:rsidP="00220B4C">
    <w:pPr>
      <w:pStyle w:val="StatementDateHeader"/>
      <w:spacing w:after="0" w:line="240" w:lineRule="auto"/>
    </w:pPr>
    <w:r>
      <w:rPr>
        <w:rFonts w:cs="Arial"/>
        <w:szCs w:val="24"/>
      </w:rPr>
      <w:t xml:space="preserve">for </w:t>
    </w:r>
    <w:r w:rsidRPr="001C0439">
      <w:rPr>
        <w:rFonts w:cs="Arial"/>
        <w:szCs w:val="24"/>
      </w:rPr>
      <w:t xml:space="preserve">the </w:t>
    </w:r>
    <w:r>
      <w:rPr>
        <w:rFonts w:cs="Arial"/>
        <w:szCs w:val="24"/>
      </w:rPr>
      <w:t>year</w:t>
    </w:r>
    <w:r w:rsidRPr="001C0439">
      <w:rPr>
        <w:rFonts w:cs="Arial"/>
        <w:szCs w:val="24"/>
      </w:rPr>
      <w:t xml:space="preserve"> ended </w:t>
    </w:r>
    <w:r w:rsidR="00A21E0D">
      <w:fldChar w:fldCharType="begin"/>
    </w:r>
    <w:r w:rsidR="00A21E0D">
      <w:instrText xml:space="preserve"> DOCPROPERTY  pEnd  \* MERGEFORMAT </w:instrText>
    </w:r>
    <w:r w:rsidR="00A21E0D">
      <w:fldChar w:fldCharType="separate"/>
    </w:r>
    <w:r>
      <w:t>30 June</w:t>
    </w:r>
    <w:r w:rsidR="00A21E0D">
      <w:fldChar w:fldCharType="end"/>
    </w:r>
    <w:r>
      <w:t xml:space="preserve"> </w:t>
    </w:r>
    <w:r w:rsidRPr="001C0439">
      <w:rPr>
        <w:rFonts w:cs="Arial"/>
        <w:szCs w:val="24"/>
      </w:rPr>
      <w:fldChar w:fldCharType="begin"/>
    </w:r>
    <w:r w:rsidRPr="001C0439">
      <w:rPr>
        <w:rFonts w:cs="Arial"/>
        <w:szCs w:val="24"/>
      </w:rPr>
      <w:instrText xml:space="preserve"> DOCPROPERTY  crYear  \* MERGEFORMAT </w:instrText>
    </w:r>
    <w:r w:rsidRPr="001C0439">
      <w:rPr>
        <w:rFonts w:cs="Arial"/>
        <w:szCs w:val="24"/>
      </w:rPr>
      <w:fldChar w:fldCharType="separate"/>
    </w:r>
    <w:r>
      <w:rPr>
        <w:rFonts w:cs="Arial"/>
        <w:szCs w:val="24"/>
      </w:rPr>
      <w:t>2023</w:t>
    </w:r>
    <w:r w:rsidRPr="001C0439">
      <w:rPr>
        <w:rFonts w:cs="Arial"/>
        <w:szCs w:val="24"/>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2399D" w14:textId="77777777" w:rsidR="00F2518A" w:rsidRDefault="00F251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F766" w14:textId="77777777" w:rsidR="000B03D6" w:rsidRDefault="000B03D6" w:rsidP="000B03D6">
    <w:pPr>
      <w:pStyle w:val="StatementHeading"/>
      <w:spacing w:after="0" w:line="240" w:lineRule="auto"/>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9C1B8C">
      <w:t xml:space="preserve"> Agency</w:t>
    </w:r>
    <w:r>
      <w:fldChar w:fldCharType="end"/>
    </w:r>
  </w:p>
  <w:p w14:paraId="50DCDC8B" w14:textId="77777777" w:rsidR="000B03D6" w:rsidRPr="001C0439" w:rsidRDefault="000B03D6" w:rsidP="000B03D6">
    <w:pPr>
      <w:pStyle w:val="StatementHeading"/>
      <w:spacing w:after="0" w:line="240" w:lineRule="auto"/>
      <w:rPr>
        <w:rFonts w:cs="Arial"/>
        <w:szCs w:val="24"/>
      </w:rPr>
    </w:pPr>
    <w:r w:rsidRPr="001C0439">
      <w:rPr>
        <w:rFonts w:cs="Arial"/>
        <w:szCs w:val="24"/>
      </w:rPr>
      <w:t>STATEMENT OF FINANCIAL POSITION</w:t>
    </w:r>
  </w:p>
  <w:p w14:paraId="4405AE31" w14:textId="77777777" w:rsidR="000B03D6" w:rsidRDefault="000B03D6" w:rsidP="000B03D6">
    <w:pPr>
      <w:pStyle w:val="StatementDateHeader"/>
      <w:spacing w:after="0" w:line="240" w:lineRule="auto"/>
      <w:rPr>
        <w:rFonts w:cs="Arial"/>
        <w:szCs w:val="24"/>
      </w:rPr>
    </w:pPr>
    <w:r w:rsidRPr="001C0439">
      <w:rPr>
        <w:rFonts w:cs="Arial"/>
        <w:szCs w:val="24"/>
      </w:rPr>
      <w:t xml:space="preserve">as at </w:t>
    </w:r>
    <w:r w:rsidRPr="009A309A">
      <w:rPr>
        <w:rFonts w:cs="Arial"/>
        <w:b/>
        <w:bCs/>
        <w:szCs w:val="24"/>
      </w:rPr>
      <w:fldChar w:fldCharType="begin"/>
    </w:r>
    <w:r w:rsidRPr="009A309A">
      <w:rPr>
        <w:rFonts w:cs="Arial"/>
        <w:b/>
        <w:bCs/>
        <w:szCs w:val="24"/>
      </w:rPr>
      <w:instrText xml:space="preserve"> DOCPROPERTY  pEnd  \* MERGEFORMAT </w:instrText>
    </w:r>
    <w:r w:rsidRPr="009A309A">
      <w:rPr>
        <w:rFonts w:cs="Arial"/>
        <w:b/>
        <w:bCs/>
        <w:szCs w:val="24"/>
      </w:rPr>
      <w:fldChar w:fldCharType="separate"/>
    </w:r>
    <w:r w:rsidRPr="009A309A">
      <w:rPr>
        <w:rFonts w:cs="Arial"/>
        <w:b/>
        <w:bCs/>
        <w:szCs w:val="24"/>
      </w:rPr>
      <w:t>30 June</w:t>
    </w:r>
    <w:r w:rsidRPr="009A309A">
      <w:rPr>
        <w:rFonts w:cs="Arial"/>
        <w:b/>
        <w:bCs/>
        <w:szCs w:val="24"/>
      </w:rPr>
      <w:fldChar w:fldCharType="end"/>
    </w:r>
    <w:r>
      <w:rPr>
        <w:rFonts w:cs="Arial"/>
        <w:szCs w:val="24"/>
      </w:rPr>
      <w:t xml:space="preserve"> </w:t>
    </w:r>
    <w:r>
      <w:rPr>
        <w:rFonts w:cs="Arial"/>
        <w:szCs w:val="24"/>
      </w:rPr>
      <w:fldChar w:fldCharType="begin"/>
    </w:r>
    <w:r>
      <w:rPr>
        <w:rFonts w:cs="Arial"/>
        <w:szCs w:val="24"/>
      </w:rPr>
      <w:instrText xml:space="preserve"> DOCPROPERTY  crYear  \* MERGEFORMAT </w:instrText>
    </w:r>
    <w:r>
      <w:rPr>
        <w:rFonts w:cs="Arial"/>
        <w:szCs w:val="24"/>
      </w:rPr>
      <w:fldChar w:fldCharType="separate"/>
    </w:r>
    <w:r>
      <w:rPr>
        <w:rFonts w:cs="Arial"/>
        <w:szCs w:val="24"/>
      </w:rPr>
      <w:t>2023</w:t>
    </w:r>
    <w:r>
      <w:rPr>
        <w:rFonts w:cs="Arial"/>
        <w:szCs w:val="24"/>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A715A" w14:textId="77777777" w:rsidR="00F2518A" w:rsidRDefault="00F251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39333" w14:textId="77777777" w:rsidR="00FD1201" w:rsidRDefault="00FD1201" w:rsidP="00FD1201">
    <w:pPr>
      <w:pStyle w:val="StatementHeading"/>
      <w:spacing w:after="0"/>
      <w:rPr>
        <w:rFonts w:cs="Arial"/>
        <w:szCs w:val="24"/>
      </w:rPr>
    </w:pPr>
    <w:r>
      <w:rPr>
        <w:rFonts w:cs="Arial"/>
        <w:szCs w:val="24"/>
      </w:rPr>
      <w:fldChar w:fldCharType="begin"/>
    </w:r>
    <w:r>
      <w:rPr>
        <w:rFonts w:cs="Arial"/>
        <w:szCs w:val="24"/>
      </w:rPr>
      <w:instrText xml:space="preserve"> DOCPROPERTY  longName  \* MERGEFORMAT </w:instrText>
    </w:r>
    <w:r>
      <w:rPr>
        <w:rFonts w:cs="Arial"/>
        <w:szCs w:val="24"/>
      </w:rPr>
      <w:fldChar w:fldCharType="separate"/>
    </w:r>
    <w:r>
      <w:rPr>
        <w:rFonts w:cs="Arial"/>
        <w:szCs w:val="24"/>
      </w:rPr>
      <w:t>National Disability Insurance</w:t>
    </w:r>
    <w:r w:rsidRPr="009C1B8C">
      <w:t xml:space="preserve"> Agency</w:t>
    </w:r>
    <w:r>
      <w:fldChar w:fldCharType="end"/>
    </w:r>
  </w:p>
  <w:p w14:paraId="38A2E5D1" w14:textId="77777777" w:rsidR="00FD1201" w:rsidRDefault="00FD1201" w:rsidP="00FD1201">
    <w:pPr>
      <w:pStyle w:val="StatementHeading"/>
      <w:spacing w:after="0"/>
      <w:rPr>
        <w:rFonts w:cs="Arial"/>
        <w:szCs w:val="24"/>
      </w:rPr>
    </w:pPr>
    <w:r>
      <w:rPr>
        <w:rFonts w:cs="Arial"/>
        <w:szCs w:val="24"/>
      </w:rPr>
      <w:t>STATEMENT OF CHANGES IN EQUITY</w:t>
    </w:r>
  </w:p>
  <w:p w14:paraId="5C57580B" w14:textId="77777777" w:rsidR="00FD1201" w:rsidRPr="004454A5" w:rsidRDefault="00FD1201" w:rsidP="00FD1201">
    <w:pPr>
      <w:pStyle w:val="StatementDateHeader"/>
      <w:spacing w:after="0"/>
    </w:pPr>
    <w:r>
      <w:rPr>
        <w:rFonts w:cs="Arial"/>
        <w:szCs w:val="24"/>
      </w:rPr>
      <w:t xml:space="preserve">for the year ended </w:t>
    </w:r>
    <w:r w:rsidR="00A21E0D">
      <w:fldChar w:fldCharType="begin"/>
    </w:r>
    <w:r w:rsidR="00A21E0D">
      <w:instrText xml:space="preserve"> DOCPROPERTY  pEnd  \* MERGEFORMAT </w:instrText>
    </w:r>
    <w:r w:rsidR="00A21E0D">
      <w:fldChar w:fldCharType="separate"/>
    </w:r>
    <w:r>
      <w:t>30 June</w:t>
    </w:r>
    <w:r w:rsidR="00A21E0D">
      <w:fldChar w:fldCharType="end"/>
    </w:r>
    <w:r>
      <w:t xml:space="preserve"> </w:t>
    </w:r>
    <w:r>
      <w:rPr>
        <w:rFonts w:cs="Arial"/>
        <w:szCs w:val="24"/>
      </w:rPr>
      <w:fldChar w:fldCharType="begin"/>
    </w:r>
    <w:r>
      <w:rPr>
        <w:rFonts w:cs="Arial"/>
        <w:szCs w:val="24"/>
      </w:rPr>
      <w:instrText xml:space="preserve"> DOCPROPERTY  crYear  \* MERGEFORMAT </w:instrText>
    </w:r>
    <w:r>
      <w:rPr>
        <w:rFonts w:cs="Arial"/>
        <w:szCs w:val="24"/>
      </w:rPr>
      <w:fldChar w:fldCharType="separate"/>
    </w:r>
    <w:r>
      <w:rPr>
        <w:rFonts w:cs="Arial"/>
        <w:szCs w:val="24"/>
      </w:rPr>
      <w:t>2023</w:t>
    </w:r>
    <w:r>
      <w:rPr>
        <w:rFonts w:cs="Arial"/>
        <w:szCs w:val="24"/>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A101C" w14:textId="77777777" w:rsidR="00F2518A" w:rsidRDefault="00F251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F7CD" w14:textId="77777777" w:rsidR="00F2518A" w:rsidRDefault="00F25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0568"/>
    <w:multiLevelType w:val="hybridMultilevel"/>
    <w:tmpl w:val="49A47D1A"/>
    <w:lvl w:ilvl="0" w:tplc="B45E0AD4">
      <w:start w:val="1"/>
      <w:numFmt w:val="lowerLetter"/>
      <w:lvlText w:val="(%1)"/>
      <w:lvlJc w:val="left"/>
      <w:pPr>
        <w:ind w:left="392" w:hanging="301"/>
      </w:pPr>
      <w:rPr>
        <w:rFonts w:ascii="Arial" w:eastAsia="Arial" w:hAnsi="Arial" w:cs="Arial" w:hint="default"/>
        <w:w w:val="100"/>
        <w:sz w:val="20"/>
        <w:szCs w:val="20"/>
      </w:rPr>
    </w:lvl>
    <w:lvl w:ilvl="1" w:tplc="A2869236">
      <w:numFmt w:val="bullet"/>
      <w:lvlText w:val="•"/>
      <w:lvlJc w:val="left"/>
      <w:pPr>
        <w:ind w:left="894" w:hanging="301"/>
      </w:pPr>
      <w:rPr>
        <w:rFonts w:hint="default"/>
      </w:rPr>
    </w:lvl>
    <w:lvl w:ilvl="2" w:tplc="A5620E46">
      <w:numFmt w:val="bullet"/>
      <w:lvlText w:val="•"/>
      <w:lvlJc w:val="left"/>
      <w:pPr>
        <w:ind w:left="1389" w:hanging="301"/>
      </w:pPr>
      <w:rPr>
        <w:rFonts w:hint="default"/>
      </w:rPr>
    </w:lvl>
    <w:lvl w:ilvl="3" w:tplc="DC30DEA6">
      <w:numFmt w:val="bullet"/>
      <w:lvlText w:val="•"/>
      <w:lvlJc w:val="left"/>
      <w:pPr>
        <w:ind w:left="1883" w:hanging="301"/>
      </w:pPr>
      <w:rPr>
        <w:rFonts w:hint="default"/>
      </w:rPr>
    </w:lvl>
    <w:lvl w:ilvl="4" w:tplc="33D493AA">
      <w:numFmt w:val="bullet"/>
      <w:lvlText w:val="•"/>
      <w:lvlJc w:val="left"/>
      <w:pPr>
        <w:ind w:left="2378" w:hanging="301"/>
      </w:pPr>
      <w:rPr>
        <w:rFonts w:hint="default"/>
      </w:rPr>
    </w:lvl>
    <w:lvl w:ilvl="5" w:tplc="6F62882C">
      <w:numFmt w:val="bullet"/>
      <w:lvlText w:val="•"/>
      <w:lvlJc w:val="left"/>
      <w:pPr>
        <w:ind w:left="2873" w:hanging="301"/>
      </w:pPr>
      <w:rPr>
        <w:rFonts w:hint="default"/>
      </w:rPr>
    </w:lvl>
    <w:lvl w:ilvl="6" w:tplc="91ECB1CC">
      <w:numFmt w:val="bullet"/>
      <w:lvlText w:val="•"/>
      <w:lvlJc w:val="left"/>
      <w:pPr>
        <w:ind w:left="3367" w:hanging="301"/>
      </w:pPr>
      <w:rPr>
        <w:rFonts w:hint="default"/>
      </w:rPr>
    </w:lvl>
    <w:lvl w:ilvl="7" w:tplc="7E723DF4">
      <w:numFmt w:val="bullet"/>
      <w:lvlText w:val="•"/>
      <w:lvlJc w:val="left"/>
      <w:pPr>
        <w:ind w:left="3862" w:hanging="301"/>
      </w:pPr>
      <w:rPr>
        <w:rFonts w:hint="default"/>
      </w:rPr>
    </w:lvl>
    <w:lvl w:ilvl="8" w:tplc="1C5663E6">
      <w:numFmt w:val="bullet"/>
      <w:lvlText w:val="•"/>
      <w:lvlJc w:val="left"/>
      <w:pPr>
        <w:ind w:left="4356" w:hanging="301"/>
      </w:pPr>
      <w:rPr>
        <w:rFonts w:hint="default"/>
      </w:rPr>
    </w:lvl>
  </w:abstractNum>
  <w:abstractNum w:abstractNumId="1" w15:restartNumberingAfterBreak="0">
    <w:nsid w:val="00C65A38"/>
    <w:multiLevelType w:val="hybridMultilevel"/>
    <w:tmpl w:val="D25815D4"/>
    <w:lvl w:ilvl="0" w:tplc="AFC8317E">
      <w:start w:val="1"/>
      <w:numFmt w:val="lowerLetter"/>
      <w:lvlText w:val="(%1)"/>
      <w:lvlJc w:val="left"/>
      <w:pPr>
        <w:ind w:left="407" w:hanging="299"/>
      </w:pPr>
      <w:rPr>
        <w:rFonts w:ascii="Arial" w:eastAsia="Arial" w:hAnsi="Arial" w:cs="Arial" w:hint="default"/>
        <w:w w:val="100"/>
        <w:sz w:val="20"/>
        <w:szCs w:val="20"/>
      </w:rPr>
    </w:lvl>
    <w:lvl w:ilvl="1" w:tplc="F984C68E">
      <w:numFmt w:val="bullet"/>
      <w:lvlText w:val="•"/>
      <w:lvlJc w:val="left"/>
      <w:pPr>
        <w:ind w:left="894" w:hanging="299"/>
      </w:pPr>
      <w:rPr>
        <w:rFonts w:hint="default"/>
      </w:rPr>
    </w:lvl>
    <w:lvl w:ilvl="2" w:tplc="B1188E02">
      <w:numFmt w:val="bullet"/>
      <w:lvlText w:val="•"/>
      <w:lvlJc w:val="left"/>
      <w:pPr>
        <w:ind w:left="1389" w:hanging="299"/>
      </w:pPr>
      <w:rPr>
        <w:rFonts w:hint="default"/>
      </w:rPr>
    </w:lvl>
    <w:lvl w:ilvl="3" w:tplc="7CB0E2C6">
      <w:numFmt w:val="bullet"/>
      <w:lvlText w:val="•"/>
      <w:lvlJc w:val="left"/>
      <w:pPr>
        <w:ind w:left="1883" w:hanging="299"/>
      </w:pPr>
      <w:rPr>
        <w:rFonts w:hint="default"/>
      </w:rPr>
    </w:lvl>
    <w:lvl w:ilvl="4" w:tplc="5ABA285C">
      <w:numFmt w:val="bullet"/>
      <w:lvlText w:val="•"/>
      <w:lvlJc w:val="left"/>
      <w:pPr>
        <w:ind w:left="2378" w:hanging="299"/>
      </w:pPr>
      <w:rPr>
        <w:rFonts w:hint="default"/>
      </w:rPr>
    </w:lvl>
    <w:lvl w:ilvl="5" w:tplc="DFA69CC4">
      <w:numFmt w:val="bullet"/>
      <w:lvlText w:val="•"/>
      <w:lvlJc w:val="left"/>
      <w:pPr>
        <w:ind w:left="2873" w:hanging="299"/>
      </w:pPr>
      <w:rPr>
        <w:rFonts w:hint="default"/>
      </w:rPr>
    </w:lvl>
    <w:lvl w:ilvl="6" w:tplc="924A8950">
      <w:numFmt w:val="bullet"/>
      <w:lvlText w:val="•"/>
      <w:lvlJc w:val="left"/>
      <w:pPr>
        <w:ind w:left="3367" w:hanging="299"/>
      </w:pPr>
      <w:rPr>
        <w:rFonts w:hint="default"/>
      </w:rPr>
    </w:lvl>
    <w:lvl w:ilvl="7" w:tplc="49BAD75E">
      <w:numFmt w:val="bullet"/>
      <w:lvlText w:val="•"/>
      <w:lvlJc w:val="left"/>
      <w:pPr>
        <w:ind w:left="3862" w:hanging="299"/>
      </w:pPr>
      <w:rPr>
        <w:rFonts w:hint="default"/>
      </w:rPr>
    </w:lvl>
    <w:lvl w:ilvl="8" w:tplc="A8F0A88C">
      <w:numFmt w:val="bullet"/>
      <w:lvlText w:val="•"/>
      <w:lvlJc w:val="left"/>
      <w:pPr>
        <w:ind w:left="4356" w:hanging="299"/>
      </w:pPr>
      <w:rPr>
        <w:rFonts w:hint="default"/>
      </w:rPr>
    </w:lvl>
  </w:abstractNum>
  <w:abstractNum w:abstractNumId="2" w15:restartNumberingAfterBreak="0">
    <w:nsid w:val="01AF4F85"/>
    <w:multiLevelType w:val="multilevel"/>
    <w:tmpl w:val="4A2C09A0"/>
    <w:styleLink w:val="CurrentList22"/>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204353"/>
    <w:multiLevelType w:val="hybridMultilevel"/>
    <w:tmpl w:val="B6709B3E"/>
    <w:lvl w:ilvl="0" w:tplc="C28E4274">
      <w:start w:val="1"/>
      <w:numFmt w:val="bullet"/>
      <w:lvlText w:val="-"/>
      <w:lvlJc w:val="left"/>
      <w:pPr>
        <w:ind w:left="720" w:hanging="360"/>
      </w:pPr>
      <w:rPr>
        <w:rFonts w:ascii="Arial" w:hAnsi="Arial" w:hint="default"/>
      </w:rPr>
    </w:lvl>
    <w:lvl w:ilvl="1" w:tplc="56DE1598">
      <w:start w:val="1"/>
      <w:numFmt w:val="bullet"/>
      <w:pStyle w:val="FSRsublist"/>
      <w:lvlText w:val="-"/>
      <w:lvlJc w:val="left"/>
      <w:pPr>
        <w:ind w:left="1440" w:hanging="360"/>
      </w:pPr>
      <w:rPr>
        <w:rFonts w:ascii="Courier New" w:hAnsi="Courier New" w:hint="default"/>
      </w:rPr>
    </w:lvl>
    <w:lvl w:ilvl="2" w:tplc="0C09001B">
      <w:start w:val="1"/>
      <w:numFmt w:val="lowerRoman"/>
      <w:lvlText w:val="%3."/>
      <w:lvlJc w:val="right"/>
      <w:pPr>
        <w:ind w:left="2160" w:hanging="180"/>
      </w:pPr>
    </w:lvl>
    <w:lvl w:ilvl="3" w:tplc="7E9A7F8E">
      <w:start w:val="1"/>
      <w:numFmt w:val="decimal"/>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F44CB9"/>
    <w:multiLevelType w:val="hybridMultilevel"/>
    <w:tmpl w:val="45621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717B15"/>
    <w:multiLevelType w:val="hybridMultilevel"/>
    <w:tmpl w:val="CD9082C8"/>
    <w:lvl w:ilvl="0" w:tplc="5198C8C0">
      <w:start w:val="1"/>
      <w:numFmt w:val="bullet"/>
      <w:pStyle w:val="TalkingPoints"/>
      <w:lvlText w:val=""/>
      <w:lvlJc w:val="left"/>
      <w:pPr>
        <w:ind w:left="720" w:hanging="360"/>
      </w:pPr>
      <w:rPr>
        <w:rFonts w:ascii="Symbol" w:hAnsi="Symbol" w:hint="default"/>
      </w:rPr>
    </w:lvl>
    <w:lvl w:ilvl="1" w:tplc="08D8983A">
      <w:start w:val="1"/>
      <w:numFmt w:val="bullet"/>
      <w:lvlText w:val="o"/>
      <w:lvlJc w:val="left"/>
      <w:pPr>
        <w:ind w:left="1440" w:hanging="360"/>
      </w:pPr>
      <w:rPr>
        <w:rFonts w:ascii="Courier New" w:hAnsi="Courier New" w:cs="Courier New" w:hint="default"/>
      </w:rPr>
    </w:lvl>
    <w:lvl w:ilvl="2" w:tplc="82D6DF9E">
      <w:start w:val="1"/>
      <w:numFmt w:val="bullet"/>
      <w:lvlText w:val=""/>
      <w:lvlJc w:val="left"/>
      <w:pPr>
        <w:ind w:left="2160" w:hanging="360"/>
      </w:pPr>
      <w:rPr>
        <w:rFonts w:ascii="Wingdings" w:hAnsi="Wingdings" w:hint="default"/>
      </w:rPr>
    </w:lvl>
    <w:lvl w:ilvl="3" w:tplc="31C482BE" w:tentative="1">
      <w:start w:val="1"/>
      <w:numFmt w:val="bullet"/>
      <w:lvlText w:val=""/>
      <w:lvlJc w:val="left"/>
      <w:pPr>
        <w:ind w:left="2880" w:hanging="360"/>
      </w:pPr>
      <w:rPr>
        <w:rFonts w:ascii="Symbol" w:hAnsi="Symbol" w:hint="default"/>
      </w:rPr>
    </w:lvl>
    <w:lvl w:ilvl="4" w:tplc="541AF5C0" w:tentative="1">
      <w:start w:val="1"/>
      <w:numFmt w:val="bullet"/>
      <w:lvlText w:val="o"/>
      <w:lvlJc w:val="left"/>
      <w:pPr>
        <w:ind w:left="3600" w:hanging="360"/>
      </w:pPr>
      <w:rPr>
        <w:rFonts w:ascii="Courier New" w:hAnsi="Courier New" w:cs="Courier New" w:hint="default"/>
      </w:rPr>
    </w:lvl>
    <w:lvl w:ilvl="5" w:tplc="6F84BC88" w:tentative="1">
      <w:start w:val="1"/>
      <w:numFmt w:val="bullet"/>
      <w:lvlText w:val=""/>
      <w:lvlJc w:val="left"/>
      <w:pPr>
        <w:ind w:left="4320" w:hanging="360"/>
      </w:pPr>
      <w:rPr>
        <w:rFonts w:ascii="Wingdings" w:hAnsi="Wingdings" w:hint="default"/>
      </w:rPr>
    </w:lvl>
    <w:lvl w:ilvl="6" w:tplc="4DF0826C" w:tentative="1">
      <w:start w:val="1"/>
      <w:numFmt w:val="bullet"/>
      <w:lvlText w:val=""/>
      <w:lvlJc w:val="left"/>
      <w:pPr>
        <w:ind w:left="5040" w:hanging="360"/>
      </w:pPr>
      <w:rPr>
        <w:rFonts w:ascii="Symbol" w:hAnsi="Symbol" w:hint="default"/>
      </w:rPr>
    </w:lvl>
    <w:lvl w:ilvl="7" w:tplc="0D1EA608" w:tentative="1">
      <w:start w:val="1"/>
      <w:numFmt w:val="bullet"/>
      <w:lvlText w:val="o"/>
      <w:lvlJc w:val="left"/>
      <w:pPr>
        <w:ind w:left="5760" w:hanging="360"/>
      </w:pPr>
      <w:rPr>
        <w:rFonts w:ascii="Courier New" w:hAnsi="Courier New" w:cs="Courier New" w:hint="default"/>
      </w:rPr>
    </w:lvl>
    <w:lvl w:ilvl="8" w:tplc="2D3CE26A" w:tentative="1">
      <w:start w:val="1"/>
      <w:numFmt w:val="bullet"/>
      <w:lvlText w:val=""/>
      <w:lvlJc w:val="left"/>
      <w:pPr>
        <w:ind w:left="6480" w:hanging="360"/>
      </w:pPr>
      <w:rPr>
        <w:rFonts w:ascii="Wingdings" w:hAnsi="Wingdings" w:hint="default"/>
      </w:rPr>
    </w:lvl>
  </w:abstractNum>
  <w:abstractNum w:abstractNumId="6" w15:restartNumberingAfterBreak="0">
    <w:nsid w:val="11DE35D5"/>
    <w:multiLevelType w:val="hybridMultilevel"/>
    <w:tmpl w:val="941098EA"/>
    <w:lvl w:ilvl="0" w:tplc="BC325C94">
      <w:start w:val="1"/>
      <w:numFmt w:val="decimal"/>
      <w:pStyle w:val="SubHeading"/>
      <w:lvlText w:val="%1.2"/>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944E98"/>
    <w:multiLevelType w:val="hybridMultilevel"/>
    <w:tmpl w:val="41E2D5A8"/>
    <w:lvl w:ilvl="0" w:tplc="1848031C">
      <w:start w:val="1"/>
      <w:numFmt w:val="bullet"/>
      <w:pStyle w:val="FGCBULLET1"/>
      <w:lvlText w:val=""/>
      <w:lvlJc w:val="left"/>
      <w:pPr>
        <w:ind w:left="1372" w:hanging="360"/>
      </w:pPr>
      <w:rPr>
        <w:rFonts w:ascii="Symbol" w:hAnsi="Symbol" w:hint="default"/>
      </w:rPr>
    </w:lvl>
    <w:lvl w:ilvl="1" w:tplc="0C090003">
      <w:start w:val="1"/>
      <w:numFmt w:val="bullet"/>
      <w:lvlText w:val="o"/>
      <w:lvlJc w:val="left"/>
      <w:pPr>
        <w:ind w:left="2092" w:hanging="360"/>
      </w:pPr>
      <w:rPr>
        <w:rFonts w:ascii="Courier New" w:hAnsi="Courier New" w:cs="Courier New" w:hint="default"/>
      </w:rPr>
    </w:lvl>
    <w:lvl w:ilvl="2" w:tplc="0C090005" w:tentative="1">
      <w:start w:val="1"/>
      <w:numFmt w:val="bullet"/>
      <w:lvlText w:val=""/>
      <w:lvlJc w:val="left"/>
      <w:pPr>
        <w:ind w:left="2812" w:hanging="360"/>
      </w:pPr>
      <w:rPr>
        <w:rFonts w:ascii="Wingdings" w:hAnsi="Wingdings" w:hint="default"/>
      </w:rPr>
    </w:lvl>
    <w:lvl w:ilvl="3" w:tplc="0C090001" w:tentative="1">
      <w:start w:val="1"/>
      <w:numFmt w:val="bullet"/>
      <w:lvlText w:val=""/>
      <w:lvlJc w:val="left"/>
      <w:pPr>
        <w:ind w:left="3532" w:hanging="360"/>
      </w:pPr>
      <w:rPr>
        <w:rFonts w:ascii="Symbol" w:hAnsi="Symbol" w:hint="default"/>
      </w:rPr>
    </w:lvl>
    <w:lvl w:ilvl="4" w:tplc="0C090003" w:tentative="1">
      <w:start w:val="1"/>
      <w:numFmt w:val="bullet"/>
      <w:lvlText w:val="o"/>
      <w:lvlJc w:val="left"/>
      <w:pPr>
        <w:ind w:left="4252" w:hanging="360"/>
      </w:pPr>
      <w:rPr>
        <w:rFonts w:ascii="Courier New" w:hAnsi="Courier New" w:cs="Courier New" w:hint="default"/>
      </w:rPr>
    </w:lvl>
    <w:lvl w:ilvl="5" w:tplc="0C090005" w:tentative="1">
      <w:start w:val="1"/>
      <w:numFmt w:val="bullet"/>
      <w:lvlText w:val=""/>
      <w:lvlJc w:val="left"/>
      <w:pPr>
        <w:ind w:left="4972" w:hanging="360"/>
      </w:pPr>
      <w:rPr>
        <w:rFonts w:ascii="Wingdings" w:hAnsi="Wingdings" w:hint="default"/>
      </w:rPr>
    </w:lvl>
    <w:lvl w:ilvl="6" w:tplc="0C090001" w:tentative="1">
      <w:start w:val="1"/>
      <w:numFmt w:val="bullet"/>
      <w:lvlText w:val=""/>
      <w:lvlJc w:val="left"/>
      <w:pPr>
        <w:ind w:left="5692" w:hanging="360"/>
      </w:pPr>
      <w:rPr>
        <w:rFonts w:ascii="Symbol" w:hAnsi="Symbol" w:hint="default"/>
      </w:rPr>
    </w:lvl>
    <w:lvl w:ilvl="7" w:tplc="0C090003" w:tentative="1">
      <w:start w:val="1"/>
      <w:numFmt w:val="bullet"/>
      <w:lvlText w:val="o"/>
      <w:lvlJc w:val="left"/>
      <w:pPr>
        <w:ind w:left="6412" w:hanging="360"/>
      </w:pPr>
      <w:rPr>
        <w:rFonts w:ascii="Courier New" w:hAnsi="Courier New" w:cs="Courier New" w:hint="default"/>
      </w:rPr>
    </w:lvl>
    <w:lvl w:ilvl="8" w:tplc="0C090005" w:tentative="1">
      <w:start w:val="1"/>
      <w:numFmt w:val="bullet"/>
      <w:lvlText w:val=""/>
      <w:lvlJc w:val="left"/>
      <w:pPr>
        <w:ind w:left="7132" w:hanging="360"/>
      </w:pPr>
      <w:rPr>
        <w:rFonts w:ascii="Wingdings" w:hAnsi="Wingdings" w:hint="default"/>
      </w:rPr>
    </w:lvl>
  </w:abstractNum>
  <w:abstractNum w:abstractNumId="9" w15:restartNumberingAfterBreak="0">
    <w:nsid w:val="193D6BCA"/>
    <w:multiLevelType w:val="multilevel"/>
    <w:tmpl w:val="5AACE21E"/>
    <w:styleLink w:val="Style22"/>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AD87B2A"/>
    <w:multiLevelType w:val="multilevel"/>
    <w:tmpl w:val="0B681194"/>
    <w:lvl w:ilvl="0">
      <w:start w:val="1"/>
      <w:numFmt w:val="decimal"/>
      <w:lvlText w:val="%1."/>
      <w:lvlJc w:val="left"/>
      <w:pPr>
        <w:ind w:left="360" w:hanging="360"/>
      </w:pPr>
      <w:rPr>
        <w:rFonts w:hint="default"/>
        <w:color w:val="auto"/>
      </w:rPr>
    </w:lvl>
    <w:lvl w:ilvl="1">
      <w:numFmt w:val="none"/>
      <w:lvlText w:val=""/>
      <w:lvlJc w:val="left"/>
      <w:pPr>
        <w:tabs>
          <w:tab w:val="num" w:pos="360"/>
        </w:tabs>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ascii="Courier New" w:hAnsi="Courier New" w:cs="Courier New" w:hint="default"/>
        <w:b/>
        <w:bCs w:val="0"/>
        <w:i w:val="0"/>
        <w:iCs w:val="0"/>
        <w:caps w:val="0"/>
        <w:smallCaps w:val="0"/>
        <w:strike w:val="0"/>
        <w:dstrike w:val="0"/>
        <w:noProof w:val="0"/>
        <w:vanish w:val="0"/>
        <w:color w:val="auto"/>
        <w:spacing w:val="0"/>
        <w:kern w:val="0"/>
        <w:position w:val="0"/>
        <w:sz w:val="20"/>
        <w:szCs w:val="20"/>
        <w:u w:val="none"/>
        <w:vertAlign w:val="baseline"/>
        <w14:glow w14:rad="0">
          <w14:srgbClr w14:val="000000"/>
        </w14:glow>
        <w14:scene3d>
          <w14:camera w14:prst="orthographicFront"/>
          <w14:lightRig w14:rig="threePt" w14:dir="t">
            <w14:rot w14:lat="0" w14:lon="0" w14:rev="0"/>
          </w14:lightRig>
        </w14:scene3d>
      </w:rPr>
    </w:lvl>
  </w:abstractNum>
  <w:abstractNum w:abstractNumId="11" w15:restartNumberingAfterBreak="0">
    <w:nsid w:val="1CD95887"/>
    <w:multiLevelType w:val="multilevel"/>
    <w:tmpl w:val="4A2C09A0"/>
    <w:styleLink w:val="Style2"/>
    <w:lvl w:ilvl="0">
      <w:numFmt w:val="decimal"/>
      <w:lvlText w:val=""/>
      <w:lvlJc w:val="left"/>
    </w:lvl>
    <w:lvl w:ilvl="1">
      <w:numFmt w:val="decimal"/>
      <w:lvlText w:val=""/>
      <w:lvlJc w:val="left"/>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none"/>
      <w:lvlText w:val=""/>
      <w:lvlJc w:val="left"/>
      <w:pPr>
        <w:tabs>
          <w:tab w:val="num" w:pos="360"/>
        </w:tabs>
      </w:pPr>
    </w:lvl>
    <w:lvl w:ilvl="7">
      <w:numFmt w:val="decimal"/>
      <w:lvlText w:val=""/>
      <w:lvlJc w:val="left"/>
    </w:lvl>
    <w:lvl w:ilvl="8">
      <w:numFmt w:val="none"/>
      <w:lvlText w:val=""/>
      <w:lvlJc w:val="left"/>
      <w:pPr>
        <w:tabs>
          <w:tab w:val="num" w:pos="360"/>
        </w:tabs>
      </w:pPr>
    </w:lvl>
  </w:abstractNum>
  <w:abstractNum w:abstractNumId="12" w15:restartNumberingAfterBreak="0">
    <w:nsid w:val="20BE4DFB"/>
    <w:multiLevelType w:val="multilevel"/>
    <w:tmpl w:val="D07E0346"/>
    <w:lvl w:ilvl="0">
      <w:start w:val="1"/>
      <w:numFmt w:val="decimal"/>
      <w:pStyle w:val="FGCHEADING1"/>
      <w:lvlText w:val="%1"/>
      <w:lvlJc w:val="left"/>
      <w:pPr>
        <w:ind w:left="635" w:hanging="635"/>
      </w:pPr>
      <w:rPr>
        <w:rFonts w:hint="default"/>
      </w:rPr>
    </w:lvl>
    <w:lvl w:ilvl="1">
      <w:start w:val="1"/>
      <w:numFmt w:val="decimal"/>
      <w:pStyle w:val="FGCHEADING2"/>
      <w:lvlText w:val="%1.%2"/>
      <w:lvlJc w:val="left"/>
      <w:pPr>
        <w:ind w:left="1389" w:hanging="680"/>
      </w:pPr>
      <w:rPr>
        <w:rFonts w:hint="default"/>
      </w:rPr>
    </w:lvl>
    <w:lvl w:ilvl="2">
      <w:start w:val="4"/>
      <w:numFmt w:val="decimal"/>
      <w:pStyle w:val="FGCHEADING3"/>
      <w:lvlText w:val="%1.%2.%3"/>
      <w:lvlJc w:val="left"/>
      <w:pPr>
        <w:ind w:left="0" w:firstLine="0"/>
      </w:pPr>
      <w:rPr>
        <w:rFonts w:hint="default"/>
        <w:sz w:val="32"/>
        <w:szCs w:val="32"/>
      </w:rPr>
    </w:lvl>
    <w:lvl w:ilvl="3">
      <w:start w:val="1"/>
      <w:numFmt w:val="decimal"/>
      <w:pStyle w:val="FGCHEADING5"/>
      <w:lvlText w:val=""/>
      <w:lvlJc w:val="left"/>
      <w:pPr>
        <w:ind w:left="0" w:firstLine="0"/>
      </w:pPr>
      <w:rPr>
        <w:rFonts w:hint="default"/>
      </w:rPr>
    </w:lvl>
    <w:lvl w:ilvl="4">
      <w:start w:val="1"/>
      <w:numFmt w:val="decimal"/>
      <w:lvlText w:val=""/>
      <w:lvlJc w:val="left"/>
      <w:pPr>
        <w:ind w:left="0" w:firstLine="0"/>
      </w:pPr>
      <w:rPr>
        <w:rFonts w:hint="default"/>
      </w:rPr>
    </w:lvl>
    <w:lvl w:ilvl="5">
      <w:start w:val="1"/>
      <w:numFmt w:val="decimal"/>
      <w:pStyle w:val="FGCNUMBERED"/>
      <w:lvlText w:val="%6."/>
      <w:lvlJc w:val="left"/>
      <w:pPr>
        <w:ind w:left="1134" w:hanging="499"/>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1287F89"/>
    <w:multiLevelType w:val="hybridMultilevel"/>
    <w:tmpl w:val="EA5EBD64"/>
    <w:lvl w:ilvl="0" w:tplc="69706BBA">
      <w:start w:val="1"/>
      <w:numFmt w:val="decimal"/>
      <w:pStyle w:val="Style15"/>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20D4C11"/>
    <w:multiLevelType w:val="hybridMultilevel"/>
    <w:tmpl w:val="0E6E0DEC"/>
    <w:lvl w:ilvl="0" w:tplc="446430D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4142179"/>
    <w:multiLevelType w:val="hybridMultilevel"/>
    <w:tmpl w:val="6428B0A6"/>
    <w:lvl w:ilvl="0" w:tplc="920C78AE">
      <w:start w:val="1"/>
      <w:numFmt w:val="bullet"/>
      <w:pStyle w:val="FSR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767B1B"/>
    <w:multiLevelType w:val="hybridMultilevel"/>
    <w:tmpl w:val="090EC162"/>
    <w:lvl w:ilvl="0" w:tplc="4C2EF174">
      <w:start w:val="1"/>
      <w:numFmt w:val="decimal"/>
      <w:pStyle w:val="1jb"/>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D0D5D51"/>
    <w:multiLevelType w:val="hybridMultilevel"/>
    <w:tmpl w:val="3F9228A0"/>
    <w:styleLink w:val="CurrentList11"/>
    <w:lvl w:ilvl="0" w:tplc="8BD600A0">
      <w:numFmt w:val="decimal"/>
      <w:pStyle w:val="FGCCommentItalicbul"/>
      <w:lvlText w:val=""/>
      <w:lvlJc w:val="left"/>
      <w:rPr>
        <w:rFonts w:hint="default"/>
        <w:b w:val="0"/>
        <w:bCs/>
      </w:rPr>
    </w:lvl>
    <w:lvl w:ilvl="1" w:tplc="0C090003">
      <w:numFmt w:val="none"/>
      <w:lvlText w:val=""/>
      <w:lvlJc w:val="left"/>
      <w:pPr>
        <w:tabs>
          <w:tab w:val="num" w:pos="360"/>
        </w:tabs>
      </w:pPr>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1" w15:restartNumberingAfterBreak="0">
    <w:nsid w:val="40F7161D"/>
    <w:multiLevelType w:val="multilevel"/>
    <w:tmpl w:val="ED0EB858"/>
    <w:lvl w:ilvl="0">
      <w:start w:val="1"/>
      <w:numFmt w:val="bullet"/>
      <w:lvlText w:val=""/>
      <w:lvlJc w:val="left"/>
      <w:pPr>
        <w:ind w:left="1202" w:hanging="635"/>
      </w:pPr>
      <w:rPr>
        <w:rFonts w:ascii="Symbol" w:hAnsi="Symbol" w:hint="default"/>
      </w:rPr>
    </w:lvl>
    <w:lvl w:ilvl="1">
      <w:start w:val="1"/>
      <w:numFmt w:val="decimal"/>
      <w:lvlText w:val="%1.%2"/>
      <w:lvlJc w:val="left"/>
      <w:pPr>
        <w:ind w:left="1389" w:hanging="680"/>
      </w:pPr>
      <w:rPr>
        <w:rFonts w:hint="default"/>
      </w:rPr>
    </w:lvl>
    <w:lvl w:ilvl="2">
      <w:start w:val="4"/>
      <w:numFmt w:val="decimal"/>
      <w:lvlText w:val="%1.%2.%3"/>
      <w:lvlJc w:val="left"/>
      <w:pPr>
        <w:ind w:left="567" w:firstLine="0"/>
      </w:pPr>
      <w:rPr>
        <w:rFonts w:hint="default"/>
        <w:sz w:val="32"/>
        <w:szCs w:val="32"/>
      </w:rPr>
    </w:lvl>
    <w:lvl w:ilvl="3">
      <w:start w:val="1"/>
      <w:numFmt w:val="decimal"/>
      <w:lvlText w:val=""/>
      <w:lvlJc w:val="left"/>
      <w:pPr>
        <w:ind w:left="567" w:firstLine="0"/>
      </w:pPr>
      <w:rPr>
        <w:rFonts w:hint="default"/>
      </w:rPr>
    </w:lvl>
    <w:lvl w:ilvl="4">
      <w:start w:val="1"/>
      <w:numFmt w:val="decimal"/>
      <w:lvlText w:val=""/>
      <w:lvlJc w:val="left"/>
      <w:pPr>
        <w:ind w:left="567" w:firstLine="0"/>
      </w:pPr>
      <w:rPr>
        <w:rFonts w:hint="default"/>
      </w:rPr>
    </w:lvl>
    <w:lvl w:ilvl="5">
      <w:start w:val="1"/>
      <w:numFmt w:val="decimal"/>
      <w:lvlText w:val="%6."/>
      <w:lvlJc w:val="left"/>
      <w:pPr>
        <w:ind w:left="1701" w:hanging="499"/>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2" w15:restartNumberingAfterBreak="0">
    <w:nsid w:val="493F3D19"/>
    <w:multiLevelType w:val="hybridMultilevel"/>
    <w:tmpl w:val="9F04C506"/>
    <w:lvl w:ilvl="0" w:tplc="B8A89756">
      <w:start w:val="1"/>
      <w:numFmt w:val="lowerLetter"/>
      <w:pStyle w:val="FSRzlegislation"/>
      <w:lvlText w:val="%1)"/>
      <w:lvlJc w:val="left"/>
      <w:pPr>
        <w:ind w:left="720" w:hanging="360"/>
      </w:pPr>
    </w:lvl>
    <w:lvl w:ilvl="1" w:tplc="FA9A6E08">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840FDA"/>
    <w:multiLevelType w:val="hybridMultilevel"/>
    <w:tmpl w:val="A60E0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DC2C89"/>
    <w:multiLevelType w:val="multilevel"/>
    <w:tmpl w:val="EDAA5206"/>
    <w:styleLink w:val="Style21"/>
    <w:lvl w:ilvl="0">
      <w:numFmt w:val="decimal"/>
      <w:pStyle w:val="01square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134884"/>
    <w:multiLevelType w:val="multilevel"/>
    <w:tmpl w:val="CD4091A6"/>
    <w:lvl w:ilvl="0">
      <w:start w:val="1"/>
      <w:numFmt w:val="decimal"/>
      <w:pStyle w:val="SectionHeading"/>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5F6A5F"/>
    <w:multiLevelType w:val="multilevel"/>
    <w:tmpl w:val="4A2C09A0"/>
    <w:styleLink w:val="CurrentList1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59EA3A35"/>
    <w:multiLevelType w:val="hybridMultilevel"/>
    <w:tmpl w:val="97C4D040"/>
    <w:lvl w:ilvl="0" w:tplc="B6CE9E7E">
      <w:start w:val="1"/>
      <w:numFmt w:val="lowerLetter"/>
      <w:lvlText w:val="(%1)"/>
      <w:lvlJc w:val="left"/>
      <w:pPr>
        <w:ind w:left="392" w:hanging="301"/>
      </w:pPr>
      <w:rPr>
        <w:rFonts w:ascii="Arial" w:eastAsia="Arial" w:hAnsi="Arial" w:cs="Arial" w:hint="default"/>
        <w:w w:val="100"/>
        <w:sz w:val="20"/>
        <w:szCs w:val="20"/>
      </w:rPr>
    </w:lvl>
    <w:lvl w:ilvl="1" w:tplc="C498B724">
      <w:numFmt w:val="bullet"/>
      <w:lvlText w:val="•"/>
      <w:lvlJc w:val="left"/>
      <w:pPr>
        <w:ind w:left="894" w:hanging="301"/>
      </w:pPr>
      <w:rPr>
        <w:rFonts w:hint="default"/>
      </w:rPr>
    </w:lvl>
    <w:lvl w:ilvl="2" w:tplc="6444E3A6">
      <w:numFmt w:val="bullet"/>
      <w:lvlText w:val="•"/>
      <w:lvlJc w:val="left"/>
      <w:pPr>
        <w:ind w:left="1389" w:hanging="301"/>
      </w:pPr>
      <w:rPr>
        <w:rFonts w:hint="default"/>
      </w:rPr>
    </w:lvl>
    <w:lvl w:ilvl="3" w:tplc="ECFAB284">
      <w:numFmt w:val="bullet"/>
      <w:lvlText w:val="•"/>
      <w:lvlJc w:val="left"/>
      <w:pPr>
        <w:ind w:left="1883" w:hanging="301"/>
      </w:pPr>
      <w:rPr>
        <w:rFonts w:hint="default"/>
      </w:rPr>
    </w:lvl>
    <w:lvl w:ilvl="4" w:tplc="19C291B2">
      <w:numFmt w:val="bullet"/>
      <w:lvlText w:val="•"/>
      <w:lvlJc w:val="left"/>
      <w:pPr>
        <w:ind w:left="2378" w:hanging="301"/>
      </w:pPr>
      <w:rPr>
        <w:rFonts w:hint="default"/>
      </w:rPr>
    </w:lvl>
    <w:lvl w:ilvl="5" w:tplc="F3D61E72">
      <w:numFmt w:val="bullet"/>
      <w:lvlText w:val="•"/>
      <w:lvlJc w:val="left"/>
      <w:pPr>
        <w:ind w:left="2873" w:hanging="301"/>
      </w:pPr>
      <w:rPr>
        <w:rFonts w:hint="default"/>
      </w:rPr>
    </w:lvl>
    <w:lvl w:ilvl="6" w:tplc="735E5EEE">
      <w:numFmt w:val="bullet"/>
      <w:lvlText w:val="•"/>
      <w:lvlJc w:val="left"/>
      <w:pPr>
        <w:ind w:left="3367" w:hanging="301"/>
      </w:pPr>
      <w:rPr>
        <w:rFonts w:hint="default"/>
      </w:rPr>
    </w:lvl>
    <w:lvl w:ilvl="7" w:tplc="52F4F4AC">
      <w:numFmt w:val="bullet"/>
      <w:lvlText w:val="•"/>
      <w:lvlJc w:val="left"/>
      <w:pPr>
        <w:ind w:left="3862" w:hanging="301"/>
      </w:pPr>
      <w:rPr>
        <w:rFonts w:hint="default"/>
      </w:rPr>
    </w:lvl>
    <w:lvl w:ilvl="8" w:tplc="2D2C7CF0">
      <w:numFmt w:val="bullet"/>
      <w:lvlText w:val="•"/>
      <w:lvlJc w:val="left"/>
      <w:pPr>
        <w:ind w:left="4356" w:hanging="301"/>
      </w:pPr>
      <w:rPr>
        <w:rFonts w:hint="default"/>
      </w:rPr>
    </w:lvl>
  </w:abstractNum>
  <w:abstractNum w:abstractNumId="29" w15:restartNumberingAfterBreak="0">
    <w:nsid w:val="6506528E"/>
    <w:multiLevelType w:val="hybridMultilevel"/>
    <w:tmpl w:val="93DA8FEE"/>
    <w:lvl w:ilvl="0" w:tplc="3C2A7C0E">
      <w:start w:val="1"/>
      <w:numFmt w:val="lowerLetter"/>
      <w:lvlText w:val="(%1)"/>
      <w:lvlJc w:val="left"/>
      <w:pPr>
        <w:ind w:left="392" w:hanging="301"/>
      </w:pPr>
      <w:rPr>
        <w:rFonts w:ascii="Arial" w:eastAsia="Arial" w:hAnsi="Arial" w:cs="Arial" w:hint="default"/>
        <w:w w:val="100"/>
        <w:sz w:val="20"/>
        <w:szCs w:val="20"/>
      </w:rPr>
    </w:lvl>
    <w:lvl w:ilvl="1" w:tplc="9B544D2C">
      <w:numFmt w:val="bullet"/>
      <w:lvlText w:val="•"/>
      <w:lvlJc w:val="left"/>
      <w:pPr>
        <w:ind w:left="894" w:hanging="301"/>
      </w:pPr>
      <w:rPr>
        <w:rFonts w:hint="default"/>
      </w:rPr>
    </w:lvl>
    <w:lvl w:ilvl="2" w:tplc="E9B8D528">
      <w:numFmt w:val="bullet"/>
      <w:lvlText w:val="•"/>
      <w:lvlJc w:val="left"/>
      <w:pPr>
        <w:ind w:left="1389" w:hanging="301"/>
      </w:pPr>
      <w:rPr>
        <w:rFonts w:hint="default"/>
      </w:rPr>
    </w:lvl>
    <w:lvl w:ilvl="3" w:tplc="E862BDBA">
      <w:numFmt w:val="bullet"/>
      <w:lvlText w:val="•"/>
      <w:lvlJc w:val="left"/>
      <w:pPr>
        <w:ind w:left="1883" w:hanging="301"/>
      </w:pPr>
      <w:rPr>
        <w:rFonts w:hint="default"/>
      </w:rPr>
    </w:lvl>
    <w:lvl w:ilvl="4" w:tplc="28942F82">
      <w:numFmt w:val="bullet"/>
      <w:lvlText w:val="•"/>
      <w:lvlJc w:val="left"/>
      <w:pPr>
        <w:ind w:left="2378" w:hanging="301"/>
      </w:pPr>
      <w:rPr>
        <w:rFonts w:hint="default"/>
      </w:rPr>
    </w:lvl>
    <w:lvl w:ilvl="5" w:tplc="10F264A0">
      <w:numFmt w:val="bullet"/>
      <w:lvlText w:val="•"/>
      <w:lvlJc w:val="left"/>
      <w:pPr>
        <w:ind w:left="2873" w:hanging="301"/>
      </w:pPr>
      <w:rPr>
        <w:rFonts w:hint="default"/>
      </w:rPr>
    </w:lvl>
    <w:lvl w:ilvl="6" w:tplc="A512270A">
      <w:numFmt w:val="bullet"/>
      <w:lvlText w:val="•"/>
      <w:lvlJc w:val="left"/>
      <w:pPr>
        <w:ind w:left="3367" w:hanging="301"/>
      </w:pPr>
      <w:rPr>
        <w:rFonts w:hint="default"/>
      </w:rPr>
    </w:lvl>
    <w:lvl w:ilvl="7" w:tplc="1D244630">
      <w:numFmt w:val="bullet"/>
      <w:lvlText w:val="•"/>
      <w:lvlJc w:val="left"/>
      <w:pPr>
        <w:ind w:left="3862" w:hanging="301"/>
      </w:pPr>
      <w:rPr>
        <w:rFonts w:hint="default"/>
      </w:rPr>
    </w:lvl>
    <w:lvl w:ilvl="8" w:tplc="31C0FB2A">
      <w:numFmt w:val="bullet"/>
      <w:lvlText w:val="•"/>
      <w:lvlJc w:val="left"/>
      <w:pPr>
        <w:ind w:left="4356" w:hanging="301"/>
      </w:pPr>
      <w:rPr>
        <w:rFonts w:hint="default"/>
      </w:rPr>
    </w:lvl>
  </w:abstractNum>
  <w:abstractNum w:abstractNumId="30" w15:restartNumberingAfterBreak="0">
    <w:nsid w:val="6A01767D"/>
    <w:multiLevelType w:val="multilevel"/>
    <w:tmpl w:val="74427506"/>
    <w:lvl w:ilvl="0">
      <w:numFmt w:val="decimal"/>
      <w:lvlText w:val=""/>
      <w:lvlJc w:val="left"/>
    </w:lvl>
    <w:lvl w:ilvl="1">
      <w:numFmt w:val="decimal"/>
      <w:pStyle w:val="StyleNotesHeaderLeftLeft-008cm"/>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1C1A97"/>
    <w:multiLevelType w:val="hybridMultilevel"/>
    <w:tmpl w:val="FB9E6EB6"/>
    <w:lvl w:ilvl="0" w:tplc="D91A507E">
      <w:start w:val="1"/>
      <w:numFmt w:val="decimal"/>
      <w:pStyle w:val="FSRNumberedList"/>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1BF0DB1"/>
    <w:multiLevelType w:val="hybridMultilevel"/>
    <w:tmpl w:val="F97CC978"/>
    <w:lvl w:ilvl="0" w:tplc="8BEC4C72">
      <w:start w:val="1"/>
      <w:numFmt w:val="lowerLetter"/>
      <w:lvlText w:val="(%1)"/>
      <w:lvlJc w:val="left"/>
      <w:pPr>
        <w:ind w:left="392" w:hanging="301"/>
      </w:pPr>
      <w:rPr>
        <w:rFonts w:ascii="Arial" w:eastAsia="Arial" w:hAnsi="Arial" w:cs="Arial" w:hint="default"/>
        <w:w w:val="100"/>
        <w:sz w:val="20"/>
        <w:szCs w:val="20"/>
      </w:rPr>
    </w:lvl>
    <w:lvl w:ilvl="1" w:tplc="08CE499C">
      <w:numFmt w:val="bullet"/>
      <w:lvlText w:val="•"/>
      <w:lvlJc w:val="left"/>
      <w:pPr>
        <w:ind w:left="894" w:hanging="301"/>
      </w:pPr>
      <w:rPr>
        <w:rFonts w:hint="default"/>
      </w:rPr>
    </w:lvl>
    <w:lvl w:ilvl="2" w:tplc="75AE1AA8">
      <w:numFmt w:val="bullet"/>
      <w:lvlText w:val="•"/>
      <w:lvlJc w:val="left"/>
      <w:pPr>
        <w:ind w:left="1389" w:hanging="301"/>
      </w:pPr>
      <w:rPr>
        <w:rFonts w:hint="default"/>
      </w:rPr>
    </w:lvl>
    <w:lvl w:ilvl="3" w:tplc="FF6C86F6">
      <w:numFmt w:val="bullet"/>
      <w:lvlText w:val="•"/>
      <w:lvlJc w:val="left"/>
      <w:pPr>
        <w:ind w:left="1883" w:hanging="301"/>
      </w:pPr>
      <w:rPr>
        <w:rFonts w:hint="default"/>
      </w:rPr>
    </w:lvl>
    <w:lvl w:ilvl="4" w:tplc="1DA8111A">
      <w:numFmt w:val="bullet"/>
      <w:lvlText w:val="•"/>
      <w:lvlJc w:val="left"/>
      <w:pPr>
        <w:ind w:left="2378" w:hanging="301"/>
      </w:pPr>
      <w:rPr>
        <w:rFonts w:hint="default"/>
      </w:rPr>
    </w:lvl>
    <w:lvl w:ilvl="5" w:tplc="980ED6EC">
      <w:numFmt w:val="bullet"/>
      <w:lvlText w:val="•"/>
      <w:lvlJc w:val="left"/>
      <w:pPr>
        <w:ind w:left="2873" w:hanging="301"/>
      </w:pPr>
      <w:rPr>
        <w:rFonts w:hint="default"/>
      </w:rPr>
    </w:lvl>
    <w:lvl w:ilvl="6" w:tplc="A75AD526">
      <w:numFmt w:val="bullet"/>
      <w:lvlText w:val="•"/>
      <w:lvlJc w:val="left"/>
      <w:pPr>
        <w:ind w:left="3367" w:hanging="301"/>
      </w:pPr>
      <w:rPr>
        <w:rFonts w:hint="default"/>
      </w:rPr>
    </w:lvl>
    <w:lvl w:ilvl="7" w:tplc="CA0CE520">
      <w:numFmt w:val="bullet"/>
      <w:lvlText w:val="•"/>
      <w:lvlJc w:val="left"/>
      <w:pPr>
        <w:ind w:left="3862" w:hanging="301"/>
      </w:pPr>
      <w:rPr>
        <w:rFonts w:hint="default"/>
      </w:rPr>
    </w:lvl>
    <w:lvl w:ilvl="8" w:tplc="B09A8F88">
      <w:numFmt w:val="bullet"/>
      <w:lvlText w:val="•"/>
      <w:lvlJc w:val="left"/>
      <w:pPr>
        <w:ind w:left="4356" w:hanging="301"/>
      </w:pPr>
      <w:rPr>
        <w:rFonts w:hint="default"/>
      </w:rPr>
    </w:lvl>
  </w:abstractNum>
  <w:abstractNum w:abstractNumId="33" w15:restartNumberingAfterBreak="0">
    <w:nsid w:val="72E921FA"/>
    <w:multiLevelType w:val="multilevel"/>
    <w:tmpl w:val="D7FEEA16"/>
    <w:styleLink w:val="CurrentList21"/>
    <w:lvl w:ilvl="0">
      <w:numFmt w:val="decimal"/>
      <w:pStyle w:val="NotesHeading-Level1"/>
      <w:lvlText w:val=""/>
      <w:lvlJc w:val="left"/>
    </w:lvl>
    <w:lvl w:ilvl="1">
      <w:numFmt w:val="decimal"/>
      <w:pStyle w:val="NotesHeading-Level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F123A5E"/>
    <w:multiLevelType w:val="hybridMultilevel"/>
    <w:tmpl w:val="A96282AC"/>
    <w:lvl w:ilvl="0" w:tplc="24AADF2E">
      <w:start w:val="1"/>
      <w:numFmt w:val="decimal"/>
      <w:pStyle w:val="ParagraphSection"/>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8861687">
    <w:abstractNumId w:val="34"/>
  </w:num>
  <w:num w:numId="2" w16cid:durableId="1496453420">
    <w:abstractNumId w:val="15"/>
  </w:num>
  <w:num w:numId="3" w16cid:durableId="1154839599">
    <w:abstractNumId w:val="9"/>
  </w:num>
  <w:num w:numId="4" w16cid:durableId="678040525">
    <w:abstractNumId w:val="24"/>
  </w:num>
  <w:num w:numId="5" w16cid:durableId="1448349341">
    <w:abstractNumId w:val="19"/>
  </w:num>
  <w:num w:numId="6" w16cid:durableId="1281691768">
    <w:abstractNumId w:val="33"/>
  </w:num>
  <w:num w:numId="7" w16cid:durableId="685138800">
    <w:abstractNumId w:val="20"/>
  </w:num>
  <w:num w:numId="8" w16cid:durableId="81142444">
    <w:abstractNumId w:val="8"/>
  </w:num>
  <w:num w:numId="9" w16cid:durableId="1464036524">
    <w:abstractNumId w:val="20"/>
  </w:num>
  <w:num w:numId="10" w16cid:durableId="1553732361">
    <w:abstractNumId w:val="18"/>
  </w:num>
  <w:num w:numId="11" w16cid:durableId="1060247949">
    <w:abstractNumId w:val="31"/>
  </w:num>
  <w:num w:numId="12" w16cid:durableId="691951343">
    <w:abstractNumId w:val="3"/>
  </w:num>
  <w:num w:numId="13" w16cid:durableId="853153163">
    <w:abstractNumId w:val="22"/>
  </w:num>
  <w:num w:numId="14" w16cid:durableId="140854346">
    <w:abstractNumId w:val="33"/>
  </w:num>
  <w:num w:numId="15" w16cid:durableId="1523742819">
    <w:abstractNumId w:val="35"/>
  </w:num>
  <w:num w:numId="16" w16cid:durableId="1994141770">
    <w:abstractNumId w:val="26"/>
  </w:num>
  <w:num w:numId="17" w16cid:durableId="310402199">
    <w:abstractNumId w:val="30"/>
  </w:num>
  <w:num w:numId="18" w16cid:durableId="218177904">
    <w:abstractNumId w:val="11"/>
  </w:num>
  <w:num w:numId="19" w16cid:durableId="1205142298">
    <w:abstractNumId w:val="24"/>
  </w:num>
  <w:num w:numId="20" w16cid:durableId="1863203750">
    <w:abstractNumId w:val="10"/>
  </w:num>
  <w:num w:numId="21" w16cid:durableId="1420055083">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706757362">
    <w:abstractNumId w:val="7"/>
  </w:num>
  <w:num w:numId="23" w16cid:durableId="173113338">
    <w:abstractNumId w:val="25"/>
  </w:num>
  <w:num w:numId="24" w16cid:durableId="183057594">
    <w:abstractNumId w:val="13"/>
  </w:num>
  <w:num w:numId="25" w16cid:durableId="1889414008">
    <w:abstractNumId w:val="28"/>
  </w:num>
  <w:num w:numId="26" w16cid:durableId="250967469">
    <w:abstractNumId w:val="1"/>
  </w:num>
  <w:num w:numId="27" w16cid:durableId="1194154376">
    <w:abstractNumId w:val="29"/>
  </w:num>
  <w:num w:numId="28" w16cid:durableId="592976246">
    <w:abstractNumId w:val="32"/>
  </w:num>
  <w:num w:numId="29" w16cid:durableId="1221016289">
    <w:abstractNumId w:val="0"/>
  </w:num>
  <w:num w:numId="30" w16cid:durableId="1933318505">
    <w:abstractNumId w:val="12"/>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1" w16cid:durableId="2008746395">
    <w:abstractNumId w:val="12"/>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2" w16cid:durableId="39978984">
    <w:abstractNumId w:val="5"/>
  </w:num>
  <w:num w:numId="33" w16cid:durableId="89085474">
    <w:abstractNumId w:val="1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4" w16cid:durableId="753934020">
    <w:abstractNumId w:val="12"/>
  </w:num>
  <w:num w:numId="35" w16cid:durableId="304773275">
    <w:abstractNumId w:val="12"/>
    <w:lvlOverride w:ilvl="0">
      <w:startOverride w:val="3"/>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36" w16cid:durableId="808403811">
    <w:abstractNumId w:val="27"/>
  </w:num>
  <w:num w:numId="37" w16cid:durableId="1917327135">
    <w:abstractNumId w:val="2"/>
  </w:num>
  <w:num w:numId="38" w16cid:durableId="1427382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3492863">
    <w:abstractNumId w:val="17"/>
  </w:num>
  <w:num w:numId="40" w16cid:durableId="990907232">
    <w:abstractNumId w:val="4"/>
  </w:num>
  <w:num w:numId="41" w16cid:durableId="990256039">
    <w:abstractNumId w:val="23"/>
  </w:num>
  <w:num w:numId="42" w16cid:durableId="1059090920">
    <w:abstractNumId w:val="21"/>
  </w:num>
  <w:num w:numId="43" w16cid:durableId="285815128">
    <w:abstractNumId w:val="12"/>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44" w16cid:durableId="1497066873">
    <w:abstractNumId w:val="1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45" w16cid:durableId="1545602832">
    <w:abstractNumId w:val="6"/>
  </w:num>
  <w:num w:numId="46" w16cid:durableId="650252425">
    <w:abstractNumId w:val="16"/>
  </w:num>
  <w:num w:numId="47" w16cid:durableId="756631043">
    <w:abstractNumId w:val="6"/>
    <w:lvlOverride w:ilvl="0">
      <w:startOverride w:val="1"/>
    </w:lvlOverride>
  </w:num>
  <w:num w:numId="48" w16cid:durableId="2098793439">
    <w:abstractNumId w:val="14"/>
  </w:num>
  <w:num w:numId="49" w16cid:durableId="2126535996">
    <w:abstractNumId w:val="12"/>
    <w:lvlOverride w:ilvl="0">
      <w:startOverride w:val="4"/>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50" w16cid:durableId="587422410">
    <w:abstractNumId w:val="12"/>
  </w:num>
  <w:num w:numId="51" w16cid:durableId="172690566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52" w16cid:durableId="649140908">
    <w:abstractNumId w:val="1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 w:numId="53" w16cid:durableId="377241478">
    <w:abstractNumId w:val="1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87"/>
    <w:rsid w:val="00000404"/>
    <w:rsid w:val="000024E0"/>
    <w:rsid w:val="000029EE"/>
    <w:rsid w:val="000050C4"/>
    <w:rsid w:val="00005567"/>
    <w:rsid w:val="000056E4"/>
    <w:rsid w:val="00006434"/>
    <w:rsid w:val="000065F6"/>
    <w:rsid w:val="000072A6"/>
    <w:rsid w:val="000106C8"/>
    <w:rsid w:val="00011363"/>
    <w:rsid w:val="00011CD3"/>
    <w:rsid w:val="00012DF5"/>
    <w:rsid w:val="00013084"/>
    <w:rsid w:val="000132F1"/>
    <w:rsid w:val="00013C0F"/>
    <w:rsid w:val="00013E5C"/>
    <w:rsid w:val="0001735A"/>
    <w:rsid w:val="00017A6A"/>
    <w:rsid w:val="000200E8"/>
    <w:rsid w:val="00020541"/>
    <w:rsid w:val="00020956"/>
    <w:rsid w:val="0002139B"/>
    <w:rsid w:val="0002244F"/>
    <w:rsid w:val="000237CB"/>
    <w:rsid w:val="00025583"/>
    <w:rsid w:val="000256ED"/>
    <w:rsid w:val="0002624F"/>
    <w:rsid w:val="0002675F"/>
    <w:rsid w:val="00027398"/>
    <w:rsid w:val="00027CDE"/>
    <w:rsid w:val="00031D26"/>
    <w:rsid w:val="00031F0D"/>
    <w:rsid w:val="00033299"/>
    <w:rsid w:val="00034ED9"/>
    <w:rsid w:val="000356C6"/>
    <w:rsid w:val="00036677"/>
    <w:rsid w:val="000374CD"/>
    <w:rsid w:val="000378FC"/>
    <w:rsid w:val="000401B9"/>
    <w:rsid w:val="000403D2"/>
    <w:rsid w:val="00041330"/>
    <w:rsid w:val="000418D1"/>
    <w:rsid w:val="000420D0"/>
    <w:rsid w:val="00042E3C"/>
    <w:rsid w:val="0004313B"/>
    <w:rsid w:val="00043A8F"/>
    <w:rsid w:val="00043C6F"/>
    <w:rsid w:val="0004474D"/>
    <w:rsid w:val="00045886"/>
    <w:rsid w:val="00045900"/>
    <w:rsid w:val="00046E02"/>
    <w:rsid w:val="0005001B"/>
    <w:rsid w:val="00051F02"/>
    <w:rsid w:val="000520B9"/>
    <w:rsid w:val="00052BBA"/>
    <w:rsid w:val="00052F7E"/>
    <w:rsid w:val="00053A22"/>
    <w:rsid w:val="00055694"/>
    <w:rsid w:val="0005595F"/>
    <w:rsid w:val="00056733"/>
    <w:rsid w:val="00056747"/>
    <w:rsid w:val="00057C65"/>
    <w:rsid w:val="0006012D"/>
    <w:rsid w:val="000603E5"/>
    <w:rsid w:val="00060676"/>
    <w:rsid w:val="00060997"/>
    <w:rsid w:val="000619E1"/>
    <w:rsid w:val="00061D0A"/>
    <w:rsid w:val="00062974"/>
    <w:rsid w:val="00062F82"/>
    <w:rsid w:val="00063BAF"/>
    <w:rsid w:val="0006487E"/>
    <w:rsid w:val="0006496C"/>
    <w:rsid w:val="00064BCF"/>
    <w:rsid w:val="000650A5"/>
    <w:rsid w:val="00066632"/>
    <w:rsid w:val="00066E25"/>
    <w:rsid w:val="00066FF7"/>
    <w:rsid w:val="00071E1C"/>
    <w:rsid w:val="0007333D"/>
    <w:rsid w:val="000748AF"/>
    <w:rsid w:val="00075229"/>
    <w:rsid w:val="00075235"/>
    <w:rsid w:val="000763CA"/>
    <w:rsid w:val="00077D87"/>
    <w:rsid w:val="000802B5"/>
    <w:rsid w:val="00080DB2"/>
    <w:rsid w:val="0008170A"/>
    <w:rsid w:val="00081BB1"/>
    <w:rsid w:val="000825FD"/>
    <w:rsid w:val="0008272A"/>
    <w:rsid w:val="000829FF"/>
    <w:rsid w:val="00084228"/>
    <w:rsid w:val="00084AF8"/>
    <w:rsid w:val="000854E5"/>
    <w:rsid w:val="00085FD0"/>
    <w:rsid w:val="0008655F"/>
    <w:rsid w:val="000870CF"/>
    <w:rsid w:val="000912DB"/>
    <w:rsid w:val="00091449"/>
    <w:rsid w:val="000920FE"/>
    <w:rsid w:val="00092572"/>
    <w:rsid w:val="00092F5F"/>
    <w:rsid w:val="00093425"/>
    <w:rsid w:val="000945EF"/>
    <w:rsid w:val="00094625"/>
    <w:rsid w:val="00095787"/>
    <w:rsid w:val="00096D89"/>
    <w:rsid w:val="000A3EDF"/>
    <w:rsid w:val="000A44D1"/>
    <w:rsid w:val="000A4C2A"/>
    <w:rsid w:val="000A5630"/>
    <w:rsid w:val="000A5902"/>
    <w:rsid w:val="000A6286"/>
    <w:rsid w:val="000A65F6"/>
    <w:rsid w:val="000A6A7C"/>
    <w:rsid w:val="000A7919"/>
    <w:rsid w:val="000A7EE8"/>
    <w:rsid w:val="000A7F83"/>
    <w:rsid w:val="000A7FFB"/>
    <w:rsid w:val="000B03D6"/>
    <w:rsid w:val="000B161F"/>
    <w:rsid w:val="000B1BC7"/>
    <w:rsid w:val="000B1F27"/>
    <w:rsid w:val="000B2B24"/>
    <w:rsid w:val="000B2BEC"/>
    <w:rsid w:val="000B2CB7"/>
    <w:rsid w:val="000B4460"/>
    <w:rsid w:val="000B486C"/>
    <w:rsid w:val="000B4A6E"/>
    <w:rsid w:val="000B5786"/>
    <w:rsid w:val="000B5F5C"/>
    <w:rsid w:val="000B63EF"/>
    <w:rsid w:val="000B64E6"/>
    <w:rsid w:val="000B65BE"/>
    <w:rsid w:val="000B6BC9"/>
    <w:rsid w:val="000B722F"/>
    <w:rsid w:val="000B7B17"/>
    <w:rsid w:val="000B7C6F"/>
    <w:rsid w:val="000C0AF6"/>
    <w:rsid w:val="000C0B10"/>
    <w:rsid w:val="000C1E6F"/>
    <w:rsid w:val="000C1F42"/>
    <w:rsid w:val="000C257E"/>
    <w:rsid w:val="000C26F7"/>
    <w:rsid w:val="000C327F"/>
    <w:rsid w:val="000C367B"/>
    <w:rsid w:val="000C3A3C"/>
    <w:rsid w:val="000C4AB3"/>
    <w:rsid w:val="000C5132"/>
    <w:rsid w:val="000C6790"/>
    <w:rsid w:val="000C79F6"/>
    <w:rsid w:val="000D2A97"/>
    <w:rsid w:val="000D41E5"/>
    <w:rsid w:val="000D4A40"/>
    <w:rsid w:val="000D4EC7"/>
    <w:rsid w:val="000D519F"/>
    <w:rsid w:val="000D63F8"/>
    <w:rsid w:val="000D654E"/>
    <w:rsid w:val="000D6AD6"/>
    <w:rsid w:val="000E01D9"/>
    <w:rsid w:val="000E099E"/>
    <w:rsid w:val="000E0BA5"/>
    <w:rsid w:val="000E14D5"/>
    <w:rsid w:val="000E18E3"/>
    <w:rsid w:val="000E293F"/>
    <w:rsid w:val="000E3166"/>
    <w:rsid w:val="000E39B9"/>
    <w:rsid w:val="000E43B8"/>
    <w:rsid w:val="000E4C15"/>
    <w:rsid w:val="000E5A90"/>
    <w:rsid w:val="000F0FD6"/>
    <w:rsid w:val="000F1009"/>
    <w:rsid w:val="000F1912"/>
    <w:rsid w:val="000F1C24"/>
    <w:rsid w:val="000F231F"/>
    <w:rsid w:val="000F23B8"/>
    <w:rsid w:val="000F3390"/>
    <w:rsid w:val="000F3F83"/>
    <w:rsid w:val="000F47DD"/>
    <w:rsid w:val="000F4941"/>
    <w:rsid w:val="000F5144"/>
    <w:rsid w:val="000F5292"/>
    <w:rsid w:val="000F771D"/>
    <w:rsid w:val="000F7A8E"/>
    <w:rsid w:val="000F7CE3"/>
    <w:rsid w:val="00101811"/>
    <w:rsid w:val="001021DA"/>
    <w:rsid w:val="001023D3"/>
    <w:rsid w:val="00102533"/>
    <w:rsid w:val="00102A1D"/>
    <w:rsid w:val="00103256"/>
    <w:rsid w:val="00103593"/>
    <w:rsid w:val="00103B50"/>
    <w:rsid w:val="00103C96"/>
    <w:rsid w:val="001066AA"/>
    <w:rsid w:val="00106A8F"/>
    <w:rsid w:val="00106D09"/>
    <w:rsid w:val="00111D5B"/>
    <w:rsid w:val="001122E9"/>
    <w:rsid w:val="0011319B"/>
    <w:rsid w:val="001133CA"/>
    <w:rsid w:val="001139DE"/>
    <w:rsid w:val="00113D2A"/>
    <w:rsid w:val="00115077"/>
    <w:rsid w:val="00115BBE"/>
    <w:rsid w:val="001164A1"/>
    <w:rsid w:val="00116B24"/>
    <w:rsid w:val="00117229"/>
    <w:rsid w:val="001202A9"/>
    <w:rsid w:val="00120356"/>
    <w:rsid w:val="00120DE1"/>
    <w:rsid w:val="0012116A"/>
    <w:rsid w:val="00121BF8"/>
    <w:rsid w:val="00122BBE"/>
    <w:rsid w:val="00122BC7"/>
    <w:rsid w:val="00122E1C"/>
    <w:rsid w:val="00122F3C"/>
    <w:rsid w:val="00122F74"/>
    <w:rsid w:val="001242AE"/>
    <w:rsid w:val="00126726"/>
    <w:rsid w:val="00126EFC"/>
    <w:rsid w:val="0012708A"/>
    <w:rsid w:val="001272FC"/>
    <w:rsid w:val="00127458"/>
    <w:rsid w:val="00130151"/>
    <w:rsid w:val="00130F5A"/>
    <w:rsid w:val="0013151B"/>
    <w:rsid w:val="001323A6"/>
    <w:rsid w:val="0013530B"/>
    <w:rsid w:val="00135DA5"/>
    <w:rsid w:val="00136B9D"/>
    <w:rsid w:val="00137117"/>
    <w:rsid w:val="001407E7"/>
    <w:rsid w:val="0014080B"/>
    <w:rsid w:val="00140EDC"/>
    <w:rsid w:val="0014207A"/>
    <w:rsid w:val="00142676"/>
    <w:rsid w:val="001427A5"/>
    <w:rsid w:val="00142B36"/>
    <w:rsid w:val="0014379A"/>
    <w:rsid w:val="00143D13"/>
    <w:rsid w:val="001445DA"/>
    <w:rsid w:val="00144B30"/>
    <w:rsid w:val="00147AF8"/>
    <w:rsid w:val="00147F36"/>
    <w:rsid w:val="00150009"/>
    <w:rsid w:val="00151C4A"/>
    <w:rsid w:val="0015219C"/>
    <w:rsid w:val="0015233D"/>
    <w:rsid w:val="00152F21"/>
    <w:rsid w:val="0015357F"/>
    <w:rsid w:val="00153B5C"/>
    <w:rsid w:val="001559E0"/>
    <w:rsid w:val="0015625F"/>
    <w:rsid w:val="00156AF7"/>
    <w:rsid w:val="0015734D"/>
    <w:rsid w:val="00160401"/>
    <w:rsid w:val="00160AFD"/>
    <w:rsid w:val="001616F7"/>
    <w:rsid w:val="0016173B"/>
    <w:rsid w:val="001624C3"/>
    <w:rsid w:val="00162879"/>
    <w:rsid w:val="00162DB4"/>
    <w:rsid w:val="00163DA1"/>
    <w:rsid w:val="001641F8"/>
    <w:rsid w:val="0016594D"/>
    <w:rsid w:val="0016610C"/>
    <w:rsid w:val="001664DB"/>
    <w:rsid w:val="001665A1"/>
    <w:rsid w:val="001670D4"/>
    <w:rsid w:val="00167C35"/>
    <w:rsid w:val="00171A61"/>
    <w:rsid w:val="001723D7"/>
    <w:rsid w:val="00173C24"/>
    <w:rsid w:val="0017498D"/>
    <w:rsid w:val="00175B0F"/>
    <w:rsid w:val="001762B1"/>
    <w:rsid w:val="00176573"/>
    <w:rsid w:val="0017686C"/>
    <w:rsid w:val="00176A7F"/>
    <w:rsid w:val="00176B77"/>
    <w:rsid w:val="001775A9"/>
    <w:rsid w:val="001809B3"/>
    <w:rsid w:val="00180BB8"/>
    <w:rsid w:val="00180D51"/>
    <w:rsid w:val="001815A4"/>
    <w:rsid w:val="001820D7"/>
    <w:rsid w:val="00182604"/>
    <w:rsid w:val="001827B6"/>
    <w:rsid w:val="0018327A"/>
    <w:rsid w:val="00183CBF"/>
    <w:rsid w:val="00183F71"/>
    <w:rsid w:val="00184156"/>
    <w:rsid w:val="00185872"/>
    <w:rsid w:val="00186D3C"/>
    <w:rsid w:val="0018737B"/>
    <w:rsid w:val="00187EA6"/>
    <w:rsid w:val="00190316"/>
    <w:rsid w:val="0019099B"/>
    <w:rsid w:val="00191DBA"/>
    <w:rsid w:val="00191DED"/>
    <w:rsid w:val="0019224C"/>
    <w:rsid w:val="00192D14"/>
    <w:rsid w:val="001934B4"/>
    <w:rsid w:val="0019364F"/>
    <w:rsid w:val="0019540C"/>
    <w:rsid w:val="001958C8"/>
    <w:rsid w:val="001959DE"/>
    <w:rsid w:val="001959F2"/>
    <w:rsid w:val="00195A8A"/>
    <w:rsid w:val="00196AD8"/>
    <w:rsid w:val="00197398"/>
    <w:rsid w:val="0019757F"/>
    <w:rsid w:val="001A0235"/>
    <w:rsid w:val="001A106F"/>
    <w:rsid w:val="001A13C4"/>
    <w:rsid w:val="001A15AB"/>
    <w:rsid w:val="001A2432"/>
    <w:rsid w:val="001A2E45"/>
    <w:rsid w:val="001A487A"/>
    <w:rsid w:val="001A51A9"/>
    <w:rsid w:val="001A6ADC"/>
    <w:rsid w:val="001A6FAD"/>
    <w:rsid w:val="001A7A4F"/>
    <w:rsid w:val="001A7E50"/>
    <w:rsid w:val="001B0405"/>
    <w:rsid w:val="001B138C"/>
    <w:rsid w:val="001B2546"/>
    <w:rsid w:val="001B2ACC"/>
    <w:rsid w:val="001B2C3E"/>
    <w:rsid w:val="001B2C41"/>
    <w:rsid w:val="001B2DEF"/>
    <w:rsid w:val="001B3176"/>
    <w:rsid w:val="001B4592"/>
    <w:rsid w:val="001C04E1"/>
    <w:rsid w:val="001C1648"/>
    <w:rsid w:val="001C40F6"/>
    <w:rsid w:val="001C5664"/>
    <w:rsid w:val="001C5F76"/>
    <w:rsid w:val="001C61D0"/>
    <w:rsid w:val="001C6E7C"/>
    <w:rsid w:val="001C789E"/>
    <w:rsid w:val="001D02D5"/>
    <w:rsid w:val="001D09A1"/>
    <w:rsid w:val="001D0C96"/>
    <w:rsid w:val="001D27DA"/>
    <w:rsid w:val="001D2B19"/>
    <w:rsid w:val="001D2B2A"/>
    <w:rsid w:val="001D2DA1"/>
    <w:rsid w:val="001D4F8A"/>
    <w:rsid w:val="001D596F"/>
    <w:rsid w:val="001D61F6"/>
    <w:rsid w:val="001D67B2"/>
    <w:rsid w:val="001D6A7E"/>
    <w:rsid w:val="001D6B46"/>
    <w:rsid w:val="001D7BFB"/>
    <w:rsid w:val="001D7FA7"/>
    <w:rsid w:val="001E07A0"/>
    <w:rsid w:val="001E092F"/>
    <w:rsid w:val="001E0DA8"/>
    <w:rsid w:val="001E2014"/>
    <w:rsid w:val="001E2D18"/>
    <w:rsid w:val="001E2DD9"/>
    <w:rsid w:val="001E5E34"/>
    <w:rsid w:val="001E5EA2"/>
    <w:rsid w:val="001E630D"/>
    <w:rsid w:val="001E64EA"/>
    <w:rsid w:val="001F0D91"/>
    <w:rsid w:val="001F1962"/>
    <w:rsid w:val="001F226A"/>
    <w:rsid w:val="001F4C2F"/>
    <w:rsid w:val="001F6C14"/>
    <w:rsid w:val="001F75CD"/>
    <w:rsid w:val="002003EA"/>
    <w:rsid w:val="0020214A"/>
    <w:rsid w:val="00205F41"/>
    <w:rsid w:val="002071EA"/>
    <w:rsid w:val="00207E1C"/>
    <w:rsid w:val="00207F3C"/>
    <w:rsid w:val="00210C79"/>
    <w:rsid w:val="00211B2C"/>
    <w:rsid w:val="0021243A"/>
    <w:rsid w:val="00213879"/>
    <w:rsid w:val="00213C87"/>
    <w:rsid w:val="0022042C"/>
    <w:rsid w:val="00220B4C"/>
    <w:rsid w:val="002216B8"/>
    <w:rsid w:val="00221E73"/>
    <w:rsid w:val="0022218C"/>
    <w:rsid w:val="002226A3"/>
    <w:rsid w:val="00226517"/>
    <w:rsid w:val="0022680C"/>
    <w:rsid w:val="00227EC0"/>
    <w:rsid w:val="00230176"/>
    <w:rsid w:val="002304A2"/>
    <w:rsid w:val="002308E2"/>
    <w:rsid w:val="00230A46"/>
    <w:rsid w:val="00230B72"/>
    <w:rsid w:val="00230E71"/>
    <w:rsid w:val="0023172D"/>
    <w:rsid w:val="002321EA"/>
    <w:rsid w:val="002332D8"/>
    <w:rsid w:val="00234AB6"/>
    <w:rsid w:val="0023603F"/>
    <w:rsid w:val="00236998"/>
    <w:rsid w:val="002369C1"/>
    <w:rsid w:val="00240FC9"/>
    <w:rsid w:val="0024140A"/>
    <w:rsid w:val="002416B9"/>
    <w:rsid w:val="00241C2C"/>
    <w:rsid w:val="00241C64"/>
    <w:rsid w:val="00241DBE"/>
    <w:rsid w:val="002429C0"/>
    <w:rsid w:val="00243DBF"/>
    <w:rsid w:val="002444A3"/>
    <w:rsid w:val="00244C41"/>
    <w:rsid w:val="002453F6"/>
    <w:rsid w:val="0024541D"/>
    <w:rsid w:val="002454DB"/>
    <w:rsid w:val="00250D0E"/>
    <w:rsid w:val="00251002"/>
    <w:rsid w:val="002512BA"/>
    <w:rsid w:val="00251A2E"/>
    <w:rsid w:val="00251A56"/>
    <w:rsid w:val="00252164"/>
    <w:rsid w:val="00252CDA"/>
    <w:rsid w:val="0025462A"/>
    <w:rsid w:val="00254A43"/>
    <w:rsid w:val="00254C49"/>
    <w:rsid w:val="00254F6C"/>
    <w:rsid w:val="00255308"/>
    <w:rsid w:val="0025533B"/>
    <w:rsid w:val="00256E12"/>
    <w:rsid w:val="00257F13"/>
    <w:rsid w:val="00260BDB"/>
    <w:rsid w:val="00260CA0"/>
    <w:rsid w:val="00261643"/>
    <w:rsid w:val="00262609"/>
    <w:rsid w:val="00263256"/>
    <w:rsid w:val="0026328A"/>
    <w:rsid w:val="002643D1"/>
    <w:rsid w:val="00264C32"/>
    <w:rsid w:val="00265A1E"/>
    <w:rsid w:val="0026666E"/>
    <w:rsid w:val="0026681A"/>
    <w:rsid w:val="00266A07"/>
    <w:rsid w:val="00267C61"/>
    <w:rsid w:val="00270126"/>
    <w:rsid w:val="00270177"/>
    <w:rsid w:val="002706CC"/>
    <w:rsid w:val="002713AE"/>
    <w:rsid w:val="002715A8"/>
    <w:rsid w:val="00271A04"/>
    <w:rsid w:val="00271B50"/>
    <w:rsid w:val="00273B25"/>
    <w:rsid w:val="002743C4"/>
    <w:rsid w:val="002745C7"/>
    <w:rsid w:val="00274654"/>
    <w:rsid w:val="00274F5A"/>
    <w:rsid w:val="002751EB"/>
    <w:rsid w:val="00276D3A"/>
    <w:rsid w:val="002776C0"/>
    <w:rsid w:val="002819BE"/>
    <w:rsid w:val="00282425"/>
    <w:rsid w:val="00282980"/>
    <w:rsid w:val="00282C34"/>
    <w:rsid w:val="00282DC0"/>
    <w:rsid w:val="00284131"/>
    <w:rsid w:val="0028518E"/>
    <w:rsid w:val="00285803"/>
    <w:rsid w:val="0028598F"/>
    <w:rsid w:val="00286402"/>
    <w:rsid w:val="00286C68"/>
    <w:rsid w:val="00287EDE"/>
    <w:rsid w:val="0029043D"/>
    <w:rsid w:val="00293CC0"/>
    <w:rsid w:val="00294BDA"/>
    <w:rsid w:val="00294EBD"/>
    <w:rsid w:val="0029741A"/>
    <w:rsid w:val="0029751C"/>
    <w:rsid w:val="002A0200"/>
    <w:rsid w:val="002A1D3D"/>
    <w:rsid w:val="002A246E"/>
    <w:rsid w:val="002A2A07"/>
    <w:rsid w:val="002A30E0"/>
    <w:rsid w:val="002A37AA"/>
    <w:rsid w:val="002A3E68"/>
    <w:rsid w:val="002A53AD"/>
    <w:rsid w:val="002A5C6E"/>
    <w:rsid w:val="002A6F2C"/>
    <w:rsid w:val="002A7BFE"/>
    <w:rsid w:val="002B0BA2"/>
    <w:rsid w:val="002B196E"/>
    <w:rsid w:val="002B25D7"/>
    <w:rsid w:val="002B26D9"/>
    <w:rsid w:val="002B27C0"/>
    <w:rsid w:val="002B2DEF"/>
    <w:rsid w:val="002B4C79"/>
    <w:rsid w:val="002B5687"/>
    <w:rsid w:val="002B5883"/>
    <w:rsid w:val="002B5BE9"/>
    <w:rsid w:val="002B66A5"/>
    <w:rsid w:val="002B6A8D"/>
    <w:rsid w:val="002B7572"/>
    <w:rsid w:val="002C1230"/>
    <w:rsid w:val="002C1753"/>
    <w:rsid w:val="002C176C"/>
    <w:rsid w:val="002C185C"/>
    <w:rsid w:val="002C25B9"/>
    <w:rsid w:val="002C3165"/>
    <w:rsid w:val="002C3B77"/>
    <w:rsid w:val="002C3E0C"/>
    <w:rsid w:val="002C43B9"/>
    <w:rsid w:val="002C5DD8"/>
    <w:rsid w:val="002C6ACA"/>
    <w:rsid w:val="002C713D"/>
    <w:rsid w:val="002C7E5D"/>
    <w:rsid w:val="002D0B31"/>
    <w:rsid w:val="002D1108"/>
    <w:rsid w:val="002D19C9"/>
    <w:rsid w:val="002D1CC5"/>
    <w:rsid w:val="002D2CCB"/>
    <w:rsid w:val="002D48C5"/>
    <w:rsid w:val="002D4B10"/>
    <w:rsid w:val="002D4CF5"/>
    <w:rsid w:val="002D5681"/>
    <w:rsid w:val="002D699B"/>
    <w:rsid w:val="002E1373"/>
    <w:rsid w:val="002E1BB3"/>
    <w:rsid w:val="002E3299"/>
    <w:rsid w:val="002E37B9"/>
    <w:rsid w:val="002E3878"/>
    <w:rsid w:val="002E3BD8"/>
    <w:rsid w:val="002E3F6A"/>
    <w:rsid w:val="002E6561"/>
    <w:rsid w:val="002E67A3"/>
    <w:rsid w:val="002E6BFD"/>
    <w:rsid w:val="002E7DA0"/>
    <w:rsid w:val="002E7E84"/>
    <w:rsid w:val="002F0FC5"/>
    <w:rsid w:val="002F33EB"/>
    <w:rsid w:val="002F539C"/>
    <w:rsid w:val="002F53C3"/>
    <w:rsid w:val="002F56E8"/>
    <w:rsid w:val="002F58B1"/>
    <w:rsid w:val="002F5A78"/>
    <w:rsid w:val="00300C9E"/>
    <w:rsid w:val="003015CB"/>
    <w:rsid w:val="00302C51"/>
    <w:rsid w:val="0030363D"/>
    <w:rsid w:val="003039A0"/>
    <w:rsid w:val="0030416E"/>
    <w:rsid w:val="003045C9"/>
    <w:rsid w:val="003054F1"/>
    <w:rsid w:val="00310CC9"/>
    <w:rsid w:val="00312617"/>
    <w:rsid w:val="00312BB0"/>
    <w:rsid w:val="00313326"/>
    <w:rsid w:val="00313551"/>
    <w:rsid w:val="00313CB8"/>
    <w:rsid w:val="003141EB"/>
    <w:rsid w:val="00314EB8"/>
    <w:rsid w:val="003156DE"/>
    <w:rsid w:val="00315A65"/>
    <w:rsid w:val="00316381"/>
    <w:rsid w:val="003169A1"/>
    <w:rsid w:val="003169E4"/>
    <w:rsid w:val="003172A8"/>
    <w:rsid w:val="00320D76"/>
    <w:rsid w:val="003210BB"/>
    <w:rsid w:val="00321714"/>
    <w:rsid w:val="0032199E"/>
    <w:rsid w:val="00321F74"/>
    <w:rsid w:val="003232C6"/>
    <w:rsid w:val="00323BB7"/>
    <w:rsid w:val="00323C3F"/>
    <w:rsid w:val="00326133"/>
    <w:rsid w:val="0032656F"/>
    <w:rsid w:val="003302C8"/>
    <w:rsid w:val="0033036E"/>
    <w:rsid w:val="0033079E"/>
    <w:rsid w:val="00332ADA"/>
    <w:rsid w:val="003334A0"/>
    <w:rsid w:val="00333EDF"/>
    <w:rsid w:val="003351AA"/>
    <w:rsid w:val="003352C3"/>
    <w:rsid w:val="003358D9"/>
    <w:rsid w:val="00335BC4"/>
    <w:rsid w:val="00336152"/>
    <w:rsid w:val="0033759B"/>
    <w:rsid w:val="0033770F"/>
    <w:rsid w:val="003412DE"/>
    <w:rsid w:val="0034292E"/>
    <w:rsid w:val="00344028"/>
    <w:rsid w:val="00344295"/>
    <w:rsid w:val="003445DA"/>
    <w:rsid w:val="00344E3C"/>
    <w:rsid w:val="00345914"/>
    <w:rsid w:val="00345A58"/>
    <w:rsid w:val="003469EB"/>
    <w:rsid w:val="0034733B"/>
    <w:rsid w:val="003479B7"/>
    <w:rsid w:val="00347D68"/>
    <w:rsid w:val="00350212"/>
    <w:rsid w:val="00350664"/>
    <w:rsid w:val="00350757"/>
    <w:rsid w:val="00350954"/>
    <w:rsid w:val="0035144D"/>
    <w:rsid w:val="00352E6D"/>
    <w:rsid w:val="00356E71"/>
    <w:rsid w:val="0035776B"/>
    <w:rsid w:val="00357D0E"/>
    <w:rsid w:val="00360F21"/>
    <w:rsid w:val="003618EC"/>
    <w:rsid w:val="00361F83"/>
    <w:rsid w:val="003622D9"/>
    <w:rsid w:val="003626B1"/>
    <w:rsid w:val="00362E41"/>
    <w:rsid w:val="0036316F"/>
    <w:rsid w:val="00364144"/>
    <w:rsid w:val="00364E8F"/>
    <w:rsid w:val="00365197"/>
    <w:rsid w:val="00366543"/>
    <w:rsid w:val="0037001C"/>
    <w:rsid w:val="003702BA"/>
    <w:rsid w:val="00370AA3"/>
    <w:rsid w:val="00371ACE"/>
    <w:rsid w:val="00371E37"/>
    <w:rsid w:val="00372DD1"/>
    <w:rsid w:val="00373D02"/>
    <w:rsid w:val="00373D8E"/>
    <w:rsid w:val="00374A3D"/>
    <w:rsid w:val="00375048"/>
    <w:rsid w:val="003752FA"/>
    <w:rsid w:val="00377989"/>
    <w:rsid w:val="00380FEC"/>
    <w:rsid w:val="0038183C"/>
    <w:rsid w:val="00381CE5"/>
    <w:rsid w:val="003820DF"/>
    <w:rsid w:val="0038213D"/>
    <w:rsid w:val="003835DE"/>
    <w:rsid w:val="00383F0A"/>
    <w:rsid w:val="00384FD2"/>
    <w:rsid w:val="003859B1"/>
    <w:rsid w:val="00387E64"/>
    <w:rsid w:val="00391C3E"/>
    <w:rsid w:val="003928EC"/>
    <w:rsid w:val="00393068"/>
    <w:rsid w:val="00393D73"/>
    <w:rsid w:val="00394FA2"/>
    <w:rsid w:val="003961C6"/>
    <w:rsid w:val="00397AB8"/>
    <w:rsid w:val="003A0675"/>
    <w:rsid w:val="003A1886"/>
    <w:rsid w:val="003A1F88"/>
    <w:rsid w:val="003A3945"/>
    <w:rsid w:val="003A3FCC"/>
    <w:rsid w:val="003A4401"/>
    <w:rsid w:val="003A60EF"/>
    <w:rsid w:val="003A6158"/>
    <w:rsid w:val="003A6A3A"/>
    <w:rsid w:val="003A7197"/>
    <w:rsid w:val="003B0A30"/>
    <w:rsid w:val="003B0E82"/>
    <w:rsid w:val="003B10B9"/>
    <w:rsid w:val="003B2310"/>
    <w:rsid w:val="003B243E"/>
    <w:rsid w:val="003B2BB8"/>
    <w:rsid w:val="003B32A3"/>
    <w:rsid w:val="003B3526"/>
    <w:rsid w:val="003B3F1F"/>
    <w:rsid w:val="003B44E0"/>
    <w:rsid w:val="003B4D07"/>
    <w:rsid w:val="003B4E87"/>
    <w:rsid w:val="003B5C0C"/>
    <w:rsid w:val="003B6984"/>
    <w:rsid w:val="003B6EA4"/>
    <w:rsid w:val="003B720D"/>
    <w:rsid w:val="003B73DE"/>
    <w:rsid w:val="003C0A2F"/>
    <w:rsid w:val="003C0AEE"/>
    <w:rsid w:val="003C0B99"/>
    <w:rsid w:val="003C1E74"/>
    <w:rsid w:val="003C1F10"/>
    <w:rsid w:val="003C20B8"/>
    <w:rsid w:val="003C29A6"/>
    <w:rsid w:val="003C2DD1"/>
    <w:rsid w:val="003C2ECD"/>
    <w:rsid w:val="003C38EA"/>
    <w:rsid w:val="003C3B65"/>
    <w:rsid w:val="003C4E2E"/>
    <w:rsid w:val="003C501F"/>
    <w:rsid w:val="003C5484"/>
    <w:rsid w:val="003C779F"/>
    <w:rsid w:val="003D086D"/>
    <w:rsid w:val="003D0D94"/>
    <w:rsid w:val="003D12DF"/>
    <w:rsid w:val="003D153B"/>
    <w:rsid w:val="003D2781"/>
    <w:rsid w:val="003D34FF"/>
    <w:rsid w:val="003D374E"/>
    <w:rsid w:val="003D3C26"/>
    <w:rsid w:val="003D52BC"/>
    <w:rsid w:val="003D61C2"/>
    <w:rsid w:val="003D6C7C"/>
    <w:rsid w:val="003E156B"/>
    <w:rsid w:val="003E20BE"/>
    <w:rsid w:val="003E2B5F"/>
    <w:rsid w:val="003E2C9F"/>
    <w:rsid w:val="003E3956"/>
    <w:rsid w:val="003E3B04"/>
    <w:rsid w:val="003E3B4D"/>
    <w:rsid w:val="003E57CE"/>
    <w:rsid w:val="003E590A"/>
    <w:rsid w:val="003E6798"/>
    <w:rsid w:val="003E7EAD"/>
    <w:rsid w:val="003F0CF8"/>
    <w:rsid w:val="003F1491"/>
    <w:rsid w:val="003F1AC1"/>
    <w:rsid w:val="003F1F01"/>
    <w:rsid w:val="003F24DA"/>
    <w:rsid w:val="003F2AE6"/>
    <w:rsid w:val="003F2DA2"/>
    <w:rsid w:val="003F2EA1"/>
    <w:rsid w:val="003F314E"/>
    <w:rsid w:val="003F4AC2"/>
    <w:rsid w:val="003F59B4"/>
    <w:rsid w:val="003F6ED7"/>
    <w:rsid w:val="003F726F"/>
    <w:rsid w:val="003F7275"/>
    <w:rsid w:val="0040062A"/>
    <w:rsid w:val="004008A0"/>
    <w:rsid w:val="00401B8D"/>
    <w:rsid w:val="0040216D"/>
    <w:rsid w:val="00403234"/>
    <w:rsid w:val="00404D88"/>
    <w:rsid w:val="0040538A"/>
    <w:rsid w:val="004055BB"/>
    <w:rsid w:val="00407D59"/>
    <w:rsid w:val="0041018A"/>
    <w:rsid w:val="00410E07"/>
    <w:rsid w:val="0041203F"/>
    <w:rsid w:val="00412BEE"/>
    <w:rsid w:val="00413E05"/>
    <w:rsid w:val="00414303"/>
    <w:rsid w:val="00415A9D"/>
    <w:rsid w:val="004168E7"/>
    <w:rsid w:val="00416C8D"/>
    <w:rsid w:val="00416D9B"/>
    <w:rsid w:val="00417031"/>
    <w:rsid w:val="00421C4D"/>
    <w:rsid w:val="00422832"/>
    <w:rsid w:val="00423B6C"/>
    <w:rsid w:val="00423D25"/>
    <w:rsid w:val="004241BA"/>
    <w:rsid w:val="004244BB"/>
    <w:rsid w:val="00424725"/>
    <w:rsid w:val="00424DF3"/>
    <w:rsid w:val="00425556"/>
    <w:rsid w:val="00427997"/>
    <w:rsid w:val="00432C70"/>
    <w:rsid w:val="00432D63"/>
    <w:rsid w:val="00433738"/>
    <w:rsid w:val="00433D25"/>
    <w:rsid w:val="00433E01"/>
    <w:rsid w:val="00434824"/>
    <w:rsid w:val="00435DBA"/>
    <w:rsid w:val="00437C81"/>
    <w:rsid w:val="004402FF"/>
    <w:rsid w:val="00441F48"/>
    <w:rsid w:val="00441F5E"/>
    <w:rsid w:val="00442350"/>
    <w:rsid w:val="00443CB3"/>
    <w:rsid w:val="00446013"/>
    <w:rsid w:val="00446794"/>
    <w:rsid w:val="00446814"/>
    <w:rsid w:val="004471A5"/>
    <w:rsid w:val="00450663"/>
    <w:rsid w:val="0045071C"/>
    <w:rsid w:val="004510B6"/>
    <w:rsid w:val="0045283D"/>
    <w:rsid w:val="00454AC6"/>
    <w:rsid w:val="00455045"/>
    <w:rsid w:val="004551A8"/>
    <w:rsid w:val="004553A2"/>
    <w:rsid w:val="004558E8"/>
    <w:rsid w:val="00456D3A"/>
    <w:rsid w:val="00457B00"/>
    <w:rsid w:val="00460214"/>
    <w:rsid w:val="00460251"/>
    <w:rsid w:val="0046044F"/>
    <w:rsid w:val="0046074B"/>
    <w:rsid w:val="004613C2"/>
    <w:rsid w:val="004627BC"/>
    <w:rsid w:val="00463657"/>
    <w:rsid w:val="00463D81"/>
    <w:rsid w:val="004641B7"/>
    <w:rsid w:val="00465BF5"/>
    <w:rsid w:val="00465D1A"/>
    <w:rsid w:val="00465F9F"/>
    <w:rsid w:val="00467D82"/>
    <w:rsid w:val="00470DA3"/>
    <w:rsid w:val="004712BD"/>
    <w:rsid w:val="00471E3A"/>
    <w:rsid w:val="00472220"/>
    <w:rsid w:val="00472870"/>
    <w:rsid w:val="0047362B"/>
    <w:rsid w:val="00473B3C"/>
    <w:rsid w:val="00473ED9"/>
    <w:rsid w:val="00474542"/>
    <w:rsid w:val="00475F62"/>
    <w:rsid w:val="00476F16"/>
    <w:rsid w:val="004770C0"/>
    <w:rsid w:val="004772FB"/>
    <w:rsid w:val="00477B4C"/>
    <w:rsid w:val="0048002C"/>
    <w:rsid w:val="0048044C"/>
    <w:rsid w:val="00480D52"/>
    <w:rsid w:val="00481B93"/>
    <w:rsid w:val="00482104"/>
    <w:rsid w:val="004828E9"/>
    <w:rsid w:val="00483196"/>
    <w:rsid w:val="0048615C"/>
    <w:rsid w:val="004861C3"/>
    <w:rsid w:val="00486335"/>
    <w:rsid w:val="00486FF7"/>
    <w:rsid w:val="00487382"/>
    <w:rsid w:val="004875A0"/>
    <w:rsid w:val="004876FD"/>
    <w:rsid w:val="00487F19"/>
    <w:rsid w:val="004902AA"/>
    <w:rsid w:val="00490785"/>
    <w:rsid w:val="00490CB1"/>
    <w:rsid w:val="00491490"/>
    <w:rsid w:val="00491916"/>
    <w:rsid w:val="00491A7A"/>
    <w:rsid w:val="00491FAA"/>
    <w:rsid w:val="004920FE"/>
    <w:rsid w:val="004926E6"/>
    <w:rsid w:val="00492FD9"/>
    <w:rsid w:val="00493FC4"/>
    <w:rsid w:val="0049516B"/>
    <w:rsid w:val="00495445"/>
    <w:rsid w:val="00495B03"/>
    <w:rsid w:val="00495CCD"/>
    <w:rsid w:val="00495D0F"/>
    <w:rsid w:val="004967B5"/>
    <w:rsid w:val="00497437"/>
    <w:rsid w:val="00497625"/>
    <w:rsid w:val="00497798"/>
    <w:rsid w:val="004977E7"/>
    <w:rsid w:val="004978C9"/>
    <w:rsid w:val="004A0D9A"/>
    <w:rsid w:val="004A1858"/>
    <w:rsid w:val="004A22FF"/>
    <w:rsid w:val="004A2738"/>
    <w:rsid w:val="004A3B7D"/>
    <w:rsid w:val="004A4177"/>
    <w:rsid w:val="004A459F"/>
    <w:rsid w:val="004A47F8"/>
    <w:rsid w:val="004A4EBA"/>
    <w:rsid w:val="004A6ABE"/>
    <w:rsid w:val="004B01CF"/>
    <w:rsid w:val="004B05C1"/>
    <w:rsid w:val="004B0CD3"/>
    <w:rsid w:val="004B1E22"/>
    <w:rsid w:val="004B243E"/>
    <w:rsid w:val="004B31F3"/>
    <w:rsid w:val="004B3DC1"/>
    <w:rsid w:val="004B3E55"/>
    <w:rsid w:val="004B42C5"/>
    <w:rsid w:val="004B4851"/>
    <w:rsid w:val="004B5327"/>
    <w:rsid w:val="004B54CA"/>
    <w:rsid w:val="004B6131"/>
    <w:rsid w:val="004B6BDB"/>
    <w:rsid w:val="004B7D9E"/>
    <w:rsid w:val="004C00F5"/>
    <w:rsid w:val="004C0152"/>
    <w:rsid w:val="004C0F94"/>
    <w:rsid w:val="004C247B"/>
    <w:rsid w:val="004C2887"/>
    <w:rsid w:val="004C2D25"/>
    <w:rsid w:val="004C2D9C"/>
    <w:rsid w:val="004C2DB1"/>
    <w:rsid w:val="004C4298"/>
    <w:rsid w:val="004C4814"/>
    <w:rsid w:val="004C4C20"/>
    <w:rsid w:val="004D0078"/>
    <w:rsid w:val="004D23D7"/>
    <w:rsid w:val="004D2D92"/>
    <w:rsid w:val="004D3172"/>
    <w:rsid w:val="004D31C3"/>
    <w:rsid w:val="004D32B5"/>
    <w:rsid w:val="004D3739"/>
    <w:rsid w:val="004D3B20"/>
    <w:rsid w:val="004D5E99"/>
    <w:rsid w:val="004D6E34"/>
    <w:rsid w:val="004D7A7D"/>
    <w:rsid w:val="004E0145"/>
    <w:rsid w:val="004E0E47"/>
    <w:rsid w:val="004E1376"/>
    <w:rsid w:val="004E1864"/>
    <w:rsid w:val="004E2247"/>
    <w:rsid w:val="004E2452"/>
    <w:rsid w:val="004E274E"/>
    <w:rsid w:val="004E32BF"/>
    <w:rsid w:val="004E3581"/>
    <w:rsid w:val="004E3C90"/>
    <w:rsid w:val="004E3CB7"/>
    <w:rsid w:val="004E461E"/>
    <w:rsid w:val="004E4A9E"/>
    <w:rsid w:val="004E5CBF"/>
    <w:rsid w:val="004E620A"/>
    <w:rsid w:val="004E648E"/>
    <w:rsid w:val="004E7758"/>
    <w:rsid w:val="004F0179"/>
    <w:rsid w:val="004F0349"/>
    <w:rsid w:val="004F039E"/>
    <w:rsid w:val="004F1616"/>
    <w:rsid w:val="004F1873"/>
    <w:rsid w:val="004F199E"/>
    <w:rsid w:val="004F1C62"/>
    <w:rsid w:val="004F2018"/>
    <w:rsid w:val="004F21A9"/>
    <w:rsid w:val="004F3053"/>
    <w:rsid w:val="004F356C"/>
    <w:rsid w:val="004F3E20"/>
    <w:rsid w:val="004F3F3C"/>
    <w:rsid w:val="004F4FC9"/>
    <w:rsid w:val="004F5CDA"/>
    <w:rsid w:val="004F5D4E"/>
    <w:rsid w:val="004F6350"/>
    <w:rsid w:val="004F65D5"/>
    <w:rsid w:val="004F7649"/>
    <w:rsid w:val="004F788E"/>
    <w:rsid w:val="004F7D5E"/>
    <w:rsid w:val="004F7EC7"/>
    <w:rsid w:val="0050191F"/>
    <w:rsid w:val="00501B0A"/>
    <w:rsid w:val="00501EE5"/>
    <w:rsid w:val="00505DD1"/>
    <w:rsid w:val="00507C57"/>
    <w:rsid w:val="00510676"/>
    <w:rsid w:val="00510EB0"/>
    <w:rsid w:val="00512BBF"/>
    <w:rsid w:val="00513006"/>
    <w:rsid w:val="00513954"/>
    <w:rsid w:val="00513EA9"/>
    <w:rsid w:val="00515AB6"/>
    <w:rsid w:val="005168B8"/>
    <w:rsid w:val="00516CB4"/>
    <w:rsid w:val="00520EB6"/>
    <w:rsid w:val="0052101F"/>
    <w:rsid w:val="00521563"/>
    <w:rsid w:val="005215C1"/>
    <w:rsid w:val="00521C95"/>
    <w:rsid w:val="00521FA1"/>
    <w:rsid w:val="00523C1E"/>
    <w:rsid w:val="00524A2F"/>
    <w:rsid w:val="00524DD9"/>
    <w:rsid w:val="00525100"/>
    <w:rsid w:val="005251B4"/>
    <w:rsid w:val="00525573"/>
    <w:rsid w:val="00525D8C"/>
    <w:rsid w:val="00530A6D"/>
    <w:rsid w:val="00531E4B"/>
    <w:rsid w:val="005325EC"/>
    <w:rsid w:val="00532710"/>
    <w:rsid w:val="00532C3F"/>
    <w:rsid w:val="0053306E"/>
    <w:rsid w:val="005335BF"/>
    <w:rsid w:val="00536407"/>
    <w:rsid w:val="00536805"/>
    <w:rsid w:val="00536B67"/>
    <w:rsid w:val="005404D2"/>
    <w:rsid w:val="00540814"/>
    <w:rsid w:val="0054151F"/>
    <w:rsid w:val="00542DE7"/>
    <w:rsid w:val="00543F86"/>
    <w:rsid w:val="0054631E"/>
    <w:rsid w:val="00546B73"/>
    <w:rsid w:val="00547104"/>
    <w:rsid w:val="005472C4"/>
    <w:rsid w:val="00547511"/>
    <w:rsid w:val="00547CC0"/>
    <w:rsid w:val="00550AC5"/>
    <w:rsid w:val="00551D8D"/>
    <w:rsid w:val="0055243D"/>
    <w:rsid w:val="005528BF"/>
    <w:rsid w:val="0055324A"/>
    <w:rsid w:val="005536E7"/>
    <w:rsid w:val="00553878"/>
    <w:rsid w:val="005538F2"/>
    <w:rsid w:val="0055492D"/>
    <w:rsid w:val="00554BB0"/>
    <w:rsid w:val="0055548B"/>
    <w:rsid w:val="00555780"/>
    <w:rsid w:val="005563A5"/>
    <w:rsid w:val="00557275"/>
    <w:rsid w:val="0055785F"/>
    <w:rsid w:val="00560B0A"/>
    <w:rsid w:val="00561EE3"/>
    <w:rsid w:val="00562666"/>
    <w:rsid w:val="00562D8C"/>
    <w:rsid w:val="00563116"/>
    <w:rsid w:val="00563B0E"/>
    <w:rsid w:val="00563D63"/>
    <w:rsid w:val="00564D3F"/>
    <w:rsid w:val="00567049"/>
    <w:rsid w:val="00567BE3"/>
    <w:rsid w:val="00570781"/>
    <w:rsid w:val="005716D1"/>
    <w:rsid w:val="005717FE"/>
    <w:rsid w:val="00571DD0"/>
    <w:rsid w:val="00571E6B"/>
    <w:rsid w:val="00571FAD"/>
    <w:rsid w:val="005729DB"/>
    <w:rsid w:val="0057498C"/>
    <w:rsid w:val="00574B12"/>
    <w:rsid w:val="00574D04"/>
    <w:rsid w:val="00575690"/>
    <w:rsid w:val="00575E65"/>
    <w:rsid w:val="00576162"/>
    <w:rsid w:val="005764E7"/>
    <w:rsid w:val="00580B7B"/>
    <w:rsid w:val="00580BA9"/>
    <w:rsid w:val="0058161C"/>
    <w:rsid w:val="005820C1"/>
    <w:rsid w:val="00583342"/>
    <w:rsid w:val="00583E6B"/>
    <w:rsid w:val="00585AC2"/>
    <w:rsid w:val="00585B3D"/>
    <w:rsid w:val="005863F6"/>
    <w:rsid w:val="00586586"/>
    <w:rsid w:val="00586681"/>
    <w:rsid w:val="00586723"/>
    <w:rsid w:val="00586CDB"/>
    <w:rsid w:val="00587C1F"/>
    <w:rsid w:val="00587C2A"/>
    <w:rsid w:val="005907F9"/>
    <w:rsid w:val="005908D1"/>
    <w:rsid w:val="00590E96"/>
    <w:rsid w:val="00592DE4"/>
    <w:rsid w:val="005938B8"/>
    <w:rsid w:val="00593C73"/>
    <w:rsid w:val="00594CFD"/>
    <w:rsid w:val="005956CC"/>
    <w:rsid w:val="005957FF"/>
    <w:rsid w:val="00595DAD"/>
    <w:rsid w:val="005961BA"/>
    <w:rsid w:val="00596563"/>
    <w:rsid w:val="005968E2"/>
    <w:rsid w:val="005969AA"/>
    <w:rsid w:val="005971D6"/>
    <w:rsid w:val="005A123D"/>
    <w:rsid w:val="005A1743"/>
    <w:rsid w:val="005A2650"/>
    <w:rsid w:val="005A2B8A"/>
    <w:rsid w:val="005A2C35"/>
    <w:rsid w:val="005A3554"/>
    <w:rsid w:val="005A4765"/>
    <w:rsid w:val="005A59A4"/>
    <w:rsid w:val="005A6312"/>
    <w:rsid w:val="005A633A"/>
    <w:rsid w:val="005A66E6"/>
    <w:rsid w:val="005A7D03"/>
    <w:rsid w:val="005B0447"/>
    <w:rsid w:val="005B11F6"/>
    <w:rsid w:val="005B1F0B"/>
    <w:rsid w:val="005B3040"/>
    <w:rsid w:val="005B3042"/>
    <w:rsid w:val="005B343E"/>
    <w:rsid w:val="005B4720"/>
    <w:rsid w:val="005B490F"/>
    <w:rsid w:val="005B4B56"/>
    <w:rsid w:val="005B4BF9"/>
    <w:rsid w:val="005B4D1A"/>
    <w:rsid w:val="005B50F1"/>
    <w:rsid w:val="005B522C"/>
    <w:rsid w:val="005B5459"/>
    <w:rsid w:val="005B6676"/>
    <w:rsid w:val="005B6731"/>
    <w:rsid w:val="005C02D2"/>
    <w:rsid w:val="005C0ED0"/>
    <w:rsid w:val="005C2AC6"/>
    <w:rsid w:val="005C322E"/>
    <w:rsid w:val="005C3AA9"/>
    <w:rsid w:val="005C3EC4"/>
    <w:rsid w:val="005C4368"/>
    <w:rsid w:val="005C5D6D"/>
    <w:rsid w:val="005D041C"/>
    <w:rsid w:val="005D1D77"/>
    <w:rsid w:val="005D2497"/>
    <w:rsid w:val="005D3807"/>
    <w:rsid w:val="005D6D65"/>
    <w:rsid w:val="005D7C18"/>
    <w:rsid w:val="005E23EE"/>
    <w:rsid w:val="005E2857"/>
    <w:rsid w:val="005E3E18"/>
    <w:rsid w:val="005E408A"/>
    <w:rsid w:val="005E44C8"/>
    <w:rsid w:val="005E6311"/>
    <w:rsid w:val="005E6DFB"/>
    <w:rsid w:val="005F1698"/>
    <w:rsid w:val="005F23E2"/>
    <w:rsid w:val="005F368B"/>
    <w:rsid w:val="005F3CF7"/>
    <w:rsid w:val="005F4762"/>
    <w:rsid w:val="005F5B60"/>
    <w:rsid w:val="005F661B"/>
    <w:rsid w:val="005F6C31"/>
    <w:rsid w:val="005F7831"/>
    <w:rsid w:val="0060117D"/>
    <w:rsid w:val="006016C5"/>
    <w:rsid w:val="006023B6"/>
    <w:rsid w:val="00602A5A"/>
    <w:rsid w:val="0060353F"/>
    <w:rsid w:val="00603890"/>
    <w:rsid w:val="00603A6D"/>
    <w:rsid w:val="00603DC1"/>
    <w:rsid w:val="006040B4"/>
    <w:rsid w:val="0060553F"/>
    <w:rsid w:val="00610494"/>
    <w:rsid w:val="0061091F"/>
    <w:rsid w:val="00611F88"/>
    <w:rsid w:val="006128BA"/>
    <w:rsid w:val="006132C0"/>
    <w:rsid w:val="006132FA"/>
    <w:rsid w:val="006134D7"/>
    <w:rsid w:val="0061433A"/>
    <w:rsid w:val="00614467"/>
    <w:rsid w:val="00615D76"/>
    <w:rsid w:val="006165BC"/>
    <w:rsid w:val="00616924"/>
    <w:rsid w:val="00616D5C"/>
    <w:rsid w:val="00617C1C"/>
    <w:rsid w:val="006209A9"/>
    <w:rsid w:val="0062113D"/>
    <w:rsid w:val="00621BEB"/>
    <w:rsid w:val="0062392D"/>
    <w:rsid w:val="006241D8"/>
    <w:rsid w:val="00624AF0"/>
    <w:rsid w:val="00624E6B"/>
    <w:rsid w:val="00625EDC"/>
    <w:rsid w:val="00627B85"/>
    <w:rsid w:val="00630681"/>
    <w:rsid w:val="00630867"/>
    <w:rsid w:val="00630A75"/>
    <w:rsid w:val="00630C45"/>
    <w:rsid w:val="006319AB"/>
    <w:rsid w:val="00632F46"/>
    <w:rsid w:val="00635EDA"/>
    <w:rsid w:val="00636CED"/>
    <w:rsid w:val="00637C95"/>
    <w:rsid w:val="006402A0"/>
    <w:rsid w:val="00640C01"/>
    <w:rsid w:val="00641425"/>
    <w:rsid w:val="00642AEF"/>
    <w:rsid w:val="00643D8B"/>
    <w:rsid w:val="00645007"/>
    <w:rsid w:val="006456A9"/>
    <w:rsid w:val="00645E3B"/>
    <w:rsid w:val="006505DB"/>
    <w:rsid w:val="00650806"/>
    <w:rsid w:val="00650EE3"/>
    <w:rsid w:val="0065253C"/>
    <w:rsid w:val="006525F7"/>
    <w:rsid w:val="00652885"/>
    <w:rsid w:val="00652FB4"/>
    <w:rsid w:val="0065324C"/>
    <w:rsid w:val="00653914"/>
    <w:rsid w:val="00653F42"/>
    <w:rsid w:val="00654394"/>
    <w:rsid w:val="0065459F"/>
    <w:rsid w:val="00657408"/>
    <w:rsid w:val="0065757B"/>
    <w:rsid w:val="00657ADA"/>
    <w:rsid w:val="00657EC5"/>
    <w:rsid w:val="00660219"/>
    <w:rsid w:val="0066166F"/>
    <w:rsid w:val="00661E7F"/>
    <w:rsid w:val="00662209"/>
    <w:rsid w:val="00662731"/>
    <w:rsid w:val="006638B2"/>
    <w:rsid w:val="00664915"/>
    <w:rsid w:val="00664A5D"/>
    <w:rsid w:val="00664E61"/>
    <w:rsid w:val="006653C0"/>
    <w:rsid w:val="00665540"/>
    <w:rsid w:val="00670325"/>
    <w:rsid w:val="0067049C"/>
    <w:rsid w:val="00671C50"/>
    <w:rsid w:val="00671E85"/>
    <w:rsid w:val="006723E7"/>
    <w:rsid w:val="006741BB"/>
    <w:rsid w:val="00674526"/>
    <w:rsid w:val="00674F72"/>
    <w:rsid w:val="00675F12"/>
    <w:rsid w:val="00675F5D"/>
    <w:rsid w:val="006765FF"/>
    <w:rsid w:val="006772E9"/>
    <w:rsid w:val="00677983"/>
    <w:rsid w:val="006810C1"/>
    <w:rsid w:val="00681416"/>
    <w:rsid w:val="0068201B"/>
    <w:rsid w:val="00682206"/>
    <w:rsid w:val="006826D9"/>
    <w:rsid w:val="0068281F"/>
    <w:rsid w:val="0068286C"/>
    <w:rsid w:val="0068364A"/>
    <w:rsid w:val="006838B6"/>
    <w:rsid w:val="00683992"/>
    <w:rsid w:val="00683FDA"/>
    <w:rsid w:val="00684814"/>
    <w:rsid w:val="00685296"/>
    <w:rsid w:val="00685D8F"/>
    <w:rsid w:val="00686575"/>
    <w:rsid w:val="00686D24"/>
    <w:rsid w:val="0068705C"/>
    <w:rsid w:val="006873FE"/>
    <w:rsid w:val="0069015F"/>
    <w:rsid w:val="006912EF"/>
    <w:rsid w:val="0069154E"/>
    <w:rsid w:val="00692122"/>
    <w:rsid w:val="00693354"/>
    <w:rsid w:val="00693873"/>
    <w:rsid w:val="0069573D"/>
    <w:rsid w:val="00695D3B"/>
    <w:rsid w:val="00696020"/>
    <w:rsid w:val="0069655A"/>
    <w:rsid w:val="006973DC"/>
    <w:rsid w:val="0069789E"/>
    <w:rsid w:val="006A1CF8"/>
    <w:rsid w:val="006A2821"/>
    <w:rsid w:val="006A32FB"/>
    <w:rsid w:val="006A364D"/>
    <w:rsid w:val="006A3E50"/>
    <w:rsid w:val="006A3EB6"/>
    <w:rsid w:val="006A4577"/>
    <w:rsid w:val="006A4808"/>
    <w:rsid w:val="006A4CE7"/>
    <w:rsid w:val="006A59DD"/>
    <w:rsid w:val="006B0D92"/>
    <w:rsid w:val="006B13C9"/>
    <w:rsid w:val="006B13DE"/>
    <w:rsid w:val="006B1675"/>
    <w:rsid w:val="006B1C30"/>
    <w:rsid w:val="006B20ED"/>
    <w:rsid w:val="006B2A7F"/>
    <w:rsid w:val="006B2EB8"/>
    <w:rsid w:val="006B4150"/>
    <w:rsid w:val="006B46BC"/>
    <w:rsid w:val="006B6355"/>
    <w:rsid w:val="006B7989"/>
    <w:rsid w:val="006B79CC"/>
    <w:rsid w:val="006C0E22"/>
    <w:rsid w:val="006C128D"/>
    <w:rsid w:val="006C12A2"/>
    <w:rsid w:val="006C1F10"/>
    <w:rsid w:val="006C4831"/>
    <w:rsid w:val="006C569C"/>
    <w:rsid w:val="006C58E4"/>
    <w:rsid w:val="006C6445"/>
    <w:rsid w:val="006C6616"/>
    <w:rsid w:val="006C71FB"/>
    <w:rsid w:val="006C7D3A"/>
    <w:rsid w:val="006C7EC7"/>
    <w:rsid w:val="006D0D46"/>
    <w:rsid w:val="006D1299"/>
    <w:rsid w:val="006D1B75"/>
    <w:rsid w:val="006D1D40"/>
    <w:rsid w:val="006D1ECB"/>
    <w:rsid w:val="006D1F7D"/>
    <w:rsid w:val="006D22B2"/>
    <w:rsid w:val="006D2A30"/>
    <w:rsid w:val="006D2BF4"/>
    <w:rsid w:val="006D2D05"/>
    <w:rsid w:val="006D3D51"/>
    <w:rsid w:val="006D44BA"/>
    <w:rsid w:val="006D7F1E"/>
    <w:rsid w:val="006E12DF"/>
    <w:rsid w:val="006E23A0"/>
    <w:rsid w:val="006E248C"/>
    <w:rsid w:val="006E31F2"/>
    <w:rsid w:val="006E54C9"/>
    <w:rsid w:val="006E695D"/>
    <w:rsid w:val="006E7D92"/>
    <w:rsid w:val="006F03B6"/>
    <w:rsid w:val="006F0C27"/>
    <w:rsid w:val="006F0C7D"/>
    <w:rsid w:val="006F1109"/>
    <w:rsid w:val="006F15C8"/>
    <w:rsid w:val="006F19E7"/>
    <w:rsid w:val="006F1AB2"/>
    <w:rsid w:val="006F20B4"/>
    <w:rsid w:val="006F2519"/>
    <w:rsid w:val="006F2834"/>
    <w:rsid w:val="006F319B"/>
    <w:rsid w:val="006F5C66"/>
    <w:rsid w:val="006F74E6"/>
    <w:rsid w:val="006F76B6"/>
    <w:rsid w:val="006F7E78"/>
    <w:rsid w:val="00701160"/>
    <w:rsid w:val="007015D9"/>
    <w:rsid w:val="00701B21"/>
    <w:rsid w:val="0070274F"/>
    <w:rsid w:val="007034A0"/>
    <w:rsid w:val="0070513D"/>
    <w:rsid w:val="007055D7"/>
    <w:rsid w:val="007055FB"/>
    <w:rsid w:val="00705BA7"/>
    <w:rsid w:val="00706481"/>
    <w:rsid w:val="00706AE6"/>
    <w:rsid w:val="00707D54"/>
    <w:rsid w:val="007100C3"/>
    <w:rsid w:val="00710B40"/>
    <w:rsid w:val="00710BF0"/>
    <w:rsid w:val="00710CCF"/>
    <w:rsid w:val="00711553"/>
    <w:rsid w:val="007120A6"/>
    <w:rsid w:val="00712866"/>
    <w:rsid w:val="007138E2"/>
    <w:rsid w:val="00713FF5"/>
    <w:rsid w:val="007146C6"/>
    <w:rsid w:val="00714C6D"/>
    <w:rsid w:val="007155AA"/>
    <w:rsid w:val="007156F2"/>
    <w:rsid w:val="0071796C"/>
    <w:rsid w:val="0072060C"/>
    <w:rsid w:val="007210CD"/>
    <w:rsid w:val="007219F1"/>
    <w:rsid w:val="00721A74"/>
    <w:rsid w:val="00722D95"/>
    <w:rsid w:val="0072350D"/>
    <w:rsid w:val="00723C2D"/>
    <w:rsid w:val="00723C93"/>
    <w:rsid w:val="00725153"/>
    <w:rsid w:val="00726719"/>
    <w:rsid w:val="00727A0B"/>
    <w:rsid w:val="00727ED1"/>
    <w:rsid w:val="007301FE"/>
    <w:rsid w:val="007306FE"/>
    <w:rsid w:val="00730BBC"/>
    <w:rsid w:val="00730EF1"/>
    <w:rsid w:val="00731403"/>
    <w:rsid w:val="00731D6C"/>
    <w:rsid w:val="00732094"/>
    <w:rsid w:val="00732528"/>
    <w:rsid w:val="00732AFB"/>
    <w:rsid w:val="0073323A"/>
    <w:rsid w:val="00733D20"/>
    <w:rsid w:val="00733EAD"/>
    <w:rsid w:val="0073401F"/>
    <w:rsid w:val="00734F5D"/>
    <w:rsid w:val="007359AB"/>
    <w:rsid w:val="007369F5"/>
    <w:rsid w:val="00736DB7"/>
    <w:rsid w:val="0073735A"/>
    <w:rsid w:val="007404C3"/>
    <w:rsid w:val="007409E4"/>
    <w:rsid w:val="00740C22"/>
    <w:rsid w:val="0074128B"/>
    <w:rsid w:val="007414F5"/>
    <w:rsid w:val="00741578"/>
    <w:rsid w:val="00741A85"/>
    <w:rsid w:val="00742182"/>
    <w:rsid w:val="007423B8"/>
    <w:rsid w:val="00742F63"/>
    <w:rsid w:val="0074380E"/>
    <w:rsid w:val="00744628"/>
    <w:rsid w:val="00744825"/>
    <w:rsid w:val="00744BEF"/>
    <w:rsid w:val="007461F9"/>
    <w:rsid w:val="00746616"/>
    <w:rsid w:val="00746FE8"/>
    <w:rsid w:val="007477FE"/>
    <w:rsid w:val="00747BAC"/>
    <w:rsid w:val="007501B7"/>
    <w:rsid w:val="00750255"/>
    <w:rsid w:val="00751529"/>
    <w:rsid w:val="00751703"/>
    <w:rsid w:val="007518A6"/>
    <w:rsid w:val="00751ABE"/>
    <w:rsid w:val="007521A0"/>
    <w:rsid w:val="007538A6"/>
    <w:rsid w:val="00753A57"/>
    <w:rsid w:val="00753C8D"/>
    <w:rsid w:val="00754533"/>
    <w:rsid w:val="00755112"/>
    <w:rsid w:val="00756699"/>
    <w:rsid w:val="00757367"/>
    <w:rsid w:val="007615F0"/>
    <w:rsid w:val="007624BC"/>
    <w:rsid w:val="00762A00"/>
    <w:rsid w:val="00763DEF"/>
    <w:rsid w:val="00764CA0"/>
    <w:rsid w:val="00766264"/>
    <w:rsid w:val="00766870"/>
    <w:rsid w:val="00766954"/>
    <w:rsid w:val="00766A8E"/>
    <w:rsid w:val="007677D9"/>
    <w:rsid w:val="007714C3"/>
    <w:rsid w:val="00771A8A"/>
    <w:rsid w:val="00772272"/>
    <w:rsid w:val="00772471"/>
    <w:rsid w:val="00772AFC"/>
    <w:rsid w:val="00772DA4"/>
    <w:rsid w:val="00774ECA"/>
    <w:rsid w:val="007755F0"/>
    <w:rsid w:val="0077569C"/>
    <w:rsid w:val="00775887"/>
    <w:rsid w:val="0077606E"/>
    <w:rsid w:val="00777CE8"/>
    <w:rsid w:val="00780103"/>
    <w:rsid w:val="007804DB"/>
    <w:rsid w:val="00780925"/>
    <w:rsid w:val="0078096B"/>
    <w:rsid w:val="00781202"/>
    <w:rsid w:val="00781B51"/>
    <w:rsid w:val="00781D06"/>
    <w:rsid w:val="007824A3"/>
    <w:rsid w:val="00783121"/>
    <w:rsid w:val="0078360F"/>
    <w:rsid w:val="0078399F"/>
    <w:rsid w:val="007842DC"/>
    <w:rsid w:val="00784C1B"/>
    <w:rsid w:val="00784C2F"/>
    <w:rsid w:val="00784F19"/>
    <w:rsid w:val="00784F52"/>
    <w:rsid w:val="00785261"/>
    <w:rsid w:val="007855F9"/>
    <w:rsid w:val="007876C0"/>
    <w:rsid w:val="0078781E"/>
    <w:rsid w:val="007900F3"/>
    <w:rsid w:val="00790A48"/>
    <w:rsid w:val="007926FB"/>
    <w:rsid w:val="0079287C"/>
    <w:rsid w:val="00792AD7"/>
    <w:rsid w:val="007939D2"/>
    <w:rsid w:val="00794C0B"/>
    <w:rsid w:val="00795BF3"/>
    <w:rsid w:val="00795CA6"/>
    <w:rsid w:val="00796AE6"/>
    <w:rsid w:val="00797825"/>
    <w:rsid w:val="007A0ED6"/>
    <w:rsid w:val="007A15D5"/>
    <w:rsid w:val="007A2767"/>
    <w:rsid w:val="007A374B"/>
    <w:rsid w:val="007A3A75"/>
    <w:rsid w:val="007A4262"/>
    <w:rsid w:val="007A45AE"/>
    <w:rsid w:val="007A460F"/>
    <w:rsid w:val="007A47B3"/>
    <w:rsid w:val="007A51E7"/>
    <w:rsid w:val="007A5F86"/>
    <w:rsid w:val="007A7CA5"/>
    <w:rsid w:val="007B0256"/>
    <w:rsid w:val="007B1153"/>
    <w:rsid w:val="007B1DED"/>
    <w:rsid w:val="007B2F8B"/>
    <w:rsid w:val="007B2FBF"/>
    <w:rsid w:val="007B3095"/>
    <w:rsid w:val="007B3CEA"/>
    <w:rsid w:val="007B7373"/>
    <w:rsid w:val="007B7460"/>
    <w:rsid w:val="007B7951"/>
    <w:rsid w:val="007B7C48"/>
    <w:rsid w:val="007C0487"/>
    <w:rsid w:val="007C0D50"/>
    <w:rsid w:val="007C2016"/>
    <w:rsid w:val="007C2DD4"/>
    <w:rsid w:val="007C38F4"/>
    <w:rsid w:val="007C3D66"/>
    <w:rsid w:val="007C43F7"/>
    <w:rsid w:val="007C48F6"/>
    <w:rsid w:val="007C526C"/>
    <w:rsid w:val="007C5831"/>
    <w:rsid w:val="007C5AF0"/>
    <w:rsid w:val="007C5B85"/>
    <w:rsid w:val="007C5C25"/>
    <w:rsid w:val="007C5D6E"/>
    <w:rsid w:val="007C5E06"/>
    <w:rsid w:val="007C61E3"/>
    <w:rsid w:val="007C673E"/>
    <w:rsid w:val="007C6C33"/>
    <w:rsid w:val="007C747A"/>
    <w:rsid w:val="007C7486"/>
    <w:rsid w:val="007D04AA"/>
    <w:rsid w:val="007D1BD8"/>
    <w:rsid w:val="007D2639"/>
    <w:rsid w:val="007D27AE"/>
    <w:rsid w:val="007D2EBF"/>
    <w:rsid w:val="007D3AA6"/>
    <w:rsid w:val="007D4C00"/>
    <w:rsid w:val="007D4C90"/>
    <w:rsid w:val="007D5312"/>
    <w:rsid w:val="007D5D8A"/>
    <w:rsid w:val="007D7969"/>
    <w:rsid w:val="007D7BA6"/>
    <w:rsid w:val="007E0577"/>
    <w:rsid w:val="007E10B2"/>
    <w:rsid w:val="007E14E2"/>
    <w:rsid w:val="007E14FD"/>
    <w:rsid w:val="007E1CDD"/>
    <w:rsid w:val="007E227A"/>
    <w:rsid w:val="007E30D3"/>
    <w:rsid w:val="007E3582"/>
    <w:rsid w:val="007E38B7"/>
    <w:rsid w:val="007E3F13"/>
    <w:rsid w:val="007E4E69"/>
    <w:rsid w:val="007E53BC"/>
    <w:rsid w:val="007E66D0"/>
    <w:rsid w:val="007E676E"/>
    <w:rsid w:val="007E6C06"/>
    <w:rsid w:val="007F1185"/>
    <w:rsid w:val="007F1326"/>
    <w:rsid w:val="007F1DC6"/>
    <w:rsid w:val="007F1E17"/>
    <w:rsid w:val="007F1E95"/>
    <w:rsid w:val="007F1F15"/>
    <w:rsid w:val="007F2C7D"/>
    <w:rsid w:val="007F4C01"/>
    <w:rsid w:val="007F5BDD"/>
    <w:rsid w:val="007F6999"/>
    <w:rsid w:val="007F6C84"/>
    <w:rsid w:val="007F737D"/>
    <w:rsid w:val="007F77F8"/>
    <w:rsid w:val="00800BF2"/>
    <w:rsid w:val="00801122"/>
    <w:rsid w:val="008013C2"/>
    <w:rsid w:val="00802737"/>
    <w:rsid w:val="00802800"/>
    <w:rsid w:val="00802B78"/>
    <w:rsid w:val="00802DE2"/>
    <w:rsid w:val="00804BE0"/>
    <w:rsid w:val="00804CA6"/>
    <w:rsid w:val="00805218"/>
    <w:rsid w:val="00805857"/>
    <w:rsid w:val="00805B65"/>
    <w:rsid w:val="00806BD0"/>
    <w:rsid w:val="00807314"/>
    <w:rsid w:val="0080760A"/>
    <w:rsid w:val="00807E52"/>
    <w:rsid w:val="00807E6E"/>
    <w:rsid w:val="008104C9"/>
    <w:rsid w:val="0081082E"/>
    <w:rsid w:val="00810E90"/>
    <w:rsid w:val="0081258B"/>
    <w:rsid w:val="008126CB"/>
    <w:rsid w:val="00812DB8"/>
    <w:rsid w:val="00812E34"/>
    <w:rsid w:val="00812E4E"/>
    <w:rsid w:val="0081397C"/>
    <w:rsid w:val="008157D0"/>
    <w:rsid w:val="008167A6"/>
    <w:rsid w:val="008207EE"/>
    <w:rsid w:val="00820D46"/>
    <w:rsid w:val="00821795"/>
    <w:rsid w:val="008222C7"/>
    <w:rsid w:val="008222E0"/>
    <w:rsid w:val="00823851"/>
    <w:rsid w:val="00824427"/>
    <w:rsid w:val="0082598F"/>
    <w:rsid w:val="0082660A"/>
    <w:rsid w:val="008275E5"/>
    <w:rsid w:val="008301A6"/>
    <w:rsid w:val="00830363"/>
    <w:rsid w:val="008306BD"/>
    <w:rsid w:val="00830A50"/>
    <w:rsid w:val="008318D1"/>
    <w:rsid w:val="00832596"/>
    <w:rsid w:val="0083266C"/>
    <w:rsid w:val="00832BED"/>
    <w:rsid w:val="008345AC"/>
    <w:rsid w:val="008379E1"/>
    <w:rsid w:val="00837DCE"/>
    <w:rsid w:val="00837E1E"/>
    <w:rsid w:val="008405FC"/>
    <w:rsid w:val="00840E11"/>
    <w:rsid w:val="00841EA4"/>
    <w:rsid w:val="00843D4E"/>
    <w:rsid w:val="00844639"/>
    <w:rsid w:val="00845081"/>
    <w:rsid w:val="00845CB1"/>
    <w:rsid w:val="00846089"/>
    <w:rsid w:val="00846573"/>
    <w:rsid w:val="008465E3"/>
    <w:rsid w:val="008468F9"/>
    <w:rsid w:val="0084754D"/>
    <w:rsid w:val="008476F0"/>
    <w:rsid w:val="00847793"/>
    <w:rsid w:val="00847A19"/>
    <w:rsid w:val="008516BA"/>
    <w:rsid w:val="00851E21"/>
    <w:rsid w:val="008542EC"/>
    <w:rsid w:val="00854D22"/>
    <w:rsid w:val="00855829"/>
    <w:rsid w:val="008569C8"/>
    <w:rsid w:val="00856BAE"/>
    <w:rsid w:val="00857747"/>
    <w:rsid w:val="008613B5"/>
    <w:rsid w:val="0086299A"/>
    <w:rsid w:val="00862B1E"/>
    <w:rsid w:val="00863A3B"/>
    <w:rsid w:val="00863A6C"/>
    <w:rsid w:val="00863C7F"/>
    <w:rsid w:val="0086461A"/>
    <w:rsid w:val="00865261"/>
    <w:rsid w:val="00865B31"/>
    <w:rsid w:val="00865C50"/>
    <w:rsid w:val="0086671D"/>
    <w:rsid w:val="00866C7D"/>
    <w:rsid w:val="00866EE7"/>
    <w:rsid w:val="00867F3E"/>
    <w:rsid w:val="00870872"/>
    <w:rsid w:val="00870D48"/>
    <w:rsid w:val="0087294B"/>
    <w:rsid w:val="008735A8"/>
    <w:rsid w:val="00873B26"/>
    <w:rsid w:val="00874405"/>
    <w:rsid w:val="008749E4"/>
    <w:rsid w:val="00874B63"/>
    <w:rsid w:val="00874CE2"/>
    <w:rsid w:val="00875554"/>
    <w:rsid w:val="0087652E"/>
    <w:rsid w:val="00876B22"/>
    <w:rsid w:val="00876D3A"/>
    <w:rsid w:val="0087778B"/>
    <w:rsid w:val="00877FBB"/>
    <w:rsid w:val="00883D20"/>
    <w:rsid w:val="008842F6"/>
    <w:rsid w:val="00884E90"/>
    <w:rsid w:val="0088554C"/>
    <w:rsid w:val="008871B9"/>
    <w:rsid w:val="00887509"/>
    <w:rsid w:val="00887867"/>
    <w:rsid w:val="00887EB4"/>
    <w:rsid w:val="00890E68"/>
    <w:rsid w:val="00890FC6"/>
    <w:rsid w:val="00892A30"/>
    <w:rsid w:val="00894052"/>
    <w:rsid w:val="00895889"/>
    <w:rsid w:val="008A065C"/>
    <w:rsid w:val="008A11B2"/>
    <w:rsid w:val="008A1600"/>
    <w:rsid w:val="008A2E8D"/>
    <w:rsid w:val="008A380B"/>
    <w:rsid w:val="008A3D89"/>
    <w:rsid w:val="008A5083"/>
    <w:rsid w:val="008A56BB"/>
    <w:rsid w:val="008A5956"/>
    <w:rsid w:val="008A73C1"/>
    <w:rsid w:val="008A79E8"/>
    <w:rsid w:val="008A7CCB"/>
    <w:rsid w:val="008A7D1C"/>
    <w:rsid w:val="008B06B2"/>
    <w:rsid w:val="008B074B"/>
    <w:rsid w:val="008B1684"/>
    <w:rsid w:val="008B1E23"/>
    <w:rsid w:val="008B35DE"/>
    <w:rsid w:val="008B5954"/>
    <w:rsid w:val="008B6AA7"/>
    <w:rsid w:val="008B7894"/>
    <w:rsid w:val="008B7ED3"/>
    <w:rsid w:val="008C01DC"/>
    <w:rsid w:val="008C0CA9"/>
    <w:rsid w:val="008C0D3E"/>
    <w:rsid w:val="008C1716"/>
    <w:rsid w:val="008C4097"/>
    <w:rsid w:val="008C4493"/>
    <w:rsid w:val="008C46E4"/>
    <w:rsid w:val="008C640F"/>
    <w:rsid w:val="008C6561"/>
    <w:rsid w:val="008C68D7"/>
    <w:rsid w:val="008C6A94"/>
    <w:rsid w:val="008C6DC6"/>
    <w:rsid w:val="008C6FBC"/>
    <w:rsid w:val="008D0264"/>
    <w:rsid w:val="008D0F56"/>
    <w:rsid w:val="008D1727"/>
    <w:rsid w:val="008D1964"/>
    <w:rsid w:val="008D1EC6"/>
    <w:rsid w:val="008D212F"/>
    <w:rsid w:val="008D2366"/>
    <w:rsid w:val="008D255E"/>
    <w:rsid w:val="008D2B1C"/>
    <w:rsid w:val="008D2B63"/>
    <w:rsid w:val="008D3803"/>
    <w:rsid w:val="008D3D01"/>
    <w:rsid w:val="008D3FCA"/>
    <w:rsid w:val="008D41FA"/>
    <w:rsid w:val="008D4774"/>
    <w:rsid w:val="008D4B76"/>
    <w:rsid w:val="008D5DE2"/>
    <w:rsid w:val="008D7043"/>
    <w:rsid w:val="008E0049"/>
    <w:rsid w:val="008E0603"/>
    <w:rsid w:val="008E06EE"/>
    <w:rsid w:val="008E1DDF"/>
    <w:rsid w:val="008E3AEF"/>
    <w:rsid w:val="008E49DB"/>
    <w:rsid w:val="008E5627"/>
    <w:rsid w:val="008E60F7"/>
    <w:rsid w:val="008E637C"/>
    <w:rsid w:val="008F071F"/>
    <w:rsid w:val="008F17B3"/>
    <w:rsid w:val="008F1C08"/>
    <w:rsid w:val="008F250E"/>
    <w:rsid w:val="008F30F3"/>
    <w:rsid w:val="008F522F"/>
    <w:rsid w:val="008F5E59"/>
    <w:rsid w:val="008F66FA"/>
    <w:rsid w:val="008F6EF4"/>
    <w:rsid w:val="008F7A3E"/>
    <w:rsid w:val="00900155"/>
    <w:rsid w:val="00900975"/>
    <w:rsid w:val="00900E9B"/>
    <w:rsid w:val="00902868"/>
    <w:rsid w:val="00902D27"/>
    <w:rsid w:val="00904FE4"/>
    <w:rsid w:val="009051C0"/>
    <w:rsid w:val="009054A2"/>
    <w:rsid w:val="00905783"/>
    <w:rsid w:val="00905D28"/>
    <w:rsid w:val="009069B4"/>
    <w:rsid w:val="00906D93"/>
    <w:rsid w:val="0091148B"/>
    <w:rsid w:val="00912943"/>
    <w:rsid w:val="00912AD6"/>
    <w:rsid w:val="00912EEF"/>
    <w:rsid w:val="00914A17"/>
    <w:rsid w:val="00914E75"/>
    <w:rsid w:val="00915E64"/>
    <w:rsid w:val="00915F8C"/>
    <w:rsid w:val="009162EF"/>
    <w:rsid w:val="00916AC7"/>
    <w:rsid w:val="00916F73"/>
    <w:rsid w:val="00917AAC"/>
    <w:rsid w:val="0092031E"/>
    <w:rsid w:val="009206C2"/>
    <w:rsid w:val="00921126"/>
    <w:rsid w:val="009225F0"/>
    <w:rsid w:val="00922B08"/>
    <w:rsid w:val="00922B91"/>
    <w:rsid w:val="0092347D"/>
    <w:rsid w:val="00923536"/>
    <w:rsid w:val="00923690"/>
    <w:rsid w:val="009236E3"/>
    <w:rsid w:val="00923899"/>
    <w:rsid w:val="00923ED2"/>
    <w:rsid w:val="00924B63"/>
    <w:rsid w:val="00925E70"/>
    <w:rsid w:val="00925EDD"/>
    <w:rsid w:val="009265FC"/>
    <w:rsid w:val="009268AE"/>
    <w:rsid w:val="00931764"/>
    <w:rsid w:val="00931934"/>
    <w:rsid w:val="0093277D"/>
    <w:rsid w:val="00933069"/>
    <w:rsid w:val="00933C5B"/>
    <w:rsid w:val="00934E33"/>
    <w:rsid w:val="00935117"/>
    <w:rsid w:val="0093533E"/>
    <w:rsid w:val="0093566B"/>
    <w:rsid w:val="0094017C"/>
    <w:rsid w:val="00940325"/>
    <w:rsid w:val="009405D0"/>
    <w:rsid w:val="00940AC8"/>
    <w:rsid w:val="00940B54"/>
    <w:rsid w:val="00940E91"/>
    <w:rsid w:val="00941A8C"/>
    <w:rsid w:val="009421AA"/>
    <w:rsid w:val="009433C5"/>
    <w:rsid w:val="00944940"/>
    <w:rsid w:val="00944C8E"/>
    <w:rsid w:val="00944F71"/>
    <w:rsid w:val="00945B30"/>
    <w:rsid w:val="009466D2"/>
    <w:rsid w:val="009477B7"/>
    <w:rsid w:val="009507AD"/>
    <w:rsid w:val="00950BA7"/>
    <w:rsid w:val="00950EF7"/>
    <w:rsid w:val="00950F57"/>
    <w:rsid w:val="00951285"/>
    <w:rsid w:val="009515D0"/>
    <w:rsid w:val="009528AA"/>
    <w:rsid w:val="009529DE"/>
    <w:rsid w:val="00953C7A"/>
    <w:rsid w:val="009542F4"/>
    <w:rsid w:val="009556CB"/>
    <w:rsid w:val="00955B54"/>
    <w:rsid w:val="00955E69"/>
    <w:rsid w:val="00956861"/>
    <w:rsid w:val="00956A4F"/>
    <w:rsid w:val="00957510"/>
    <w:rsid w:val="00957C64"/>
    <w:rsid w:val="00960975"/>
    <w:rsid w:val="009610B7"/>
    <w:rsid w:val="00961BAA"/>
    <w:rsid w:val="0096204A"/>
    <w:rsid w:val="009625EF"/>
    <w:rsid w:val="00962D72"/>
    <w:rsid w:val="00964393"/>
    <w:rsid w:val="00965B0A"/>
    <w:rsid w:val="0096614A"/>
    <w:rsid w:val="0096670E"/>
    <w:rsid w:val="009678E8"/>
    <w:rsid w:val="0096794E"/>
    <w:rsid w:val="009703CC"/>
    <w:rsid w:val="009730F0"/>
    <w:rsid w:val="00974213"/>
    <w:rsid w:val="009744B8"/>
    <w:rsid w:val="00976830"/>
    <w:rsid w:val="00976AEB"/>
    <w:rsid w:val="0098066B"/>
    <w:rsid w:val="00980983"/>
    <w:rsid w:val="0098189E"/>
    <w:rsid w:val="00982740"/>
    <w:rsid w:val="00982D86"/>
    <w:rsid w:val="00982EA2"/>
    <w:rsid w:val="00985488"/>
    <w:rsid w:val="00985BFA"/>
    <w:rsid w:val="009901BF"/>
    <w:rsid w:val="00992E98"/>
    <w:rsid w:val="00993B44"/>
    <w:rsid w:val="009946C3"/>
    <w:rsid w:val="009946D0"/>
    <w:rsid w:val="0099519E"/>
    <w:rsid w:val="009957EA"/>
    <w:rsid w:val="00996635"/>
    <w:rsid w:val="00997972"/>
    <w:rsid w:val="009A192E"/>
    <w:rsid w:val="009A1E28"/>
    <w:rsid w:val="009A21C0"/>
    <w:rsid w:val="009A242A"/>
    <w:rsid w:val="009A309A"/>
    <w:rsid w:val="009A448C"/>
    <w:rsid w:val="009A4783"/>
    <w:rsid w:val="009A4CD8"/>
    <w:rsid w:val="009A510C"/>
    <w:rsid w:val="009A5393"/>
    <w:rsid w:val="009A5788"/>
    <w:rsid w:val="009A594B"/>
    <w:rsid w:val="009A6027"/>
    <w:rsid w:val="009A68B3"/>
    <w:rsid w:val="009A6E85"/>
    <w:rsid w:val="009A7D1B"/>
    <w:rsid w:val="009B01FC"/>
    <w:rsid w:val="009B0928"/>
    <w:rsid w:val="009B0B4C"/>
    <w:rsid w:val="009B121B"/>
    <w:rsid w:val="009B2A2A"/>
    <w:rsid w:val="009B2DE4"/>
    <w:rsid w:val="009B3907"/>
    <w:rsid w:val="009B3D03"/>
    <w:rsid w:val="009B3D43"/>
    <w:rsid w:val="009B3DF2"/>
    <w:rsid w:val="009B5590"/>
    <w:rsid w:val="009B5754"/>
    <w:rsid w:val="009B69D2"/>
    <w:rsid w:val="009B69DF"/>
    <w:rsid w:val="009B6FB2"/>
    <w:rsid w:val="009B763C"/>
    <w:rsid w:val="009C042C"/>
    <w:rsid w:val="009C24C3"/>
    <w:rsid w:val="009C2E61"/>
    <w:rsid w:val="009C3DC0"/>
    <w:rsid w:val="009C45F4"/>
    <w:rsid w:val="009C524A"/>
    <w:rsid w:val="009C5636"/>
    <w:rsid w:val="009C5C56"/>
    <w:rsid w:val="009C5C7E"/>
    <w:rsid w:val="009C6001"/>
    <w:rsid w:val="009C65E7"/>
    <w:rsid w:val="009C6C35"/>
    <w:rsid w:val="009C743D"/>
    <w:rsid w:val="009D05BD"/>
    <w:rsid w:val="009D1CF5"/>
    <w:rsid w:val="009D202D"/>
    <w:rsid w:val="009D3115"/>
    <w:rsid w:val="009D35BC"/>
    <w:rsid w:val="009D3B74"/>
    <w:rsid w:val="009D5183"/>
    <w:rsid w:val="009D7BC5"/>
    <w:rsid w:val="009E1542"/>
    <w:rsid w:val="009E191D"/>
    <w:rsid w:val="009E1B51"/>
    <w:rsid w:val="009E21A1"/>
    <w:rsid w:val="009E22E0"/>
    <w:rsid w:val="009E307A"/>
    <w:rsid w:val="009E38A2"/>
    <w:rsid w:val="009E39FE"/>
    <w:rsid w:val="009E448B"/>
    <w:rsid w:val="009E490D"/>
    <w:rsid w:val="009E4C8D"/>
    <w:rsid w:val="009E7B87"/>
    <w:rsid w:val="009E7F5A"/>
    <w:rsid w:val="009F0C04"/>
    <w:rsid w:val="009F0E0E"/>
    <w:rsid w:val="009F37B0"/>
    <w:rsid w:val="009F470F"/>
    <w:rsid w:val="009F4DC6"/>
    <w:rsid w:val="009F646B"/>
    <w:rsid w:val="009F668E"/>
    <w:rsid w:val="009F7496"/>
    <w:rsid w:val="009F74C9"/>
    <w:rsid w:val="00A020FD"/>
    <w:rsid w:val="00A03797"/>
    <w:rsid w:val="00A10408"/>
    <w:rsid w:val="00A108F3"/>
    <w:rsid w:val="00A10CB7"/>
    <w:rsid w:val="00A13A44"/>
    <w:rsid w:val="00A1492D"/>
    <w:rsid w:val="00A162AC"/>
    <w:rsid w:val="00A16D01"/>
    <w:rsid w:val="00A178E3"/>
    <w:rsid w:val="00A21351"/>
    <w:rsid w:val="00A21E0D"/>
    <w:rsid w:val="00A21F93"/>
    <w:rsid w:val="00A22D7A"/>
    <w:rsid w:val="00A23381"/>
    <w:rsid w:val="00A23890"/>
    <w:rsid w:val="00A23BD5"/>
    <w:rsid w:val="00A25068"/>
    <w:rsid w:val="00A250A6"/>
    <w:rsid w:val="00A26781"/>
    <w:rsid w:val="00A27BEF"/>
    <w:rsid w:val="00A30471"/>
    <w:rsid w:val="00A310EE"/>
    <w:rsid w:val="00A315D9"/>
    <w:rsid w:val="00A31A9E"/>
    <w:rsid w:val="00A322AB"/>
    <w:rsid w:val="00A32E02"/>
    <w:rsid w:val="00A32F9F"/>
    <w:rsid w:val="00A332D0"/>
    <w:rsid w:val="00A337A6"/>
    <w:rsid w:val="00A345E1"/>
    <w:rsid w:val="00A35011"/>
    <w:rsid w:val="00A36753"/>
    <w:rsid w:val="00A375F1"/>
    <w:rsid w:val="00A3794E"/>
    <w:rsid w:val="00A406F5"/>
    <w:rsid w:val="00A41F77"/>
    <w:rsid w:val="00A43289"/>
    <w:rsid w:val="00A4519E"/>
    <w:rsid w:val="00A4568E"/>
    <w:rsid w:val="00A45BA6"/>
    <w:rsid w:val="00A46230"/>
    <w:rsid w:val="00A465D4"/>
    <w:rsid w:val="00A46C49"/>
    <w:rsid w:val="00A47174"/>
    <w:rsid w:val="00A5244A"/>
    <w:rsid w:val="00A52EF3"/>
    <w:rsid w:val="00A54815"/>
    <w:rsid w:val="00A54DEB"/>
    <w:rsid w:val="00A56C1B"/>
    <w:rsid w:val="00A60036"/>
    <w:rsid w:val="00A60700"/>
    <w:rsid w:val="00A60DCF"/>
    <w:rsid w:val="00A60EB1"/>
    <w:rsid w:val="00A63722"/>
    <w:rsid w:val="00A63B11"/>
    <w:rsid w:val="00A63C5B"/>
    <w:rsid w:val="00A63FAD"/>
    <w:rsid w:val="00A64764"/>
    <w:rsid w:val="00A64810"/>
    <w:rsid w:val="00A65675"/>
    <w:rsid w:val="00A6628C"/>
    <w:rsid w:val="00A6763B"/>
    <w:rsid w:val="00A679DB"/>
    <w:rsid w:val="00A70BE0"/>
    <w:rsid w:val="00A71751"/>
    <w:rsid w:val="00A72268"/>
    <w:rsid w:val="00A72703"/>
    <w:rsid w:val="00A730AE"/>
    <w:rsid w:val="00A743DF"/>
    <w:rsid w:val="00A74AF6"/>
    <w:rsid w:val="00A74EDD"/>
    <w:rsid w:val="00A7591B"/>
    <w:rsid w:val="00A76750"/>
    <w:rsid w:val="00A76976"/>
    <w:rsid w:val="00A76F0A"/>
    <w:rsid w:val="00A77175"/>
    <w:rsid w:val="00A7765C"/>
    <w:rsid w:val="00A80699"/>
    <w:rsid w:val="00A80ADC"/>
    <w:rsid w:val="00A817E2"/>
    <w:rsid w:val="00A819C2"/>
    <w:rsid w:val="00A82720"/>
    <w:rsid w:val="00A83693"/>
    <w:rsid w:val="00A83775"/>
    <w:rsid w:val="00A83ACE"/>
    <w:rsid w:val="00A84C99"/>
    <w:rsid w:val="00A84D20"/>
    <w:rsid w:val="00A86609"/>
    <w:rsid w:val="00A87093"/>
    <w:rsid w:val="00A87AD9"/>
    <w:rsid w:val="00A90449"/>
    <w:rsid w:val="00A90634"/>
    <w:rsid w:val="00A90F10"/>
    <w:rsid w:val="00A918D5"/>
    <w:rsid w:val="00A91981"/>
    <w:rsid w:val="00A91AEA"/>
    <w:rsid w:val="00A9270E"/>
    <w:rsid w:val="00A92737"/>
    <w:rsid w:val="00A92F98"/>
    <w:rsid w:val="00A932B8"/>
    <w:rsid w:val="00A937DB"/>
    <w:rsid w:val="00A9385D"/>
    <w:rsid w:val="00A93E96"/>
    <w:rsid w:val="00A95837"/>
    <w:rsid w:val="00A958D4"/>
    <w:rsid w:val="00A966EF"/>
    <w:rsid w:val="00A97275"/>
    <w:rsid w:val="00AA04D2"/>
    <w:rsid w:val="00AA09D7"/>
    <w:rsid w:val="00AA0E0F"/>
    <w:rsid w:val="00AA13C0"/>
    <w:rsid w:val="00AA3C84"/>
    <w:rsid w:val="00AA4507"/>
    <w:rsid w:val="00AA502E"/>
    <w:rsid w:val="00AA5CEC"/>
    <w:rsid w:val="00AA6762"/>
    <w:rsid w:val="00AA71FD"/>
    <w:rsid w:val="00AA7925"/>
    <w:rsid w:val="00AA7C2C"/>
    <w:rsid w:val="00AA7EA9"/>
    <w:rsid w:val="00AB0FCA"/>
    <w:rsid w:val="00AB118F"/>
    <w:rsid w:val="00AB13CD"/>
    <w:rsid w:val="00AB1F5B"/>
    <w:rsid w:val="00AB3066"/>
    <w:rsid w:val="00AB3753"/>
    <w:rsid w:val="00AB3D24"/>
    <w:rsid w:val="00AB4709"/>
    <w:rsid w:val="00AB50A7"/>
    <w:rsid w:val="00AB5DE9"/>
    <w:rsid w:val="00AB7ED4"/>
    <w:rsid w:val="00AC05C4"/>
    <w:rsid w:val="00AC0B53"/>
    <w:rsid w:val="00AC122B"/>
    <w:rsid w:val="00AC2DCC"/>
    <w:rsid w:val="00AC2FD3"/>
    <w:rsid w:val="00AC2FF7"/>
    <w:rsid w:val="00AC39A4"/>
    <w:rsid w:val="00AC4AB7"/>
    <w:rsid w:val="00AC5824"/>
    <w:rsid w:val="00AC5A73"/>
    <w:rsid w:val="00AC6002"/>
    <w:rsid w:val="00AC6105"/>
    <w:rsid w:val="00AC62F9"/>
    <w:rsid w:val="00AC6CDE"/>
    <w:rsid w:val="00AC7545"/>
    <w:rsid w:val="00AC7EF2"/>
    <w:rsid w:val="00AD0F26"/>
    <w:rsid w:val="00AD17EC"/>
    <w:rsid w:val="00AD1D85"/>
    <w:rsid w:val="00AD2E17"/>
    <w:rsid w:val="00AD5640"/>
    <w:rsid w:val="00AD5CD1"/>
    <w:rsid w:val="00AD5EB7"/>
    <w:rsid w:val="00AD69A3"/>
    <w:rsid w:val="00AD70C9"/>
    <w:rsid w:val="00AD7750"/>
    <w:rsid w:val="00AD7D96"/>
    <w:rsid w:val="00AE0B02"/>
    <w:rsid w:val="00AE1CAB"/>
    <w:rsid w:val="00AE2E9F"/>
    <w:rsid w:val="00AE321D"/>
    <w:rsid w:val="00AE4748"/>
    <w:rsid w:val="00AE4857"/>
    <w:rsid w:val="00AE491B"/>
    <w:rsid w:val="00AE4B27"/>
    <w:rsid w:val="00AE4B3C"/>
    <w:rsid w:val="00AE6243"/>
    <w:rsid w:val="00AE641D"/>
    <w:rsid w:val="00AE666D"/>
    <w:rsid w:val="00AE7071"/>
    <w:rsid w:val="00AF0127"/>
    <w:rsid w:val="00AF0FCB"/>
    <w:rsid w:val="00AF3664"/>
    <w:rsid w:val="00AF3A0B"/>
    <w:rsid w:val="00AF437E"/>
    <w:rsid w:val="00AF4777"/>
    <w:rsid w:val="00AF6213"/>
    <w:rsid w:val="00AF695D"/>
    <w:rsid w:val="00AF6A13"/>
    <w:rsid w:val="00AF72F7"/>
    <w:rsid w:val="00AF7482"/>
    <w:rsid w:val="00AF74EB"/>
    <w:rsid w:val="00AF76BA"/>
    <w:rsid w:val="00AF7C5F"/>
    <w:rsid w:val="00B001F8"/>
    <w:rsid w:val="00B00E18"/>
    <w:rsid w:val="00B0124D"/>
    <w:rsid w:val="00B01496"/>
    <w:rsid w:val="00B02B14"/>
    <w:rsid w:val="00B049FB"/>
    <w:rsid w:val="00B04A4E"/>
    <w:rsid w:val="00B054A0"/>
    <w:rsid w:val="00B05F38"/>
    <w:rsid w:val="00B0685C"/>
    <w:rsid w:val="00B078E1"/>
    <w:rsid w:val="00B10836"/>
    <w:rsid w:val="00B10F26"/>
    <w:rsid w:val="00B11B64"/>
    <w:rsid w:val="00B1295A"/>
    <w:rsid w:val="00B12F6A"/>
    <w:rsid w:val="00B12FB4"/>
    <w:rsid w:val="00B13A38"/>
    <w:rsid w:val="00B13B03"/>
    <w:rsid w:val="00B14C0A"/>
    <w:rsid w:val="00B156C6"/>
    <w:rsid w:val="00B15F66"/>
    <w:rsid w:val="00B162B8"/>
    <w:rsid w:val="00B16CB9"/>
    <w:rsid w:val="00B16FE4"/>
    <w:rsid w:val="00B17DA7"/>
    <w:rsid w:val="00B202F5"/>
    <w:rsid w:val="00B206CE"/>
    <w:rsid w:val="00B21062"/>
    <w:rsid w:val="00B21F0D"/>
    <w:rsid w:val="00B22F8D"/>
    <w:rsid w:val="00B24013"/>
    <w:rsid w:val="00B266E3"/>
    <w:rsid w:val="00B269A6"/>
    <w:rsid w:val="00B2792F"/>
    <w:rsid w:val="00B27D13"/>
    <w:rsid w:val="00B320A1"/>
    <w:rsid w:val="00B3221B"/>
    <w:rsid w:val="00B324EE"/>
    <w:rsid w:val="00B33E41"/>
    <w:rsid w:val="00B34074"/>
    <w:rsid w:val="00B34461"/>
    <w:rsid w:val="00B346B3"/>
    <w:rsid w:val="00B34944"/>
    <w:rsid w:val="00B356A6"/>
    <w:rsid w:val="00B35CC6"/>
    <w:rsid w:val="00B36407"/>
    <w:rsid w:val="00B364C3"/>
    <w:rsid w:val="00B36F9B"/>
    <w:rsid w:val="00B37019"/>
    <w:rsid w:val="00B41953"/>
    <w:rsid w:val="00B41B54"/>
    <w:rsid w:val="00B41DF8"/>
    <w:rsid w:val="00B427EB"/>
    <w:rsid w:val="00B4326B"/>
    <w:rsid w:val="00B45926"/>
    <w:rsid w:val="00B46740"/>
    <w:rsid w:val="00B467C7"/>
    <w:rsid w:val="00B46B47"/>
    <w:rsid w:val="00B46BD6"/>
    <w:rsid w:val="00B47369"/>
    <w:rsid w:val="00B47DF8"/>
    <w:rsid w:val="00B50124"/>
    <w:rsid w:val="00B5020A"/>
    <w:rsid w:val="00B5095C"/>
    <w:rsid w:val="00B512DA"/>
    <w:rsid w:val="00B516F1"/>
    <w:rsid w:val="00B5216F"/>
    <w:rsid w:val="00B533F7"/>
    <w:rsid w:val="00B53E15"/>
    <w:rsid w:val="00B53E8E"/>
    <w:rsid w:val="00B54D62"/>
    <w:rsid w:val="00B55115"/>
    <w:rsid w:val="00B55245"/>
    <w:rsid w:val="00B552E7"/>
    <w:rsid w:val="00B559BD"/>
    <w:rsid w:val="00B55F08"/>
    <w:rsid w:val="00B56845"/>
    <w:rsid w:val="00B570F5"/>
    <w:rsid w:val="00B57459"/>
    <w:rsid w:val="00B60AA8"/>
    <w:rsid w:val="00B615E9"/>
    <w:rsid w:val="00B61655"/>
    <w:rsid w:val="00B61E60"/>
    <w:rsid w:val="00B636A4"/>
    <w:rsid w:val="00B63B82"/>
    <w:rsid w:val="00B65A36"/>
    <w:rsid w:val="00B65AD8"/>
    <w:rsid w:val="00B65E80"/>
    <w:rsid w:val="00B675BA"/>
    <w:rsid w:val="00B7129E"/>
    <w:rsid w:val="00B713D3"/>
    <w:rsid w:val="00B721E5"/>
    <w:rsid w:val="00B72228"/>
    <w:rsid w:val="00B72295"/>
    <w:rsid w:val="00B735BC"/>
    <w:rsid w:val="00B73D83"/>
    <w:rsid w:val="00B73DA2"/>
    <w:rsid w:val="00B74C35"/>
    <w:rsid w:val="00B75835"/>
    <w:rsid w:val="00B76579"/>
    <w:rsid w:val="00B7657B"/>
    <w:rsid w:val="00B804F5"/>
    <w:rsid w:val="00B8058B"/>
    <w:rsid w:val="00B8097B"/>
    <w:rsid w:val="00B8144E"/>
    <w:rsid w:val="00B830DE"/>
    <w:rsid w:val="00B84B06"/>
    <w:rsid w:val="00B86AB4"/>
    <w:rsid w:val="00B90FC5"/>
    <w:rsid w:val="00B914BE"/>
    <w:rsid w:val="00B92072"/>
    <w:rsid w:val="00B92172"/>
    <w:rsid w:val="00B92431"/>
    <w:rsid w:val="00B92897"/>
    <w:rsid w:val="00B928AD"/>
    <w:rsid w:val="00B92E5B"/>
    <w:rsid w:val="00B935C7"/>
    <w:rsid w:val="00B93842"/>
    <w:rsid w:val="00B948EE"/>
    <w:rsid w:val="00B94E0F"/>
    <w:rsid w:val="00B9515B"/>
    <w:rsid w:val="00B96C03"/>
    <w:rsid w:val="00B971DF"/>
    <w:rsid w:val="00B97A26"/>
    <w:rsid w:val="00B97AF2"/>
    <w:rsid w:val="00BA05C6"/>
    <w:rsid w:val="00BA099E"/>
    <w:rsid w:val="00BA1EC6"/>
    <w:rsid w:val="00BA2A76"/>
    <w:rsid w:val="00BA2DB9"/>
    <w:rsid w:val="00BA368A"/>
    <w:rsid w:val="00BA3B80"/>
    <w:rsid w:val="00BA4731"/>
    <w:rsid w:val="00BA4A70"/>
    <w:rsid w:val="00BA60A1"/>
    <w:rsid w:val="00BA6284"/>
    <w:rsid w:val="00BA6D1F"/>
    <w:rsid w:val="00BA6DDF"/>
    <w:rsid w:val="00BA7634"/>
    <w:rsid w:val="00BA7762"/>
    <w:rsid w:val="00BB0F99"/>
    <w:rsid w:val="00BB1C48"/>
    <w:rsid w:val="00BB23ED"/>
    <w:rsid w:val="00BB39B0"/>
    <w:rsid w:val="00BB4029"/>
    <w:rsid w:val="00BB4296"/>
    <w:rsid w:val="00BB47D9"/>
    <w:rsid w:val="00BB4ACD"/>
    <w:rsid w:val="00BB4BE2"/>
    <w:rsid w:val="00BB51D0"/>
    <w:rsid w:val="00BB58B2"/>
    <w:rsid w:val="00BB60AB"/>
    <w:rsid w:val="00BB62C4"/>
    <w:rsid w:val="00BB6711"/>
    <w:rsid w:val="00BB7318"/>
    <w:rsid w:val="00BB77C9"/>
    <w:rsid w:val="00BC1907"/>
    <w:rsid w:val="00BC1A00"/>
    <w:rsid w:val="00BC1DBE"/>
    <w:rsid w:val="00BC25B0"/>
    <w:rsid w:val="00BC36BA"/>
    <w:rsid w:val="00BC3EB9"/>
    <w:rsid w:val="00BC4DD3"/>
    <w:rsid w:val="00BC554D"/>
    <w:rsid w:val="00BC561A"/>
    <w:rsid w:val="00BC75F4"/>
    <w:rsid w:val="00BC7657"/>
    <w:rsid w:val="00BD0231"/>
    <w:rsid w:val="00BD05AF"/>
    <w:rsid w:val="00BD0761"/>
    <w:rsid w:val="00BD086F"/>
    <w:rsid w:val="00BD0F8D"/>
    <w:rsid w:val="00BD0FD8"/>
    <w:rsid w:val="00BD27C7"/>
    <w:rsid w:val="00BD3475"/>
    <w:rsid w:val="00BD360F"/>
    <w:rsid w:val="00BD41F6"/>
    <w:rsid w:val="00BD438F"/>
    <w:rsid w:val="00BD4AAF"/>
    <w:rsid w:val="00BD4F31"/>
    <w:rsid w:val="00BD4F3A"/>
    <w:rsid w:val="00BD5EAA"/>
    <w:rsid w:val="00BD606D"/>
    <w:rsid w:val="00BD726B"/>
    <w:rsid w:val="00BE0029"/>
    <w:rsid w:val="00BE03BC"/>
    <w:rsid w:val="00BE0CF8"/>
    <w:rsid w:val="00BE10FB"/>
    <w:rsid w:val="00BE2CF2"/>
    <w:rsid w:val="00BE3BA5"/>
    <w:rsid w:val="00BE409D"/>
    <w:rsid w:val="00BE46B7"/>
    <w:rsid w:val="00BE5D1B"/>
    <w:rsid w:val="00BE632A"/>
    <w:rsid w:val="00BE660A"/>
    <w:rsid w:val="00BE7148"/>
    <w:rsid w:val="00BE75B1"/>
    <w:rsid w:val="00BF0550"/>
    <w:rsid w:val="00BF0FF6"/>
    <w:rsid w:val="00BF1977"/>
    <w:rsid w:val="00BF25F6"/>
    <w:rsid w:val="00BF2626"/>
    <w:rsid w:val="00BF3BD7"/>
    <w:rsid w:val="00BF44E0"/>
    <w:rsid w:val="00BF44FF"/>
    <w:rsid w:val="00BF46A4"/>
    <w:rsid w:val="00BF55A3"/>
    <w:rsid w:val="00BF6178"/>
    <w:rsid w:val="00BF708F"/>
    <w:rsid w:val="00C0041C"/>
    <w:rsid w:val="00C0049B"/>
    <w:rsid w:val="00C00EE5"/>
    <w:rsid w:val="00C0181F"/>
    <w:rsid w:val="00C01A7E"/>
    <w:rsid w:val="00C0210F"/>
    <w:rsid w:val="00C02E16"/>
    <w:rsid w:val="00C02F9C"/>
    <w:rsid w:val="00C032AB"/>
    <w:rsid w:val="00C03B25"/>
    <w:rsid w:val="00C03D3D"/>
    <w:rsid w:val="00C03E72"/>
    <w:rsid w:val="00C043B4"/>
    <w:rsid w:val="00C045CB"/>
    <w:rsid w:val="00C04A3D"/>
    <w:rsid w:val="00C05ABC"/>
    <w:rsid w:val="00C05B53"/>
    <w:rsid w:val="00C0661F"/>
    <w:rsid w:val="00C06D18"/>
    <w:rsid w:val="00C0784F"/>
    <w:rsid w:val="00C1011B"/>
    <w:rsid w:val="00C101AF"/>
    <w:rsid w:val="00C107E1"/>
    <w:rsid w:val="00C12DAE"/>
    <w:rsid w:val="00C13673"/>
    <w:rsid w:val="00C14AD0"/>
    <w:rsid w:val="00C151CC"/>
    <w:rsid w:val="00C15391"/>
    <w:rsid w:val="00C155BC"/>
    <w:rsid w:val="00C15A3F"/>
    <w:rsid w:val="00C16E08"/>
    <w:rsid w:val="00C1798C"/>
    <w:rsid w:val="00C20A61"/>
    <w:rsid w:val="00C21198"/>
    <w:rsid w:val="00C22031"/>
    <w:rsid w:val="00C2217D"/>
    <w:rsid w:val="00C229B8"/>
    <w:rsid w:val="00C241C4"/>
    <w:rsid w:val="00C25300"/>
    <w:rsid w:val="00C2554D"/>
    <w:rsid w:val="00C26810"/>
    <w:rsid w:val="00C27827"/>
    <w:rsid w:val="00C27DB7"/>
    <w:rsid w:val="00C30847"/>
    <w:rsid w:val="00C30960"/>
    <w:rsid w:val="00C319DD"/>
    <w:rsid w:val="00C31A6F"/>
    <w:rsid w:val="00C32583"/>
    <w:rsid w:val="00C3294A"/>
    <w:rsid w:val="00C32A0C"/>
    <w:rsid w:val="00C336F1"/>
    <w:rsid w:val="00C33842"/>
    <w:rsid w:val="00C3397D"/>
    <w:rsid w:val="00C3411D"/>
    <w:rsid w:val="00C35027"/>
    <w:rsid w:val="00C3536E"/>
    <w:rsid w:val="00C35573"/>
    <w:rsid w:val="00C37B5A"/>
    <w:rsid w:val="00C37B77"/>
    <w:rsid w:val="00C410BA"/>
    <w:rsid w:val="00C41AF5"/>
    <w:rsid w:val="00C420BF"/>
    <w:rsid w:val="00C42BCB"/>
    <w:rsid w:val="00C46717"/>
    <w:rsid w:val="00C50E7B"/>
    <w:rsid w:val="00C50ED0"/>
    <w:rsid w:val="00C51645"/>
    <w:rsid w:val="00C53500"/>
    <w:rsid w:val="00C535AA"/>
    <w:rsid w:val="00C54B33"/>
    <w:rsid w:val="00C54E26"/>
    <w:rsid w:val="00C560C2"/>
    <w:rsid w:val="00C56201"/>
    <w:rsid w:val="00C56650"/>
    <w:rsid w:val="00C60228"/>
    <w:rsid w:val="00C60670"/>
    <w:rsid w:val="00C6134F"/>
    <w:rsid w:val="00C61421"/>
    <w:rsid w:val="00C616B1"/>
    <w:rsid w:val="00C61FC5"/>
    <w:rsid w:val="00C62C35"/>
    <w:rsid w:val="00C6328E"/>
    <w:rsid w:val="00C63520"/>
    <w:rsid w:val="00C64795"/>
    <w:rsid w:val="00C64ED1"/>
    <w:rsid w:val="00C657EB"/>
    <w:rsid w:val="00C65A2A"/>
    <w:rsid w:val="00C67023"/>
    <w:rsid w:val="00C7046D"/>
    <w:rsid w:val="00C70646"/>
    <w:rsid w:val="00C708D4"/>
    <w:rsid w:val="00C7156A"/>
    <w:rsid w:val="00C72593"/>
    <w:rsid w:val="00C72C6E"/>
    <w:rsid w:val="00C75036"/>
    <w:rsid w:val="00C752B7"/>
    <w:rsid w:val="00C76CD9"/>
    <w:rsid w:val="00C80708"/>
    <w:rsid w:val="00C80E95"/>
    <w:rsid w:val="00C81022"/>
    <w:rsid w:val="00C810ED"/>
    <w:rsid w:val="00C81E46"/>
    <w:rsid w:val="00C83CCB"/>
    <w:rsid w:val="00C86A39"/>
    <w:rsid w:val="00C9247A"/>
    <w:rsid w:val="00C94915"/>
    <w:rsid w:val="00C9609C"/>
    <w:rsid w:val="00C96A23"/>
    <w:rsid w:val="00CA0068"/>
    <w:rsid w:val="00CA0D75"/>
    <w:rsid w:val="00CA14C2"/>
    <w:rsid w:val="00CA21F2"/>
    <w:rsid w:val="00CA2634"/>
    <w:rsid w:val="00CA2DDC"/>
    <w:rsid w:val="00CA3533"/>
    <w:rsid w:val="00CA3979"/>
    <w:rsid w:val="00CA3EF2"/>
    <w:rsid w:val="00CA7057"/>
    <w:rsid w:val="00CA79A0"/>
    <w:rsid w:val="00CA7CC7"/>
    <w:rsid w:val="00CB0300"/>
    <w:rsid w:val="00CB14DB"/>
    <w:rsid w:val="00CB1EAE"/>
    <w:rsid w:val="00CB233A"/>
    <w:rsid w:val="00CB2835"/>
    <w:rsid w:val="00CB3779"/>
    <w:rsid w:val="00CB40E1"/>
    <w:rsid w:val="00CB5D33"/>
    <w:rsid w:val="00CB6586"/>
    <w:rsid w:val="00CB78F9"/>
    <w:rsid w:val="00CC168E"/>
    <w:rsid w:val="00CC1739"/>
    <w:rsid w:val="00CC186E"/>
    <w:rsid w:val="00CC3C6C"/>
    <w:rsid w:val="00CC407E"/>
    <w:rsid w:val="00CC5471"/>
    <w:rsid w:val="00CC6F1A"/>
    <w:rsid w:val="00CC70A3"/>
    <w:rsid w:val="00CC77D5"/>
    <w:rsid w:val="00CC7870"/>
    <w:rsid w:val="00CD0493"/>
    <w:rsid w:val="00CD0D04"/>
    <w:rsid w:val="00CD2D03"/>
    <w:rsid w:val="00CD3DF5"/>
    <w:rsid w:val="00CD55E9"/>
    <w:rsid w:val="00CD6087"/>
    <w:rsid w:val="00CE335F"/>
    <w:rsid w:val="00CE39DD"/>
    <w:rsid w:val="00CE3C70"/>
    <w:rsid w:val="00CE4164"/>
    <w:rsid w:val="00CE4CDB"/>
    <w:rsid w:val="00CE720A"/>
    <w:rsid w:val="00CE7576"/>
    <w:rsid w:val="00CE76B9"/>
    <w:rsid w:val="00CE7D09"/>
    <w:rsid w:val="00CF0B66"/>
    <w:rsid w:val="00CF0DEA"/>
    <w:rsid w:val="00CF10B7"/>
    <w:rsid w:val="00CF238B"/>
    <w:rsid w:val="00CF26DB"/>
    <w:rsid w:val="00CF3298"/>
    <w:rsid w:val="00CF33E8"/>
    <w:rsid w:val="00CF3679"/>
    <w:rsid w:val="00CF387B"/>
    <w:rsid w:val="00CF432B"/>
    <w:rsid w:val="00CF4A20"/>
    <w:rsid w:val="00CF4CC3"/>
    <w:rsid w:val="00CF5CF7"/>
    <w:rsid w:val="00CF5F69"/>
    <w:rsid w:val="00CF74D3"/>
    <w:rsid w:val="00D002DD"/>
    <w:rsid w:val="00D01453"/>
    <w:rsid w:val="00D02D69"/>
    <w:rsid w:val="00D03396"/>
    <w:rsid w:val="00D03BBC"/>
    <w:rsid w:val="00D043FB"/>
    <w:rsid w:val="00D04837"/>
    <w:rsid w:val="00D053C8"/>
    <w:rsid w:val="00D05DA6"/>
    <w:rsid w:val="00D05E1C"/>
    <w:rsid w:val="00D06004"/>
    <w:rsid w:val="00D079DA"/>
    <w:rsid w:val="00D10573"/>
    <w:rsid w:val="00D10C62"/>
    <w:rsid w:val="00D1154D"/>
    <w:rsid w:val="00D1190D"/>
    <w:rsid w:val="00D125AC"/>
    <w:rsid w:val="00D12795"/>
    <w:rsid w:val="00D13EA1"/>
    <w:rsid w:val="00D143E8"/>
    <w:rsid w:val="00D148F3"/>
    <w:rsid w:val="00D16194"/>
    <w:rsid w:val="00D16CE9"/>
    <w:rsid w:val="00D2012C"/>
    <w:rsid w:val="00D20E1F"/>
    <w:rsid w:val="00D2101F"/>
    <w:rsid w:val="00D210FB"/>
    <w:rsid w:val="00D21FDE"/>
    <w:rsid w:val="00D22095"/>
    <w:rsid w:val="00D22841"/>
    <w:rsid w:val="00D22B2B"/>
    <w:rsid w:val="00D230CE"/>
    <w:rsid w:val="00D26517"/>
    <w:rsid w:val="00D26881"/>
    <w:rsid w:val="00D2721B"/>
    <w:rsid w:val="00D27713"/>
    <w:rsid w:val="00D27F22"/>
    <w:rsid w:val="00D3040C"/>
    <w:rsid w:val="00D306DD"/>
    <w:rsid w:val="00D30986"/>
    <w:rsid w:val="00D30D40"/>
    <w:rsid w:val="00D3201F"/>
    <w:rsid w:val="00D33141"/>
    <w:rsid w:val="00D334CC"/>
    <w:rsid w:val="00D3459B"/>
    <w:rsid w:val="00D34F99"/>
    <w:rsid w:val="00D352C4"/>
    <w:rsid w:val="00D35598"/>
    <w:rsid w:val="00D35BF4"/>
    <w:rsid w:val="00D35FF8"/>
    <w:rsid w:val="00D37839"/>
    <w:rsid w:val="00D37A39"/>
    <w:rsid w:val="00D37B9B"/>
    <w:rsid w:val="00D37DF4"/>
    <w:rsid w:val="00D40894"/>
    <w:rsid w:val="00D42399"/>
    <w:rsid w:val="00D42AC2"/>
    <w:rsid w:val="00D43390"/>
    <w:rsid w:val="00D4405D"/>
    <w:rsid w:val="00D46F81"/>
    <w:rsid w:val="00D47E9B"/>
    <w:rsid w:val="00D534D6"/>
    <w:rsid w:val="00D535EC"/>
    <w:rsid w:val="00D53FFD"/>
    <w:rsid w:val="00D541D4"/>
    <w:rsid w:val="00D54875"/>
    <w:rsid w:val="00D54E1F"/>
    <w:rsid w:val="00D550BC"/>
    <w:rsid w:val="00D56FDC"/>
    <w:rsid w:val="00D61F9F"/>
    <w:rsid w:val="00D62A22"/>
    <w:rsid w:val="00D63146"/>
    <w:rsid w:val="00D646C0"/>
    <w:rsid w:val="00D646ED"/>
    <w:rsid w:val="00D648D8"/>
    <w:rsid w:val="00D6633E"/>
    <w:rsid w:val="00D672CF"/>
    <w:rsid w:val="00D67A30"/>
    <w:rsid w:val="00D67F8D"/>
    <w:rsid w:val="00D7009E"/>
    <w:rsid w:val="00D7028A"/>
    <w:rsid w:val="00D704C5"/>
    <w:rsid w:val="00D70A79"/>
    <w:rsid w:val="00D723AF"/>
    <w:rsid w:val="00D727CD"/>
    <w:rsid w:val="00D739C5"/>
    <w:rsid w:val="00D73B0D"/>
    <w:rsid w:val="00D7654D"/>
    <w:rsid w:val="00D76B50"/>
    <w:rsid w:val="00D777FA"/>
    <w:rsid w:val="00D77869"/>
    <w:rsid w:val="00D77914"/>
    <w:rsid w:val="00D77ED0"/>
    <w:rsid w:val="00D800BF"/>
    <w:rsid w:val="00D8147F"/>
    <w:rsid w:val="00D82059"/>
    <w:rsid w:val="00D826DF"/>
    <w:rsid w:val="00D82C74"/>
    <w:rsid w:val="00D8336F"/>
    <w:rsid w:val="00D84CA6"/>
    <w:rsid w:val="00D84D86"/>
    <w:rsid w:val="00D851FE"/>
    <w:rsid w:val="00D85F0C"/>
    <w:rsid w:val="00D8674D"/>
    <w:rsid w:val="00D870B6"/>
    <w:rsid w:val="00D877DD"/>
    <w:rsid w:val="00D87A0F"/>
    <w:rsid w:val="00D906BB"/>
    <w:rsid w:val="00D92391"/>
    <w:rsid w:val="00D92E59"/>
    <w:rsid w:val="00D92F3A"/>
    <w:rsid w:val="00D94FA8"/>
    <w:rsid w:val="00D97262"/>
    <w:rsid w:val="00D97390"/>
    <w:rsid w:val="00DA00E1"/>
    <w:rsid w:val="00DA1146"/>
    <w:rsid w:val="00DA1204"/>
    <w:rsid w:val="00DA2EA0"/>
    <w:rsid w:val="00DA32B9"/>
    <w:rsid w:val="00DA3927"/>
    <w:rsid w:val="00DA44B5"/>
    <w:rsid w:val="00DA6CE5"/>
    <w:rsid w:val="00DB0AF6"/>
    <w:rsid w:val="00DB0D84"/>
    <w:rsid w:val="00DB19BD"/>
    <w:rsid w:val="00DB1E26"/>
    <w:rsid w:val="00DB2109"/>
    <w:rsid w:val="00DB24FF"/>
    <w:rsid w:val="00DB3384"/>
    <w:rsid w:val="00DB35F9"/>
    <w:rsid w:val="00DB3F63"/>
    <w:rsid w:val="00DB409B"/>
    <w:rsid w:val="00DB40A5"/>
    <w:rsid w:val="00DB49E3"/>
    <w:rsid w:val="00DB4DDB"/>
    <w:rsid w:val="00DB51FC"/>
    <w:rsid w:val="00DB5769"/>
    <w:rsid w:val="00DB72C3"/>
    <w:rsid w:val="00DC0381"/>
    <w:rsid w:val="00DC0E25"/>
    <w:rsid w:val="00DC2964"/>
    <w:rsid w:val="00DC2D7F"/>
    <w:rsid w:val="00DC3F97"/>
    <w:rsid w:val="00DC40AD"/>
    <w:rsid w:val="00DC45A9"/>
    <w:rsid w:val="00DC4D2E"/>
    <w:rsid w:val="00DC5F64"/>
    <w:rsid w:val="00DC6321"/>
    <w:rsid w:val="00DC6AF9"/>
    <w:rsid w:val="00DC79FE"/>
    <w:rsid w:val="00DD037B"/>
    <w:rsid w:val="00DD0DAE"/>
    <w:rsid w:val="00DD181C"/>
    <w:rsid w:val="00DD20E4"/>
    <w:rsid w:val="00DD22CA"/>
    <w:rsid w:val="00DD2459"/>
    <w:rsid w:val="00DD3D47"/>
    <w:rsid w:val="00DD5044"/>
    <w:rsid w:val="00DD5422"/>
    <w:rsid w:val="00DD56D7"/>
    <w:rsid w:val="00DD6D6C"/>
    <w:rsid w:val="00DD7649"/>
    <w:rsid w:val="00DE0DC2"/>
    <w:rsid w:val="00DE3193"/>
    <w:rsid w:val="00DE3708"/>
    <w:rsid w:val="00DE3C93"/>
    <w:rsid w:val="00DE45BD"/>
    <w:rsid w:val="00DE5BDE"/>
    <w:rsid w:val="00DE7017"/>
    <w:rsid w:val="00DE7206"/>
    <w:rsid w:val="00DF182D"/>
    <w:rsid w:val="00DF20DF"/>
    <w:rsid w:val="00DF4135"/>
    <w:rsid w:val="00DF55B8"/>
    <w:rsid w:val="00DF5853"/>
    <w:rsid w:val="00DF693F"/>
    <w:rsid w:val="00E00EA6"/>
    <w:rsid w:val="00E01481"/>
    <w:rsid w:val="00E01F5A"/>
    <w:rsid w:val="00E023A3"/>
    <w:rsid w:val="00E028E1"/>
    <w:rsid w:val="00E02B25"/>
    <w:rsid w:val="00E02C4A"/>
    <w:rsid w:val="00E02CC1"/>
    <w:rsid w:val="00E0353B"/>
    <w:rsid w:val="00E03E30"/>
    <w:rsid w:val="00E047C5"/>
    <w:rsid w:val="00E04C6E"/>
    <w:rsid w:val="00E04CC2"/>
    <w:rsid w:val="00E060E2"/>
    <w:rsid w:val="00E064E1"/>
    <w:rsid w:val="00E065F6"/>
    <w:rsid w:val="00E077DA"/>
    <w:rsid w:val="00E07B1A"/>
    <w:rsid w:val="00E07D23"/>
    <w:rsid w:val="00E11341"/>
    <w:rsid w:val="00E1157A"/>
    <w:rsid w:val="00E1179D"/>
    <w:rsid w:val="00E126AF"/>
    <w:rsid w:val="00E131D2"/>
    <w:rsid w:val="00E13254"/>
    <w:rsid w:val="00E138C7"/>
    <w:rsid w:val="00E13D8E"/>
    <w:rsid w:val="00E14167"/>
    <w:rsid w:val="00E143C2"/>
    <w:rsid w:val="00E14FB4"/>
    <w:rsid w:val="00E161DB"/>
    <w:rsid w:val="00E162BC"/>
    <w:rsid w:val="00E16399"/>
    <w:rsid w:val="00E16B3B"/>
    <w:rsid w:val="00E16CFA"/>
    <w:rsid w:val="00E17282"/>
    <w:rsid w:val="00E179E6"/>
    <w:rsid w:val="00E17B31"/>
    <w:rsid w:val="00E17BAB"/>
    <w:rsid w:val="00E20A03"/>
    <w:rsid w:val="00E23A4B"/>
    <w:rsid w:val="00E24257"/>
    <w:rsid w:val="00E242D6"/>
    <w:rsid w:val="00E244CC"/>
    <w:rsid w:val="00E24FE9"/>
    <w:rsid w:val="00E25D92"/>
    <w:rsid w:val="00E264CF"/>
    <w:rsid w:val="00E274B1"/>
    <w:rsid w:val="00E30002"/>
    <w:rsid w:val="00E30316"/>
    <w:rsid w:val="00E30B4B"/>
    <w:rsid w:val="00E31044"/>
    <w:rsid w:val="00E32078"/>
    <w:rsid w:val="00E328DF"/>
    <w:rsid w:val="00E32BCC"/>
    <w:rsid w:val="00E33083"/>
    <w:rsid w:val="00E33987"/>
    <w:rsid w:val="00E33B4F"/>
    <w:rsid w:val="00E3409D"/>
    <w:rsid w:val="00E34624"/>
    <w:rsid w:val="00E354A3"/>
    <w:rsid w:val="00E3638C"/>
    <w:rsid w:val="00E40636"/>
    <w:rsid w:val="00E40A44"/>
    <w:rsid w:val="00E40DEA"/>
    <w:rsid w:val="00E41EEB"/>
    <w:rsid w:val="00E42423"/>
    <w:rsid w:val="00E42A84"/>
    <w:rsid w:val="00E42C6F"/>
    <w:rsid w:val="00E430FE"/>
    <w:rsid w:val="00E43767"/>
    <w:rsid w:val="00E437C2"/>
    <w:rsid w:val="00E43AF8"/>
    <w:rsid w:val="00E43CD8"/>
    <w:rsid w:val="00E44167"/>
    <w:rsid w:val="00E4799D"/>
    <w:rsid w:val="00E47BED"/>
    <w:rsid w:val="00E500FB"/>
    <w:rsid w:val="00E53419"/>
    <w:rsid w:val="00E53437"/>
    <w:rsid w:val="00E53F98"/>
    <w:rsid w:val="00E549C6"/>
    <w:rsid w:val="00E559C7"/>
    <w:rsid w:val="00E565D2"/>
    <w:rsid w:val="00E60F7B"/>
    <w:rsid w:val="00E61302"/>
    <w:rsid w:val="00E61D6C"/>
    <w:rsid w:val="00E6234B"/>
    <w:rsid w:val="00E62D5A"/>
    <w:rsid w:val="00E62D5E"/>
    <w:rsid w:val="00E635A6"/>
    <w:rsid w:val="00E6374E"/>
    <w:rsid w:val="00E63BCC"/>
    <w:rsid w:val="00E64799"/>
    <w:rsid w:val="00E64AF8"/>
    <w:rsid w:val="00E64B7D"/>
    <w:rsid w:val="00E64C18"/>
    <w:rsid w:val="00E64D06"/>
    <w:rsid w:val="00E674C1"/>
    <w:rsid w:val="00E67A53"/>
    <w:rsid w:val="00E702EC"/>
    <w:rsid w:val="00E70E48"/>
    <w:rsid w:val="00E7168A"/>
    <w:rsid w:val="00E716F9"/>
    <w:rsid w:val="00E738A5"/>
    <w:rsid w:val="00E739E4"/>
    <w:rsid w:val="00E73E49"/>
    <w:rsid w:val="00E73FAC"/>
    <w:rsid w:val="00E74DE0"/>
    <w:rsid w:val="00E753B7"/>
    <w:rsid w:val="00E8033E"/>
    <w:rsid w:val="00E8050C"/>
    <w:rsid w:val="00E827D5"/>
    <w:rsid w:val="00E82CC4"/>
    <w:rsid w:val="00E84393"/>
    <w:rsid w:val="00E84C95"/>
    <w:rsid w:val="00E851A0"/>
    <w:rsid w:val="00E8591A"/>
    <w:rsid w:val="00E86854"/>
    <w:rsid w:val="00E86BBA"/>
    <w:rsid w:val="00E87BFC"/>
    <w:rsid w:val="00E908BE"/>
    <w:rsid w:val="00E9099F"/>
    <w:rsid w:val="00E90A10"/>
    <w:rsid w:val="00E90C79"/>
    <w:rsid w:val="00E912B2"/>
    <w:rsid w:val="00E913A5"/>
    <w:rsid w:val="00E915B5"/>
    <w:rsid w:val="00E91E9B"/>
    <w:rsid w:val="00E92738"/>
    <w:rsid w:val="00E9361D"/>
    <w:rsid w:val="00E93AED"/>
    <w:rsid w:val="00E9493A"/>
    <w:rsid w:val="00E9598C"/>
    <w:rsid w:val="00E96538"/>
    <w:rsid w:val="00E966F7"/>
    <w:rsid w:val="00E9774B"/>
    <w:rsid w:val="00EA06BA"/>
    <w:rsid w:val="00EA07BD"/>
    <w:rsid w:val="00EA08BE"/>
    <w:rsid w:val="00EA0C4B"/>
    <w:rsid w:val="00EA2A63"/>
    <w:rsid w:val="00EA3353"/>
    <w:rsid w:val="00EA34E2"/>
    <w:rsid w:val="00EA3516"/>
    <w:rsid w:val="00EA362C"/>
    <w:rsid w:val="00EA3AEE"/>
    <w:rsid w:val="00EA3BAC"/>
    <w:rsid w:val="00EA57D2"/>
    <w:rsid w:val="00EA6AF4"/>
    <w:rsid w:val="00EA7057"/>
    <w:rsid w:val="00EA78AF"/>
    <w:rsid w:val="00EA7D42"/>
    <w:rsid w:val="00EB061F"/>
    <w:rsid w:val="00EB1E7C"/>
    <w:rsid w:val="00EB1F2F"/>
    <w:rsid w:val="00EB3957"/>
    <w:rsid w:val="00EB3C8C"/>
    <w:rsid w:val="00EB3F0F"/>
    <w:rsid w:val="00EB4B79"/>
    <w:rsid w:val="00EB4F38"/>
    <w:rsid w:val="00EB5545"/>
    <w:rsid w:val="00EB5564"/>
    <w:rsid w:val="00EB578F"/>
    <w:rsid w:val="00EC00A6"/>
    <w:rsid w:val="00EC021B"/>
    <w:rsid w:val="00EC1493"/>
    <w:rsid w:val="00EC1ACE"/>
    <w:rsid w:val="00EC1CED"/>
    <w:rsid w:val="00EC28AF"/>
    <w:rsid w:val="00EC2945"/>
    <w:rsid w:val="00EC2A53"/>
    <w:rsid w:val="00EC373B"/>
    <w:rsid w:val="00EC3951"/>
    <w:rsid w:val="00EC4364"/>
    <w:rsid w:val="00EC529E"/>
    <w:rsid w:val="00EC5327"/>
    <w:rsid w:val="00EC66CE"/>
    <w:rsid w:val="00EC6F0D"/>
    <w:rsid w:val="00EC78D2"/>
    <w:rsid w:val="00EC7F29"/>
    <w:rsid w:val="00ED025B"/>
    <w:rsid w:val="00ED0282"/>
    <w:rsid w:val="00ED1A9E"/>
    <w:rsid w:val="00ED2EEF"/>
    <w:rsid w:val="00ED360F"/>
    <w:rsid w:val="00ED418B"/>
    <w:rsid w:val="00ED4533"/>
    <w:rsid w:val="00ED4A65"/>
    <w:rsid w:val="00ED56D5"/>
    <w:rsid w:val="00ED5A66"/>
    <w:rsid w:val="00ED6A56"/>
    <w:rsid w:val="00ED745C"/>
    <w:rsid w:val="00ED7841"/>
    <w:rsid w:val="00ED78AF"/>
    <w:rsid w:val="00ED78D4"/>
    <w:rsid w:val="00EE0919"/>
    <w:rsid w:val="00EE0FFD"/>
    <w:rsid w:val="00EE13B4"/>
    <w:rsid w:val="00EE2846"/>
    <w:rsid w:val="00EE423C"/>
    <w:rsid w:val="00EE435B"/>
    <w:rsid w:val="00EE4B0C"/>
    <w:rsid w:val="00EE54E1"/>
    <w:rsid w:val="00EE5542"/>
    <w:rsid w:val="00EE62F4"/>
    <w:rsid w:val="00EE7375"/>
    <w:rsid w:val="00EE7924"/>
    <w:rsid w:val="00EE7F7A"/>
    <w:rsid w:val="00EF0219"/>
    <w:rsid w:val="00EF0427"/>
    <w:rsid w:val="00EF0A82"/>
    <w:rsid w:val="00EF0DB4"/>
    <w:rsid w:val="00EF16EF"/>
    <w:rsid w:val="00EF2027"/>
    <w:rsid w:val="00EF25D7"/>
    <w:rsid w:val="00EF2D23"/>
    <w:rsid w:val="00EF6B4A"/>
    <w:rsid w:val="00EF6B80"/>
    <w:rsid w:val="00EF6DDD"/>
    <w:rsid w:val="00EF7CB9"/>
    <w:rsid w:val="00F005AA"/>
    <w:rsid w:val="00F00736"/>
    <w:rsid w:val="00F01066"/>
    <w:rsid w:val="00F01F8A"/>
    <w:rsid w:val="00F02A4B"/>
    <w:rsid w:val="00F0302C"/>
    <w:rsid w:val="00F03293"/>
    <w:rsid w:val="00F03ADD"/>
    <w:rsid w:val="00F04AC3"/>
    <w:rsid w:val="00F04C8D"/>
    <w:rsid w:val="00F0583B"/>
    <w:rsid w:val="00F05B87"/>
    <w:rsid w:val="00F06474"/>
    <w:rsid w:val="00F1055F"/>
    <w:rsid w:val="00F10D93"/>
    <w:rsid w:val="00F115C0"/>
    <w:rsid w:val="00F128E8"/>
    <w:rsid w:val="00F13DC2"/>
    <w:rsid w:val="00F142E8"/>
    <w:rsid w:val="00F149EE"/>
    <w:rsid w:val="00F1535C"/>
    <w:rsid w:val="00F15CFB"/>
    <w:rsid w:val="00F20D91"/>
    <w:rsid w:val="00F2135D"/>
    <w:rsid w:val="00F22C7E"/>
    <w:rsid w:val="00F22CD6"/>
    <w:rsid w:val="00F2319A"/>
    <w:rsid w:val="00F24957"/>
    <w:rsid w:val="00F2518A"/>
    <w:rsid w:val="00F25DEA"/>
    <w:rsid w:val="00F26086"/>
    <w:rsid w:val="00F264F4"/>
    <w:rsid w:val="00F26F9A"/>
    <w:rsid w:val="00F273D0"/>
    <w:rsid w:val="00F274BC"/>
    <w:rsid w:val="00F27BC3"/>
    <w:rsid w:val="00F27EB4"/>
    <w:rsid w:val="00F30352"/>
    <w:rsid w:val="00F305AC"/>
    <w:rsid w:val="00F3092E"/>
    <w:rsid w:val="00F3095D"/>
    <w:rsid w:val="00F309EE"/>
    <w:rsid w:val="00F317FE"/>
    <w:rsid w:val="00F31B28"/>
    <w:rsid w:val="00F31F96"/>
    <w:rsid w:val="00F33AF5"/>
    <w:rsid w:val="00F33BA0"/>
    <w:rsid w:val="00F3426A"/>
    <w:rsid w:val="00F34DC4"/>
    <w:rsid w:val="00F35875"/>
    <w:rsid w:val="00F3791D"/>
    <w:rsid w:val="00F37F20"/>
    <w:rsid w:val="00F40023"/>
    <w:rsid w:val="00F40D4F"/>
    <w:rsid w:val="00F411F2"/>
    <w:rsid w:val="00F41326"/>
    <w:rsid w:val="00F42583"/>
    <w:rsid w:val="00F44289"/>
    <w:rsid w:val="00F45A26"/>
    <w:rsid w:val="00F45AE8"/>
    <w:rsid w:val="00F463FE"/>
    <w:rsid w:val="00F46A8C"/>
    <w:rsid w:val="00F46C71"/>
    <w:rsid w:val="00F50546"/>
    <w:rsid w:val="00F506F7"/>
    <w:rsid w:val="00F508D9"/>
    <w:rsid w:val="00F514FC"/>
    <w:rsid w:val="00F52FDE"/>
    <w:rsid w:val="00F53F4E"/>
    <w:rsid w:val="00F54026"/>
    <w:rsid w:val="00F5444D"/>
    <w:rsid w:val="00F5483D"/>
    <w:rsid w:val="00F56D77"/>
    <w:rsid w:val="00F57AC6"/>
    <w:rsid w:val="00F60762"/>
    <w:rsid w:val="00F61182"/>
    <w:rsid w:val="00F62788"/>
    <w:rsid w:val="00F6295A"/>
    <w:rsid w:val="00F6494A"/>
    <w:rsid w:val="00F6509E"/>
    <w:rsid w:val="00F66523"/>
    <w:rsid w:val="00F66E0C"/>
    <w:rsid w:val="00F677D1"/>
    <w:rsid w:val="00F677D9"/>
    <w:rsid w:val="00F67E15"/>
    <w:rsid w:val="00F7024E"/>
    <w:rsid w:val="00F70862"/>
    <w:rsid w:val="00F71D46"/>
    <w:rsid w:val="00F7256F"/>
    <w:rsid w:val="00F735DF"/>
    <w:rsid w:val="00F73601"/>
    <w:rsid w:val="00F75A11"/>
    <w:rsid w:val="00F7656A"/>
    <w:rsid w:val="00F77C85"/>
    <w:rsid w:val="00F814BD"/>
    <w:rsid w:val="00F81CD7"/>
    <w:rsid w:val="00F83346"/>
    <w:rsid w:val="00F836A1"/>
    <w:rsid w:val="00F83F72"/>
    <w:rsid w:val="00F84584"/>
    <w:rsid w:val="00F8773B"/>
    <w:rsid w:val="00F90AB9"/>
    <w:rsid w:val="00F919AB"/>
    <w:rsid w:val="00F937D6"/>
    <w:rsid w:val="00F94FD1"/>
    <w:rsid w:val="00F966E7"/>
    <w:rsid w:val="00F96B94"/>
    <w:rsid w:val="00F97686"/>
    <w:rsid w:val="00F97859"/>
    <w:rsid w:val="00FA0B91"/>
    <w:rsid w:val="00FA1012"/>
    <w:rsid w:val="00FA114E"/>
    <w:rsid w:val="00FA1394"/>
    <w:rsid w:val="00FA1C4D"/>
    <w:rsid w:val="00FA2AE7"/>
    <w:rsid w:val="00FA334F"/>
    <w:rsid w:val="00FA4C50"/>
    <w:rsid w:val="00FA5E9D"/>
    <w:rsid w:val="00FA65ED"/>
    <w:rsid w:val="00FA6FD4"/>
    <w:rsid w:val="00FA7359"/>
    <w:rsid w:val="00FA7C9D"/>
    <w:rsid w:val="00FB1EC9"/>
    <w:rsid w:val="00FB3B60"/>
    <w:rsid w:val="00FB433F"/>
    <w:rsid w:val="00FB4990"/>
    <w:rsid w:val="00FB4A0A"/>
    <w:rsid w:val="00FB4C22"/>
    <w:rsid w:val="00FB5514"/>
    <w:rsid w:val="00FB5717"/>
    <w:rsid w:val="00FB638F"/>
    <w:rsid w:val="00FB70B8"/>
    <w:rsid w:val="00FB7599"/>
    <w:rsid w:val="00FC0786"/>
    <w:rsid w:val="00FC135E"/>
    <w:rsid w:val="00FC215A"/>
    <w:rsid w:val="00FC25CF"/>
    <w:rsid w:val="00FC26E0"/>
    <w:rsid w:val="00FC49D4"/>
    <w:rsid w:val="00FC4B1F"/>
    <w:rsid w:val="00FC5006"/>
    <w:rsid w:val="00FC645E"/>
    <w:rsid w:val="00FC6793"/>
    <w:rsid w:val="00FC6A62"/>
    <w:rsid w:val="00FC74BC"/>
    <w:rsid w:val="00FC75A2"/>
    <w:rsid w:val="00FC7891"/>
    <w:rsid w:val="00FD1201"/>
    <w:rsid w:val="00FD13AB"/>
    <w:rsid w:val="00FD2419"/>
    <w:rsid w:val="00FD27EF"/>
    <w:rsid w:val="00FD44F0"/>
    <w:rsid w:val="00FD4603"/>
    <w:rsid w:val="00FD4A05"/>
    <w:rsid w:val="00FD571E"/>
    <w:rsid w:val="00FD5E43"/>
    <w:rsid w:val="00FD62EB"/>
    <w:rsid w:val="00FD6B3E"/>
    <w:rsid w:val="00FD7740"/>
    <w:rsid w:val="00FE06A5"/>
    <w:rsid w:val="00FE146C"/>
    <w:rsid w:val="00FE20EE"/>
    <w:rsid w:val="00FE22B0"/>
    <w:rsid w:val="00FE28B4"/>
    <w:rsid w:val="00FE349A"/>
    <w:rsid w:val="00FE3582"/>
    <w:rsid w:val="00FE3595"/>
    <w:rsid w:val="00FE3E89"/>
    <w:rsid w:val="00FE466F"/>
    <w:rsid w:val="00FE4D96"/>
    <w:rsid w:val="00FE5037"/>
    <w:rsid w:val="00FE6C92"/>
    <w:rsid w:val="00FE7187"/>
    <w:rsid w:val="00FE71FE"/>
    <w:rsid w:val="00FE7314"/>
    <w:rsid w:val="00FF010F"/>
    <w:rsid w:val="00FF065F"/>
    <w:rsid w:val="00FF1063"/>
    <w:rsid w:val="00FF1753"/>
    <w:rsid w:val="00FF18DA"/>
    <w:rsid w:val="00FF2180"/>
    <w:rsid w:val="00FF2862"/>
    <w:rsid w:val="00FF2E74"/>
    <w:rsid w:val="00FF2FED"/>
    <w:rsid w:val="00FF300E"/>
    <w:rsid w:val="00FF3263"/>
    <w:rsid w:val="00FF32C1"/>
    <w:rsid w:val="00FF444D"/>
    <w:rsid w:val="00FF4883"/>
    <w:rsid w:val="00FF527E"/>
    <w:rsid w:val="00FF5F38"/>
    <w:rsid w:val="00FF7042"/>
    <w:rsid w:val="00FF776C"/>
    <w:rsid w:val="00FF7DD0"/>
    <w:rsid w:val="00FF7DD4"/>
    <w:rsid w:val="00FF7F1D"/>
    <w:rsid w:val="1EE7C890"/>
    <w:rsid w:val="449087D0"/>
    <w:rsid w:val="7F72706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B96FB"/>
  <w15:docId w15:val="{18089165-AC4C-4897-ABCB-A55DEF97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527E"/>
    <w:pPr>
      <w:spacing w:after="200" w:line="288" w:lineRule="auto"/>
    </w:pPr>
    <w:rPr>
      <w:rFonts w:ascii="Arial" w:hAnsi="Arial"/>
      <w:sz w:val="24"/>
      <w:szCs w:val="24"/>
      <w:lang w:val="en-US" w:eastAsia="ja-JP"/>
    </w:rPr>
  </w:style>
  <w:style w:type="paragraph" w:styleId="Heading1">
    <w:name w:val="heading 1"/>
    <w:aliases w:val="Report title,Heading 1 do not use,Section heading 1,Front Page Title,1.,Para 1,Para 11"/>
    <w:basedOn w:val="Normal"/>
    <w:next w:val="Normal"/>
    <w:link w:val="Heading1Char"/>
    <w:qFormat/>
    <w:rsid w:val="001E64EA"/>
    <w:pPr>
      <w:spacing w:after="600"/>
      <w:outlineLvl w:val="0"/>
    </w:pPr>
    <w:rPr>
      <w:rFonts w:eastAsiaTheme="majorEastAsia" w:cs="Arial"/>
      <w:b/>
      <w:color w:val="6B2876" w:themeColor="text2"/>
      <w:sz w:val="80"/>
      <w:szCs w:val="80"/>
      <w:lang w:val="en-AU"/>
    </w:rPr>
  </w:style>
  <w:style w:type="paragraph" w:styleId="Heading2">
    <w:name w:val="heading 2"/>
    <w:aliases w:val="Heading 2 do not use,Front Page List of Sections"/>
    <w:basedOn w:val="Normal"/>
    <w:next w:val="Normal"/>
    <w:link w:val="Heading2Char"/>
    <w:unhideWhenUsed/>
    <w:qFormat/>
    <w:rsid w:val="001E64EA"/>
    <w:pPr>
      <w:spacing w:before="600" w:after="120"/>
      <w:outlineLvl w:val="1"/>
    </w:pPr>
    <w:rPr>
      <w:rFonts w:eastAsiaTheme="majorEastAsia" w:cstheme="majorBidi"/>
      <w:b/>
      <w:bCs/>
      <w:color w:val="6B2976"/>
      <w:sz w:val="40"/>
      <w:szCs w:val="40"/>
      <w:shd w:val="clear" w:color="auto" w:fill="FFFFFF"/>
    </w:rPr>
  </w:style>
  <w:style w:type="paragraph" w:styleId="Heading3">
    <w:name w:val="heading 3"/>
    <w:aliases w:val="Heading 3 do not use"/>
    <w:basedOn w:val="Normal"/>
    <w:next w:val="Normal"/>
    <w:link w:val="Heading3Char"/>
    <w:unhideWhenUsed/>
    <w:qFormat/>
    <w:rsid w:val="001E64EA"/>
    <w:pPr>
      <w:spacing w:before="400" w:after="120"/>
      <w:outlineLvl w:val="2"/>
    </w:pPr>
    <w:rPr>
      <w:rFonts w:eastAsiaTheme="majorEastAsia" w:cstheme="majorBidi"/>
      <w:b/>
      <w:color w:val="6B2976"/>
      <w:sz w:val="30"/>
      <w:szCs w:val="30"/>
    </w:rPr>
  </w:style>
  <w:style w:type="paragraph" w:styleId="Heading4">
    <w:name w:val="heading 4"/>
    <w:basedOn w:val="Normal"/>
    <w:next w:val="Normal"/>
    <w:link w:val="Heading4Char"/>
    <w:unhideWhenUsed/>
    <w:qFormat/>
    <w:rsid w:val="001E64EA"/>
    <w:pPr>
      <w:spacing w:before="360" w:after="120"/>
      <w:outlineLvl w:val="3"/>
    </w:pPr>
    <w:rPr>
      <w:rFonts w:eastAsiaTheme="majorEastAsia" w:cstheme="majorBidi"/>
      <w:b/>
    </w:rPr>
  </w:style>
  <w:style w:type="paragraph" w:styleId="Heading5">
    <w:name w:val="heading 5"/>
    <w:basedOn w:val="Normal"/>
    <w:next w:val="Normal"/>
    <w:link w:val="Heading5Char"/>
    <w:unhideWhenUsed/>
    <w:qFormat/>
    <w:rsid w:val="001E64EA"/>
    <w:pPr>
      <w:spacing w:before="360" w:after="120"/>
      <w:outlineLvl w:val="4"/>
    </w:pPr>
    <w:rPr>
      <w:rFonts w:eastAsiaTheme="majorEastAsia" w:cstheme="majorBidi"/>
      <w:b/>
    </w:rPr>
  </w:style>
  <w:style w:type="paragraph" w:styleId="Heading6">
    <w:name w:val="heading 6"/>
    <w:basedOn w:val="Normal"/>
    <w:next w:val="Normal"/>
    <w:link w:val="Heading6Char"/>
    <w:unhideWhenUsed/>
    <w:qFormat/>
    <w:rsid w:val="001E64EA"/>
    <w:pPr>
      <w:spacing w:before="360" w:after="120"/>
      <w:outlineLvl w:val="5"/>
    </w:pPr>
    <w:rPr>
      <w:rFonts w:eastAsiaTheme="majorEastAsia" w:cstheme="majorBidi"/>
      <w:i/>
      <w:iCs/>
      <w:shd w:val="clear" w:color="auto" w:fill="FFFFFF"/>
    </w:rPr>
  </w:style>
  <w:style w:type="paragraph" w:styleId="Heading7">
    <w:name w:val="heading 7"/>
    <w:aliases w:val="Section Sub-Heading 4"/>
    <w:basedOn w:val="Normal"/>
    <w:next w:val="Normal"/>
    <w:link w:val="Heading7Char"/>
    <w:unhideWhenUsed/>
    <w:qFormat/>
    <w:rsid w:val="001E64EA"/>
    <w:pPr>
      <w:keepNext/>
      <w:keepLines/>
      <w:spacing w:before="80" w:after="0" w:line="240" w:lineRule="auto"/>
      <w:outlineLvl w:val="6"/>
    </w:pPr>
    <w:rPr>
      <w:rFonts w:asciiTheme="majorHAnsi" w:eastAsiaTheme="majorEastAsia" w:hAnsiTheme="majorHAnsi" w:cstheme="majorBidi"/>
      <w:b/>
      <w:bCs/>
      <w:color w:val="35143A" w:themeColor="accent2" w:themeShade="80"/>
      <w:sz w:val="22"/>
      <w:szCs w:val="22"/>
    </w:rPr>
  </w:style>
  <w:style w:type="paragraph" w:styleId="Heading8">
    <w:name w:val="heading 8"/>
    <w:basedOn w:val="Normal"/>
    <w:next w:val="Normal"/>
    <w:link w:val="Heading8Char"/>
    <w:unhideWhenUsed/>
    <w:qFormat/>
    <w:rsid w:val="001E64EA"/>
    <w:pPr>
      <w:keepNext/>
      <w:keepLines/>
      <w:spacing w:before="80" w:after="0" w:line="240" w:lineRule="auto"/>
      <w:outlineLvl w:val="7"/>
    </w:pPr>
    <w:rPr>
      <w:rFonts w:asciiTheme="majorHAnsi" w:eastAsiaTheme="majorEastAsia" w:hAnsiTheme="majorHAnsi" w:cstheme="majorBidi"/>
      <w:color w:val="35143A" w:themeColor="accent2" w:themeShade="80"/>
      <w:sz w:val="22"/>
      <w:szCs w:val="22"/>
    </w:rPr>
  </w:style>
  <w:style w:type="paragraph" w:styleId="Heading9">
    <w:name w:val="heading 9"/>
    <w:basedOn w:val="Normal"/>
    <w:next w:val="Normal"/>
    <w:link w:val="Heading9Char"/>
    <w:unhideWhenUsed/>
    <w:qFormat/>
    <w:rsid w:val="001E64EA"/>
    <w:pPr>
      <w:keepNext/>
      <w:keepLines/>
      <w:spacing w:before="80" w:after="0" w:line="240" w:lineRule="auto"/>
      <w:outlineLvl w:val="8"/>
    </w:pPr>
    <w:rPr>
      <w:rFonts w:asciiTheme="majorHAnsi" w:eastAsiaTheme="majorEastAsia" w:hAnsiTheme="majorHAnsi" w:cstheme="majorBidi"/>
      <w:i/>
      <w:iCs/>
      <w:color w:val="35143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Heading 1 do not use Char,Section heading 1 Char,Front Page Title Char,1. Char,Para 1 Char,Para 11 Char"/>
    <w:link w:val="Heading1"/>
    <w:uiPriority w:val="9"/>
    <w:rsid w:val="001E64EA"/>
    <w:rPr>
      <w:rFonts w:ascii="Arial" w:eastAsiaTheme="majorEastAsia" w:hAnsi="Arial" w:cs="Arial"/>
      <w:b/>
      <w:color w:val="6B2876" w:themeColor="text2"/>
      <w:sz w:val="80"/>
      <w:szCs w:val="80"/>
      <w:lang w:eastAsia="ja-JP"/>
    </w:rPr>
  </w:style>
  <w:style w:type="character" w:customStyle="1" w:styleId="Heading2Char">
    <w:name w:val="Heading 2 Char"/>
    <w:aliases w:val="Heading 2 do not use Char,Front Page List of Sections Char"/>
    <w:link w:val="Heading2"/>
    <w:uiPriority w:val="9"/>
    <w:rsid w:val="001E64EA"/>
    <w:rPr>
      <w:rFonts w:ascii="Arial" w:eastAsiaTheme="majorEastAsia" w:hAnsi="Arial" w:cstheme="majorBidi"/>
      <w:b/>
      <w:bCs/>
      <w:color w:val="6B2976"/>
      <w:sz w:val="40"/>
      <w:szCs w:val="40"/>
      <w:lang w:val="en-US" w:eastAsia="ja-JP"/>
    </w:rPr>
  </w:style>
  <w:style w:type="paragraph" w:customStyle="1" w:styleId="Tablebullet">
    <w:name w:val="Table bullet"/>
    <w:qFormat/>
    <w:rsid w:val="001E64EA"/>
    <w:pPr>
      <w:numPr>
        <w:numId w:val="23"/>
      </w:numPr>
    </w:pPr>
    <w:rPr>
      <w:rFonts w:ascii="Arial" w:eastAsia="Times New Roman" w:hAnsi="Arial"/>
      <w:sz w:val="24"/>
      <w:szCs w:val="24"/>
      <w:lang w:eastAsia="ja-JP"/>
    </w:rPr>
  </w:style>
  <w:style w:type="character" w:customStyle="1" w:styleId="Heading3Char">
    <w:name w:val="Heading 3 Char"/>
    <w:aliases w:val="Heading 3 do not use Char"/>
    <w:link w:val="Heading3"/>
    <w:uiPriority w:val="9"/>
    <w:rsid w:val="001E64EA"/>
    <w:rPr>
      <w:rFonts w:ascii="Arial" w:eastAsiaTheme="majorEastAsia" w:hAnsi="Arial" w:cstheme="majorBidi"/>
      <w:b/>
      <w:color w:val="6B2976"/>
      <w:sz w:val="30"/>
      <w:szCs w:val="30"/>
      <w:lang w:val="en-US" w:eastAsia="ja-JP"/>
    </w:rPr>
  </w:style>
  <w:style w:type="character" w:customStyle="1" w:styleId="Heading4Char">
    <w:name w:val="Heading 4 Char"/>
    <w:link w:val="Heading4"/>
    <w:uiPriority w:val="9"/>
    <w:rsid w:val="001E64EA"/>
    <w:rPr>
      <w:rFonts w:ascii="Arial" w:eastAsiaTheme="majorEastAsia" w:hAnsi="Arial" w:cstheme="majorBidi"/>
      <w:b/>
      <w:sz w:val="24"/>
      <w:szCs w:val="24"/>
      <w:lang w:val="en-US" w:eastAsia="ja-JP"/>
    </w:rPr>
  </w:style>
  <w:style w:type="character" w:customStyle="1" w:styleId="Heading5Char">
    <w:name w:val="Heading 5 Char"/>
    <w:link w:val="Heading5"/>
    <w:uiPriority w:val="9"/>
    <w:rsid w:val="001E64EA"/>
    <w:rPr>
      <w:rFonts w:ascii="Arial" w:eastAsiaTheme="majorEastAsia" w:hAnsi="Arial" w:cstheme="majorBidi"/>
      <w:b/>
      <w:sz w:val="24"/>
      <w:szCs w:val="24"/>
      <w:lang w:val="en-US" w:eastAsia="ja-JP"/>
    </w:rPr>
  </w:style>
  <w:style w:type="character" w:customStyle="1" w:styleId="Heading6Char">
    <w:name w:val="Heading 6 Char"/>
    <w:link w:val="Heading6"/>
    <w:uiPriority w:val="9"/>
    <w:rsid w:val="001E64EA"/>
    <w:rPr>
      <w:rFonts w:ascii="Arial" w:eastAsiaTheme="majorEastAsia" w:hAnsi="Arial" w:cstheme="majorBidi"/>
      <w:i/>
      <w:iCs/>
      <w:sz w:val="24"/>
      <w:szCs w:val="24"/>
      <w:lang w:val="en-US" w:eastAsia="ja-JP"/>
    </w:rPr>
  </w:style>
  <w:style w:type="character" w:customStyle="1" w:styleId="Heading7Char">
    <w:name w:val="Heading 7 Char"/>
    <w:aliases w:val="Section Sub-Heading 4 Char"/>
    <w:basedOn w:val="DefaultParagraphFont"/>
    <w:link w:val="Heading7"/>
    <w:uiPriority w:val="9"/>
    <w:rsid w:val="001E64EA"/>
    <w:rPr>
      <w:rFonts w:asciiTheme="majorHAnsi" w:eastAsiaTheme="majorEastAsia" w:hAnsiTheme="majorHAnsi" w:cstheme="majorBidi"/>
      <w:b/>
      <w:bCs/>
      <w:color w:val="35143A" w:themeColor="accent2" w:themeShade="80"/>
      <w:sz w:val="22"/>
      <w:szCs w:val="22"/>
    </w:rPr>
  </w:style>
  <w:style w:type="character" w:customStyle="1" w:styleId="Heading8Char">
    <w:name w:val="Heading 8 Char"/>
    <w:basedOn w:val="DefaultParagraphFont"/>
    <w:link w:val="Heading8"/>
    <w:uiPriority w:val="9"/>
    <w:rsid w:val="001E64EA"/>
    <w:rPr>
      <w:rFonts w:asciiTheme="majorHAnsi" w:eastAsiaTheme="majorEastAsia" w:hAnsiTheme="majorHAnsi" w:cstheme="majorBidi"/>
      <w:color w:val="35143A" w:themeColor="accent2" w:themeShade="80"/>
      <w:sz w:val="22"/>
      <w:szCs w:val="22"/>
    </w:rPr>
  </w:style>
  <w:style w:type="character" w:customStyle="1" w:styleId="Heading9Char">
    <w:name w:val="Heading 9 Char"/>
    <w:basedOn w:val="DefaultParagraphFont"/>
    <w:link w:val="Heading9"/>
    <w:uiPriority w:val="9"/>
    <w:rsid w:val="001E64EA"/>
    <w:rPr>
      <w:rFonts w:asciiTheme="majorHAnsi" w:eastAsiaTheme="majorEastAsia" w:hAnsiTheme="majorHAnsi" w:cstheme="majorBidi"/>
      <w:i/>
      <w:iCs/>
      <w:color w:val="35143A" w:themeColor="accent2" w:themeShade="80"/>
      <w:sz w:val="22"/>
      <w:szCs w:val="22"/>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
      </w:numPr>
    </w:pPr>
  </w:style>
  <w:style w:type="numbering" w:customStyle="1" w:styleId="CurrentList2">
    <w:name w:val="Current List2"/>
    <w:uiPriority w:val="99"/>
    <w:rsid w:val="00940AC8"/>
    <w:pPr>
      <w:numPr>
        <w:numId w:val="2"/>
      </w:numPr>
    </w:pPr>
  </w:style>
  <w:style w:type="numbering" w:customStyle="1" w:styleId="CurrentList3">
    <w:name w:val="Current List3"/>
    <w:uiPriority w:val="99"/>
    <w:rsid w:val="00940AC8"/>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NFP GP Bulleted List,List Paragraph1,Recommendation,List Paragraph11,List Paragraph2,L,AR bullet 1,List Paragraph Number,Bullet point,Content descriptions,Bullet Point,dot point List Paragraph,Number Paragraph,Bullet points,Bullet Points"/>
    <w:basedOn w:val="Normal"/>
    <w:link w:val="ListParagraphChar"/>
    <w:uiPriority w:val="34"/>
    <w:qFormat/>
    <w:rsid w:val="001E64E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semiHidden/>
    <w:unhideWhenUsed/>
    <w:rsid w:val="007219F1"/>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1E64EA"/>
    <w:pPr>
      <w:numPr>
        <w:numId w:val="24"/>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1E64EA"/>
    <w:pPr>
      <w:numPr>
        <w:numId w:val="22"/>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47793"/>
    <w:pPr>
      <w:tabs>
        <w:tab w:val="left" w:pos="480"/>
        <w:tab w:val="right" w:leader="dot" w:pos="9016"/>
      </w:tabs>
      <w:spacing w:after="0" w:line="240" w:lineRule="auto"/>
    </w:pPr>
    <w:rPr>
      <w:rFonts w:cs="Arial"/>
      <w:b/>
      <w:bCs/>
      <w:noProof/>
      <w:sz w:val="22"/>
      <w:szCs w:val="22"/>
    </w:rPr>
  </w:style>
  <w:style w:type="paragraph" w:styleId="TOC2">
    <w:name w:val="toc 2"/>
    <w:basedOn w:val="Normal"/>
    <w:next w:val="Normal"/>
    <w:autoRedefine/>
    <w:uiPriority w:val="39"/>
    <w:unhideWhenUsed/>
    <w:qFormat/>
    <w:rsid w:val="00433738"/>
    <w:pPr>
      <w:tabs>
        <w:tab w:val="left" w:pos="1440"/>
        <w:tab w:val="right" w:leader="dot" w:pos="9016"/>
      </w:tabs>
      <w:spacing w:after="0" w:line="240" w:lineRule="auto"/>
      <w:ind w:left="442"/>
    </w:pPr>
    <w:rPr>
      <w:rFonts w:cstheme="minorHAnsi"/>
      <w:noProof/>
      <w:sz w:val="22"/>
      <w:szCs w:val="22"/>
    </w:rPr>
  </w:style>
  <w:style w:type="paragraph" w:styleId="TOC3">
    <w:name w:val="toc 3"/>
    <w:basedOn w:val="Normal"/>
    <w:next w:val="Normal"/>
    <w:link w:val="TOC3Char"/>
    <w:autoRedefine/>
    <w:uiPriority w:val="39"/>
    <w:unhideWhenUsed/>
    <w:qFormat/>
    <w:rsid w:val="00547104"/>
    <w:pPr>
      <w:tabs>
        <w:tab w:val="left" w:pos="1440"/>
        <w:tab w:val="right" w:leader="dot" w:pos="9016"/>
      </w:tabs>
      <w:spacing w:after="100" w:line="240" w:lineRule="auto"/>
      <w:ind w:left="442"/>
      <w:outlineLvl w:val="2"/>
    </w:pPr>
    <w:rPr>
      <w:rFonts w:cstheme="minorHAnsi"/>
      <w:noProof/>
      <w:sz w:val="22"/>
      <w:szCs w:val="22"/>
    </w:rPr>
  </w:style>
  <w:style w:type="character" w:styleId="Hyperlink">
    <w:name w:val="Hyperlink"/>
    <w:uiPriority w:val="99"/>
    <w:unhideWhenUsed/>
    <w:rsid w:val="00454AC6"/>
    <w:rPr>
      <w:color w:val="6B2876" w:themeColor="text1"/>
      <w:u w:val="single"/>
    </w:rPr>
  </w:style>
  <w:style w:type="paragraph" w:styleId="TOC4">
    <w:name w:val="toc 4"/>
    <w:basedOn w:val="Normal"/>
    <w:next w:val="Normal"/>
    <w:autoRedefine/>
    <w:unhideWhenUsed/>
    <w:rsid w:val="00C54B33"/>
    <w:pPr>
      <w:ind w:left="720"/>
    </w:pPr>
    <w:rPr>
      <w:rFonts w:asciiTheme="minorHAnsi" w:hAnsiTheme="minorHAnsi" w:cstheme="minorHAnsi"/>
      <w:sz w:val="18"/>
      <w:szCs w:val="18"/>
    </w:rPr>
  </w:style>
  <w:style w:type="paragraph" w:styleId="TOC5">
    <w:name w:val="toc 5"/>
    <w:basedOn w:val="Normal"/>
    <w:next w:val="Normal"/>
    <w:autoRedefine/>
    <w:unhideWhenUsed/>
    <w:rsid w:val="00C54B33"/>
    <w:pPr>
      <w:ind w:left="960"/>
    </w:pPr>
    <w:rPr>
      <w:rFonts w:asciiTheme="minorHAnsi" w:hAnsiTheme="minorHAnsi" w:cstheme="minorHAnsi"/>
      <w:sz w:val="18"/>
      <w:szCs w:val="18"/>
    </w:rPr>
  </w:style>
  <w:style w:type="paragraph" w:customStyle="1" w:styleId="Securityinformation">
    <w:name w:val="Security information"/>
    <w:basedOn w:val="Normal"/>
    <w:link w:val="SecurityinformationChar"/>
    <w:qFormat/>
    <w:rsid w:val="001E64EA"/>
    <w:pPr>
      <w:spacing w:after="240"/>
      <w:ind w:right="96"/>
    </w:pPr>
    <w:rPr>
      <w:b/>
      <w:color w:val="C00000"/>
      <w:sz w:val="28"/>
      <w:szCs w:val="28"/>
    </w:rPr>
  </w:style>
  <w:style w:type="table" w:styleId="TableGrid">
    <w:name w:val="Table Grid"/>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1E64EA"/>
    <w:pPr>
      <w:spacing w:before="360" w:after="120"/>
    </w:pPr>
    <w:rPr>
      <w:bCs/>
      <w:u w:val="single"/>
    </w:rPr>
  </w:style>
  <w:style w:type="character" w:customStyle="1" w:styleId="TableDescriptionChar">
    <w:name w:val="Table Description Char"/>
    <w:link w:val="TableDescription"/>
    <w:rsid w:val="001E64EA"/>
    <w:rPr>
      <w:rFonts w:ascii="Arial" w:hAnsi="Arial"/>
      <w:bCs/>
      <w:sz w:val="24"/>
      <w:szCs w:val="24"/>
      <w:u w:val="single"/>
      <w:lang w:val="en-US" w:eastAsia="ja-JP"/>
    </w:rPr>
  </w:style>
  <w:style w:type="character" w:customStyle="1" w:styleId="SecurityinformationChar">
    <w:name w:val="Security information Char"/>
    <w:link w:val="Securityinformation"/>
    <w:rsid w:val="001E64EA"/>
    <w:rPr>
      <w:rFonts w:ascii="Arial"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1E64EA"/>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qFormat/>
    <w:rsid w:val="00FD13AB"/>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DefaultParagraphFont"/>
    <w:uiPriority w:val="99"/>
    <w:unhideWhenUsed/>
    <w:rsid w:val="00FD13AB"/>
    <w:rPr>
      <w:vertAlign w:val="superscript"/>
    </w:rPr>
  </w:style>
  <w:style w:type="paragraph" w:customStyle="1" w:styleId="01squarebullet">
    <w:name w:val="01 square bullet"/>
    <w:basedOn w:val="Normal"/>
    <w:uiPriority w:val="4"/>
    <w:rsid w:val="004A22FF"/>
    <w:pPr>
      <w:numPr>
        <w:numId w:val="19"/>
      </w:numPr>
      <w:spacing w:before="120" w:after="60" w:line="264" w:lineRule="auto"/>
      <w:ind w:right="142"/>
    </w:pPr>
    <w:rPr>
      <w:rFonts w:cs="Arial"/>
      <w:sz w:val="20"/>
      <w:szCs w:val="22"/>
      <w:lang w:val="en-AU" w:eastAsia="en-AU"/>
    </w:rPr>
  </w:style>
  <w:style w:type="paragraph" w:customStyle="1" w:styleId="1jb">
    <w:name w:val="1 jb"/>
    <w:basedOn w:val="ListParagraph"/>
    <w:link w:val="1jbChar"/>
    <w:rsid w:val="004A22FF"/>
    <w:pPr>
      <w:numPr>
        <w:numId w:val="5"/>
      </w:numPr>
      <w:spacing w:after="160" w:line="259" w:lineRule="auto"/>
    </w:pPr>
    <w:rPr>
      <w:rFonts w:asciiTheme="minorHAnsi" w:eastAsiaTheme="minorHAnsi" w:hAnsiTheme="minorHAnsi" w:cstheme="minorBidi"/>
      <w:b/>
      <w:sz w:val="22"/>
      <w:szCs w:val="22"/>
      <w:lang w:val="en-AU" w:eastAsia="en-US"/>
    </w:rPr>
  </w:style>
  <w:style w:type="character" w:customStyle="1" w:styleId="1jbChar">
    <w:name w:val="1 jb Char"/>
    <w:basedOn w:val="DefaultParagraphFont"/>
    <w:link w:val="1jb"/>
    <w:rsid w:val="004A22FF"/>
    <w:rPr>
      <w:rFonts w:asciiTheme="minorHAnsi" w:eastAsiaTheme="minorHAnsi" w:hAnsiTheme="minorHAnsi" w:cstheme="minorBidi"/>
      <w:b/>
      <w:sz w:val="22"/>
      <w:szCs w:val="22"/>
      <w:lang w:eastAsia="en-US"/>
    </w:rPr>
  </w:style>
  <w:style w:type="character" w:customStyle="1" w:styleId="A11">
    <w:name w:val="A11"/>
    <w:uiPriority w:val="99"/>
    <w:rsid w:val="004A22FF"/>
    <w:rPr>
      <w:rFonts w:cs="FS Me Pro Light"/>
      <w:color w:val="000000"/>
      <w:sz w:val="11"/>
      <w:szCs w:val="11"/>
    </w:rPr>
  </w:style>
  <w:style w:type="character" w:customStyle="1" w:styleId="A12">
    <w:name w:val="A12"/>
    <w:uiPriority w:val="99"/>
    <w:rsid w:val="004A22FF"/>
    <w:rPr>
      <w:rFonts w:ascii="FS Me Light" w:hAnsi="FS Me Light" w:cs="FS Me Light"/>
      <w:color w:val="000000"/>
      <w:sz w:val="12"/>
      <w:szCs w:val="12"/>
    </w:rPr>
  </w:style>
  <w:style w:type="character" w:customStyle="1" w:styleId="A19">
    <w:name w:val="A19"/>
    <w:uiPriority w:val="99"/>
    <w:rsid w:val="004A22FF"/>
    <w:rPr>
      <w:rFonts w:ascii="FS Me Light" w:hAnsi="FS Me Light" w:cs="FS Me Light"/>
      <w:color w:val="000000"/>
      <w:sz w:val="22"/>
      <w:szCs w:val="22"/>
      <w:u w:val="single"/>
    </w:rPr>
  </w:style>
  <w:style w:type="character" w:customStyle="1" w:styleId="A4">
    <w:name w:val="A4"/>
    <w:uiPriority w:val="99"/>
    <w:rsid w:val="004A22FF"/>
    <w:rPr>
      <w:rFonts w:cs="FS Me"/>
      <w:b/>
      <w:bCs/>
      <w:color w:val="000000"/>
      <w:sz w:val="22"/>
      <w:szCs w:val="22"/>
    </w:rPr>
  </w:style>
  <w:style w:type="character" w:customStyle="1" w:styleId="A8">
    <w:name w:val="A8"/>
    <w:uiPriority w:val="99"/>
    <w:rsid w:val="004A22FF"/>
    <w:rPr>
      <w:rFonts w:cs="FS Me"/>
      <w:color w:val="000000"/>
      <w:sz w:val="22"/>
      <w:szCs w:val="22"/>
    </w:rPr>
  </w:style>
  <w:style w:type="paragraph" w:customStyle="1" w:styleId="AccountingPolicy-Departmental">
    <w:name w:val="Accounting Policy - Departmental"/>
    <w:basedOn w:val="Normal"/>
    <w:qFormat/>
    <w:rsid w:val="004A22FF"/>
    <w:pPr>
      <w:pBdr>
        <w:top w:val="single" w:sz="4" w:space="1" w:color="800080"/>
        <w:left w:val="single" w:sz="4" w:space="4" w:color="800080"/>
        <w:bottom w:val="single" w:sz="4" w:space="1" w:color="800080"/>
        <w:right w:val="single" w:sz="4" w:space="4" w:color="800080"/>
      </w:pBdr>
      <w:spacing w:after="20" w:line="260" w:lineRule="atLeast"/>
      <w:ind w:left="85" w:right="142"/>
      <w:outlineLvl w:val="0"/>
    </w:pPr>
    <w:rPr>
      <w:rFonts w:cs="Helvetica"/>
      <w:sz w:val="18"/>
      <w:szCs w:val="18"/>
      <w:lang w:val="en-AU" w:eastAsia="en-US"/>
    </w:rPr>
  </w:style>
  <w:style w:type="paragraph" w:customStyle="1" w:styleId="ActHead5">
    <w:name w:val="ActHead 5"/>
    <w:aliases w:val="s"/>
    <w:basedOn w:val="Normal"/>
    <w:next w:val="Normal"/>
    <w:link w:val="ActHead5Char"/>
    <w:rsid w:val="004A22FF"/>
    <w:pPr>
      <w:keepNext/>
      <w:keepLines/>
      <w:spacing w:before="280"/>
      <w:ind w:left="1134" w:hanging="1134"/>
      <w:outlineLvl w:val="4"/>
    </w:pPr>
    <w:rPr>
      <w:rFonts w:ascii="Times New Roman" w:hAnsi="Times New Roman"/>
      <w:b/>
      <w:kern w:val="28"/>
      <w:szCs w:val="22"/>
      <w:lang w:val="en-AU" w:eastAsia="en-AU"/>
    </w:rPr>
  </w:style>
  <w:style w:type="character" w:customStyle="1" w:styleId="ActHead5Char">
    <w:name w:val="ActHead 5 Char"/>
    <w:aliases w:val="s Char"/>
    <w:basedOn w:val="DefaultParagraphFont"/>
    <w:link w:val="ActHead5"/>
    <w:locked/>
    <w:rsid w:val="004A22FF"/>
    <w:rPr>
      <w:rFonts w:ascii="Times New Roman" w:eastAsia="Times New Roman" w:hAnsi="Times New Roman"/>
      <w:b/>
      <w:kern w:val="28"/>
      <w:sz w:val="24"/>
      <w:szCs w:val="22"/>
    </w:rPr>
  </w:style>
  <w:style w:type="paragraph" w:styleId="BodyText">
    <w:name w:val="Body Text"/>
    <w:basedOn w:val="Normal"/>
    <w:link w:val="BodyTextChar"/>
    <w:uiPriority w:val="99"/>
    <w:unhideWhenUsed/>
    <w:rsid w:val="004A22FF"/>
    <w:pPr>
      <w:spacing w:before="120" w:after="120"/>
      <w:ind w:left="652"/>
    </w:pPr>
    <w:rPr>
      <w:rFonts w:eastAsia="Cambria" w:cs="Arial"/>
      <w:sz w:val="22"/>
      <w:szCs w:val="22"/>
      <w:lang w:eastAsia="en-US"/>
    </w:rPr>
  </w:style>
  <w:style w:type="character" w:customStyle="1" w:styleId="BodyTextChar">
    <w:name w:val="Body Text Char"/>
    <w:basedOn w:val="DefaultParagraphFont"/>
    <w:link w:val="BodyText"/>
    <w:uiPriority w:val="99"/>
    <w:rsid w:val="004A22FF"/>
    <w:rPr>
      <w:rFonts w:ascii="Arial" w:eastAsia="Cambria" w:hAnsi="Arial" w:cs="Arial"/>
      <w:sz w:val="22"/>
      <w:szCs w:val="22"/>
      <w:lang w:val="en-US" w:eastAsia="en-US"/>
    </w:rPr>
  </w:style>
  <w:style w:type="character" w:customStyle="1" w:styleId="BodyTextItalic">
    <w:name w:val="Body Text Italic"/>
    <w:basedOn w:val="DefaultParagraphFont"/>
    <w:uiPriority w:val="1"/>
    <w:rsid w:val="004A22FF"/>
    <w:rPr>
      <w:i/>
      <w:iCs/>
    </w:rPr>
  </w:style>
  <w:style w:type="paragraph" w:customStyle="1" w:styleId="BodyText1">
    <w:name w:val="Body Text1"/>
    <w:link w:val="BodyText1Char"/>
    <w:qFormat/>
    <w:rsid w:val="004A22FF"/>
    <w:pPr>
      <w:spacing w:after="113" w:line="260" w:lineRule="atLeast"/>
    </w:pPr>
    <w:rPr>
      <w:rFonts w:ascii="Cambria" w:eastAsia="Times New Roman" w:hAnsi="Cambria"/>
      <w:sz w:val="22"/>
      <w:szCs w:val="24"/>
      <w:lang w:eastAsia="en-US"/>
    </w:rPr>
  </w:style>
  <w:style w:type="character" w:customStyle="1" w:styleId="BodyText1Char">
    <w:name w:val="Body Text1 Char"/>
    <w:basedOn w:val="DefaultParagraphFont"/>
    <w:link w:val="BodyText1"/>
    <w:locked/>
    <w:rsid w:val="004A22FF"/>
    <w:rPr>
      <w:rFonts w:ascii="Cambria" w:eastAsia="Times New Roman" w:hAnsi="Cambria"/>
      <w:sz w:val="22"/>
      <w:szCs w:val="24"/>
      <w:lang w:eastAsia="en-US"/>
    </w:rPr>
  </w:style>
  <w:style w:type="character" w:styleId="BookTitle">
    <w:name w:val="Book Title"/>
    <w:basedOn w:val="DefaultParagraphFont"/>
    <w:uiPriority w:val="33"/>
    <w:qFormat/>
    <w:rsid w:val="001E64EA"/>
    <w:rPr>
      <w:b/>
      <w:bCs/>
      <w:caps w:val="0"/>
      <w:smallCaps/>
      <w:spacing w:val="0"/>
    </w:rPr>
  </w:style>
  <w:style w:type="paragraph" w:styleId="Caption">
    <w:name w:val="caption"/>
    <w:basedOn w:val="Normal"/>
    <w:next w:val="Normal"/>
    <w:link w:val="CaptionChar"/>
    <w:uiPriority w:val="35"/>
    <w:unhideWhenUsed/>
    <w:rsid w:val="001E64EA"/>
    <w:pPr>
      <w:spacing w:line="240" w:lineRule="auto"/>
    </w:pPr>
    <w:rPr>
      <w:b/>
      <w:bCs/>
      <w:color w:val="A63EB7" w:themeColor="text1" w:themeTint="BF"/>
      <w:sz w:val="16"/>
      <w:szCs w:val="16"/>
    </w:rPr>
  </w:style>
  <w:style w:type="character" w:customStyle="1" w:styleId="CaptionChar">
    <w:name w:val="Caption Char"/>
    <w:basedOn w:val="DefaultParagraphFont"/>
    <w:link w:val="Caption"/>
    <w:uiPriority w:val="35"/>
    <w:rsid w:val="004A22FF"/>
    <w:rPr>
      <w:b/>
      <w:bCs/>
      <w:color w:val="A63EB7" w:themeColor="text1" w:themeTint="BF"/>
      <w:sz w:val="16"/>
      <w:szCs w:val="16"/>
    </w:rPr>
  </w:style>
  <w:style w:type="character" w:styleId="CommentReference">
    <w:name w:val="annotation reference"/>
    <w:basedOn w:val="DefaultParagraphFont"/>
    <w:uiPriority w:val="99"/>
    <w:unhideWhenUsed/>
    <w:rsid w:val="004A22FF"/>
    <w:rPr>
      <w:sz w:val="16"/>
      <w:szCs w:val="16"/>
    </w:rPr>
  </w:style>
  <w:style w:type="paragraph" w:styleId="CommentText">
    <w:name w:val="annotation text"/>
    <w:basedOn w:val="Normal"/>
    <w:link w:val="CommentTextChar"/>
    <w:uiPriority w:val="99"/>
    <w:unhideWhenUsed/>
    <w:rsid w:val="004A22FF"/>
    <w:pPr>
      <w:spacing w:before="120" w:after="120"/>
      <w:ind w:left="652"/>
    </w:pPr>
    <w:rPr>
      <w:rFonts w:eastAsiaTheme="minorEastAsia" w:cs="Arial"/>
      <w:sz w:val="20"/>
      <w:szCs w:val="20"/>
      <w:lang w:val="en-AU"/>
    </w:rPr>
  </w:style>
  <w:style w:type="character" w:customStyle="1" w:styleId="CommentTextChar">
    <w:name w:val="Comment Text Char"/>
    <w:basedOn w:val="DefaultParagraphFont"/>
    <w:link w:val="CommentText"/>
    <w:uiPriority w:val="99"/>
    <w:rsid w:val="004A22FF"/>
    <w:rPr>
      <w:rFonts w:ascii="Arial" w:eastAsiaTheme="minorEastAsia" w:hAnsi="Arial" w:cs="Arial"/>
      <w:lang w:eastAsia="ja-JP"/>
    </w:rPr>
  </w:style>
  <w:style w:type="paragraph" w:styleId="CommentSubject">
    <w:name w:val="annotation subject"/>
    <w:basedOn w:val="CommentText"/>
    <w:next w:val="CommentText"/>
    <w:link w:val="CommentSubjectChar"/>
    <w:semiHidden/>
    <w:unhideWhenUsed/>
    <w:rsid w:val="004A22FF"/>
    <w:rPr>
      <w:b/>
      <w:bCs/>
    </w:rPr>
  </w:style>
  <w:style w:type="character" w:customStyle="1" w:styleId="CommentSubjectChar">
    <w:name w:val="Comment Subject Char"/>
    <w:basedOn w:val="CommentTextChar"/>
    <w:link w:val="CommentSubject"/>
    <w:semiHidden/>
    <w:rsid w:val="004A22FF"/>
    <w:rPr>
      <w:rFonts w:ascii="Arial" w:eastAsiaTheme="minorEastAsia" w:hAnsi="Arial" w:cs="Arial"/>
      <w:b/>
      <w:bCs/>
      <w:lang w:eastAsia="ja-JP"/>
    </w:rPr>
  </w:style>
  <w:style w:type="paragraph" w:customStyle="1" w:styleId="NotesHeading-Level1">
    <w:name w:val="Notes Heading - Level 1"/>
    <w:basedOn w:val="Normal"/>
    <w:qFormat/>
    <w:rsid w:val="004A22FF"/>
    <w:pPr>
      <w:numPr>
        <w:numId w:val="14"/>
      </w:numPr>
      <w:spacing w:line="260" w:lineRule="atLeast"/>
      <w:ind w:right="607"/>
      <w:outlineLvl w:val="0"/>
    </w:pPr>
    <w:rPr>
      <w:b/>
      <w:sz w:val="20"/>
      <w:szCs w:val="20"/>
      <w:lang w:val="en-AU" w:eastAsia="en-US"/>
    </w:rPr>
  </w:style>
  <w:style w:type="paragraph" w:customStyle="1" w:styleId="ContinuedNotesHeading-Level1">
    <w:name w:val="Continued Notes Heading - Level 1"/>
    <w:basedOn w:val="NotesHeading-Level1"/>
    <w:qFormat/>
    <w:rsid w:val="004A22FF"/>
    <w:pPr>
      <w:numPr>
        <w:numId w:val="0"/>
      </w:numPr>
      <w:spacing w:line="240" w:lineRule="auto"/>
      <w:outlineLvl w:val="9"/>
    </w:pPr>
  </w:style>
  <w:style w:type="numbering" w:customStyle="1" w:styleId="CurrentList11">
    <w:name w:val="Current List11"/>
    <w:rsid w:val="004A22FF"/>
    <w:pPr>
      <w:numPr>
        <w:numId w:val="7"/>
      </w:numPr>
    </w:pPr>
  </w:style>
  <w:style w:type="numbering" w:customStyle="1" w:styleId="CurrentList21">
    <w:name w:val="Current List21"/>
    <w:rsid w:val="004A22FF"/>
    <w:pPr>
      <w:numPr>
        <w:numId w:val="6"/>
      </w:numPr>
    </w:pPr>
  </w:style>
  <w:style w:type="paragraph" w:customStyle="1" w:styleId="CVText">
    <w:name w:val="CV Text"/>
    <w:basedOn w:val="Normal"/>
    <w:link w:val="CVTextChar"/>
    <w:rsid w:val="004A22FF"/>
    <w:pPr>
      <w:kinsoku w:val="0"/>
      <w:overflowPunct w:val="0"/>
      <w:autoSpaceDE w:val="0"/>
      <w:autoSpaceDN w:val="0"/>
      <w:adjustRightInd w:val="0"/>
      <w:snapToGrid w:val="0"/>
      <w:spacing w:before="80" w:after="80"/>
    </w:pPr>
    <w:rPr>
      <w:rFonts w:ascii="Calibri" w:hAnsi="Calibri" w:cs="Arial"/>
      <w:snapToGrid w:val="0"/>
      <w:sz w:val="20"/>
      <w:szCs w:val="21"/>
      <w:lang w:val="en-AU" w:eastAsia="en-US"/>
    </w:rPr>
  </w:style>
  <w:style w:type="character" w:customStyle="1" w:styleId="CVTextChar">
    <w:name w:val="CV Text Char"/>
    <w:link w:val="CVText"/>
    <w:rsid w:val="004A22FF"/>
    <w:rPr>
      <w:rFonts w:ascii="Calibri" w:eastAsia="Times New Roman" w:hAnsi="Calibri" w:cs="Arial"/>
      <w:snapToGrid w:val="0"/>
      <w:szCs w:val="21"/>
      <w:lang w:eastAsia="en-US"/>
    </w:rPr>
  </w:style>
  <w:style w:type="paragraph" w:customStyle="1" w:styleId="Dash">
    <w:name w:val="Dash"/>
    <w:basedOn w:val="Normal"/>
    <w:rsid w:val="004A22FF"/>
    <w:pPr>
      <w:spacing w:after="240"/>
    </w:pPr>
    <w:rPr>
      <w:rFonts w:ascii="Times New Roman" w:hAnsi="Times New Roman"/>
      <w:lang w:val="en-AU" w:eastAsia="en-US"/>
    </w:rPr>
  </w:style>
  <w:style w:type="paragraph" w:customStyle="1" w:styleId="Default">
    <w:name w:val="Default"/>
    <w:rsid w:val="004A22FF"/>
    <w:pPr>
      <w:autoSpaceDE w:val="0"/>
      <w:autoSpaceDN w:val="0"/>
      <w:adjustRightInd w:val="0"/>
    </w:pPr>
    <w:rPr>
      <w:rFonts w:ascii="Calibri" w:eastAsiaTheme="minorHAnsi" w:hAnsi="Calibri" w:cs="Calibri"/>
      <w:color w:val="000000"/>
      <w:sz w:val="24"/>
      <w:szCs w:val="24"/>
      <w:lang w:eastAsia="en-US"/>
    </w:rPr>
  </w:style>
  <w:style w:type="paragraph" w:styleId="DocumentMap">
    <w:name w:val="Document Map"/>
    <w:basedOn w:val="Normal"/>
    <w:link w:val="DocumentMapChar"/>
    <w:semiHidden/>
    <w:rsid w:val="004A22FF"/>
    <w:pPr>
      <w:shd w:val="clear" w:color="auto" w:fill="000080"/>
    </w:pPr>
    <w:rPr>
      <w:rFonts w:ascii="Tahoma" w:hAnsi="Tahoma"/>
      <w:sz w:val="20"/>
      <w:szCs w:val="20"/>
      <w:lang w:val="en-AU" w:eastAsia="en-AU"/>
    </w:rPr>
  </w:style>
  <w:style w:type="character" w:customStyle="1" w:styleId="DocumentMapChar">
    <w:name w:val="Document Map Char"/>
    <w:basedOn w:val="DefaultParagraphFont"/>
    <w:link w:val="DocumentMap"/>
    <w:semiHidden/>
    <w:rsid w:val="004A22FF"/>
    <w:rPr>
      <w:rFonts w:ascii="Tahoma" w:eastAsia="Times New Roman" w:hAnsi="Tahoma"/>
      <w:shd w:val="clear" w:color="auto" w:fill="000080"/>
    </w:rPr>
  </w:style>
  <w:style w:type="character" w:styleId="EndnoteReference">
    <w:name w:val="endnote reference"/>
    <w:basedOn w:val="DefaultParagraphFont"/>
    <w:uiPriority w:val="99"/>
    <w:semiHidden/>
    <w:unhideWhenUsed/>
    <w:rsid w:val="004A22FF"/>
    <w:rPr>
      <w:vertAlign w:val="superscript"/>
    </w:rPr>
  </w:style>
  <w:style w:type="paragraph" w:styleId="EndnoteText">
    <w:name w:val="endnote text"/>
    <w:basedOn w:val="Normal"/>
    <w:link w:val="EndnoteTextChar"/>
    <w:uiPriority w:val="99"/>
    <w:semiHidden/>
    <w:unhideWhenUsed/>
    <w:rsid w:val="004A22FF"/>
    <w:pPr>
      <w:ind w:left="652"/>
    </w:pPr>
    <w:rPr>
      <w:rFonts w:eastAsiaTheme="minorEastAsia" w:cs="Arial"/>
      <w:sz w:val="20"/>
      <w:szCs w:val="20"/>
      <w:lang w:val="en-AU"/>
    </w:rPr>
  </w:style>
  <w:style w:type="character" w:customStyle="1" w:styleId="EndnoteTextChar">
    <w:name w:val="Endnote Text Char"/>
    <w:basedOn w:val="DefaultParagraphFont"/>
    <w:link w:val="EndnoteText"/>
    <w:uiPriority w:val="99"/>
    <w:semiHidden/>
    <w:rsid w:val="004A22FF"/>
    <w:rPr>
      <w:rFonts w:ascii="Arial" w:eastAsiaTheme="minorEastAsia" w:hAnsi="Arial" w:cs="Arial"/>
      <w:lang w:eastAsia="ja-JP"/>
    </w:rPr>
  </w:style>
  <w:style w:type="character" w:customStyle="1" w:styleId="eop">
    <w:name w:val="eop"/>
    <w:basedOn w:val="DefaultParagraphFont"/>
    <w:rsid w:val="004A22FF"/>
  </w:style>
  <w:style w:type="table" w:customStyle="1" w:styleId="FGC">
    <w:name w:val="FGC"/>
    <w:basedOn w:val="TableNormal"/>
    <w:uiPriority w:val="99"/>
    <w:rsid w:val="004A22FF"/>
    <w:rPr>
      <w:rFonts w:asciiTheme="minorHAnsi" w:eastAsiaTheme="minorHAnsi" w:hAnsiTheme="minorHAnsi" w:cstheme="minorBidi"/>
      <w:sz w:val="22"/>
      <w:szCs w:val="22"/>
      <w:lang w:eastAsia="en-US"/>
    </w:rPr>
    <w:tblPr/>
  </w:style>
  <w:style w:type="paragraph" w:customStyle="1" w:styleId="FGCNORMAL">
    <w:name w:val="FGC_NORMAL"/>
    <w:basedOn w:val="Normal"/>
    <w:qFormat/>
    <w:rsid w:val="004A22FF"/>
    <w:pPr>
      <w:spacing w:before="120" w:after="120"/>
      <w:ind w:left="652"/>
    </w:pPr>
    <w:rPr>
      <w:rFonts w:eastAsiaTheme="minorEastAsia" w:cs="Arial"/>
      <w:sz w:val="22"/>
      <w:szCs w:val="22"/>
      <w:lang w:val="en-AU"/>
    </w:rPr>
  </w:style>
  <w:style w:type="paragraph" w:customStyle="1" w:styleId="FGCBULLET1">
    <w:name w:val="FGC_BULLET_1"/>
    <w:basedOn w:val="FGCNORMAL"/>
    <w:qFormat/>
    <w:rsid w:val="004A22FF"/>
    <w:pPr>
      <w:numPr>
        <w:numId w:val="8"/>
      </w:numPr>
    </w:pPr>
  </w:style>
  <w:style w:type="paragraph" w:customStyle="1" w:styleId="FGCCASESTUDY">
    <w:name w:val="FGC_CASE_STUDY"/>
    <w:basedOn w:val="FGCNORMAL"/>
    <w:qFormat/>
    <w:rsid w:val="004A22FF"/>
    <w:pPr>
      <w:pBdr>
        <w:top w:val="single" w:sz="8" w:space="1" w:color="6B2976"/>
        <w:left w:val="single" w:sz="8" w:space="4" w:color="6B2976"/>
        <w:bottom w:val="single" w:sz="8" w:space="1" w:color="6B2976"/>
        <w:right w:val="single" w:sz="8" w:space="4" w:color="6B2976"/>
      </w:pBdr>
      <w:shd w:val="clear" w:color="auto" w:fill="E5DDE7"/>
    </w:pPr>
  </w:style>
  <w:style w:type="paragraph" w:customStyle="1" w:styleId="FGCCommentbold">
    <w:name w:val="FGC_Comment_bold"/>
    <w:basedOn w:val="Normal"/>
    <w:rsid w:val="004A22FF"/>
    <w:pPr>
      <w:spacing w:before="120" w:after="120"/>
      <w:ind w:left="652"/>
    </w:pPr>
    <w:rPr>
      <w:rFonts w:eastAsiaTheme="minorEastAsia" w:cs="Arial"/>
      <w:b/>
      <w:bCs/>
      <w:color w:val="0070C0"/>
      <w:sz w:val="22"/>
      <w:szCs w:val="22"/>
      <w:lang w:val="en-AU"/>
    </w:rPr>
  </w:style>
  <w:style w:type="character" w:customStyle="1" w:styleId="FGCEMPHASIS">
    <w:name w:val="FGC_EMPHASIS"/>
    <w:basedOn w:val="DefaultParagraphFont"/>
    <w:uiPriority w:val="1"/>
    <w:qFormat/>
    <w:rsid w:val="004A22FF"/>
    <w:rPr>
      <w:rFonts w:ascii="Arial" w:hAnsi="Arial"/>
      <w:b/>
      <w:bCs/>
      <w:color w:val="auto"/>
      <w:sz w:val="22"/>
    </w:rPr>
  </w:style>
  <w:style w:type="character" w:customStyle="1" w:styleId="FGCCOMMENTEMPHASIS">
    <w:name w:val="FGC_COMMENT_EMPHASIS"/>
    <w:basedOn w:val="FGCEMPHASIS"/>
    <w:uiPriority w:val="1"/>
    <w:qFormat/>
    <w:rsid w:val="004A22FF"/>
    <w:rPr>
      <w:rFonts w:ascii="Arial" w:hAnsi="Arial"/>
      <w:b w:val="0"/>
      <w:bCs/>
      <w:i/>
      <w:iCs/>
      <w:color w:val="0070C0"/>
      <w:sz w:val="22"/>
    </w:rPr>
  </w:style>
  <w:style w:type="paragraph" w:customStyle="1" w:styleId="FGCCommentinput">
    <w:name w:val="FGC_Comment_input"/>
    <w:basedOn w:val="Normal"/>
    <w:rsid w:val="004A22FF"/>
    <w:pPr>
      <w:spacing w:before="120" w:after="120"/>
    </w:pPr>
    <w:rPr>
      <w:rFonts w:eastAsiaTheme="minorEastAsia" w:cs="Arial"/>
      <w:b/>
      <w:bCs/>
      <w:color w:val="FF0000"/>
      <w:sz w:val="22"/>
      <w:szCs w:val="22"/>
      <w:lang w:val="en-AU"/>
    </w:rPr>
  </w:style>
  <w:style w:type="paragraph" w:customStyle="1" w:styleId="FGCCommentitalic">
    <w:name w:val="FGC_Comment_italic"/>
    <w:basedOn w:val="Normal"/>
    <w:rsid w:val="004A22FF"/>
    <w:pPr>
      <w:spacing w:before="120" w:after="120"/>
      <w:ind w:left="652"/>
    </w:pPr>
    <w:rPr>
      <w:rFonts w:eastAsiaTheme="minorEastAsia" w:cs="Arial"/>
      <w:i/>
      <w:iCs/>
      <w:color w:val="0070C0"/>
      <w:sz w:val="22"/>
      <w:szCs w:val="22"/>
      <w:lang w:val="en-AU"/>
    </w:rPr>
  </w:style>
  <w:style w:type="paragraph" w:customStyle="1" w:styleId="FGCCommentItalicbul">
    <w:name w:val="FGC_Comment_Italic_bul"/>
    <w:basedOn w:val="FGCCommentitalic"/>
    <w:qFormat/>
    <w:rsid w:val="004A22FF"/>
    <w:pPr>
      <w:numPr>
        <w:numId w:val="9"/>
      </w:numPr>
    </w:pPr>
  </w:style>
  <w:style w:type="paragraph" w:customStyle="1" w:styleId="FGCCommentitalictable">
    <w:name w:val="FGC_Comment_italic_table"/>
    <w:basedOn w:val="FGCCommentitalic"/>
    <w:rsid w:val="004A22FF"/>
    <w:pPr>
      <w:ind w:left="0"/>
    </w:pPr>
  </w:style>
  <w:style w:type="paragraph" w:customStyle="1" w:styleId="FGCHEADING1">
    <w:name w:val="FGC_HEADING_1"/>
    <w:basedOn w:val="Heading1"/>
    <w:qFormat/>
    <w:rsid w:val="004A22FF"/>
    <w:pPr>
      <w:pageBreakBefore/>
      <w:numPr>
        <w:numId w:val="50"/>
      </w:numPr>
      <w:spacing w:before="240" w:after="120"/>
    </w:pPr>
    <w:rPr>
      <w:rFonts w:eastAsia="Georgia"/>
      <w:color w:val="6B2976"/>
      <w:sz w:val="36"/>
      <w:szCs w:val="48"/>
      <w:lang w:eastAsia="en-US"/>
    </w:rPr>
  </w:style>
  <w:style w:type="paragraph" w:customStyle="1" w:styleId="FGCHEADING2">
    <w:name w:val="FGC_HEADING_2"/>
    <w:basedOn w:val="Heading2"/>
    <w:qFormat/>
    <w:rsid w:val="004A22FF"/>
    <w:pPr>
      <w:keepNext/>
      <w:numPr>
        <w:ilvl w:val="1"/>
        <w:numId w:val="50"/>
      </w:numPr>
      <w:spacing w:before="240"/>
    </w:pPr>
    <w:rPr>
      <w:rFonts w:ascii="Arial Bold" w:eastAsia="Georgia" w:hAnsi="Arial Bold" w:cs="Arial"/>
      <w:bCs w:val="0"/>
      <w:color w:val="6A2875"/>
      <w:sz w:val="32"/>
      <w:szCs w:val="28"/>
      <w:shd w:val="clear" w:color="auto" w:fill="auto"/>
      <w:lang w:val="en-AU" w:eastAsia="en-US"/>
    </w:rPr>
  </w:style>
  <w:style w:type="paragraph" w:customStyle="1" w:styleId="FGCHEADING3">
    <w:name w:val="FGC_HEADING_3"/>
    <w:basedOn w:val="Heading3"/>
    <w:link w:val="FGCHEADING3Char"/>
    <w:qFormat/>
    <w:rsid w:val="00843D4E"/>
    <w:pPr>
      <w:keepNext/>
      <w:numPr>
        <w:ilvl w:val="2"/>
        <w:numId w:val="50"/>
      </w:numPr>
      <w:spacing w:before="240"/>
    </w:pPr>
    <w:rPr>
      <w:rFonts w:ascii="Arial Bold" w:eastAsia="Georgia" w:hAnsi="Arial Bold" w:cs="Arial"/>
      <w:color w:val="6A2875"/>
      <w:szCs w:val="28"/>
      <w:lang w:val="en-AU" w:eastAsia="en-US"/>
    </w:rPr>
  </w:style>
  <w:style w:type="paragraph" w:customStyle="1" w:styleId="FGCHEADING4">
    <w:name w:val="FGC_HEADING_4"/>
    <w:basedOn w:val="Heading4"/>
    <w:link w:val="FGCHEADING4Char"/>
    <w:qFormat/>
    <w:rsid w:val="004A22FF"/>
    <w:pPr>
      <w:keepNext/>
      <w:tabs>
        <w:tab w:val="right" w:pos="10188"/>
      </w:tabs>
      <w:spacing w:before="240"/>
      <w:ind w:left="652"/>
    </w:pPr>
    <w:rPr>
      <w:rFonts w:eastAsia="Georgia" w:cs="Arial"/>
      <w:color w:val="6A2875"/>
      <w:sz w:val="26"/>
      <w:szCs w:val="28"/>
      <w:lang w:eastAsia="en-US"/>
    </w:rPr>
  </w:style>
  <w:style w:type="character" w:customStyle="1" w:styleId="FGCHEADING4Char">
    <w:name w:val="FGC_HEADING_4 Char"/>
    <w:basedOn w:val="Heading4Char"/>
    <w:link w:val="FGCHEADING4"/>
    <w:rsid w:val="004A22FF"/>
    <w:rPr>
      <w:rFonts w:ascii="Arial" w:eastAsia="Georgia" w:hAnsi="Arial" w:cs="Arial"/>
      <w:b/>
      <w:color w:val="6A2875"/>
      <w:sz w:val="26"/>
      <w:szCs w:val="28"/>
      <w:lang w:val="en-US" w:eastAsia="en-US"/>
    </w:rPr>
  </w:style>
  <w:style w:type="paragraph" w:customStyle="1" w:styleId="FGCHEADING43">
    <w:name w:val="FGC_HEADING_4_3"/>
    <w:basedOn w:val="FGCHEADING4"/>
    <w:qFormat/>
    <w:rsid w:val="004A22FF"/>
    <w:pPr>
      <w:ind w:left="648"/>
      <w:outlineLvl w:val="2"/>
    </w:pPr>
    <w:rPr>
      <w:lang w:val="en-AU"/>
    </w:rPr>
  </w:style>
  <w:style w:type="paragraph" w:customStyle="1" w:styleId="FGCHEADING5">
    <w:name w:val="FGC_HEADING_5"/>
    <w:basedOn w:val="FGCNORMAL"/>
    <w:qFormat/>
    <w:rsid w:val="004A22FF"/>
    <w:pPr>
      <w:numPr>
        <w:ilvl w:val="3"/>
        <w:numId w:val="50"/>
      </w:numPr>
      <w:outlineLvl w:val="4"/>
    </w:pPr>
    <w:rPr>
      <w:b/>
      <w:bCs/>
      <w:color w:val="6B2976"/>
      <w:sz w:val="24"/>
      <w:szCs w:val="24"/>
    </w:rPr>
  </w:style>
  <w:style w:type="paragraph" w:customStyle="1" w:styleId="FGCHEADING6">
    <w:name w:val="FGC_HEADING_6"/>
    <w:basedOn w:val="Heading6"/>
    <w:rsid w:val="004A22FF"/>
    <w:pPr>
      <w:keepNext/>
      <w:tabs>
        <w:tab w:val="right" w:pos="10188"/>
      </w:tabs>
      <w:spacing w:before="240"/>
      <w:ind w:left="652"/>
    </w:pPr>
    <w:rPr>
      <w:rFonts w:eastAsia="Georgia" w:cs="Arial"/>
      <w:b/>
      <w:i w:val="0"/>
      <w:iCs w:val="0"/>
      <w:sz w:val="22"/>
      <w:szCs w:val="28"/>
      <w:shd w:val="clear" w:color="auto" w:fill="auto"/>
      <w:lang w:val="en-AU" w:eastAsia="en-US"/>
    </w:rPr>
  </w:style>
  <w:style w:type="paragraph" w:customStyle="1" w:styleId="FGCHEADING63">
    <w:name w:val="FGC_HEADING_6_3"/>
    <w:basedOn w:val="FGCHEADING6"/>
    <w:rsid w:val="004A22FF"/>
    <w:pPr>
      <w:ind w:left="648"/>
      <w:outlineLvl w:val="2"/>
    </w:pPr>
  </w:style>
  <w:style w:type="paragraph" w:customStyle="1" w:styleId="FGCHEADING65">
    <w:name w:val="FGC_HEADING_6_5"/>
    <w:basedOn w:val="FGCHEADING6"/>
    <w:rsid w:val="004A22FF"/>
    <w:pPr>
      <w:ind w:left="648"/>
      <w:outlineLvl w:val="4"/>
    </w:pPr>
  </w:style>
  <w:style w:type="paragraph" w:customStyle="1" w:styleId="FGCHEADING7">
    <w:name w:val="FGC_HEADING_7"/>
    <w:basedOn w:val="FGCHEADING6"/>
    <w:rsid w:val="004A22FF"/>
    <w:pPr>
      <w:outlineLvl w:val="6"/>
    </w:pPr>
    <w:rPr>
      <w:b w:val="0"/>
      <w:i/>
    </w:rPr>
  </w:style>
  <w:style w:type="paragraph" w:customStyle="1" w:styleId="FGCNUMBERED">
    <w:name w:val="FGC_NUMBERED"/>
    <w:basedOn w:val="Normal"/>
    <w:qFormat/>
    <w:rsid w:val="004A22FF"/>
    <w:pPr>
      <w:numPr>
        <w:ilvl w:val="5"/>
        <w:numId w:val="50"/>
      </w:numPr>
      <w:spacing w:before="120" w:after="120"/>
    </w:pPr>
    <w:rPr>
      <w:rFonts w:eastAsiaTheme="minorEastAsia" w:cs="Arial"/>
      <w:sz w:val="22"/>
      <w:szCs w:val="22"/>
      <w:lang w:val="en-AU"/>
    </w:rPr>
  </w:style>
  <w:style w:type="paragraph" w:customStyle="1" w:styleId="Tableformat">
    <w:name w:val="Table format"/>
    <w:basedOn w:val="Normal"/>
    <w:link w:val="TableformatChar"/>
    <w:qFormat/>
    <w:rsid w:val="004A22FF"/>
    <w:pPr>
      <w:spacing w:before="120" w:after="120"/>
    </w:pPr>
    <w:rPr>
      <w:rFonts w:eastAsiaTheme="minorEastAsia" w:cs="Arial"/>
      <w:sz w:val="20"/>
      <w:szCs w:val="20"/>
      <w:lang w:val="en-AU"/>
    </w:rPr>
  </w:style>
  <w:style w:type="character" w:customStyle="1" w:styleId="TableformatChar">
    <w:name w:val="Table format Char"/>
    <w:basedOn w:val="DefaultParagraphFont"/>
    <w:link w:val="Tableformat"/>
    <w:rsid w:val="004A22FF"/>
    <w:rPr>
      <w:rFonts w:ascii="Arial" w:eastAsiaTheme="minorEastAsia" w:hAnsi="Arial" w:cs="Arial"/>
      <w:lang w:eastAsia="ja-JP"/>
    </w:rPr>
  </w:style>
  <w:style w:type="paragraph" w:customStyle="1" w:styleId="FGCTabhead">
    <w:name w:val="FGC_Tab_head"/>
    <w:basedOn w:val="Tableformat"/>
    <w:qFormat/>
    <w:rsid w:val="004A22FF"/>
    <w:rPr>
      <w:rFonts w:ascii="Arial Bold" w:hAnsi="Arial Bold"/>
      <w:color w:val="F9F9F9" w:themeColor="background1"/>
    </w:rPr>
  </w:style>
  <w:style w:type="paragraph" w:customStyle="1" w:styleId="FGCTABLEBOLD">
    <w:name w:val="FGC_TABLE_BOLD"/>
    <w:basedOn w:val="FGCNORMAL"/>
    <w:rsid w:val="004A22FF"/>
    <w:pPr>
      <w:ind w:left="0"/>
    </w:pPr>
    <w:rPr>
      <w:rFonts w:ascii="Arial Bold" w:hAnsi="Arial Bold"/>
      <w:b/>
      <w:bCs/>
    </w:rPr>
  </w:style>
  <w:style w:type="paragraph" w:customStyle="1" w:styleId="FGCTABLENORMAL">
    <w:name w:val="FGC_TABLE_NORMAL"/>
    <w:basedOn w:val="FGCNORMAL"/>
    <w:rsid w:val="004A22FF"/>
    <w:pPr>
      <w:spacing w:before="40" w:after="40"/>
      <w:ind w:left="0"/>
    </w:pPr>
  </w:style>
  <w:style w:type="paragraph" w:customStyle="1" w:styleId="Tables">
    <w:name w:val="Tables"/>
    <w:basedOn w:val="Caption"/>
    <w:link w:val="TablesChar"/>
    <w:qFormat/>
    <w:rsid w:val="004A22FF"/>
    <w:pPr>
      <w:keepNext/>
      <w:spacing w:after="120"/>
    </w:pPr>
    <w:rPr>
      <w:rFonts w:cstheme="minorBidi"/>
      <w:b w:val="0"/>
      <w:bCs w:val="0"/>
      <w:i/>
      <w:iCs/>
      <w:color w:val="auto"/>
      <w:sz w:val="22"/>
      <w:lang w:val="en-AU"/>
    </w:rPr>
  </w:style>
  <w:style w:type="character" w:customStyle="1" w:styleId="TablesChar">
    <w:name w:val="Tables Char"/>
    <w:basedOn w:val="DefaultParagraphFont"/>
    <w:link w:val="Tables"/>
    <w:rsid w:val="004A22FF"/>
    <w:rPr>
      <w:rFonts w:ascii="Arial" w:eastAsiaTheme="minorHAnsi" w:hAnsi="Arial" w:cstheme="minorBidi"/>
      <w:b/>
      <w:bCs/>
      <w:sz w:val="22"/>
      <w:szCs w:val="18"/>
      <w:lang w:eastAsia="en-US"/>
    </w:rPr>
  </w:style>
  <w:style w:type="paragraph" w:customStyle="1" w:styleId="Figures">
    <w:name w:val="Figures"/>
    <w:basedOn w:val="Tables"/>
    <w:link w:val="FiguresChar"/>
    <w:qFormat/>
    <w:rsid w:val="004A22FF"/>
  </w:style>
  <w:style w:type="character" w:customStyle="1" w:styleId="FiguresChar">
    <w:name w:val="Figures Char"/>
    <w:basedOn w:val="TablesChar"/>
    <w:link w:val="Figures"/>
    <w:rsid w:val="004A22FF"/>
    <w:rPr>
      <w:rFonts w:ascii="Arial" w:eastAsiaTheme="minorHAnsi" w:hAnsi="Arial" w:cstheme="minorBidi"/>
      <w:b/>
      <w:bCs/>
      <w:sz w:val="22"/>
      <w:szCs w:val="18"/>
      <w:lang w:eastAsia="en-US"/>
    </w:rPr>
  </w:style>
  <w:style w:type="character" w:styleId="FollowedHyperlink">
    <w:name w:val="FollowedHyperlink"/>
    <w:basedOn w:val="DefaultParagraphFont"/>
    <w:uiPriority w:val="99"/>
    <w:semiHidden/>
    <w:unhideWhenUsed/>
    <w:rsid w:val="004A22FF"/>
    <w:rPr>
      <w:color w:val="7F8285" w:themeColor="followedHyperlink"/>
      <w:u w:val="single"/>
    </w:rPr>
  </w:style>
  <w:style w:type="character" w:customStyle="1" w:styleId="FollowedHyperlink1">
    <w:name w:val="FollowedHyperlink1"/>
    <w:basedOn w:val="DefaultParagraphFont"/>
    <w:uiPriority w:val="99"/>
    <w:semiHidden/>
    <w:unhideWhenUsed/>
    <w:rsid w:val="004A22FF"/>
    <w:rPr>
      <w:color w:val="800080"/>
      <w:u w:val="single"/>
    </w:rPr>
  </w:style>
  <w:style w:type="paragraph" w:customStyle="1" w:styleId="Footnotes">
    <w:name w:val="Footnotes"/>
    <w:basedOn w:val="FootnoteText"/>
    <w:link w:val="FootnotesChar"/>
    <w:rsid w:val="00C151CC"/>
    <w:pPr>
      <w:spacing w:after="0"/>
    </w:pPr>
    <w:rPr>
      <w:rFonts w:eastAsiaTheme="minorEastAsia" w:cs="Arial"/>
      <w:vertAlign w:val="superscript"/>
    </w:rPr>
  </w:style>
  <w:style w:type="character" w:customStyle="1" w:styleId="FootnotesChar">
    <w:name w:val="Footnotes Char"/>
    <w:basedOn w:val="FootnoteTextChar"/>
    <w:link w:val="Footnotes"/>
    <w:rsid w:val="00C151CC"/>
    <w:rPr>
      <w:rFonts w:ascii="Arial" w:eastAsiaTheme="minorEastAsia" w:hAnsi="Arial" w:cs="Arial"/>
      <w:vertAlign w:val="superscript"/>
      <w:lang w:val="en-US" w:eastAsia="ja-JP"/>
    </w:rPr>
  </w:style>
  <w:style w:type="table" w:customStyle="1" w:styleId="FSRtable">
    <w:name w:val="FSR table"/>
    <w:basedOn w:val="TableNormal"/>
    <w:uiPriority w:val="99"/>
    <w:rsid w:val="004A22FF"/>
    <w:pPr>
      <w:keepLines/>
      <w:jc w:val="right"/>
    </w:pPr>
    <w:rPr>
      <w:rFonts w:ascii="Arial" w:eastAsiaTheme="minorEastAsia" w:hAnsi="Arial" w:cstheme="minorBidi"/>
      <w:sz w:val="22"/>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9F9F9"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table" w:customStyle="1" w:styleId="FSRtable1">
    <w:name w:val="FSR table1"/>
    <w:basedOn w:val="TableNormal"/>
    <w:uiPriority w:val="99"/>
    <w:rsid w:val="004A22FF"/>
    <w:pPr>
      <w:keepLines/>
      <w:jc w:val="right"/>
    </w:pPr>
    <w:rPr>
      <w:rFonts w:ascii="Arial" w:eastAsia="DengXian" w:hAnsi="Arial" w:cs="Cordia New"/>
      <w:sz w:val="22"/>
      <w:szCs w:val="28"/>
      <w:lang w:eastAsia="en-US"/>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9F9F9" w:themeColor="background1"/>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paragraph" w:customStyle="1" w:styleId="FSRHeading2">
    <w:name w:val="FSR_Heading2"/>
    <w:basedOn w:val="Heading3"/>
    <w:link w:val="FSRHeading2Char"/>
    <w:rsid w:val="004A22FF"/>
    <w:pPr>
      <w:keepNext/>
      <w:spacing w:before="480"/>
      <w:ind w:left="720" w:hanging="360"/>
    </w:pPr>
    <w:rPr>
      <w:rFonts w:eastAsia="Georgia" w:cs="Arial"/>
      <w:color w:val="6A2875"/>
      <w:sz w:val="36"/>
      <w:szCs w:val="44"/>
      <w:lang w:val="en-AU"/>
    </w:rPr>
  </w:style>
  <w:style w:type="character" w:customStyle="1" w:styleId="FSRHeading2Char">
    <w:name w:val="FSR_Heading2 Char"/>
    <w:basedOn w:val="DefaultParagraphFont"/>
    <w:link w:val="FSRHeading2"/>
    <w:rsid w:val="004A22FF"/>
    <w:rPr>
      <w:rFonts w:ascii="Arial" w:eastAsia="Georgia" w:hAnsi="Arial" w:cs="Arial"/>
      <w:b/>
      <w:color w:val="6A2875"/>
      <w:sz w:val="36"/>
      <w:szCs w:val="44"/>
      <w:lang w:eastAsia="ja-JP"/>
    </w:rPr>
  </w:style>
  <w:style w:type="paragraph" w:customStyle="1" w:styleId="FSRHeading3">
    <w:name w:val="FSR_Heading3"/>
    <w:basedOn w:val="Heading4"/>
    <w:link w:val="FSRHeading3Char"/>
    <w:rsid w:val="004A22FF"/>
    <w:pPr>
      <w:keepNext/>
      <w:spacing w:before="480" w:after="240" w:line="269" w:lineRule="auto"/>
      <w:ind w:left="720" w:hanging="360"/>
    </w:pPr>
    <w:rPr>
      <w:rFonts w:eastAsia="Georgia" w:cs="Arial"/>
      <w:color w:val="6A2875"/>
      <w:sz w:val="30"/>
      <w:szCs w:val="30"/>
    </w:rPr>
  </w:style>
  <w:style w:type="character" w:customStyle="1" w:styleId="FSRHeading3Char">
    <w:name w:val="FSR_Heading3 Char"/>
    <w:basedOn w:val="Heading4Char"/>
    <w:link w:val="FSRHeading3"/>
    <w:rsid w:val="004A22FF"/>
    <w:rPr>
      <w:rFonts w:ascii="Arial" w:eastAsia="Georgia" w:hAnsi="Arial" w:cs="Arial"/>
      <w:b/>
      <w:color w:val="6A2875"/>
      <w:sz w:val="30"/>
      <w:szCs w:val="30"/>
      <w:lang w:val="en-US" w:eastAsia="ja-JP"/>
    </w:rPr>
  </w:style>
  <w:style w:type="paragraph" w:customStyle="1" w:styleId="FSRHeading4">
    <w:name w:val="FSR_Heading4"/>
    <w:basedOn w:val="Normal"/>
    <w:link w:val="FSRHeading4Char"/>
    <w:rsid w:val="004A22FF"/>
    <w:pPr>
      <w:keepNext/>
      <w:spacing w:before="240"/>
    </w:pPr>
    <w:rPr>
      <w:rFonts w:eastAsiaTheme="minorEastAsia" w:cstheme="minorBidi"/>
      <w:b/>
      <w:color w:val="6B2976"/>
      <w:sz w:val="25"/>
      <w:lang w:val="en-AU"/>
    </w:rPr>
  </w:style>
  <w:style w:type="character" w:customStyle="1" w:styleId="FSRHeading4Char">
    <w:name w:val="FSR_Heading4 Char"/>
    <w:basedOn w:val="DefaultParagraphFont"/>
    <w:link w:val="FSRHeading4"/>
    <w:rsid w:val="004A22FF"/>
    <w:rPr>
      <w:rFonts w:ascii="Arial" w:eastAsiaTheme="minorEastAsia" w:hAnsi="Arial" w:cstheme="minorBidi"/>
      <w:b/>
      <w:color w:val="6B2976"/>
      <w:sz w:val="25"/>
      <w:szCs w:val="24"/>
      <w:lang w:eastAsia="ja-JP"/>
    </w:rPr>
  </w:style>
  <w:style w:type="paragraph" w:customStyle="1" w:styleId="FSRHeading5">
    <w:name w:val="FSR_Heading5"/>
    <w:basedOn w:val="Normal"/>
    <w:link w:val="FSRHeading5Char"/>
    <w:rsid w:val="004A22FF"/>
    <w:pPr>
      <w:spacing w:before="200"/>
    </w:pPr>
    <w:rPr>
      <w:rFonts w:eastAsiaTheme="minorEastAsia" w:cstheme="minorBidi"/>
      <w:b/>
      <w:i/>
      <w:color w:val="F26322"/>
      <w:lang w:val="en-AU"/>
    </w:rPr>
  </w:style>
  <w:style w:type="character" w:customStyle="1" w:styleId="FSRHeading5Char">
    <w:name w:val="FSR_Heading5 Char"/>
    <w:basedOn w:val="DefaultParagraphFont"/>
    <w:link w:val="FSRHeading5"/>
    <w:rsid w:val="004A22FF"/>
    <w:rPr>
      <w:rFonts w:ascii="Arial" w:eastAsiaTheme="minorEastAsia" w:hAnsi="Arial" w:cstheme="minorBidi"/>
      <w:b/>
      <w:i/>
      <w:color w:val="F26322"/>
      <w:sz w:val="24"/>
      <w:szCs w:val="24"/>
      <w:lang w:eastAsia="ja-JP"/>
    </w:rPr>
  </w:style>
  <w:style w:type="paragraph" w:customStyle="1" w:styleId="FSRlist">
    <w:name w:val="FSR_list"/>
    <w:basedOn w:val="ListParagraph"/>
    <w:link w:val="FSRlistChar"/>
    <w:qFormat/>
    <w:rsid w:val="004A22FF"/>
    <w:pPr>
      <w:numPr>
        <w:numId w:val="10"/>
      </w:numPr>
      <w:spacing w:before="120" w:after="120"/>
      <w:contextualSpacing w:val="0"/>
    </w:pPr>
    <w:rPr>
      <w:rFonts w:eastAsiaTheme="minorEastAsia" w:cstheme="minorBidi"/>
      <w:sz w:val="22"/>
      <w:lang w:val="en-AU"/>
    </w:rPr>
  </w:style>
  <w:style w:type="character" w:customStyle="1" w:styleId="FSRlistChar">
    <w:name w:val="FSR_list Char"/>
    <w:basedOn w:val="DefaultParagraphFont"/>
    <w:link w:val="FSRlist"/>
    <w:rsid w:val="004A22FF"/>
    <w:rPr>
      <w:rFonts w:ascii="Arial" w:eastAsiaTheme="minorEastAsia" w:hAnsi="Arial" w:cstheme="minorBidi"/>
      <w:sz w:val="22"/>
      <w:szCs w:val="24"/>
      <w:lang w:eastAsia="ja-JP"/>
    </w:rPr>
  </w:style>
  <w:style w:type="paragraph" w:customStyle="1" w:styleId="FSRnormal">
    <w:name w:val="FSR_normal"/>
    <w:basedOn w:val="Normal"/>
    <w:link w:val="FSRnormalChar"/>
    <w:qFormat/>
    <w:rsid w:val="004A22FF"/>
    <w:pPr>
      <w:spacing w:before="120" w:after="120"/>
    </w:pPr>
    <w:rPr>
      <w:rFonts w:eastAsiaTheme="minorEastAsia" w:cstheme="minorBidi"/>
      <w:sz w:val="22"/>
    </w:rPr>
  </w:style>
  <w:style w:type="character" w:customStyle="1" w:styleId="FSRnormalChar">
    <w:name w:val="FSR_normal Char"/>
    <w:basedOn w:val="DefaultParagraphFont"/>
    <w:link w:val="FSRnormal"/>
    <w:rsid w:val="004A22FF"/>
    <w:rPr>
      <w:rFonts w:ascii="Arial" w:eastAsiaTheme="minorEastAsia" w:hAnsi="Arial" w:cstheme="minorBidi"/>
      <w:sz w:val="22"/>
      <w:szCs w:val="24"/>
      <w:lang w:val="en-US" w:eastAsia="ja-JP"/>
    </w:rPr>
  </w:style>
  <w:style w:type="paragraph" w:customStyle="1" w:styleId="FSRNumberedList">
    <w:name w:val="FSR_NumberedList"/>
    <w:basedOn w:val="FSRlist"/>
    <w:link w:val="FSRNumberedListChar"/>
    <w:rsid w:val="004A22FF"/>
    <w:pPr>
      <w:numPr>
        <w:numId w:val="11"/>
      </w:numPr>
    </w:pPr>
    <w:rPr>
      <w:rFonts w:cs="Arial"/>
    </w:rPr>
  </w:style>
  <w:style w:type="character" w:customStyle="1" w:styleId="FSRNumberedListChar">
    <w:name w:val="FSR_NumberedList Char"/>
    <w:basedOn w:val="FSRlistChar"/>
    <w:link w:val="FSRNumberedList"/>
    <w:rsid w:val="004A22FF"/>
    <w:rPr>
      <w:rFonts w:ascii="Arial" w:eastAsiaTheme="minorEastAsia" w:hAnsi="Arial" w:cs="Arial"/>
      <w:sz w:val="22"/>
      <w:szCs w:val="24"/>
      <w:lang w:eastAsia="ja-JP"/>
    </w:rPr>
  </w:style>
  <w:style w:type="paragraph" w:customStyle="1" w:styleId="FSRsublist">
    <w:name w:val="FSR_sublist"/>
    <w:basedOn w:val="ListParagraph"/>
    <w:link w:val="FSRsublistChar"/>
    <w:rsid w:val="004A22FF"/>
    <w:pPr>
      <w:numPr>
        <w:ilvl w:val="1"/>
        <w:numId w:val="12"/>
      </w:numPr>
    </w:pPr>
    <w:rPr>
      <w:rFonts w:eastAsiaTheme="minorEastAsia" w:cstheme="minorBidi"/>
      <w:sz w:val="22"/>
      <w:lang w:val="en-AU"/>
    </w:rPr>
  </w:style>
  <w:style w:type="character" w:customStyle="1" w:styleId="FSRsublistChar">
    <w:name w:val="FSR_sublist Char"/>
    <w:basedOn w:val="DefaultParagraphFont"/>
    <w:link w:val="FSRsublist"/>
    <w:rsid w:val="004A22FF"/>
    <w:rPr>
      <w:rFonts w:ascii="Arial" w:eastAsiaTheme="minorEastAsia" w:hAnsi="Arial" w:cstheme="minorBidi"/>
      <w:sz w:val="22"/>
      <w:szCs w:val="24"/>
      <w:lang w:eastAsia="ja-JP"/>
    </w:rPr>
  </w:style>
  <w:style w:type="paragraph" w:customStyle="1" w:styleId="FSRzlegislation">
    <w:name w:val="FSR_zlegislation"/>
    <w:basedOn w:val="FSRsublist"/>
    <w:link w:val="FSRzlegislationChar"/>
    <w:rsid w:val="004A22FF"/>
    <w:pPr>
      <w:numPr>
        <w:ilvl w:val="0"/>
        <w:numId w:val="13"/>
      </w:numPr>
    </w:pPr>
    <w:rPr>
      <w:i/>
    </w:rPr>
  </w:style>
  <w:style w:type="character" w:customStyle="1" w:styleId="FSRzlegislationChar">
    <w:name w:val="FSR_zlegislation Char"/>
    <w:basedOn w:val="DefaultParagraphFont"/>
    <w:link w:val="FSRzlegislation"/>
    <w:rsid w:val="004A22FF"/>
    <w:rPr>
      <w:rFonts w:ascii="Arial" w:eastAsiaTheme="minorEastAsia" w:hAnsi="Arial" w:cstheme="minorBidi"/>
      <w:i/>
      <w:sz w:val="22"/>
      <w:szCs w:val="24"/>
      <w:lang w:eastAsia="ja-JP"/>
    </w:rPr>
  </w:style>
  <w:style w:type="paragraph" w:styleId="Signature">
    <w:name w:val="Signature"/>
    <w:basedOn w:val="Normal"/>
    <w:link w:val="SignatureChar"/>
    <w:rsid w:val="004A22FF"/>
    <w:rPr>
      <w:rFonts w:ascii="Times New Roman" w:hAnsi="Times New Roman"/>
      <w:sz w:val="22"/>
      <w:szCs w:val="20"/>
      <w:lang w:val="en-AU" w:eastAsia="en-US"/>
    </w:rPr>
  </w:style>
  <w:style w:type="character" w:customStyle="1" w:styleId="SignatureChar">
    <w:name w:val="Signature Char"/>
    <w:basedOn w:val="DefaultParagraphFont"/>
    <w:link w:val="Signature"/>
    <w:rsid w:val="004A22FF"/>
    <w:rPr>
      <w:rFonts w:ascii="Times New Roman" w:eastAsia="Times New Roman" w:hAnsi="Times New Roman"/>
      <w:sz w:val="22"/>
      <w:lang w:eastAsia="en-US"/>
    </w:rPr>
  </w:style>
  <w:style w:type="paragraph" w:customStyle="1" w:styleId="Graphic">
    <w:name w:val="Graphic"/>
    <w:basedOn w:val="Signature"/>
    <w:rsid w:val="004A22FF"/>
    <w:pPr>
      <w:pBdr>
        <w:top w:val="single" w:sz="4" w:space="1" w:color="auto"/>
        <w:left w:val="single" w:sz="4" w:space="1" w:color="auto"/>
        <w:bottom w:val="single" w:sz="4" w:space="1" w:color="auto"/>
        <w:right w:val="single" w:sz="4" w:space="1" w:color="auto"/>
      </w:pBdr>
      <w:jc w:val="center"/>
    </w:pPr>
  </w:style>
  <w:style w:type="paragraph" w:customStyle="1" w:styleId="GreyShadeTableBreak">
    <w:name w:val="Grey Shade Table Break"/>
    <w:basedOn w:val="Normal"/>
    <w:qFormat/>
    <w:rsid w:val="004A22FF"/>
    <w:pPr>
      <w:shd w:val="clear" w:color="auto" w:fill="D9D9D9"/>
      <w:tabs>
        <w:tab w:val="left" w:pos="9214"/>
      </w:tabs>
      <w:spacing w:line="260" w:lineRule="atLeast"/>
      <w:ind w:right="607"/>
    </w:pPr>
    <w:rPr>
      <w:rFonts w:ascii="Times New Roman" w:hAnsi="Times New Roman"/>
      <w:sz w:val="22"/>
      <w:szCs w:val="20"/>
      <w:lang w:val="en-AU" w:eastAsia="en-US"/>
    </w:rPr>
  </w:style>
  <w:style w:type="paragraph" w:customStyle="1" w:styleId="GreyShadeTableBreaknon-Standard">
    <w:name w:val="Grey Shade Table Break non-Standard"/>
    <w:qFormat/>
    <w:rsid w:val="004A22FF"/>
    <w:pPr>
      <w:shd w:val="clear" w:color="auto" w:fill="D9D9D9"/>
      <w:ind w:right="57"/>
    </w:pPr>
    <w:rPr>
      <w:rFonts w:ascii="Times New Roman" w:eastAsia="Times New Roman" w:hAnsi="Times New Roman"/>
      <w:sz w:val="22"/>
      <w:lang w:eastAsia="en-US"/>
    </w:rPr>
  </w:style>
  <w:style w:type="table" w:styleId="GridTable2">
    <w:name w:val="Grid Table 2"/>
    <w:basedOn w:val="TableNormal"/>
    <w:uiPriority w:val="47"/>
    <w:rsid w:val="004A22FF"/>
    <w:rPr>
      <w:rFonts w:asciiTheme="minorHAnsi" w:eastAsiaTheme="minorHAnsi" w:hAnsiTheme="minorHAnsi" w:cstheme="minorBidi"/>
      <w:sz w:val="22"/>
      <w:szCs w:val="22"/>
      <w:lang w:eastAsia="en-US"/>
    </w:rPr>
    <w:tblPr>
      <w:tblStyleRowBandSize w:val="1"/>
      <w:tblStyleColBandSize w:val="1"/>
      <w:tblBorders>
        <w:top w:val="single" w:sz="2" w:space="0" w:color="BA61C9" w:themeColor="text1" w:themeTint="99"/>
        <w:bottom w:val="single" w:sz="2" w:space="0" w:color="BA61C9" w:themeColor="text1" w:themeTint="99"/>
        <w:insideH w:val="single" w:sz="2" w:space="0" w:color="BA61C9" w:themeColor="text1" w:themeTint="99"/>
        <w:insideV w:val="single" w:sz="2" w:space="0" w:color="BA61C9" w:themeColor="text1" w:themeTint="99"/>
      </w:tblBorders>
    </w:tblPr>
    <w:tblStylePr w:type="firstRow">
      <w:rPr>
        <w:b/>
        <w:bCs/>
      </w:rPr>
      <w:tblPr/>
      <w:tcPr>
        <w:tcBorders>
          <w:top w:val="nil"/>
          <w:bottom w:val="single" w:sz="12" w:space="0" w:color="BA61C9" w:themeColor="text1" w:themeTint="99"/>
          <w:insideH w:val="nil"/>
          <w:insideV w:val="nil"/>
        </w:tcBorders>
        <w:shd w:val="clear" w:color="auto" w:fill="F9F9F9" w:themeFill="background1"/>
      </w:tcPr>
    </w:tblStylePr>
    <w:tblStylePr w:type="lastRow">
      <w:rPr>
        <w:b/>
        <w:bCs/>
      </w:rPr>
      <w:tblPr/>
      <w:tcPr>
        <w:tcBorders>
          <w:top w:val="double" w:sz="2" w:space="0" w:color="BA61C9" w:themeColor="text1" w:themeTint="99"/>
          <w:bottom w:val="nil"/>
          <w:insideH w:val="nil"/>
          <w:insideV w:val="nil"/>
        </w:tcBorders>
        <w:shd w:val="clear" w:color="auto" w:fill="F9F9F9" w:themeFill="background1"/>
      </w:tc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styleId="GridTable2-Accent3">
    <w:name w:val="Grid Table 2 Accent 3"/>
    <w:basedOn w:val="TableNormal"/>
    <w:uiPriority w:val="47"/>
    <w:rsid w:val="004A22FF"/>
    <w:rPr>
      <w:rFonts w:asciiTheme="minorHAnsi" w:eastAsiaTheme="minorHAnsi" w:hAnsiTheme="minorHAnsi" w:cstheme="minorBidi"/>
      <w:sz w:val="22"/>
      <w:szCs w:val="22"/>
      <w:lang w:eastAsia="en-US"/>
    </w:rPr>
    <w:tblPr>
      <w:tblStyleRowBandSize w:val="1"/>
      <w:tblStyleColBandSize w:val="1"/>
      <w:tblBorders>
        <w:top w:val="single" w:sz="2" w:space="0" w:color="BA61C9" w:themeColor="accent3" w:themeTint="99"/>
        <w:bottom w:val="single" w:sz="2" w:space="0" w:color="BA61C9" w:themeColor="accent3" w:themeTint="99"/>
        <w:insideH w:val="single" w:sz="2" w:space="0" w:color="BA61C9" w:themeColor="accent3" w:themeTint="99"/>
        <w:insideV w:val="single" w:sz="2" w:space="0" w:color="BA61C9" w:themeColor="accent3" w:themeTint="99"/>
      </w:tblBorders>
    </w:tblPr>
    <w:tcPr>
      <w:vAlign w:val="center"/>
    </w:tcPr>
    <w:tblStylePr w:type="firstRow">
      <w:rPr>
        <w:b/>
        <w:bCs/>
      </w:rPr>
      <w:tblPr/>
      <w:tcPr>
        <w:tcBorders>
          <w:top w:val="nil"/>
          <w:bottom w:val="single" w:sz="12" w:space="0" w:color="BA61C9" w:themeColor="accent3" w:themeTint="99"/>
          <w:insideH w:val="nil"/>
          <w:insideV w:val="nil"/>
        </w:tcBorders>
        <w:shd w:val="clear" w:color="auto" w:fill="F9F9F9" w:themeFill="background1"/>
      </w:tcPr>
    </w:tblStylePr>
    <w:tblStylePr w:type="lastRow">
      <w:rPr>
        <w:b/>
        <w:bCs/>
      </w:rPr>
      <w:tblPr/>
      <w:tcPr>
        <w:tcBorders>
          <w:top w:val="double" w:sz="2" w:space="0" w:color="BA61C9" w:themeColor="accent3" w:themeTint="99"/>
          <w:bottom w:val="nil"/>
          <w:insideH w:val="nil"/>
          <w:insideV w:val="nil"/>
        </w:tcBorders>
        <w:shd w:val="clear" w:color="auto" w:fill="F9F9F9" w:themeFill="background1"/>
      </w:tcPr>
    </w:tblStylePr>
    <w:tblStylePr w:type="firstCol">
      <w:rPr>
        <w:b/>
        <w:bCs/>
      </w:rPr>
    </w:tblStylePr>
    <w:tblStylePr w:type="lastCol">
      <w:rPr>
        <w:b/>
        <w:bCs/>
      </w:rPr>
    </w:tblStylePr>
    <w:tblStylePr w:type="band1Vert">
      <w:tblPr/>
      <w:tcPr>
        <w:shd w:val="clear" w:color="auto" w:fill="E8CAED" w:themeFill="accent3" w:themeFillTint="33"/>
      </w:tcPr>
    </w:tblStylePr>
    <w:tblStylePr w:type="band1Horz">
      <w:tblPr/>
      <w:tcPr>
        <w:shd w:val="clear" w:color="auto" w:fill="E8CAED" w:themeFill="accent3" w:themeFillTint="33"/>
      </w:tcPr>
    </w:tblStylePr>
  </w:style>
  <w:style w:type="table" w:customStyle="1" w:styleId="GridTable2-Accent31">
    <w:name w:val="Grid Table 2 - Accent 31"/>
    <w:basedOn w:val="TableNormal"/>
    <w:next w:val="GridTable2-Accent3"/>
    <w:uiPriority w:val="47"/>
    <w:rsid w:val="004A22FF"/>
    <w:rPr>
      <w:rFonts w:asciiTheme="minorHAnsi" w:eastAsiaTheme="minorHAnsi" w:hAnsiTheme="minorHAnsi" w:cstheme="minorBidi"/>
      <w:sz w:val="22"/>
      <w:szCs w:val="22"/>
      <w:lang w:eastAsia="en-US"/>
    </w:rPr>
    <w:tblPr>
      <w:tblStyleRowBandSize w:val="1"/>
      <w:tblStyleColBandSize w:val="1"/>
      <w:tblBorders>
        <w:top w:val="single" w:sz="2" w:space="0" w:color="BA61C9" w:themeColor="accent3" w:themeTint="99"/>
        <w:bottom w:val="single" w:sz="2" w:space="0" w:color="BA61C9" w:themeColor="accent3" w:themeTint="99"/>
        <w:insideH w:val="single" w:sz="2" w:space="0" w:color="BA61C9" w:themeColor="accent3" w:themeTint="99"/>
        <w:insideV w:val="single" w:sz="2" w:space="0" w:color="BA61C9" w:themeColor="accent3" w:themeTint="99"/>
      </w:tblBorders>
    </w:tblPr>
    <w:tblStylePr w:type="firstRow">
      <w:rPr>
        <w:rFonts w:ascii="Arial" w:hAnsi="Arial"/>
        <w:b/>
        <w:bCs/>
        <w:color w:val="F9F9F9" w:themeColor="background1"/>
        <w:sz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BA61C9" w:themeColor="accent3" w:themeTint="99"/>
          <w:bottom w:val="nil"/>
          <w:insideH w:val="nil"/>
          <w:insideV w:val="nil"/>
        </w:tcBorders>
        <w:shd w:val="clear" w:color="auto" w:fill="F9F9F9" w:themeFill="background1"/>
      </w:tcPr>
    </w:tblStylePr>
    <w:tblStylePr w:type="firstCol">
      <w:rPr>
        <w:b/>
        <w:bCs/>
      </w:rPr>
    </w:tblStylePr>
    <w:tblStylePr w:type="lastCol">
      <w:rPr>
        <w:b/>
        <w:bCs/>
      </w:rPr>
    </w:tblStylePr>
    <w:tblStylePr w:type="band1Horz">
      <w:tblPr/>
      <w:tcPr>
        <w:shd w:val="clear" w:color="auto" w:fill="E8CAED" w:themeFill="accent3" w:themeFillTint="33"/>
      </w:tcPr>
    </w:tblStylePr>
  </w:style>
  <w:style w:type="table" w:customStyle="1" w:styleId="GridTable2-Accent311">
    <w:name w:val="Grid Table 2 - Accent 311"/>
    <w:basedOn w:val="TableNormal"/>
    <w:uiPriority w:val="47"/>
    <w:rsid w:val="004A22FF"/>
    <w:rPr>
      <w:rFonts w:asciiTheme="minorHAnsi" w:eastAsiaTheme="minorHAnsi" w:hAnsiTheme="minorHAnsi" w:cstheme="minorBidi"/>
      <w:sz w:val="22"/>
      <w:szCs w:val="22"/>
      <w:lang w:eastAsia="en-US" w:bidi="th-TH"/>
    </w:rPr>
    <w:tblPr>
      <w:tblStyleRowBandSize w:val="1"/>
      <w:tblStyleColBandSize w:val="1"/>
      <w:tblInd w:w="0" w:type="nil"/>
      <w:tblBorders>
        <w:top w:val="single" w:sz="2" w:space="0" w:color="BA61C9" w:themeColor="accent3" w:themeTint="99"/>
        <w:bottom w:val="single" w:sz="2" w:space="0" w:color="BA61C9" w:themeColor="accent3" w:themeTint="99"/>
        <w:insideH w:val="single" w:sz="2" w:space="0" w:color="BA61C9" w:themeColor="accent3" w:themeTint="99"/>
        <w:insideV w:val="single" w:sz="2" w:space="0" w:color="BA61C9" w:themeColor="accent3" w:themeTint="99"/>
      </w:tblBorders>
    </w:tblPr>
    <w:tblStylePr w:type="firstRow">
      <w:rPr>
        <w:rFonts w:ascii="Arial" w:hAnsi="Arial" w:cs="Arial" w:hint="default"/>
        <w:b/>
        <w:bCs/>
        <w:color w:val="F9F9F9" w:themeColor="background1"/>
        <w:sz w:val="22"/>
        <w:szCs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BA61C9" w:themeColor="accent3" w:themeTint="99"/>
          <w:bottom w:val="nil"/>
          <w:insideH w:val="nil"/>
          <w:insideV w:val="nil"/>
        </w:tcBorders>
        <w:shd w:val="clear" w:color="auto" w:fill="F9F9F9" w:themeFill="background1"/>
      </w:tcPr>
    </w:tblStylePr>
    <w:tblStylePr w:type="firstCol">
      <w:rPr>
        <w:b/>
        <w:bCs/>
      </w:rPr>
    </w:tblStylePr>
    <w:tblStylePr w:type="lastCol">
      <w:rPr>
        <w:b/>
        <w:bCs/>
      </w:rPr>
    </w:tblStylePr>
    <w:tblStylePr w:type="band1Horz">
      <w:tblPr/>
      <w:tcPr>
        <w:shd w:val="clear" w:color="auto" w:fill="E8CAED" w:themeFill="accent3" w:themeFillTint="33"/>
      </w:tcPr>
    </w:tblStylePr>
  </w:style>
  <w:style w:type="table" w:styleId="GridTable4-Accent3">
    <w:name w:val="Grid Table 4 Accent 3"/>
    <w:basedOn w:val="TableNormal"/>
    <w:uiPriority w:val="49"/>
    <w:rsid w:val="004A22FF"/>
    <w:rPr>
      <w:rFonts w:asciiTheme="minorHAnsi" w:eastAsiaTheme="minorHAnsi" w:hAnsiTheme="minorHAnsi" w:cstheme="minorBidi"/>
      <w:sz w:val="22"/>
      <w:szCs w:val="22"/>
      <w:lang w:eastAsia="en-US"/>
    </w:rPr>
    <w:tblPr>
      <w:tblStyleRowBandSize w:val="1"/>
      <w:tblStyleColBandSize w:val="1"/>
      <w:tblBorders>
        <w:top w:val="single" w:sz="4" w:space="0" w:color="BA61C9" w:themeColor="accent3" w:themeTint="99"/>
        <w:left w:val="single" w:sz="4" w:space="0" w:color="BA61C9" w:themeColor="accent3" w:themeTint="99"/>
        <w:bottom w:val="single" w:sz="4" w:space="0" w:color="BA61C9" w:themeColor="accent3" w:themeTint="99"/>
        <w:right w:val="single" w:sz="4" w:space="0" w:color="BA61C9" w:themeColor="accent3" w:themeTint="99"/>
        <w:insideH w:val="single" w:sz="4" w:space="0" w:color="BA61C9" w:themeColor="accent3" w:themeTint="99"/>
        <w:insideV w:val="single" w:sz="4" w:space="0" w:color="BA61C9" w:themeColor="accent3" w:themeTint="99"/>
      </w:tblBorders>
    </w:tblPr>
    <w:tblStylePr w:type="firstRow">
      <w:rPr>
        <w:b/>
        <w:bCs/>
        <w:color w:val="F9F9F9" w:themeColor="background1"/>
      </w:rPr>
      <w:tblPr/>
      <w:tcPr>
        <w:tcBorders>
          <w:top w:val="single" w:sz="4" w:space="0" w:color="6B2876" w:themeColor="accent3"/>
          <w:left w:val="single" w:sz="4" w:space="0" w:color="6B2876" w:themeColor="accent3"/>
          <w:bottom w:val="single" w:sz="4" w:space="0" w:color="6B2876" w:themeColor="accent3"/>
          <w:right w:val="single" w:sz="4" w:space="0" w:color="6B2876" w:themeColor="accent3"/>
          <w:insideH w:val="nil"/>
          <w:insideV w:val="nil"/>
        </w:tcBorders>
        <w:shd w:val="clear" w:color="auto" w:fill="6B2876" w:themeFill="accent3"/>
      </w:tcPr>
    </w:tblStylePr>
    <w:tblStylePr w:type="lastRow">
      <w:rPr>
        <w:b/>
        <w:bCs/>
      </w:rPr>
      <w:tblPr/>
      <w:tcPr>
        <w:tcBorders>
          <w:top w:val="double" w:sz="4" w:space="0" w:color="6B2876" w:themeColor="accent3"/>
        </w:tcBorders>
      </w:tcPr>
    </w:tblStylePr>
    <w:tblStylePr w:type="firstCol">
      <w:rPr>
        <w:b/>
        <w:bCs/>
      </w:rPr>
    </w:tblStylePr>
    <w:tblStylePr w:type="lastCol">
      <w:rPr>
        <w:b/>
        <w:bCs/>
      </w:rPr>
    </w:tblStylePr>
    <w:tblStylePr w:type="band1Vert">
      <w:tblPr/>
      <w:tcPr>
        <w:shd w:val="clear" w:color="auto" w:fill="E8CAED" w:themeFill="accent3" w:themeFillTint="33"/>
      </w:tcPr>
    </w:tblStylePr>
    <w:tblStylePr w:type="band1Horz">
      <w:tblPr/>
      <w:tcPr>
        <w:shd w:val="clear" w:color="auto" w:fill="E8CAED" w:themeFill="accent3" w:themeFillTint="33"/>
      </w:tcPr>
    </w:tblStylePr>
  </w:style>
  <w:style w:type="table" w:styleId="GridTable4-Accent6">
    <w:name w:val="Grid Table 4 Accent 6"/>
    <w:basedOn w:val="TableNormal"/>
    <w:uiPriority w:val="49"/>
    <w:rsid w:val="004A22FF"/>
    <w:rPr>
      <w:rFonts w:asciiTheme="minorHAnsi" w:eastAsiaTheme="minorHAnsi" w:hAnsiTheme="minorHAnsi" w:cstheme="minorBidi"/>
      <w:sz w:val="22"/>
      <w:szCs w:val="22"/>
      <w:lang w:eastAsia="en-US"/>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9F9F9"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GridTable5Dark-Accent1">
    <w:name w:val="Grid Table 5 Dark Accent 1"/>
    <w:basedOn w:val="TableNormal"/>
    <w:uiPriority w:val="50"/>
    <w:rsid w:val="004A22FF"/>
    <w:rPr>
      <w:rFonts w:asciiTheme="minorHAnsi" w:eastAsiaTheme="minorHAnsi" w:hAnsiTheme="minorHAnsi" w:cstheme="minorBidi"/>
      <w:sz w:val="22"/>
      <w:szCs w:val="22"/>
      <w:lang w:eastAsia="en-US"/>
    </w:rPr>
    <w:tblPr>
      <w:tblStyleRowBandSize w:val="1"/>
      <w:tblStyleColBandSize w:val="1"/>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
    <w:tcPr>
      <w:shd w:val="clear" w:color="auto" w:fill="E8CAED" w:themeFill="accent1" w:themeFillTint="33"/>
    </w:tcPr>
    <w:tblStylePr w:type="firstRow">
      <w:rPr>
        <w:b/>
        <w:bCs/>
        <w:color w:val="F9F9F9" w:themeColor="background1"/>
      </w:rPr>
      <w:tblPr/>
      <w:tcPr>
        <w:tcBorders>
          <w:top w:val="single" w:sz="4" w:space="0" w:color="F9F9F9" w:themeColor="background1"/>
          <w:left w:val="single" w:sz="4" w:space="0" w:color="F9F9F9" w:themeColor="background1"/>
          <w:right w:val="single" w:sz="4" w:space="0" w:color="F9F9F9" w:themeColor="background1"/>
          <w:insideH w:val="nil"/>
          <w:insideV w:val="nil"/>
        </w:tcBorders>
        <w:shd w:val="clear" w:color="auto" w:fill="6B2876" w:themeFill="accent1"/>
      </w:tcPr>
    </w:tblStylePr>
    <w:tblStylePr w:type="lastRow">
      <w:rPr>
        <w:b/>
        <w:bCs/>
        <w:color w:val="F9F9F9" w:themeColor="background1"/>
      </w:rPr>
      <w:tblPr/>
      <w:tcPr>
        <w:tcBorders>
          <w:left w:val="single" w:sz="4" w:space="0" w:color="F9F9F9" w:themeColor="background1"/>
          <w:bottom w:val="single" w:sz="4" w:space="0" w:color="F9F9F9" w:themeColor="background1"/>
          <w:right w:val="single" w:sz="4" w:space="0" w:color="F9F9F9" w:themeColor="background1"/>
          <w:insideH w:val="nil"/>
          <w:insideV w:val="nil"/>
        </w:tcBorders>
        <w:shd w:val="clear" w:color="auto" w:fill="6B2876" w:themeFill="accent1"/>
      </w:tcPr>
    </w:tblStylePr>
    <w:tblStylePr w:type="firstCol">
      <w:rPr>
        <w:b/>
        <w:bCs/>
        <w:color w:val="F9F9F9" w:themeColor="background1"/>
      </w:rPr>
      <w:tblPr/>
      <w:tcPr>
        <w:tcBorders>
          <w:top w:val="single" w:sz="4" w:space="0" w:color="F9F9F9" w:themeColor="background1"/>
          <w:left w:val="single" w:sz="4" w:space="0" w:color="F9F9F9" w:themeColor="background1"/>
          <w:bottom w:val="single" w:sz="4" w:space="0" w:color="F9F9F9" w:themeColor="background1"/>
          <w:insideV w:val="nil"/>
        </w:tcBorders>
        <w:shd w:val="clear" w:color="auto" w:fill="6B2876" w:themeFill="accent1"/>
      </w:tcPr>
    </w:tblStylePr>
    <w:tblStylePr w:type="lastCol">
      <w:rPr>
        <w:b/>
        <w:bCs/>
        <w:color w:val="F9F9F9" w:themeColor="background1"/>
      </w:rPr>
      <w:tblPr/>
      <w:tcPr>
        <w:tcBorders>
          <w:top w:val="single" w:sz="4" w:space="0" w:color="F9F9F9" w:themeColor="background1"/>
          <w:bottom w:val="single" w:sz="4" w:space="0" w:color="F9F9F9" w:themeColor="background1"/>
          <w:right w:val="single" w:sz="4" w:space="0" w:color="F9F9F9" w:themeColor="background1"/>
          <w:insideV w:val="nil"/>
        </w:tcBorders>
        <w:shd w:val="clear" w:color="auto" w:fill="6B2876" w:themeFill="accent1"/>
      </w:tcPr>
    </w:tblStylePr>
    <w:tblStylePr w:type="band1Vert">
      <w:tblPr/>
      <w:tcPr>
        <w:shd w:val="clear" w:color="auto" w:fill="D195DB" w:themeFill="accent1" w:themeFillTint="66"/>
      </w:tcPr>
    </w:tblStylePr>
    <w:tblStylePr w:type="band1Horz">
      <w:tblPr/>
      <w:tcPr>
        <w:shd w:val="clear" w:color="auto" w:fill="D195DB" w:themeFill="accent1" w:themeFillTint="66"/>
      </w:tcPr>
    </w:tblStylePr>
  </w:style>
  <w:style w:type="paragraph" w:customStyle="1" w:styleId="Heading1-Nonumbers">
    <w:name w:val="Heading 1 - No numbers"/>
    <w:basedOn w:val="Normal"/>
    <w:link w:val="Heading1-NonumbersChar"/>
    <w:rsid w:val="004A22FF"/>
    <w:pPr>
      <w:spacing w:before="480" w:after="320" w:line="276" w:lineRule="auto"/>
      <w:contextualSpacing/>
      <w:outlineLvl w:val="0"/>
    </w:pPr>
    <w:rPr>
      <w:rFonts w:eastAsiaTheme="majorEastAsia" w:cstheme="majorBidi"/>
      <w:b/>
      <w:bCs/>
      <w:color w:val="6B2876" w:themeColor="accent2"/>
      <w:sz w:val="36"/>
      <w:szCs w:val="36"/>
      <w:lang w:val="en-AU" w:eastAsia="en-US"/>
    </w:rPr>
  </w:style>
  <w:style w:type="character" w:customStyle="1" w:styleId="Heading1-NonumbersChar">
    <w:name w:val="Heading 1 - No numbers Char"/>
    <w:basedOn w:val="DefaultParagraphFont"/>
    <w:link w:val="Heading1-Nonumbers"/>
    <w:rsid w:val="004A22FF"/>
    <w:rPr>
      <w:rFonts w:ascii="Arial" w:eastAsiaTheme="majorEastAsia" w:hAnsi="Arial" w:cstheme="majorBidi"/>
      <w:b/>
      <w:bCs/>
      <w:color w:val="6B2876" w:themeColor="accent2"/>
      <w:sz w:val="36"/>
      <w:szCs w:val="36"/>
      <w:lang w:eastAsia="en-US"/>
    </w:rPr>
  </w:style>
  <w:style w:type="paragraph" w:customStyle="1" w:styleId="Heading3a">
    <w:name w:val="Heading 3a"/>
    <w:basedOn w:val="Normal"/>
    <w:qFormat/>
    <w:rsid w:val="004A22FF"/>
    <w:pPr>
      <w:spacing w:before="120" w:after="120"/>
      <w:ind w:left="425"/>
      <w:outlineLvl w:val="2"/>
    </w:pPr>
    <w:rPr>
      <w:rFonts w:eastAsia="Georgia" w:cs="Arial"/>
      <w:b/>
      <w:lang w:val="en-AU" w:eastAsia="en-US"/>
    </w:rPr>
  </w:style>
  <w:style w:type="paragraph" w:customStyle="1" w:styleId="Heading3b">
    <w:name w:val="Heading 3b"/>
    <w:basedOn w:val="Heading4"/>
    <w:rsid w:val="004A22FF"/>
    <w:pPr>
      <w:keepNext/>
      <w:tabs>
        <w:tab w:val="right" w:pos="10188"/>
      </w:tabs>
      <w:spacing w:before="240"/>
      <w:ind w:left="567"/>
      <w:outlineLvl w:val="2"/>
    </w:pPr>
    <w:rPr>
      <w:rFonts w:eastAsia="Georgia" w:cs="Arial"/>
      <w:b w:val="0"/>
      <w:color w:val="6A2875"/>
      <w:szCs w:val="28"/>
      <w:lang w:val="en-AU" w:eastAsia="en-US"/>
    </w:rPr>
  </w:style>
  <w:style w:type="paragraph" w:customStyle="1" w:styleId="Heading43">
    <w:name w:val="Heading 4_3"/>
    <w:basedOn w:val="Heading4"/>
    <w:qFormat/>
    <w:rsid w:val="004A22FF"/>
    <w:pPr>
      <w:keepNext/>
      <w:tabs>
        <w:tab w:val="right" w:pos="10188"/>
      </w:tabs>
      <w:spacing w:before="240"/>
      <w:ind w:left="648"/>
      <w:outlineLvl w:val="2"/>
    </w:pPr>
    <w:rPr>
      <w:rFonts w:eastAsia="Georgia" w:cs="Arial"/>
      <w:color w:val="6A2875"/>
      <w:szCs w:val="28"/>
      <w:lang w:val="en-AU" w:eastAsia="en-US"/>
    </w:rPr>
  </w:style>
  <w:style w:type="paragraph" w:customStyle="1" w:styleId="Heading5a">
    <w:name w:val="Heading 5a"/>
    <w:basedOn w:val="Normal"/>
    <w:rsid w:val="004A22FF"/>
    <w:pPr>
      <w:keepNext/>
      <w:spacing w:before="240" w:after="120"/>
      <w:ind w:left="425"/>
      <w:outlineLvl w:val="4"/>
    </w:pPr>
    <w:rPr>
      <w:rFonts w:eastAsia="Georgia" w:cs="Arial"/>
      <w:b/>
      <w:lang w:val="en-AU" w:eastAsia="en-US"/>
    </w:rPr>
  </w:style>
  <w:style w:type="paragraph" w:customStyle="1" w:styleId="ImageStyle">
    <w:name w:val="Image Style"/>
    <w:basedOn w:val="FGCNORMAL"/>
    <w:qFormat/>
    <w:rsid w:val="004A22FF"/>
    <w:pPr>
      <w:keepNext/>
      <w:ind w:left="283"/>
    </w:pPr>
    <w:rPr>
      <w:noProof/>
    </w:rPr>
  </w:style>
  <w:style w:type="paragraph" w:styleId="IntenseQuote">
    <w:name w:val="Intense Quote"/>
    <w:basedOn w:val="Normal"/>
    <w:next w:val="Normal"/>
    <w:link w:val="IntenseQuoteChar"/>
    <w:uiPriority w:val="30"/>
    <w:rsid w:val="001E64EA"/>
    <w:pPr>
      <w:pBdr>
        <w:top w:val="single" w:sz="24" w:space="4" w:color="6B2876" w:themeColor="accent2"/>
      </w:pBdr>
      <w:spacing w:before="240" w:after="240" w:line="240" w:lineRule="auto"/>
      <w:ind w:left="936" w:right="936"/>
      <w:jc w:val="center"/>
    </w:pPr>
    <w:rPr>
      <w:rFonts w:asciiTheme="majorHAnsi" w:eastAsiaTheme="majorEastAsia" w:hAnsiTheme="majorHAnsi" w:cstheme="majorBidi"/>
    </w:rPr>
  </w:style>
  <w:style w:type="character" w:customStyle="1" w:styleId="IntenseQuoteChar">
    <w:name w:val="Intense Quote Char"/>
    <w:basedOn w:val="DefaultParagraphFont"/>
    <w:link w:val="IntenseQuote"/>
    <w:uiPriority w:val="30"/>
    <w:rsid w:val="001E64EA"/>
    <w:rPr>
      <w:rFonts w:asciiTheme="majorHAnsi" w:eastAsiaTheme="majorEastAsia" w:hAnsiTheme="majorHAnsi" w:cstheme="majorBidi"/>
      <w:sz w:val="24"/>
      <w:szCs w:val="24"/>
    </w:rPr>
  </w:style>
  <w:style w:type="paragraph" w:customStyle="1" w:styleId="Level1Paragraph">
    <w:name w:val="Level 1 Paragraph"/>
    <w:basedOn w:val="Normal"/>
    <w:link w:val="Level1ParagraphChar"/>
    <w:rsid w:val="004A22FF"/>
    <w:pPr>
      <w:spacing w:before="120" w:after="160" w:line="264" w:lineRule="auto"/>
      <w:ind w:left="792" w:hanging="792"/>
    </w:pPr>
    <w:rPr>
      <w:rFonts w:eastAsia="Georgia" w:cs="Arial"/>
      <w:color w:val="6A2875"/>
      <w:sz w:val="21"/>
      <w:szCs w:val="28"/>
      <w:lang w:val="en-AU" w:eastAsia="en-US"/>
    </w:rPr>
  </w:style>
  <w:style w:type="character" w:customStyle="1" w:styleId="Level1ParagraphChar">
    <w:name w:val="Level 1 Paragraph Char"/>
    <w:basedOn w:val="DefaultParagraphFont"/>
    <w:link w:val="Level1Paragraph"/>
    <w:rsid w:val="004A22FF"/>
    <w:rPr>
      <w:rFonts w:ascii="Arial" w:eastAsia="Georgia" w:hAnsi="Arial" w:cs="Arial"/>
      <w:color w:val="6A2875"/>
      <w:sz w:val="21"/>
      <w:szCs w:val="28"/>
      <w:lang w:eastAsia="en-US"/>
    </w:rPr>
  </w:style>
  <w:style w:type="table" w:customStyle="1" w:styleId="LightShading1">
    <w:name w:val="Light Shading1"/>
    <w:basedOn w:val="TableNormal"/>
    <w:uiPriority w:val="60"/>
    <w:rsid w:val="004A22FF"/>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TableNormal"/>
    <w:next w:val="LightShading1"/>
    <w:uiPriority w:val="60"/>
    <w:rsid w:val="004A22FF"/>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uiPriority w:val="60"/>
    <w:rsid w:val="004A22FF"/>
    <w:rPr>
      <w:rFonts w:asciiTheme="minorHAnsi" w:eastAsiaTheme="minorHAnsi" w:hAnsiTheme="minorHAnsi" w:cstheme="minorBid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2">
    <w:name w:val="List 2"/>
    <w:basedOn w:val="Normal"/>
    <w:uiPriority w:val="99"/>
    <w:unhideWhenUsed/>
    <w:rsid w:val="004A22FF"/>
    <w:pPr>
      <w:spacing w:before="120" w:after="120"/>
      <w:ind w:left="566" w:hanging="283"/>
      <w:contextualSpacing/>
    </w:pPr>
    <w:rPr>
      <w:rFonts w:eastAsiaTheme="minorEastAsia" w:cs="Arial"/>
      <w:sz w:val="22"/>
      <w:szCs w:val="22"/>
      <w:lang w:val="en-AU"/>
    </w:rPr>
  </w:style>
  <w:style w:type="paragraph" w:styleId="List3">
    <w:name w:val="List 3"/>
    <w:basedOn w:val="Normal"/>
    <w:uiPriority w:val="99"/>
    <w:unhideWhenUsed/>
    <w:rsid w:val="004A22FF"/>
    <w:pPr>
      <w:spacing w:before="120" w:after="120"/>
      <w:ind w:left="849" w:hanging="283"/>
      <w:contextualSpacing/>
    </w:pPr>
    <w:rPr>
      <w:rFonts w:eastAsiaTheme="minorEastAsia" w:cs="Arial"/>
      <w:sz w:val="22"/>
      <w:szCs w:val="22"/>
      <w:lang w:val="en-AU"/>
    </w:rPr>
  </w:style>
  <w:style w:type="paragraph" w:styleId="List4">
    <w:name w:val="List 4"/>
    <w:basedOn w:val="Normal"/>
    <w:uiPriority w:val="99"/>
    <w:unhideWhenUsed/>
    <w:rsid w:val="004A22FF"/>
    <w:pPr>
      <w:spacing w:before="120" w:after="120"/>
      <w:ind w:left="1132" w:hanging="283"/>
      <w:contextualSpacing/>
    </w:pPr>
    <w:rPr>
      <w:rFonts w:eastAsiaTheme="minorEastAsia" w:cs="Arial"/>
      <w:sz w:val="22"/>
      <w:szCs w:val="22"/>
      <w:lang w:val="en-AU"/>
    </w:rPr>
  </w:style>
  <w:style w:type="paragraph" w:styleId="MacroText">
    <w:name w:val="macro"/>
    <w:link w:val="MacroTextChar"/>
    <w:semiHidden/>
    <w:rsid w:val="004A22FF"/>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eastAsia="Times New Roman" w:hAnsi="Courier New" w:cs="Courier New"/>
      <w:sz w:val="18"/>
      <w:lang w:val="en-GB" w:eastAsia="en-US"/>
    </w:rPr>
  </w:style>
  <w:style w:type="character" w:customStyle="1" w:styleId="MacroTextChar">
    <w:name w:val="Macro Text Char"/>
    <w:basedOn w:val="DefaultParagraphFont"/>
    <w:link w:val="MacroText"/>
    <w:semiHidden/>
    <w:rsid w:val="004A22FF"/>
    <w:rPr>
      <w:rFonts w:ascii="Courier New" w:eastAsia="Times New Roman" w:hAnsi="Courier New" w:cs="Courier New"/>
      <w:sz w:val="18"/>
      <w:lang w:val="en-GB" w:eastAsia="en-US"/>
    </w:rPr>
  </w:style>
  <w:style w:type="character" w:styleId="Mention">
    <w:name w:val="Mention"/>
    <w:basedOn w:val="DefaultParagraphFont"/>
    <w:uiPriority w:val="99"/>
    <w:unhideWhenUsed/>
    <w:rsid w:val="004A22FF"/>
    <w:rPr>
      <w:color w:val="2B579A"/>
      <w:shd w:val="clear" w:color="auto" w:fill="E1DFDD"/>
    </w:rPr>
  </w:style>
  <w:style w:type="character" w:customStyle="1" w:styleId="Mention1">
    <w:name w:val="Mention1"/>
    <w:basedOn w:val="DefaultParagraphFont"/>
    <w:uiPriority w:val="99"/>
    <w:unhideWhenUsed/>
    <w:rsid w:val="004A22FF"/>
    <w:rPr>
      <w:color w:val="2B579A"/>
      <w:shd w:val="clear" w:color="auto" w:fill="E1DFDD"/>
    </w:rPr>
  </w:style>
  <w:style w:type="character" w:customStyle="1" w:styleId="Mention11">
    <w:name w:val="Mention11"/>
    <w:basedOn w:val="DefaultParagraphFont"/>
    <w:uiPriority w:val="99"/>
    <w:unhideWhenUsed/>
    <w:rsid w:val="004A22FF"/>
    <w:rPr>
      <w:color w:val="2B579A"/>
      <w:shd w:val="clear" w:color="auto" w:fill="E6E6E6"/>
    </w:rPr>
  </w:style>
  <w:style w:type="character" w:customStyle="1" w:styleId="Mention2">
    <w:name w:val="Mention2"/>
    <w:basedOn w:val="DefaultParagraphFont"/>
    <w:uiPriority w:val="99"/>
    <w:unhideWhenUsed/>
    <w:rsid w:val="004A22FF"/>
    <w:rPr>
      <w:color w:val="2B579A"/>
      <w:shd w:val="clear" w:color="auto" w:fill="E1DFDD"/>
    </w:rPr>
  </w:style>
  <w:style w:type="character" w:customStyle="1" w:styleId="Mention20">
    <w:name w:val="Mention20"/>
    <w:basedOn w:val="DefaultParagraphFont"/>
    <w:uiPriority w:val="99"/>
    <w:unhideWhenUsed/>
    <w:rsid w:val="004A22FF"/>
    <w:rPr>
      <w:color w:val="2B579A"/>
      <w:shd w:val="clear" w:color="auto" w:fill="E1DFDD"/>
    </w:rPr>
  </w:style>
  <w:style w:type="character" w:customStyle="1" w:styleId="Mention3">
    <w:name w:val="Mention3"/>
    <w:basedOn w:val="DefaultParagraphFont"/>
    <w:uiPriority w:val="99"/>
    <w:unhideWhenUsed/>
    <w:rsid w:val="004A22FF"/>
    <w:rPr>
      <w:color w:val="2B579A"/>
      <w:shd w:val="clear" w:color="auto" w:fill="E1DFDD"/>
    </w:rPr>
  </w:style>
  <w:style w:type="character" w:customStyle="1" w:styleId="Mention4">
    <w:name w:val="Mention4"/>
    <w:basedOn w:val="DefaultParagraphFont"/>
    <w:uiPriority w:val="99"/>
    <w:unhideWhenUsed/>
    <w:rsid w:val="004A22FF"/>
    <w:rPr>
      <w:color w:val="2B579A"/>
      <w:shd w:val="clear" w:color="auto" w:fill="E1DFDD"/>
    </w:rPr>
  </w:style>
  <w:style w:type="character" w:customStyle="1" w:styleId="Mention40">
    <w:name w:val="Mention40"/>
    <w:basedOn w:val="DefaultParagraphFont"/>
    <w:uiPriority w:val="99"/>
    <w:unhideWhenUsed/>
    <w:rsid w:val="004A22FF"/>
    <w:rPr>
      <w:color w:val="2B579A"/>
      <w:shd w:val="clear" w:color="auto" w:fill="E6E6E6"/>
    </w:rPr>
  </w:style>
  <w:style w:type="character" w:customStyle="1" w:styleId="ms-rtefontsize-3">
    <w:name w:val="ms-rtefontsize-3"/>
    <w:basedOn w:val="DefaultParagraphFont"/>
    <w:rsid w:val="004A22FF"/>
  </w:style>
  <w:style w:type="table" w:styleId="TableContemporary">
    <w:name w:val="Table Contemporary"/>
    <w:basedOn w:val="TableNormal"/>
    <w:uiPriority w:val="99"/>
    <w:semiHidden/>
    <w:unhideWhenUsed/>
    <w:rsid w:val="004A22FF"/>
    <w:rPr>
      <w:rFonts w:asciiTheme="minorHAnsi" w:eastAsiaTheme="minorHAnsi" w:hAnsiTheme="minorHAnsi" w:cstheme="minorBidi"/>
      <w:sz w:val="24"/>
      <w:szCs w:val="24"/>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NDIS">
    <w:name w:val="NDIS"/>
    <w:basedOn w:val="TableContemporary"/>
    <w:uiPriority w:val="99"/>
    <w:rsid w:val="004A22FF"/>
    <w:rPr>
      <w:rFonts w:ascii="Arial" w:eastAsiaTheme="minorEastAsia" w:hAnsi="Arial"/>
      <w:sz w:val="21"/>
      <w:szCs w:val="21"/>
      <w:lang w:val="en-US" w:eastAsia="en-AU" w:bidi="th-TH"/>
    </w:rP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Spacing">
    <w:name w:val="No Spacing"/>
    <w:link w:val="NoSpacingChar"/>
    <w:uiPriority w:val="1"/>
    <w:qFormat/>
    <w:rsid w:val="001E64EA"/>
  </w:style>
  <w:style w:type="character" w:customStyle="1" w:styleId="NoSpacingChar">
    <w:name w:val="No Spacing Char"/>
    <w:basedOn w:val="DefaultParagraphFont"/>
    <w:link w:val="NoSpacing"/>
    <w:uiPriority w:val="1"/>
    <w:locked/>
    <w:rsid w:val="004A22FF"/>
  </w:style>
  <w:style w:type="paragraph" w:styleId="NormalWeb">
    <w:name w:val="Normal (Web)"/>
    <w:basedOn w:val="Normal"/>
    <w:uiPriority w:val="99"/>
    <w:unhideWhenUsed/>
    <w:rsid w:val="004A22FF"/>
    <w:pPr>
      <w:spacing w:before="100" w:beforeAutospacing="1" w:after="100" w:afterAutospacing="1"/>
      <w:ind w:left="652"/>
    </w:pPr>
    <w:rPr>
      <w:rFonts w:ascii="Times New Roman" w:hAnsi="Times New Roman"/>
      <w:szCs w:val="22"/>
      <w:lang w:val="en-AU" w:eastAsia="en-AU"/>
    </w:rPr>
  </w:style>
  <w:style w:type="paragraph" w:customStyle="1" w:styleId="Normal10pt">
    <w:name w:val="Normal + 10 pt"/>
    <w:aliases w:val="Line spacing:  single"/>
    <w:basedOn w:val="Normal"/>
    <w:rsid w:val="004A22FF"/>
    <w:pPr>
      <w:spacing w:before="130" w:after="130" w:line="260" w:lineRule="atLeast"/>
    </w:pPr>
    <w:rPr>
      <w:rFonts w:ascii="Times New Roman" w:hAnsi="Times New Roman"/>
      <w:b/>
      <w:sz w:val="20"/>
      <w:szCs w:val="20"/>
      <w:lang w:val="en-AU" w:eastAsia="en-US"/>
    </w:rPr>
  </w:style>
  <w:style w:type="paragraph" w:customStyle="1" w:styleId="Normal8pt">
    <w:name w:val="Normal + 8 pt"/>
    <w:basedOn w:val="Normal"/>
    <w:rsid w:val="004A22FF"/>
    <w:pPr>
      <w:widowControl w:val="0"/>
      <w:autoSpaceDE w:val="0"/>
      <w:autoSpaceDN w:val="0"/>
    </w:pPr>
    <w:rPr>
      <w:rFonts w:ascii="Times New Roman" w:hAnsi="Times New Roman"/>
      <w:bCs/>
      <w:iCs/>
      <w:spacing w:val="-6"/>
      <w:sz w:val="16"/>
      <w:szCs w:val="16"/>
      <w:lang w:eastAsia="en-US"/>
    </w:rPr>
  </w:style>
  <w:style w:type="paragraph" w:customStyle="1" w:styleId="NormalCalistoMT">
    <w:name w:val="Normal + Calisto MT"/>
    <w:aliases w:val="8 pt,Right"/>
    <w:basedOn w:val="Normal"/>
    <w:rsid w:val="004A22FF"/>
    <w:pPr>
      <w:framePr w:hSpace="180" w:wrap="around" w:vAnchor="text" w:hAnchor="margin" w:y="1"/>
      <w:spacing w:line="260" w:lineRule="atLeast"/>
      <w:ind w:right="212"/>
      <w:suppressOverlap/>
      <w:jc w:val="right"/>
    </w:pPr>
    <w:rPr>
      <w:rFonts w:ascii="Calisto MT" w:hAnsi="Calisto MT"/>
      <w:sz w:val="16"/>
      <w:szCs w:val="20"/>
      <w:lang w:val="en-AU" w:eastAsia="en-US"/>
    </w:rPr>
  </w:style>
  <w:style w:type="paragraph" w:styleId="NormalIndent">
    <w:name w:val="Normal Indent"/>
    <w:basedOn w:val="Normal"/>
    <w:uiPriority w:val="99"/>
    <w:semiHidden/>
    <w:rsid w:val="004A22FF"/>
    <w:pPr>
      <w:spacing w:before="200" w:after="120" w:line="260" w:lineRule="atLeast"/>
      <w:ind w:left="720"/>
    </w:pPr>
    <w:rPr>
      <w:rFonts w:ascii="Cambria" w:eastAsia="Cambria" w:hAnsi="Cambria"/>
      <w:sz w:val="22"/>
      <w:szCs w:val="22"/>
      <w:lang w:val="en-AU" w:eastAsia="en-US"/>
    </w:rPr>
  </w:style>
  <w:style w:type="paragraph" w:customStyle="1" w:styleId="Normal85">
    <w:name w:val="Normal_85"/>
    <w:rsid w:val="004A22FF"/>
    <w:pPr>
      <w:tabs>
        <w:tab w:val="left" w:pos="709"/>
      </w:tabs>
      <w:spacing w:after="200" w:line="276" w:lineRule="auto"/>
    </w:pPr>
    <w:rPr>
      <w:rFonts w:ascii="Book Antiqua" w:eastAsiaTheme="minorHAnsi" w:hAnsi="Book Antiqua" w:cstheme="minorBidi"/>
      <w:lang w:eastAsia="en-US"/>
    </w:rPr>
  </w:style>
  <w:style w:type="character" w:customStyle="1" w:styleId="normaltextrun">
    <w:name w:val="normaltextrun"/>
    <w:basedOn w:val="DefaultParagraphFont"/>
    <w:rsid w:val="004A22FF"/>
  </w:style>
  <w:style w:type="paragraph" w:customStyle="1" w:styleId="NotesHeading-Level2">
    <w:name w:val="Notes Heading - Level 2"/>
    <w:basedOn w:val="NotesHeading-Level1"/>
    <w:rsid w:val="004A22FF"/>
    <w:pPr>
      <w:framePr w:hSpace="180" w:wrap="around" w:vAnchor="text" w:hAnchor="margin" w:y="1"/>
      <w:numPr>
        <w:ilvl w:val="1"/>
      </w:numPr>
      <w:suppressOverlap/>
    </w:pPr>
    <w:rPr>
      <w:sz w:val="18"/>
    </w:rPr>
  </w:style>
  <w:style w:type="paragraph" w:customStyle="1" w:styleId="ReferenceText">
    <w:name w:val="Reference Text"/>
    <w:basedOn w:val="Normal"/>
    <w:link w:val="ReferenceTextChar"/>
    <w:autoRedefine/>
    <w:qFormat/>
    <w:rsid w:val="004A22FF"/>
    <w:pPr>
      <w:spacing w:after="80"/>
    </w:pPr>
    <w:rPr>
      <w:sz w:val="18"/>
      <w:szCs w:val="20"/>
      <w:lang w:val="en-AU" w:eastAsia="en-AU"/>
    </w:rPr>
  </w:style>
  <w:style w:type="character" w:customStyle="1" w:styleId="ReferenceTextChar">
    <w:name w:val="Reference Text Char"/>
    <w:basedOn w:val="DefaultParagraphFont"/>
    <w:link w:val="ReferenceText"/>
    <w:rsid w:val="004A22FF"/>
    <w:rPr>
      <w:rFonts w:ascii="Arial" w:eastAsia="Times New Roman" w:hAnsi="Arial"/>
      <w:sz w:val="18"/>
    </w:rPr>
  </w:style>
  <w:style w:type="paragraph" w:customStyle="1" w:styleId="NotesText">
    <w:name w:val="Notes Text"/>
    <w:basedOn w:val="ReferenceText"/>
    <w:rsid w:val="004A22FF"/>
    <w:pPr>
      <w:spacing w:before="100" w:after="100"/>
    </w:pPr>
  </w:style>
  <w:style w:type="paragraph" w:customStyle="1" w:styleId="NotesTotal">
    <w:name w:val="Notes Total"/>
    <w:basedOn w:val="Normal"/>
    <w:autoRedefine/>
    <w:rsid w:val="004A22FF"/>
    <w:pPr>
      <w:spacing w:line="260" w:lineRule="atLeast"/>
      <w:ind w:left="139" w:right="57"/>
    </w:pPr>
    <w:rPr>
      <w:rFonts w:ascii="Times New Roman" w:hAnsi="Times New Roman"/>
      <w:b/>
      <w:iCs/>
      <w:sz w:val="20"/>
      <w:szCs w:val="20"/>
      <w:lang w:val="en-AU" w:eastAsia="en-US"/>
    </w:rPr>
  </w:style>
  <w:style w:type="paragraph" w:customStyle="1" w:styleId="Pa14">
    <w:name w:val="Pa14"/>
    <w:basedOn w:val="Default"/>
    <w:next w:val="Default"/>
    <w:uiPriority w:val="99"/>
    <w:rsid w:val="004A22FF"/>
    <w:pPr>
      <w:spacing w:line="221" w:lineRule="atLeast"/>
    </w:pPr>
    <w:rPr>
      <w:rFonts w:ascii="FS Me Pro" w:hAnsi="FS Me Pro" w:cs="Times New Roman"/>
      <w:color w:val="auto"/>
    </w:rPr>
  </w:style>
  <w:style w:type="paragraph" w:customStyle="1" w:styleId="Pa20">
    <w:name w:val="Pa20"/>
    <w:basedOn w:val="Default"/>
    <w:next w:val="Default"/>
    <w:uiPriority w:val="99"/>
    <w:rsid w:val="004A22FF"/>
    <w:pPr>
      <w:spacing w:line="221" w:lineRule="atLeast"/>
    </w:pPr>
    <w:rPr>
      <w:rFonts w:ascii="FS Me" w:hAnsi="FS Me" w:cs="Times New Roman"/>
      <w:color w:val="auto"/>
    </w:rPr>
  </w:style>
  <w:style w:type="paragraph" w:customStyle="1" w:styleId="Pa28">
    <w:name w:val="Pa28"/>
    <w:basedOn w:val="Default"/>
    <w:next w:val="Default"/>
    <w:uiPriority w:val="99"/>
    <w:rsid w:val="004A22FF"/>
    <w:pPr>
      <w:spacing w:line="171" w:lineRule="atLeast"/>
    </w:pPr>
    <w:rPr>
      <w:rFonts w:ascii="FS Me Pro Light" w:hAnsi="FS Me Pro Light" w:cstheme="minorBidi"/>
      <w:color w:val="auto"/>
    </w:rPr>
  </w:style>
  <w:style w:type="paragraph" w:customStyle="1" w:styleId="Pa35">
    <w:name w:val="Pa35"/>
    <w:basedOn w:val="Normal"/>
    <w:next w:val="Normal"/>
    <w:uiPriority w:val="99"/>
    <w:rsid w:val="004A22FF"/>
    <w:pPr>
      <w:autoSpaceDE w:val="0"/>
      <w:autoSpaceDN w:val="0"/>
      <w:adjustRightInd w:val="0"/>
      <w:spacing w:before="120" w:line="171" w:lineRule="atLeast"/>
      <w:ind w:left="652"/>
    </w:pPr>
    <w:rPr>
      <w:rFonts w:ascii="FS Me Pro Light" w:eastAsiaTheme="minorHAnsi" w:hAnsi="FS Me Pro Light" w:cstheme="minorBidi"/>
      <w:lang w:val="en-AU" w:eastAsia="en-US"/>
    </w:rPr>
  </w:style>
  <w:style w:type="paragraph" w:customStyle="1" w:styleId="Pa4">
    <w:name w:val="Pa4"/>
    <w:basedOn w:val="Normal"/>
    <w:next w:val="Normal"/>
    <w:uiPriority w:val="99"/>
    <w:rsid w:val="004A22FF"/>
    <w:pPr>
      <w:autoSpaceDE w:val="0"/>
      <w:autoSpaceDN w:val="0"/>
      <w:adjustRightInd w:val="0"/>
      <w:spacing w:before="120" w:line="191" w:lineRule="atLeast"/>
      <w:ind w:left="652"/>
    </w:pPr>
    <w:rPr>
      <w:rFonts w:ascii="FS Me Pro Light" w:eastAsiaTheme="minorHAnsi" w:hAnsi="FS Me Pro Light" w:cstheme="minorBidi"/>
      <w:lang w:val="en-AU" w:eastAsia="en-US"/>
    </w:rPr>
  </w:style>
  <w:style w:type="paragraph" w:customStyle="1" w:styleId="Pa9">
    <w:name w:val="Pa9"/>
    <w:basedOn w:val="Default"/>
    <w:next w:val="Default"/>
    <w:uiPriority w:val="99"/>
    <w:rsid w:val="004A22FF"/>
    <w:pPr>
      <w:spacing w:line="221" w:lineRule="atLeast"/>
    </w:pPr>
    <w:rPr>
      <w:rFonts w:ascii="FS Me Pro Light" w:hAnsi="FS Me Pro Light" w:cstheme="minorBidi"/>
      <w:color w:val="auto"/>
    </w:rPr>
  </w:style>
  <w:style w:type="paragraph" w:customStyle="1" w:styleId="paragraphsub">
    <w:name w:val="paragraph(sub)"/>
    <w:aliases w:val="aa"/>
    <w:basedOn w:val="Normal"/>
    <w:rsid w:val="004A22FF"/>
    <w:pPr>
      <w:tabs>
        <w:tab w:val="right" w:pos="1985"/>
      </w:tabs>
      <w:spacing w:before="40"/>
      <w:ind w:left="2098" w:hanging="2098"/>
    </w:pPr>
    <w:rPr>
      <w:rFonts w:ascii="Times New Roman" w:hAnsi="Times New Roman"/>
      <w:sz w:val="22"/>
      <w:szCs w:val="22"/>
      <w:lang w:val="en-AU" w:eastAsia="en-AU"/>
    </w:rPr>
  </w:style>
  <w:style w:type="paragraph" w:customStyle="1" w:styleId="paragraph">
    <w:name w:val="paragraph"/>
    <w:aliases w:val="a"/>
    <w:basedOn w:val="Normal"/>
    <w:link w:val="paragraphChar"/>
    <w:rsid w:val="004A22FF"/>
    <w:pPr>
      <w:tabs>
        <w:tab w:val="right" w:pos="1531"/>
      </w:tabs>
      <w:spacing w:before="40" w:after="120"/>
      <w:ind w:left="1644" w:hanging="1644"/>
    </w:pPr>
    <w:rPr>
      <w:rFonts w:ascii="Times New Roman" w:hAnsi="Times New Roman"/>
      <w:sz w:val="22"/>
      <w:szCs w:val="22"/>
      <w:lang w:val="en-AU" w:eastAsia="en-AU"/>
    </w:rPr>
  </w:style>
  <w:style w:type="character" w:customStyle="1" w:styleId="paragraphChar">
    <w:name w:val="paragraph Char"/>
    <w:aliases w:val="a Char"/>
    <w:basedOn w:val="DefaultParagraphFont"/>
    <w:link w:val="paragraph"/>
    <w:rsid w:val="004A22FF"/>
    <w:rPr>
      <w:rFonts w:ascii="Times New Roman" w:eastAsia="Times New Roman" w:hAnsi="Times New Roman"/>
      <w:sz w:val="22"/>
      <w:szCs w:val="22"/>
    </w:rPr>
  </w:style>
  <w:style w:type="paragraph" w:customStyle="1" w:styleId="ParagraphSection">
    <w:name w:val="ParagraphSection"/>
    <w:basedOn w:val="ListParagraph"/>
    <w:rsid w:val="004A22FF"/>
    <w:pPr>
      <w:numPr>
        <w:numId w:val="15"/>
      </w:numPr>
      <w:spacing w:before="240" w:after="240" w:line="276" w:lineRule="auto"/>
      <w:contextualSpacing w:val="0"/>
    </w:pPr>
    <w:rPr>
      <w:rFonts w:eastAsiaTheme="minorEastAsia" w:cstheme="minorBidi"/>
      <w:sz w:val="22"/>
      <w:lang w:val="en-AU"/>
    </w:rPr>
  </w:style>
  <w:style w:type="paragraph" w:customStyle="1" w:styleId="paragraphtext">
    <w:name w:val="paragraphtext"/>
    <w:basedOn w:val="Normal"/>
    <w:rsid w:val="004A22FF"/>
    <w:pPr>
      <w:spacing w:before="100" w:beforeAutospacing="1" w:after="100" w:afterAutospacing="1"/>
    </w:pPr>
    <w:rPr>
      <w:rFonts w:ascii="Times New Roman" w:hAnsi="Times New Roman"/>
      <w:lang w:val="en-AU" w:eastAsia="en-AU"/>
    </w:rPr>
  </w:style>
  <w:style w:type="character" w:styleId="PlaceholderText">
    <w:name w:val="Placeholder Text"/>
    <w:basedOn w:val="DefaultParagraphFont"/>
    <w:uiPriority w:val="99"/>
    <w:semiHidden/>
    <w:rsid w:val="004A22FF"/>
    <w:rPr>
      <w:color w:val="808080"/>
    </w:rPr>
  </w:style>
  <w:style w:type="table" w:styleId="PlainTable1">
    <w:name w:val="Plain Table 1"/>
    <w:basedOn w:val="TableNormal"/>
    <w:uiPriority w:val="41"/>
    <w:rsid w:val="004A22FF"/>
    <w:rPr>
      <w:rFonts w:asciiTheme="minorHAnsi" w:eastAsiaTheme="minorHAnsi" w:hAnsiTheme="minorHAnsi" w:cstheme="minorBidi"/>
      <w:sz w:val="22"/>
      <w:szCs w:val="22"/>
      <w:lang w:eastAsia="en-US"/>
    </w:rPr>
    <w:tblPr>
      <w:tblStyleRowBandSize w:val="1"/>
      <w:tblStyleColBandSize w:val="1"/>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tblStylePr w:type="firstRow">
      <w:rPr>
        <w:b/>
        <w:bCs/>
      </w:rPr>
    </w:tblStylePr>
    <w:tblStylePr w:type="lastRow">
      <w:rPr>
        <w:b/>
        <w:bCs/>
      </w:rPr>
      <w:tblPr/>
      <w:tcPr>
        <w:tcBorders>
          <w:top w:val="double" w:sz="4" w:space="0" w:color="BABABA" w:themeColor="background1" w:themeShade="BF"/>
        </w:tcBorders>
      </w:tcPr>
    </w:tblStylePr>
    <w:tblStylePr w:type="firstCol">
      <w:rPr>
        <w:b/>
        <w:bCs/>
      </w:rPr>
    </w:tblStylePr>
    <w:tblStylePr w:type="lastCol">
      <w:rPr>
        <w:b/>
        <w:bCs/>
      </w:rPr>
    </w:tblStylePr>
    <w:tblStylePr w:type="band1Vert">
      <w:tblPr/>
      <w:tcPr>
        <w:shd w:val="clear" w:color="auto" w:fill="ECECEC" w:themeFill="background1" w:themeFillShade="F2"/>
      </w:tcPr>
    </w:tblStylePr>
    <w:tblStylePr w:type="band1Horz">
      <w:tblPr/>
      <w:tcPr>
        <w:shd w:val="clear" w:color="auto" w:fill="ECECEC" w:themeFill="background1" w:themeFillShade="F2"/>
      </w:tcPr>
    </w:tblStylePr>
  </w:style>
  <w:style w:type="paragraph" w:styleId="PlainText">
    <w:name w:val="Plain Text"/>
    <w:basedOn w:val="Normal"/>
    <w:link w:val="PlainTextChar"/>
    <w:uiPriority w:val="99"/>
    <w:unhideWhenUsed/>
    <w:rsid w:val="004A22FF"/>
    <w:rPr>
      <w:rFonts w:ascii="Calibri" w:eastAsiaTheme="minorHAnsi" w:hAnsi="Calibri" w:cstheme="minorBidi"/>
      <w:sz w:val="22"/>
      <w:szCs w:val="21"/>
      <w:lang w:val="en-AU" w:eastAsia="en-US"/>
    </w:rPr>
  </w:style>
  <w:style w:type="character" w:customStyle="1" w:styleId="PlainTextChar">
    <w:name w:val="Plain Text Char"/>
    <w:basedOn w:val="DefaultParagraphFont"/>
    <w:link w:val="PlainText"/>
    <w:uiPriority w:val="99"/>
    <w:rsid w:val="004A22FF"/>
    <w:rPr>
      <w:rFonts w:ascii="Calibri" w:eastAsiaTheme="minorHAnsi" w:hAnsi="Calibri" w:cstheme="minorBidi"/>
      <w:sz w:val="22"/>
      <w:szCs w:val="21"/>
      <w:lang w:eastAsia="en-US"/>
    </w:rPr>
  </w:style>
  <w:style w:type="paragraph" w:customStyle="1" w:styleId="PolicytextDept">
    <w:name w:val="Policy text Dept"/>
    <w:basedOn w:val="Normal"/>
    <w:link w:val="PolicytextDeptChar"/>
    <w:qFormat/>
    <w:rsid w:val="004A22FF"/>
    <w:pPr>
      <w:pBdr>
        <w:top w:val="single" w:sz="4" w:space="1" w:color="800080"/>
        <w:left w:val="single" w:sz="4" w:space="0" w:color="800080"/>
        <w:bottom w:val="single" w:sz="4" w:space="1" w:color="800080"/>
        <w:right w:val="single" w:sz="4" w:space="0" w:color="800080"/>
      </w:pBdr>
      <w:spacing w:after="120" w:line="120" w:lineRule="atLeast"/>
    </w:pPr>
    <w:rPr>
      <w:rFonts w:cs="Arial"/>
      <w:bCs/>
      <w:sz w:val="18"/>
      <w:szCs w:val="18"/>
      <w:lang w:val="en-AU" w:eastAsia="en-US"/>
    </w:rPr>
  </w:style>
  <w:style w:type="character" w:customStyle="1" w:styleId="PolicytextDeptChar">
    <w:name w:val="Policy text Dept Char"/>
    <w:basedOn w:val="DefaultParagraphFont"/>
    <w:link w:val="PolicytextDept"/>
    <w:rsid w:val="004A22FF"/>
    <w:rPr>
      <w:rFonts w:ascii="Arial" w:eastAsia="Times New Roman" w:hAnsi="Arial" w:cs="Arial"/>
      <w:bCs/>
      <w:sz w:val="18"/>
      <w:szCs w:val="18"/>
      <w:lang w:eastAsia="en-US"/>
    </w:rPr>
  </w:style>
  <w:style w:type="paragraph" w:customStyle="1" w:styleId="PolicyheadingDept">
    <w:name w:val="Policy heading Dept"/>
    <w:basedOn w:val="PolicytextDept"/>
    <w:qFormat/>
    <w:rsid w:val="004A22FF"/>
    <w:rPr>
      <w:b/>
    </w:rPr>
  </w:style>
  <w:style w:type="paragraph" w:styleId="Quote">
    <w:name w:val="Quote"/>
    <w:basedOn w:val="Normal"/>
    <w:next w:val="Normal"/>
    <w:link w:val="QuoteChar"/>
    <w:uiPriority w:val="29"/>
    <w:rsid w:val="001E64EA"/>
    <w:pPr>
      <w:spacing w:before="160"/>
      <w:ind w:left="720" w:right="720"/>
      <w:jc w:val="center"/>
    </w:pPr>
    <w:rPr>
      <w:rFonts w:asciiTheme="majorHAnsi" w:eastAsiaTheme="majorEastAsia" w:hAnsiTheme="majorHAnsi" w:cstheme="majorBidi"/>
      <w:color w:val="6B2876" w:themeColor="text1"/>
    </w:rPr>
  </w:style>
  <w:style w:type="character" w:customStyle="1" w:styleId="QuoteChar">
    <w:name w:val="Quote Char"/>
    <w:basedOn w:val="DefaultParagraphFont"/>
    <w:link w:val="Quote"/>
    <w:uiPriority w:val="29"/>
    <w:rsid w:val="001E64EA"/>
    <w:rPr>
      <w:rFonts w:asciiTheme="majorHAnsi" w:eastAsiaTheme="majorEastAsia" w:hAnsiTheme="majorHAnsi" w:cstheme="majorBidi"/>
      <w:color w:val="6B2876" w:themeColor="text1"/>
      <w:sz w:val="24"/>
      <w:szCs w:val="24"/>
    </w:rPr>
  </w:style>
  <w:style w:type="paragraph" w:customStyle="1" w:styleId="ReferenceTextLetter">
    <w:name w:val="Reference Text Letter"/>
    <w:basedOn w:val="ReferenceText"/>
    <w:rsid w:val="004A22FF"/>
    <w:pPr>
      <w:ind w:left="567" w:right="567"/>
    </w:pPr>
    <w:rPr>
      <w:rFonts w:cs="Arial"/>
      <w:szCs w:val="18"/>
    </w:rPr>
  </w:style>
  <w:style w:type="paragraph" w:customStyle="1" w:styleId="SectionHeading">
    <w:name w:val="Section Heading"/>
    <w:basedOn w:val="Normal"/>
    <w:link w:val="SectionHeadingChar"/>
    <w:qFormat/>
    <w:rsid w:val="004A22FF"/>
    <w:pPr>
      <w:numPr>
        <w:numId w:val="16"/>
      </w:numPr>
      <w:shd w:val="clear" w:color="00CC99" w:fill="800080"/>
      <w:spacing w:line="260" w:lineRule="atLeast"/>
      <w:outlineLvl w:val="0"/>
    </w:pPr>
    <w:rPr>
      <w:rFonts w:ascii="Arial Bold" w:hAnsi="Arial Bold"/>
      <w:b/>
      <w:color w:val="FFFFFF"/>
      <w:szCs w:val="20"/>
      <w:lang w:val="en-AU" w:eastAsia="en-US"/>
    </w:rPr>
  </w:style>
  <w:style w:type="character" w:customStyle="1" w:styleId="SectionHeadingChar">
    <w:name w:val="Section Heading Char"/>
    <w:basedOn w:val="DefaultParagraphFont"/>
    <w:link w:val="SectionHeading"/>
    <w:rsid w:val="004A22FF"/>
    <w:rPr>
      <w:rFonts w:ascii="Arial Bold" w:hAnsi="Arial Bold"/>
      <w:b/>
      <w:color w:val="FFFFFF"/>
      <w:sz w:val="24"/>
      <w:shd w:val="clear" w:color="00CC99" w:fill="800080"/>
      <w:lang w:eastAsia="en-US"/>
    </w:rPr>
  </w:style>
  <w:style w:type="paragraph" w:customStyle="1" w:styleId="SectionHeading-NoNumber">
    <w:name w:val="Section Heading - No Number"/>
    <w:basedOn w:val="SectionHeading"/>
    <w:link w:val="SectionHeading-NoNumberChar"/>
    <w:qFormat/>
    <w:rsid w:val="004A22FF"/>
    <w:pPr>
      <w:numPr>
        <w:numId w:val="0"/>
      </w:numPr>
      <w:shd w:val="clear" w:color="auto" w:fill="800080"/>
      <w:tabs>
        <w:tab w:val="right" w:pos="9072"/>
      </w:tabs>
    </w:pPr>
  </w:style>
  <w:style w:type="character" w:customStyle="1" w:styleId="SectionHeading-NoNumberChar">
    <w:name w:val="Section Heading - No Number Char"/>
    <w:basedOn w:val="SectionHeadingChar"/>
    <w:link w:val="SectionHeading-NoNumber"/>
    <w:rsid w:val="004A22FF"/>
    <w:rPr>
      <w:rFonts w:ascii="Arial Bold" w:eastAsia="Times New Roman" w:hAnsi="Arial Bold"/>
      <w:b/>
      <w:color w:val="FFFFFF"/>
      <w:sz w:val="24"/>
      <w:shd w:val="clear" w:color="auto" w:fill="800080"/>
      <w:lang w:eastAsia="en-US"/>
    </w:rPr>
  </w:style>
  <w:style w:type="paragraph" w:customStyle="1" w:styleId="SectionHeadingDescription">
    <w:name w:val="Section Heading Description"/>
    <w:basedOn w:val="SectionHeading"/>
    <w:next w:val="Normal"/>
    <w:qFormat/>
    <w:rsid w:val="004A22FF"/>
    <w:pPr>
      <w:numPr>
        <w:numId w:val="0"/>
      </w:numPr>
      <w:outlineLvl w:val="9"/>
    </w:pPr>
    <w:rPr>
      <w:rFonts w:ascii="Arial" w:hAnsi="Arial"/>
      <w:b w:val="0"/>
      <w:sz w:val="18"/>
      <w:szCs w:val="18"/>
    </w:rPr>
  </w:style>
  <w:style w:type="paragraph" w:customStyle="1" w:styleId="sectiontext">
    <w:name w:val="sectiontext"/>
    <w:basedOn w:val="Normal"/>
    <w:rsid w:val="004A22FF"/>
    <w:pPr>
      <w:spacing w:before="100" w:beforeAutospacing="1" w:after="100" w:afterAutospacing="1"/>
    </w:pPr>
    <w:rPr>
      <w:rFonts w:ascii="Times New Roman" w:hAnsi="Times New Roman"/>
      <w:lang w:val="en-AU" w:eastAsia="en-AU"/>
    </w:rPr>
  </w:style>
  <w:style w:type="paragraph" w:customStyle="1" w:styleId="sopara">
    <w:name w:val="sopara"/>
    <w:basedOn w:val="Normal"/>
    <w:rsid w:val="004A22FF"/>
    <w:pPr>
      <w:spacing w:before="100" w:beforeAutospacing="1" w:after="100" w:afterAutospacing="1"/>
    </w:pPr>
    <w:rPr>
      <w:rFonts w:ascii="Times New Roman" w:hAnsi="Times New Roman"/>
      <w:lang w:val="en-AU" w:eastAsia="en-AU"/>
    </w:rPr>
  </w:style>
  <w:style w:type="paragraph" w:customStyle="1" w:styleId="StatementDateHeader">
    <w:name w:val="Statement Date Header"/>
    <w:basedOn w:val="Normal"/>
    <w:next w:val="Normal"/>
    <w:rsid w:val="004A22FF"/>
    <w:pPr>
      <w:pBdr>
        <w:bottom w:val="single" w:sz="4" w:space="1" w:color="auto"/>
      </w:pBdr>
      <w:spacing w:line="260" w:lineRule="atLeast"/>
    </w:pPr>
    <w:rPr>
      <w:i/>
      <w:szCs w:val="20"/>
      <w:lang w:val="en-AU" w:eastAsia="en-US"/>
    </w:rPr>
  </w:style>
  <w:style w:type="paragraph" w:customStyle="1" w:styleId="StatementHeading">
    <w:name w:val="Statement Heading"/>
    <w:basedOn w:val="Normal"/>
    <w:rsid w:val="004A22FF"/>
    <w:pPr>
      <w:spacing w:line="260" w:lineRule="atLeast"/>
    </w:pPr>
    <w:rPr>
      <w:b/>
      <w:szCs w:val="20"/>
      <w:lang w:val="en-AU" w:eastAsia="en-US"/>
    </w:rPr>
  </w:style>
  <w:style w:type="paragraph" w:customStyle="1" w:styleId="StatementName">
    <w:name w:val="Statement Name"/>
    <w:basedOn w:val="Normal"/>
    <w:next w:val="Normal"/>
    <w:link w:val="StatementNameChar"/>
    <w:autoRedefine/>
    <w:rsid w:val="004A22FF"/>
    <w:pPr>
      <w:pBdr>
        <w:bottom w:val="single" w:sz="4" w:space="1" w:color="auto"/>
      </w:pBdr>
      <w:spacing w:line="260" w:lineRule="atLeast"/>
    </w:pPr>
    <w:rPr>
      <w:rFonts w:cs="Arial"/>
      <w:b/>
      <w:lang w:val="en-AU" w:eastAsia="en-US"/>
    </w:rPr>
  </w:style>
  <w:style w:type="character" w:customStyle="1" w:styleId="StatementNameChar">
    <w:name w:val="Statement Name Char"/>
    <w:basedOn w:val="DefaultParagraphFont"/>
    <w:link w:val="StatementName"/>
    <w:rsid w:val="004A22FF"/>
    <w:rPr>
      <w:rFonts w:ascii="Arial" w:eastAsia="Times New Roman" w:hAnsi="Arial" w:cs="Arial"/>
      <w:b/>
      <w:sz w:val="24"/>
      <w:szCs w:val="24"/>
      <w:lang w:eastAsia="en-US"/>
    </w:rPr>
  </w:style>
  <w:style w:type="paragraph" w:customStyle="1" w:styleId="StatementTextLevel1bItalic">
    <w:name w:val="Statement Text Level 1(b) + Italic"/>
    <w:basedOn w:val="Normal"/>
    <w:rsid w:val="004A22FF"/>
    <w:pPr>
      <w:spacing w:line="260" w:lineRule="atLeast"/>
    </w:pPr>
    <w:rPr>
      <w:b/>
      <w:bCs/>
      <w:i/>
      <w:iCs/>
      <w:sz w:val="18"/>
      <w:szCs w:val="18"/>
      <w:lang w:val="en-AU" w:eastAsia="en-US"/>
    </w:rPr>
  </w:style>
  <w:style w:type="paragraph" w:customStyle="1" w:styleId="StatementTextLevel3">
    <w:name w:val="Statement Text Level 3"/>
    <w:basedOn w:val="Normal"/>
    <w:next w:val="Normal"/>
    <w:rsid w:val="004A22FF"/>
    <w:pPr>
      <w:spacing w:line="260" w:lineRule="atLeast"/>
    </w:pPr>
    <w:rPr>
      <w:sz w:val="18"/>
      <w:szCs w:val="20"/>
      <w:lang w:val="en-AU" w:eastAsia="en-US"/>
    </w:rPr>
  </w:style>
  <w:style w:type="character" w:styleId="Strong">
    <w:name w:val="Strong"/>
    <w:aliases w:val="Table &amp; Figure Headings"/>
    <w:basedOn w:val="DefaultParagraphFont"/>
    <w:uiPriority w:val="22"/>
    <w:qFormat/>
    <w:rsid w:val="001E64EA"/>
    <w:rPr>
      <w:b/>
      <w:bCs/>
    </w:rPr>
  </w:style>
  <w:style w:type="paragraph" w:customStyle="1" w:styleId="StyleNotesHeaderLeftLeft-008cm">
    <w:name w:val="Style Notes Header + Left Left:  -0.08 cm"/>
    <w:basedOn w:val="Normal"/>
    <w:rsid w:val="004A22FF"/>
    <w:pPr>
      <w:numPr>
        <w:ilvl w:val="1"/>
        <w:numId w:val="17"/>
      </w:numPr>
      <w:spacing w:before="180" w:after="60"/>
    </w:pPr>
    <w:rPr>
      <w:b/>
      <w:bCs/>
      <w:sz w:val="18"/>
      <w:szCs w:val="20"/>
      <w:lang w:val="en-AU" w:eastAsia="en-US"/>
    </w:rPr>
  </w:style>
  <w:style w:type="table" w:customStyle="1" w:styleId="Style1">
    <w:name w:val="Style1"/>
    <w:basedOn w:val="TableNormal"/>
    <w:uiPriority w:val="99"/>
    <w:rsid w:val="004A22FF"/>
    <w:rPr>
      <w:rFonts w:asciiTheme="minorHAnsi" w:eastAsiaTheme="minorEastAsia" w:hAnsiTheme="minorHAnsi" w:cstheme="minorBidi"/>
      <w:sz w:val="21"/>
      <w:szCs w:val="21"/>
      <w:lang w:eastAsia="en-US"/>
    </w:rPr>
    <w:tblPr/>
  </w:style>
  <w:style w:type="numbering" w:customStyle="1" w:styleId="Style2">
    <w:name w:val="Style2"/>
    <w:rsid w:val="004A22FF"/>
    <w:pPr>
      <w:numPr>
        <w:numId w:val="18"/>
      </w:numPr>
    </w:pPr>
  </w:style>
  <w:style w:type="numbering" w:customStyle="1" w:styleId="Style21">
    <w:name w:val="Style21"/>
    <w:rsid w:val="004A22FF"/>
    <w:pPr>
      <w:numPr>
        <w:numId w:val="4"/>
      </w:numPr>
    </w:pPr>
  </w:style>
  <w:style w:type="paragraph" w:customStyle="1" w:styleId="SubHeading">
    <w:name w:val="Sub Heading"/>
    <w:basedOn w:val="SectionHeading"/>
    <w:link w:val="SubHeadingChar"/>
    <w:qFormat/>
    <w:rsid w:val="006D2A30"/>
    <w:pPr>
      <w:numPr>
        <w:numId w:val="45"/>
      </w:numPr>
      <w:shd w:val="clear" w:color="auto" w:fill="000000"/>
      <w:outlineLvl w:val="1"/>
    </w:pPr>
    <w:rPr>
      <w:rFonts w:ascii="Arial" w:hAnsi="Arial" w:cs="Arial"/>
      <w:sz w:val="20"/>
    </w:rPr>
  </w:style>
  <w:style w:type="character" w:customStyle="1" w:styleId="SubHeadingChar">
    <w:name w:val="Sub Heading Char"/>
    <w:basedOn w:val="DefaultParagraphFont"/>
    <w:link w:val="SubHeading"/>
    <w:rsid w:val="005F661B"/>
    <w:rPr>
      <w:rFonts w:ascii="Arial" w:hAnsi="Arial" w:cs="Arial"/>
      <w:b/>
      <w:color w:val="FFFFFF"/>
      <w:shd w:val="clear" w:color="auto" w:fill="000000"/>
      <w:lang w:eastAsia="en-US"/>
    </w:rPr>
  </w:style>
  <w:style w:type="paragraph" w:customStyle="1" w:styleId="subparagraphtext">
    <w:name w:val="subparagraphtext"/>
    <w:basedOn w:val="Normal"/>
    <w:rsid w:val="004A22FF"/>
    <w:pPr>
      <w:spacing w:before="100" w:beforeAutospacing="1" w:after="100" w:afterAutospacing="1"/>
    </w:pPr>
    <w:rPr>
      <w:rFonts w:ascii="Times New Roman" w:hAnsi="Times New Roman"/>
      <w:lang w:val="en-AU" w:eastAsia="en-AU"/>
    </w:rPr>
  </w:style>
  <w:style w:type="paragraph" w:customStyle="1" w:styleId="subsection">
    <w:name w:val="subsection"/>
    <w:aliases w:val="ss"/>
    <w:basedOn w:val="Normal"/>
    <w:link w:val="subsectionChar"/>
    <w:rsid w:val="004A22FF"/>
    <w:pPr>
      <w:tabs>
        <w:tab w:val="right" w:pos="1021"/>
      </w:tabs>
      <w:spacing w:before="180" w:after="120"/>
      <w:ind w:left="1134" w:hanging="1134"/>
    </w:pPr>
    <w:rPr>
      <w:rFonts w:ascii="Times New Roman" w:hAnsi="Times New Roman"/>
      <w:sz w:val="22"/>
      <w:szCs w:val="22"/>
      <w:lang w:val="en-AU" w:eastAsia="en-AU"/>
    </w:rPr>
  </w:style>
  <w:style w:type="character" w:customStyle="1" w:styleId="subsectionChar">
    <w:name w:val="subsection Char"/>
    <w:aliases w:val="ss Char"/>
    <w:link w:val="subsection"/>
    <w:locked/>
    <w:rsid w:val="004A22FF"/>
    <w:rPr>
      <w:rFonts w:ascii="Times New Roman" w:eastAsia="Times New Roman" w:hAnsi="Times New Roman"/>
      <w:sz w:val="22"/>
      <w:szCs w:val="22"/>
    </w:rPr>
  </w:style>
  <w:style w:type="table" w:styleId="TableList1">
    <w:name w:val="Table List 1"/>
    <w:basedOn w:val="TableNormal"/>
    <w:uiPriority w:val="99"/>
    <w:semiHidden/>
    <w:unhideWhenUsed/>
    <w:rsid w:val="004A22FF"/>
    <w:pPr>
      <w:spacing w:after="200" w:line="288" w:lineRule="auto"/>
    </w:pPr>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ustainabilityTable">
    <w:name w:val="Sustainability Table"/>
    <w:basedOn w:val="TableList1"/>
    <w:uiPriority w:val="99"/>
    <w:rsid w:val="004A22FF"/>
    <w:pPr>
      <w:spacing w:after="0" w:line="240" w:lineRule="auto"/>
    </w:pPr>
    <w:rPr>
      <w:rFonts w:ascii="Arial" w:eastAsiaTheme="minorEastAsia" w:hAnsi="Arial"/>
      <w:sz w:val="20"/>
      <w:szCs w:val="20"/>
      <w:lang w:val="en-US" w:eastAsia="en-AU" w:bidi="th-TH"/>
    </w:r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4A22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4A22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4A22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A22FF"/>
    <w:pPr>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A22FF"/>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4A22FF"/>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A22FF"/>
    <w:pPr>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vel1">
    <w:name w:val="Table Header Level 1"/>
    <w:basedOn w:val="Normal"/>
    <w:semiHidden/>
    <w:rsid w:val="004A22FF"/>
    <w:pPr>
      <w:spacing w:line="260" w:lineRule="atLeast"/>
      <w:jc w:val="center"/>
    </w:pPr>
    <w:rPr>
      <w:b/>
      <w:sz w:val="18"/>
      <w:szCs w:val="18"/>
      <w:lang w:val="en-AU" w:eastAsia="en-US"/>
    </w:rPr>
  </w:style>
  <w:style w:type="paragraph" w:styleId="TableofFigures">
    <w:name w:val="table of figures"/>
    <w:basedOn w:val="Normal"/>
    <w:next w:val="Normal"/>
    <w:semiHidden/>
    <w:rsid w:val="004A22FF"/>
    <w:pPr>
      <w:spacing w:line="260" w:lineRule="atLeast"/>
    </w:pPr>
    <w:rPr>
      <w:rFonts w:ascii="Times New Roman" w:hAnsi="Times New Roman"/>
      <w:sz w:val="22"/>
      <w:szCs w:val="20"/>
      <w:lang w:val="en-AU" w:eastAsia="en-US"/>
    </w:rPr>
  </w:style>
  <w:style w:type="paragraph" w:customStyle="1" w:styleId="TableParagraph">
    <w:name w:val="Table Paragraph"/>
    <w:basedOn w:val="Normal"/>
    <w:uiPriority w:val="1"/>
    <w:qFormat/>
    <w:rsid w:val="004A22FF"/>
    <w:pPr>
      <w:widowControl w:val="0"/>
      <w:autoSpaceDE w:val="0"/>
      <w:autoSpaceDN w:val="0"/>
    </w:pPr>
    <w:rPr>
      <w:rFonts w:ascii="Calibri" w:eastAsia="Calibri" w:hAnsi="Calibri" w:cs="Calibri"/>
      <w:sz w:val="22"/>
      <w:szCs w:val="22"/>
      <w:lang w:eastAsia="en-US"/>
    </w:rPr>
  </w:style>
  <w:style w:type="paragraph" w:customStyle="1" w:styleId="TableTitle">
    <w:name w:val="Table Title"/>
    <w:basedOn w:val="BodyText"/>
    <w:rsid w:val="004A22FF"/>
    <w:pPr>
      <w:ind w:left="0"/>
    </w:pPr>
    <w:rPr>
      <w:rFonts w:eastAsiaTheme="minorHAnsi" w:cstheme="minorBidi"/>
      <w:b/>
      <w:color w:val="6B2876" w:themeColor="text1"/>
      <w:szCs w:val="24"/>
    </w:rPr>
  </w:style>
  <w:style w:type="paragraph" w:styleId="Title">
    <w:name w:val="Title"/>
    <w:basedOn w:val="Normal"/>
    <w:next w:val="Normal"/>
    <w:link w:val="TitleChar"/>
    <w:uiPriority w:val="10"/>
    <w:rsid w:val="001E64EA"/>
    <w:pPr>
      <w:spacing w:after="0" w:line="240" w:lineRule="auto"/>
      <w:contextualSpacing/>
    </w:pPr>
    <w:rPr>
      <w:rFonts w:asciiTheme="majorHAnsi" w:eastAsiaTheme="majorEastAsia" w:hAnsiTheme="majorHAnsi" w:cstheme="majorBidi"/>
      <w:color w:val="8E359D" w:themeColor="text1" w:themeTint="D9"/>
      <w:sz w:val="96"/>
      <w:szCs w:val="96"/>
    </w:rPr>
  </w:style>
  <w:style w:type="character" w:customStyle="1" w:styleId="TitleChar">
    <w:name w:val="Title Char"/>
    <w:basedOn w:val="DefaultParagraphFont"/>
    <w:link w:val="Title"/>
    <w:uiPriority w:val="10"/>
    <w:rsid w:val="001E64EA"/>
    <w:rPr>
      <w:rFonts w:asciiTheme="majorHAnsi" w:eastAsiaTheme="majorEastAsia" w:hAnsiTheme="majorHAnsi" w:cstheme="majorBidi"/>
      <w:color w:val="8E359D" w:themeColor="text1" w:themeTint="D9"/>
      <w:sz w:val="96"/>
      <w:szCs w:val="96"/>
    </w:rPr>
  </w:style>
  <w:style w:type="paragraph" w:customStyle="1" w:styleId="TitlePage">
    <w:name w:val="Title Page"/>
    <w:basedOn w:val="Normal"/>
    <w:autoRedefine/>
    <w:rsid w:val="004A22FF"/>
    <w:pPr>
      <w:spacing w:before="1200" w:after="1200" w:line="260" w:lineRule="atLeast"/>
      <w:ind w:left="57" w:right="57"/>
      <w:jc w:val="right"/>
    </w:pPr>
    <w:rPr>
      <w:rFonts w:ascii="Times New Roman" w:hAnsi="Times New Roman"/>
      <w:b/>
      <w:bCs/>
      <w:sz w:val="48"/>
      <w:szCs w:val="20"/>
      <w:lang w:val="en-AU" w:eastAsia="en-US"/>
    </w:rPr>
  </w:style>
  <w:style w:type="paragraph" w:styleId="TOC6">
    <w:name w:val="toc 6"/>
    <w:basedOn w:val="Normal"/>
    <w:next w:val="Normal"/>
    <w:autoRedefine/>
    <w:rsid w:val="004A22FF"/>
    <w:pPr>
      <w:ind w:left="1200"/>
    </w:pPr>
    <w:rPr>
      <w:rFonts w:asciiTheme="minorHAnsi" w:hAnsiTheme="minorHAnsi" w:cstheme="minorHAnsi"/>
      <w:sz w:val="18"/>
      <w:szCs w:val="18"/>
    </w:rPr>
  </w:style>
  <w:style w:type="paragraph" w:styleId="TOC7">
    <w:name w:val="toc 7"/>
    <w:basedOn w:val="Normal"/>
    <w:next w:val="Normal"/>
    <w:autoRedefine/>
    <w:rsid w:val="004A22FF"/>
    <w:pPr>
      <w:ind w:left="1440"/>
    </w:pPr>
    <w:rPr>
      <w:rFonts w:asciiTheme="minorHAnsi" w:hAnsiTheme="minorHAnsi" w:cstheme="minorHAnsi"/>
      <w:sz w:val="18"/>
      <w:szCs w:val="18"/>
    </w:rPr>
  </w:style>
  <w:style w:type="paragraph" w:styleId="TOC8">
    <w:name w:val="toc 8"/>
    <w:basedOn w:val="Normal"/>
    <w:next w:val="Normal"/>
    <w:autoRedefine/>
    <w:rsid w:val="004A22FF"/>
    <w:pPr>
      <w:ind w:left="1680"/>
    </w:pPr>
    <w:rPr>
      <w:rFonts w:asciiTheme="minorHAnsi" w:hAnsiTheme="minorHAnsi" w:cstheme="minorHAnsi"/>
      <w:sz w:val="18"/>
      <w:szCs w:val="18"/>
    </w:rPr>
  </w:style>
  <w:style w:type="paragraph" w:styleId="TOC9">
    <w:name w:val="toc 9"/>
    <w:basedOn w:val="Normal"/>
    <w:next w:val="Normal"/>
    <w:autoRedefine/>
    <w:rsid w:val="004A22FF"/>
    <w:pPr>
      <w:ind w:left="1920"/>
    </w:pPr>
    <w:rPr>
      <w:rFonts w:asciiTheme="minorHAnsi" w:hAnsiTheme="minorHAnsi" w:cstheme="minorHAnsi"/>
      <w:sz w:val="18"/>
      <w:szCs w:val="18"/>
    </w:rPr>
  </w:style>
  <w:style w:type="paragraph" w:styleId="TOCHeading">
    <w:name w:val="TOC Heading"/>
    <w:basedOn w:val="Heading1"/>
    <w:next w:val="Normal"/>
    <w:uiPriority w:val="39"/>
    <w:unhideWhenUsed/>
    <w:qFormat/>
    <w:rsid w:val="001E64EA"/>
    <w:pPr>
      <w:keepNext/>
      <w:keepLines/>
      <w:spacing w:before="240" w:after="0"/>
      <w:outlineLvl w:val="9"/>
    </w:pPr>
    <w:rPr>
      <w:rFonts w:asciiTheme="majorHAnsi" w:hAnsiTheme="majorHAnsi" w:cstheme="majorBidi"/>
      <w:b w:val="0"/>
      <w:color w:val="501E58" w:themeColor="accent1" w:themeShade="BF"/>
      <w:sz w:val="32"/>
      <w:szCs w:val="32"/>
      <w:lang w:val="en-US"/>
    </w:rPr>
  </w:style>
  <w:style w:type="character" w:styleId="UnresolvedMention">
    <w:name w:val="Unresolved Mention"/>
    <w:basedOn w:val="DefaultParagraphFont"/>
    <w:uiPriority w:val="99"/>
    <w:semiHidden/>
    <w:unhideWhenUsed/>
    <w:rsid w:val="004A22FF"/>
    <w:rPr>
      <w:color w:val="605E5C"/>
      <w:shd w:val="clear" w:color="auto" w:fill="E1DFDD"/>
    </w:rPr>
  </w:style>
  <w:style w:type="character" w:customStyle="1" w:styleId="UnresolvedMention1">
    <w:name w:val="Unresolved Mention1"/>
    <w:basedOn w:val="DefaultParagraphFont"/>
    <w:uiPriority w:val="99"/>
    <w:unhideWhenUsed/>
    <w:rsid w:val="004A22FF"/>
    <w:rPr>
      <w:color w:val="605E5C"/>
      <w:shd w:val="clear" w:color="auto" w:fill="E1DFDD"/>
    </w:rPr>
  </w:style>
  <w:style w:type="character" w:customStyle="1" w:styleId="UnresolvedMention2">
    <w:name w:val="Unresolved Mention2"/>
    <w:basedOn w:val="DefaultParagraphFont"/>
    <w:uiPriority w:val="99"/>
    <w:unhideWhenUsed/>
    <w:rsid w:val="004A22FF"/>
    <w:rPr>
      <w:color w:val="605E5C"/>
      <w:shd w:val="clear" w:color="auto" w:fill="E1DFDD"/>
    </w:rPr>
  </w:style>
  <w:style w:type="character" w:customStyle="1" w:styleId="UnresolvedMention20">
    <w:name w:val="Unresolved Mention20"/>
    <w:basedOn w:val="DefaultParagraphFont"/>
    <w:uiPriority w:val="99"/>
    <w:unhideWhenUsed/>
    <w:rsid w:val="004A22FF"/>
    <w:rPr>
      <w:color w:val="605E5C"/>
      <w:shd w:val="clear" w:color="auto" w:fill="E1DFDD"/>
    </w:rPr>
  </w:style>
  <w:style w:type="character" w:customStyle="1" w:styleId="UnresolvedMention21">
    <w:name w:val="Unresolved Mention21"/>
    <w:basedOn w:val="DefaultParagraphFont"/>
    <w:uiPriority w:val="99"/>
    <w:unhideWhenUsed/>
    <w:rsid w:val="004A22FF"/>
    <w:rPr>
      <w:color w:val="605E5C"/>
      <w:shd w:val="clear" w:color="auto" w:fill="E1DFDD"/>
    </w:rPr>
  </w:style>
  <w:style w:type="character" w:customStyle="1" w:styleId="UnresolvedMention3">
    <w:name w:val="Unresolved Mention3"/>
    <w:basedOn w:val="DefaultParagraphFont"/>
    <w:uiPriority w:val="99"/>
    <w:unhideWhenUsed/>
    <w:rsid w:val="004A22FF"/>
    <w:rPr>
      <w:color w:val="605E5C"/>
      <w:shd w:val="clear" w:color="auto" w:fill="E1DFDD"/>
    </w:rPr>
  </w:style>
  <w:style w:type="character" w:customStyle="1" w:styleId="UnresolvedMention4">
    <w:name w:val="Unresolved Mention4"/>
    <w:basedOn w:val="DefaultParagraphFont"/>
    <w:uiPriority w:val="99"/>
    <w:unhideWhenUsed/>
    <w:rsid w:val="004A22FF"/>
    <w:rPr>
      <w:color w:val="605E5C"/>
      <w:shd w:val="clear" w:color="auto" w:fill="E1DFDD"/>
    </w:rPr>
  </w:style>
  <w:style w:type="character" w:customStyle="1" w:styleId="UnresolvedMention5">
    <w:name w:val="Unresolved Mention5"/>
    <w:basedOn w:val="DefaultParagraphFont"/>
    <w:uiPriority w:val="99"/>
    <w:unhideWhenUsed/>
    <w:rsid w:val="004A22FF"/>
    <w:rPr>
      <w:color w:val="605E5C"/>
      <w:shd w:val="clear" w:color="auto" w:fill="E1DFDD"/>
    </w:rPr>
  </w:style>
  <w:style w:type="table" w:customStyle="1" w:styleId="WISDOMTable2">
    <w:name w:val="WISDOM Table2"/>
    <w:basedOn w:val="TableNormal"/>
    <w:next w:val="TableGrid"/>
    <w:uiPriority w:val="39"/>
    <w:rsid w:val="004A22FF"/>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ntents">
    <w:name w:val="zcontents"/>
    <w:basedOn w:val="Normal"/>
    <w:semiHidden/>
    <w:rsid w:val="004A22FF"/>
    <w:pPr>
      <w:spacing w:after="260"/>
    </w:pPr>
    <w:rPr>
      <w:rFonts w:ascii="Times New Roman" w:hAnsi="Times New Roman"/>
      <w:b/>
      <w:sz w:val="32"/>
      <w:szCs w:val="20"/>
      <w:lang w:val="en-AU" w:eastAsia="en-US"/>
    </w:rPr>
  </w:style>
  <w:style w:type="table" w:customStyle="1" w:styleId="GridTable2-Accent312">
    <w:name w:val="Grid Table 2 - Accent 312"/>
    <w:basedOn w:val="TableNormal"/>
    <w:next w:val="GridTable2-Accent3"/>
    <w:uiPriority w:val="47"/>
    <w:rsid w:val="00207E1C"/>
    <w:rPr>
      <w:rFonts w:ascii="Calibri" w:eastAsia="Calibri" w:hAnsi="Calibri" w:cs="Cordia New"/>
      <w:sz w:val="22"/>
      <w:szCs w:val="22"/>
      <w:lang w:eastAsia="en-US"/>
    </w:rPr>
    <w:tblPr>
      <w:tblStyleRowBandSize w:val="1"/>
      <w:tblStyleColBandSize w:val="1"/>
      <w:tblBorders>
        <w:top w:val="single" w:sz="4" w:space="0" w:color="BFBFBF"/>
        <w:bottom w:val="single" w:sz="4" w:space="0" w:color="BFBFBF"/>
        <w:insideH w:val="single" w:sz="4" w:space="0" w:color="BFBFBF"/>
        <w:insideV w:val="single" w:sz="4" w:space="0" w:color="BFBFBF"/>
      </w:tblBorders>
    </w:tblPr>
    <w:tblStylePr w:type="firstRow">
      <w:rPr>
        <w:rFonts w:ascii="Arial" w:hAnsi="Arial"/>
        <w:b/>
        <w:bCs/>
        <w:color w:val="FFFFFF"/>
        <w:sz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Horz">
      <w:tblPr/>
      <w:tcPr>
        <w:shd w:val="clear" w:color="auto" w:fill="EDEDED"/>
      </w:tcPr>
    </w:tblStylePr>
  </w:style>
  <w:style w:type="table" w:customStyle="1" w:styleId="GridTable2-Accent313">
    <w:name w:val="Grid Table 2 - Accent 313"/>
    <w:basedOn w:val="TableNormal"/>
    <w:next w:val="GridTable2-Accent3"/>
    <w:uiPriority w:val="47"/>
    <w:rsid w:val="00207E1C"/>
    <w:rPr>
      <w:rFonts w:ascii="Calibri" w:eastAsia="Calibri" w:hAnsi="Calibri" w:cs="Cordia New"/>
      <w:sz w:val="22"/>
      <w:szCs w:val="22"/>
      <w:lang w:eastAsia="en-US"/>
    </w:rPr>
    <w:tblPr>
      <w:tblStyleRowBandSize w:val="1"/>
      <w:tblStyleColBandSize w:val="1"/>
      <w:tblBorders>
        <w:top w:val="single" w:sz="4" w:space="0" w:color="BFBFBF"/>
        <w:bottom w:val="single" w:sz="4" w:space="0" w:color="BFBFBF"/>
        <w:insideH w:val="single" w:sz="4" w:space="0" w:color="BFBFBF"/>
        <w:insideV w:val="single" w:sz="4" w:space="0" w:color="BFBFBF"/>
      </w:tblBorders>
    </w:tblPr>
    <w:tblStylePr w:type="firstRow">
      <w:rPr>
        <w:rFonts w:ascii="Arial" w:hAnsi="Arial"/>
        <w:b/>
        <w:bCs/>
        <w:color w:val="FFFFFF"/>
        <w:sz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Horz">
      <w:tblPr/>
      <w:tcPr>
        <w:shd w:val="clear" w:color="auto" w:fill="EDEDED"/>
      </w:tcPr>
    </w:tblStylePr>
  </w:style>
  <w:style w:type="table" w:customStyle="1" w:styleId="GridTable2-Accent314">
    <w:name w:val="Grid Table 2 - Accent 314"/>
    <w:basedOn w:val="TableNormal"/>
    <w:next w:val="GridTable2-Accent3"/>
    <w:uiPriority w:val="47"/>
    <w:rsid w:val="00207E1C"/>
    <w:rPr>
      <w:rFonts w:ascii="Calibri" w:eastAsia="Calibri" w:hAnsi="Calibri" w:cs="Cordia New"/>
      <w:sz w:val="22"/>
      <w:szCs w:val="22"/>
      <w:lang w:eastAsia="en-US"/>
    </w:rPr>
    <w:tblPr>
      <w:tblStyleRowBandSize w:val="1"/>
      <w:tblStyleColBandSize w:val="1"/>
      <w:tblBorders>
        <w:top w:val="single" w:sz="4" w:space="0" w:color="BFBFBF"/>
        <w:bottom w:val="single" w:sz="4" w:space="0" w:color="BFBFBF"/>
        <w:insideH w:val="single" w:sz="4" w:space="0" w:color="BFBFBF"/>
        <w:insideV w:val="single" w:sz="4" w:space="0" w:color="BFBFBF"/>
      </w:tblBorders>
    </w:tblPr>
    <w:tblStylePr w:type="firstRow">
      <w:rPr>
        <w:rFonts w:ascii="Arial" w:hAnsi="Arial"/>
        <w:b/>
        <w:bCs/>
        <w:color w:val="FFFFFF"/>
        <w:sz w:val="22"/>
      </w:rPr>
      <w:tblPr/>
      <w:tcPr>
        <w:tcBorders>
          <w:top w:val="nil"/>
          <w:left w:val="nil"/>
          <w:bottom w:val="nil"/>
          <w:right w:val="nil"/>
          <w:insideH w:val="nil"/>
          <w:insideV w:val="nil"/>
          <w:tl2br w:val="nil"/>
          <w:tr2bl w:val="nil"/>
        </w:tcBorders>
        <w:shd w:val="clear" w:color="auto" w:fill="6B2976"/>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Horz">
      <w:tblPr/>
      <w:tcPr>
        <w:shd w:val="clear" w:color="auto" w:fill="EDEDED"/>
      </w:tcPr>
    </w:tblStylePr>
  </w:style>
  <w:style w:type="paragraph" w:customStyle="1" w:styleId="Style3">
    <w:name w:val="Style3"/>
    <w:basedOn w:val="TOC2"/>
    <w:rsid w:val="00F97859"/>
  </w:style>
  <w:style w:type="paragraph" w:styleId="Subtitle">
    <w:name w:val="Subtitle"/>
    <w:basedOn w:val="Normal"/>
    <w:next w:val="Normal"/>
    <w:link w:val="SubtitleChar"/>
    <w:uiPriority w:val="11"/>
    <w:rsid w:val="001E64EA"/>
    <w:pPr>
      <w:numPr>
        <w:ilvl w:val="1"/>
      </w:numPr>
      <w:spacing w:after="240"/>
    </w:pPr>
    <w:rPr>
      <w:caps/>
      <w:color w:val="A63EB7" w:themeColor="text1" w:themeTint="BF"/>
      <w:spacing w:val="20"/>
      <w:sz w:val="28"/>
      <w:szCs w:val="28"/>
    </w:rPr>
  </w:style>
  <w:style w:type="character" w:customStyle="1" w:styleId="SubtitleChar">
    <w:name w:val="Subtitle Char"/>
    <w:basedOn w:val="DefaultParagraphFont"/>
    <w:link w:val="Subtitle"/>
    <w:uiPriority w:val="11"/>
    <w:rsid w:val="001E64EA"/>
    <w:rPr>
      <w:caps/>
      <w:color w:val="A63EB7" w:themeColor="text1" w:themeTint="BF"/>
      <w:spacing w:val="20"/>
      <w:sz w:val="28"/>
      <w:szCs w:val="28"/>
    </w:rPr>
  </w:style>
  <w:style w:type="character" w:styleId="Emphasis">
    <w:name w:val="Emphasis"/>
    <w:basedOn w:val="DefaultParagraphFont"/>
    <w:uiPriority w:val="20"/>
    <w:rsid w:val="001E64EA"/>
    <w:rPr>
      <w:i/>
      <w:iCs/>
      <w:color w:val="6B2876" w:themeColor="text1"/>
    </w:rPr>
  </w:style>
  <w:style w:type="character" w:styleId="SubtleEmphasis">
    <w:name w:val="Subtle Emphasis"/>
    <w:basedOn w:val="DefaultParagraphFont"/>
    <w:uiPriority w:val="19"/>
    <w:rsid w:val="001E64EA"/>
    <w:rPr>
      <w:i/>
      <w:iCs/>
      <w:color w:val="B553C5" w:themeColor="text1" w:themeTint="A6"/>
    </w:rPr>
  </w:style>
  <w:style w:type="character" w:styleId="IntenseEmphasis">
    <w:name w:val="Intense Emphasis"/>
    <w:basedOn w:val="DefaultParagraphFont"/>
    <w:uiPriority w:val="21"/>
    <w:rsid w:val="001E64EA"/>
    <w:rPr>
      <w:b/>
      <w:bCs/>
      <w:i/>
      <w:iCs/>
      <w:caps w:val="0"/>
      <w:smallCaps w:val="0"/>
      <w:strike w:val="0"/>
      <w:dstrike w:val="0"/>
      <w:color w:val="6B2876" w:themeColor="accent2"/>
    </w:rPr>
  </w:style>
  <w:style w:type="character" w:styleId="SubtleReference">
    <w:name w:val="Subtle Reference"/>
    <w:basedOn w:val="DefaultParagraphFont"/>
    <w:uiPriority w:val="31"/>
    <w:rsid w:val="001E64EA"/>
    <w:rPr>
      <w:caps w:val="0"/>
      <w:smallCaps/>
      <w:color w:val="A63EB7" w:themeColor="text1" w:themeTint="BF"/>
      <w:spacing w:val="0"/>
      <w:u w:val="single" w:color="C57AD2" w:themeColor="text1" w:themeTint="80"/>
    </w:rPr>
  </w:style>
  <w:style w:type="character" w:styleId="IntenseReference">
    <w:name w:val="Intense Reference"/>
    <w:basedOn w:val="DefaultParagraphFont"/>
    <w:uiPriority w:val="32"/>
    <w:rsid w:val="001E64EA"/>
    <w:rPr>
      <w:b/>
      <w:bCs/>
      <w:caps w:val="0"/>
      <w:smallCaps/>
      <w:color w:val="auto"/>
      <w:spacing w:val="0"/>
      <w:u w:val="single"/>
    </w:rPr>
  </w:style>
  <w:style w:type="paragraph" w:customStyle="1" w:styleId="Style4">
    <w:name w:val="Style4"/>
    <w:basedOn w:val="TOC2"/>
    <w:qFormat/>
    <w:rsid w:val="009B121B"/>
  </w:style>
  <w:style w:type="paragraph" w:customStyle="1" w:styleId="Style5">
    <w:name w:val="Style5"/>
    <w:basedOn w:val="TOC1"/>
    <w:qFormat/>
    <w:rsid w:val="00DD7649"/>
    <w:pPr>
      <w:spacing w:before="120"/>
    </w:pPr>
    <w:rPr>
      <w:rFonts w:ascii="Arial Bold" w:hAnsi="Arial Bold"/>
      <w:b w:val="0"/>
    </w:rPr>
  </w:style>
  <w:style w:type="paragraph" w:customStyle="1" w:styleId="Style6">
    <w:name w:val="Style6"/>
    <w:basedOn w:val="Style4"/>
    <w:qFormat/>
    <w:rsid w:val="00DD7649"/>
  </w:style>
  <w:style w:type="paragraph" w:customStyle="1" w:styleId="Style7">
    <w:name w:val="Style7"/>
    <w:basedOn w:val="TOC2"/>
    <w:qFormat/>
    <w:rsid w:val="00DD7649"/>
  </w:style>
  <w:style w:type="paragraph" w:customStyle="1" w:styleId="Style8">
    <w:name w:val="Style8"/>
    <w:basedOn w:val="TOC2"/>
    <w:qFormat/>
    <w:rsid w:val="00DD7649"/>
    <w:pPr>
      <w:tabs>
        <w:tab w:val="left" w:pos="720"/>
      </w:tabs>
    </w:pPr>
  </w:style>
  <w:style w:type="paragraph" w:customStyle="1" w:styleId="Style9">
    <w:name w:val="Style9"/>
    <w:basedOn w:val="TOC2"/>
    <w:qFormat/>
    <w:rsid w:val="00DD7649"/>
    <w:pPr>
      <w:tabs>
        <w:tab w:val="left" w:pos="720"/>
      </w:tabs>
    </w:pPr>
  </w:style>
  <w:style w:type="paragraph" w:customStyle="1" w:styleId="Style10">
    <w:name w:val="Style10"/>
    <w:basedOn w:val="Style6"/>
    <w:qFormat/>
    <w:rsid w:val="00B34461"/>
  </w:style>
  <w:style w:type="paragraph" w:customStyle="1" w:styleId="Style11">
    <w:name w:val="Style11"/>
    <w:basedOn w:val="Style9"/>
    <w:next w:val="Style10"/>
    <w:qFormat/>
    <w:rsid w:val="00B34461"/>
  </w:style>
  <w:style w:type="paragraph" w:customStyle="1" w:styleId="Style12">
    <w:name w:val="Style12"/>
    <w:basedOn w:val="Style8"/>
    <w:next w:val="Style10"/>
    <w:qFormat/>
    <w:rsid w:val="00B34461"/>
  </w:style>
  <w:style w:type="paragraph" w:customStyle="1" w:styleId="Style13">
    <w:name w:val="Style13"/>
    <w:basedOn w:val="TOC2"/>
    <w:next w:val="Style10"/>
    <w:qFormat/>
    <w:rsid w:val="00846573"/>
  </w:style>
  <w:style w:type="character" w:customStyle="1" w:styleId="ListParagraphChar">
    <w:name w:val="List Paragraph Char"/>
    <w:aliases w:val="NFP GP Bulleted List Char,List Paragraph1 Char,Recommendation Char,List Paragraph11 Char,List Paragraph2 Char,L Char,AR bullet 1 Char,List Paragraph Number Char,Bullet point Char,Content descriptions Char,Bullet Point Char"/>
    <w:basedOn w:val="DefaultParagraphFont"/>
    <w:link w:val="ListParagraph"/>
    <w:uiPriority w:val="34"/>
    <w:qFormat/>
    <w:locked/>
    <w:rsid w:val="00DB72C3"/>
    <w:rPr>
      <w:rFonts w:ascii="Arial" w:hAnsi="Arial"/>
      <w:sz w:val="24"/>
      <w:szCs w:val="24"/>
      <w:lang w:val="en-US" w:eastAsia="ja-JP"/>
    </w:rPr>
  </w:style>
  <w:style w:type="character" w:customStyle="1" w:styleId="superscript">
    <w:name w:val="superscript"/>
    <w:basedOn w:val="DefaultParagraphFont"/>
    <w:rsid w:val="00AE4748"/>
  </w:style>
  <w:style w:type="paragraph" w:customStyle="1" w:styleId="xmsonormal">
    <w:name w:val="x_msonormal"/>
    <w:basedOn w:val="Normal"/>
    <w:rsid w:val="00AB1F5B"/>
    <w:pPr>
      <w:spacing w:after="0" w:line="240" w:lineRule="auto"/>
    </w:pPr>
    <w:rPr>
      <w:rFonts w:ascii="Calibri" w:eastAsiaTheme="minorHAnsi" w:hAnsi="Calibri" w:cs="Calibri"/>
      <w:sz w:val="22"/>
      <w:szCs w:val="22"/>
      <w:lang w:val="en-AU" w:eastAsia="en-AU"/>
    </w:rPr>
  </w:style>
  <w:style w:type="paragraph" w:customStyle="1" w:styleId="Style14">
    <w:name w:val="Style14"/>
    <w:basedOn w:val="TOC3"/>
    <w:link w:val="Style14Char"/>
    <w:qFormat/>
    <w:rsid w:val="00031F0D"/>
  </w:style>
  <w:style w:type="character" w:customStyle="1" w:styleId="TOC3Char">
    <w:name w:val="TOC 3 Char"/>
    <w:basedOn w:val="DefaultParagraphFont"/>
    <w:link w:val="TOC3"/>
    <w:uiPriority w:val="39"/>
    <w:rsid w:val="00547104"/>
    <w:rPr>
      <w:rFonts w:ascii="Arial" w:hAnsi="Arial" w:cstheme="minorHAnsi"/>
      <w:noProof/>
      <w:sz w:val="22"/>
      <w:szCs w:val="22"/>
      <w:lang w:val="en-US" w:eastAsia="ja-JP"/>
    </w:rPr>
  </w:style>
  <w:style w:type="character" w:customStyle="1" w:styleId="Style14Char">
    <w:name w:val="Style14 Char"/>
    <w:basedOn w:val="TOC3Char"/>
    <w:link w:val="Style14"/>
    <w:rsid w:val="00031F0D"/>
    <w:rPr>
      <w:rFonts w:ascii="Arial" w:hAnsi="Arial" w:cstheme="minorHAnsi"/>
      <w:noProof/>
      <w:sz w:val="22"/>
      <w:szCs w:val="22"/>
      <w:lang w:val="en-US" w:eastAsia="ja-JP"/>
    </w:rPr>
  </w:style>
  <w:style w:type="paragraph" w:customStyle="1" w:styleId="xmsolistparagraph">
    <w:name w:val="x_msolistparagraph"/>
    <w:basedOn w:val="Normal"/>
    <w:rsid w:val="00A76F0A"/>
    <w:pPr>
      <w:spacing w:after="0" w:line="240" w:lineRule="auto"/>
      <w:ind w:left="720"/>
    </w:pPr>
    <w:rPr>
      <w:rFonts w:ascii="Calibri" w:eastAsiaTheme="minorHAnsi" w:hAnsi="Calibri" w:cs="Calibri"/>
      <w:sz w:val="22"/>
      <w:szCs w:val="22"/>
      <w:lang w:val="en-AU" w:eastAsia="en-AU"/>
    </w:rPr>
  </w:style>
  <w:style w:type="character" w:customStyle="1" w:styleId="ui-provider">
    <w:name w:val="ui-provider"/>
    <w:basedOn w:val="DefaultParagraphFont"/>
    <w:rsid w:val="007138E2"/>
  </w:style>
  <w:style w:type="paragraph" w:customStyle="1" w:styleId="TalkingPoints">
    <w:name w:val="Talking Points"/>
    <w:basedOn w:val="ListParagraph"/>
    <w:link w:val="TalkingPointsChar"/>
    <w:qFormat/>
    <w:rsid w:val="00111D5B"/>
    <w:pPr>
      <w:numPr>
        <w:numId w:val="32"/>
      </w:numPr>
      <w:spacing w:before="60" w:after="60" w:line="240" w:lineRule="auto"/>
      <w:contextualSpacing w:val="0"/>
      <w:textAlignment w:val="baseline"/>
    </w:pPr>
    <w:rPr>
      <w:rFonts w:eastAsia="Times New Roman" w:cs="Calibri"/>
      <w:sz w:val="28"/>
      <w:szCs w:val="28"/>
      <w:lang w:val="en-AU" w:eastAsia="zh-CN" w:bidi="th-TH"/>
    </w:rPr>
  </w:style>
  <w:style w:type="character" w:customStyle="1" w:styleId="TalkingPointsChar">
    <w:name w:val="Talking Points Char"/>
    <w:basedOn w:val="DefaultParagraphFont"/>
    <w:link w:val="TalkingPoints"/>
    <w:rsid w:val="00111D5B"/>
    <w:rPr>
      <w:rFonts w:ascii="Arial" w:eastAsia="Times New Roman" w:hAnsi="Arial" w:cs="Calibri"/>
      <w:sz w:val="28"/>
      <w:szCs w:val="28"/>
      <w:lang w:eastAsia="zh-CN" w:bidi="th-TH"/>
    </w:rPr>
  </w:style>
  <w:style w:type="paragraph" w:styleId="Revision">
    <w:name w:val="Revision"/>
    <w:hidden/>
    <w:uiPriority w:val="99"/>
    <w:semiHidden/>
    <w:rsid w:val="003D2781"/>
    <w:rPr>
      <w:rFonts w:ascii="Arial" w:hAnsi="Arial"/>
      <w:sz w:val="24"/>
      <w:szCs w:val="24"/>
      <w:lang w:val="en-US" w:eastAsia="ja-JP"/>
    </w:rPr>
  </w:style>
  <w:style w:type="numbering" w:customStyle="1" w:styleId="NoList1">
    <w:name w:val="No List1"/>
    <w:next w:val="NoList"/>
    <w:uiPriority w:val="99"/>
    <w:semiHidden/>
    <w:unhideWhenUsed/>
    <w:rsid w:val="00463D81"/>
  </w:style>
  <w:style w:type="table" w:customStyle="1" w:styleId="TableGrid4">
    <w:name w:val="Table Grid4"/>
    <w:basedOn w:val="TableNormal"/>
    <w:next w:val="TableGrid"/>
    <w:uiPriority w:val="39"/>
    <w:rsid w:val="00463D81"/>
    <w:pPr>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rsid w:val="00463D81"/>
    <w:pPr>
      <w:pBdr>
        <w:top w:val="single" w:sz="6" w:space="1" w:color="auto"/>
      </w:pBdr>
      <w:spacing w:after="0" w:line="260" w:lineRule="atLeast"/>
      <w:jc w:val="center"/>
    </w:pPr>
    <w:rPr>
      <w:rFonts w:eastAsia="Times New Roman" w:cs="Arial"/>
      <w:vanish/>
      <w:sz w:val="16"/>
      <w:szCs w:val="16"/>
      <w:lang w:val="en-AU" w:eastAsia="en-US"/>
    </w:rPr>
  </w:style>
  <w:style w:type="character" w:customStyle="1" w:styleId="z-BottomofFormChar">
    <w:name w:val="z-Bottom of Form Char"/>
    <w:basedOn w:val="DefaultParagraphFont"/>
    <w:link w:val="z-BottomofForm"/>
    <w:rsid w:val="00463D81"/>
    <w:rPr>
      <w:rFonts w:ascii="Arial" w:eastAsia="Times New Roman" w:hAnsi="Arial" w:cs="Arial"/>
      <w:vanish/>
      <w:sz w:val="16"/>
      <w:szCs w:val="16"/>
      <w:lang w:eastAsia="en-US"/>
    </w:rPr>
  </w:style>
  <w:style w:type="paragraph" w:styleId="z-TopofForm">
    <w:name w:val="HTML Top of Form"/>
    <w:basedOn w:val="Normal"/>
    <w:next w:val="Normal"/>
    <w:link w:val="z-TopofFormChar"/>
    <w:hidden/>
    <w:rsid w:val="00463D81"/>
    <w:pPr>
      <w:pBdr>
        <w:bottom w:val="single" w:sz="6" w:space="1" w:color="auto"/>
      </w:pBdr>
      <w:spacing w:after="0" w:line="260" w:lineRule="atLeast"/>
      <w:jc w:val="center"/>
    </w:pPr>
    <w:rPr>
      <w:rFonts w:eastAsia="Times New Roman" w:cs="Arial"/>
      <w:vanish/>
      <w:sz w:val="16"/>
      <w:szCs w:val="16"/>
      <w:lang w:val="en-AU" w:eastAsia="en-US"/>
    </w:rPr>
  </w:style>
  <w:style w:type="character" w:customStyle="1" w:styleId="z-TopofFormChar">
    <w:name w:val="z-Top of Form Char"/>
    <w:basedOn w:val="DefaultParagraphFont"/>
    <w:link w:val="z-TopofForm"/>
    <w:rsid w:val="00463D81"/>
    <w:rPr>
      <w:rFonts w:ascii="Arial" w:eastAsia="Times New Roman" w:hAnsi="Arial" w:cs="Arial"/>
      <w:vanish/>
      <w:sz w:val="16"/>
      <w:szCs w:val="16"/>
      <w:lang w:eastAsia="en-US"/>
    </w:rPr>
  </w:style>
  <w:style w:type="numbering" w:customStyle="1" w:styleId="CurrentList12">
    <w:name w:val="Current List12"/>
    <w:rsid w:val="00463D81"/>
    <w:pPr>
      <w:numPr>
        <w:numId w:val="36"/>
      </w:numPr>
    </w:pPr>
  </w:style>
  <w:style w:type="numbering" w:customStyle="1" w:styleId="Style22">
    <w:name w:val="Style22"/>
    <w:rsid w:val="00463D81"/>
    <w:pPr>
      <w:numPr>
        <w:numId w:val="3"/>
      </w:numPr>
    </w:pPr>
  </w:style>
  <w:style w:type="numbering" w:customStyle="1" w:styleId="CurrentList22">
    <w:name w:val="Current List22"/>
    <w:rsid w:val="00463D81"/>
    <w:pPr>
      <w:numPr>
        <w:numId w:val="37"/>
      </w:numPr>
    </w:pPr>
  </w:style>
  <w:style w:type="table" w:customStyle="1" w:styleId="TableGrid13">
    <w:name w:val="Table Grid13"/>
    <w:basedOn w:val="TableNormal"/>
    <w:next w:val="TableGrid"/>
    <w:rsid w:val="00463D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3">
    <w:name w:val="Light Shading13"/>
    <w:basedOn w:val="TableNormal"/>
    <w:uiPriority w:val="60"/>
    <w:rsid w:val="00463D81"/>
    <w:rPr>
      <w:rFonts w:ascii="Calibri" w:eastAsia="Calibri" w:hAnsi="Calibri" w:cs="Cordia New"/>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next w:val="TableGrid"/>
    <w:uiPriority w:val="59"/>
    <w:rsid w:val="00463D81"/>
    <w:rPr>
      <w:rFonts w:ascii="Calibri" w:eastAsia="SimSun" w:hAnsi="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NoNumbering">
    <w:name w:val="Style 3 - No Numbering"/>
    <w:basedOn w:val="FGCHEADING3"/>
    <w:link w:val="Style3-NoNumberingChar"/>
    <w:qFormat/>
    <w:rsid w:val="00945B30"/>
    <w:pPr>
      <w:numPr>
        <w:ilvl w:val="0"/>
        <w:numId w:val="0"/>
      </w:numPr>
      <w:ind w:left="646"/>
    </w:pPr>
  </w:style>
  <w:style w:type="character" w:customStyle="1" w:styleId="FGCHEADING3Char">
    <w:name w:val="FGC_HEADING_3 Char"/>
    <w:basedOn w:val="Heading3Char"/>
    <w:link w:val="FGCHEADING3"/>
    <w:rsid w:val="00843D4E"/>
    <w:rPr>
      <w:rFonts w:ascii="Arial Bold" w:eastAsia="Georgia" w:hAnsi="Arial Bold" w:cs="Arial"/>
      <w:b/>
      <w:color w:val="6A2875"/>
      <w:sz w:val="30"/>
      <w:szCs w:val="28"/>
      <w:lang w:val="en-US" w:eastAsia="en-US"/>
    </w:rPr>
  </w:style>
  <w:style w:type="character" w:customStyle="1" w:styleId="Style3-NoNumberingChar">
    <w:name w:val="Style 3 - No Numbering Char"/>
    <w:basedOn w:val="FGCHEADING3Char"/>
    <w:link w:val="Style3-NoNumbering"/>
    <w:rsid w:val="00945B30"/>
    <w:rPr>
      <w:rFonts w:ascii="Arial Bold" w:eastAsia="Georgia" w:hAnsi="Arial Bold" w:cs="Arial"/>
      <w:b/>
      <w:color w:val="6A2875"/>
      <w:sz w:val="30"/>
      <w:szCs w:val="28"/>
      <w:lang w:val="en-US" w:eastAsia="en-US"/>
    </w:rPr>
  </w:style>
  <w:style w:type="table" w:customStyle="1" w:styleId="FSRtable11">
    <w:name w:val="FSR table11"/>
    <w:basedOn w:val="TableNormal"/>
    <w:uiPriority w:val="99"/>
    <w:rsid w:val="001F75CD"/>
    <w:pPr>
      <w:keepLines/>
      <w:jc w:val="right"/>
    </w:pPr>
    <w:rPr>
      <w:rFonts w:ascii="Arial" w:eastAsia="Yu Mincho" w:hAnsi="Arial" w:cs="Arial"/>
      <w:sz w:val="22"/>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 w:type="numbering" w:customStyle="1" w:styleId="NoList2">
    <w:name w:val="No List2"/>
    <w:next w:val="NoList"/>
    <w:uiPriority w:val="99"/>
    <w:semiHidden/>
    <w:unhideWhenUsed/>
    <w:rsid w:val="00F2518A"/>
  </w:style>
  <w:style w:type="table" w:customStyle="1" w:styleId="TableGrid5">
    <w:name w:val="Table Grid5"/>
    <w:basedOn w:val="TableNormal"/>
    <w:next w:val="TableGrid"/>
    <w:uiPriority w:val="39"/>
    <w:rsid w:val="00F2518A"/>
    <w:pPr>
      <w:spacing w:line="260" w:lineRule="atLeas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3">
    <w:name w:val="Current List13"/>
    <w:rsid w:val="00F2518A"/>
  </w:style>
  <w:style w:type="numbering" w:customStyle="1" w:styleId="Style23">
    <w:name w:val="Style23"/>
    <w:rsid w:val="00F2518A"/>
  </w:style>
  <w:style w:type="numbering" w:customStyle="1" w:styleId="CurrentList23">
    <w:name w:val="Current List23"/>
    <w:rsid w:val="00F2518A"/>
  </w:style>
  <w:style w:type="table" w:customStyle="1" w:styleId="TableGrid14">
    <w:name w:val="Table Grid14"/>
    <w:basedOn w:val="TableNormal"/>
    <w:next w:val="TableGrid"/>
    <w:rsid w:val="00F251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F2518A"/>
    <w:rPr>
      <w:rFonts w:ascii="Calibri" w:eastAsia="Calibri" w:hAnsi="Calibri" w:cs="Cordia New"/>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4">
    <w:name w:val="Table Grid24"/>
    <w:basedOn w:val="TableNormal"/>
    <w:next w:val="TableGrid"/>
    <w:uiPriority w:val="59"/>
    <w:rsid w:val="00F2518A"/>
    <w:rPr>
      <w:rFonts w:ascii="Calibri" w:eastAsia="SimSun" w:hAnsi="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
    <w:name w:val="Style15"/>
    <w:basedOn w:val="SubHeading"/>
    <w:qFormat/>
    <w:rsid w:val="00B53E15"/>
    <w:pPr>
      <w:numPr>
        <w:numId w:val="46"/>
      </w:numPr>
    </w:pPr>
  </w:style>
  <w:style w:type="paragraph" w:customStyle="1" w:styleId="AddressBlock">
    <w:name w:val="Address Block"/>
    <w:basedOn w:val="Normal"/>
    <w:qFormat/>
    <w:rsid w:val="007D3AA6"/>
    <w:pPr>
      <w:spacing w:after="0" w:line="300" w:lineRule="atLeast"/>
    </w:pPr>
    <w:rPr>
      <w:rFonts w:eastAsia="Times New Roman"/>
      <w:sz w:val="20"/>
      <w:szCs w:val="20"/>
      <w:lang w:val="en-AU" w:eastAsia="en-US"/>
    </w:rPr>
  </w:style>
  <w:style w:type="character" w:customStyle="1" w:styleId="scxw34398629">
    <w:name w:val="scxw34398629"/>
    <w:basedOn w:val="DefaultParagraphFont"/>
    <w:rsid w:val="00491490"/>
  </w:style>
  <w:style w:type="character" w:customStyle="1" w:styleId="scxw267793510">
    <w:name w:val="scxw267793510"/>
    <w:basedOn w:val="DefaultParagraphFont"/>
    <w:rsid w:val="000C257E"/>
  </w:style>
  <w:style w:type="table" w:customStyle="1" w:styleId="FSRtable12">
    <w:name w:val="FSR table12"/>
    <w:basedOn w:val="TableNormal"/>
    <w:uiPriority w:val="99"/>
    <w:rsid w:val="005956CC"/>
    <w:pPr>
      <w:keepLines/>
      <w:jc w:val="right"/>
    </w:pPr>
    <w:rPr>
      <w:rFonts w:ascii="Arial" w:eastAsia="Yu Mincho" w:hAnsi="Arial" w:cs="Arial"/>
      <w:sz w:val="22"/>
      <w:szCs w:val="28"/>
      <w:lang w:eastAsia="zh-CN" w:bidi="th-TH"/>
    </w:rPr>
    <w:tblPr>
      <w:tblStyleRowBandSize w:val="1"/>
      <w:tblInd w:w="0" w:type="nil"/>
      <w:tblBorders>
        <w:top w:val="single" w:sz="4" w:space="0" w:color="auto"/>
        <w:bottom w:val="single" w:sz="4" w:space="0" w:color="auto"/>
      </w:tblBorders>
    </w:tblPr>
    <w:tcPr>
      <w:vAlign w:val="center"/>
    </w:tcPr>
    <w:tblStylePr w:type="firstRow">
      <w:rPr>
        <w:rFonts w:ascii="Arial" w:hAnsi="Arial" w:cs="Arial" w:hint="default"/>
        <w:b/>
        <w:color w:val="FFFFFF"/>
      </w:rPr>
      <w:tblPr/>
      <w:tcPr>
        <w:shd w:val="clear" w:color="auto" w:fill="6B2976"/>
      </w:tcPr>
    </w:tblStylePr>
    <w:tblStylePr w:type="firstCol">
      <w:pPr>
        <w:jc w:val="left"/>
      </w:pPr>
    </w:tblStylePr>
    <w:tblStylePr w:type="band2Horz">
      <w:pPr>
        <w:keepLines/>
        <w:widowControl/>
        <w:suppressLineNumbers w:val="0"/>
        <w:wordWrap/>
      </w:pPr>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0147">
      <w:bodyDiv w:val="1"/>
      <w:marLeft w:val="0"/>
      <w:marRight w:val="0"/>
      <w:marTop w:val="0"/>
      <w:marBottom w:val="0"/>
      <w:divBdr>
        <w:top w:val="none" w:sz="0" w:space="0" w:color="auto"/>
        <w:left w:val="none" w:sz="0" w:space="0" w:color="auto"/>
        <w:bottom w:val="none" w:sz="0" w:space="0" w:color="auto"/>
        <w:right w:val="none" w:sz="0" w:space="0" w:color="auto"/>
      </w:divBdr>
    </w:div>
    <w:div w:id="69429783">
      <w:bodyDiv w:val="1"/>
      <w:marLeft w:val="0"/>
      <w:marRight w:val="0"/>
      <w:marTop w:val="0"/>
      <w:marBottom w:val="0"/>
      <w:divBdr>
        <w:top w:val="none" w:sz="0" w:space="0" w:color="auto"/>
        <w:left w:val="none" w:sz="0" w:space="0" w:color="auto"/>
        <w:bottom w:val="none" w:sz="0" w:space="0" w:color="auto"/>
        <w:right w:val="none" w:sz="0" w:space="0" w:color="auto"/>
      </w:divBdr>
    </w:div>
    <w:div w:id="111442588">
      <w:bodyDiv w:val="1"/>
      <w:marLeft w:val="0"/>
      <w:marRight w:val="0"/>
      <w:marTop w:val="0"/>
      <w:marBottom w:val="0"/>
      <w:divBdr>
        <w:top w:val="none" w:sz="0" w:space="0" w:color="auto"/>
        <w:left w:val="none" w:sz="0" w:space="0" w:color="auto"/>
        <w:bottom w:val="none" w:sz="0" w:space="0" w:color="auto"/>
        <w:right w:val="none" w:sz="0" w:space="0" w:color="auto"/>
      </w:divBdr>
    </w:div>
    <w:div w:id="188759842">
      <w:bodyDiv w:val="1"/>
      <w:marLeft w:val="0"/>
      <w:marRight w:val="0"/>
      <w:marTop w:val="0"/>
      <w:marBottom w:val="0"/>
      <w:divBdr>
        <w:top w:val="none" w:sz="0" w:space="0" w:color="auto"/>
        <w:left w:val="none" w:sz="0" w:space="0" w:color="auto"/>
        <w:bottom w:val="none" w:sz="0" w:space="0" w:color="auto"/>
        <w:right w:val="none" w:sz="0" w:space="0" w:color="auto"/>
      </w:divBdr>
    </w:div>
    <w:div w:id="209344301">
      <w:bodyDiv w:val="1"/>
      <w:marLeft w:val="0"/>
      <w:marRight w:val="0"/>
      <w:marTop w:val="0"/>
      <w:marBottom w:val="0"/>
      <w:divBdr>
        <w:top w:val="none" w:sz="0" w:space="0" w:color="auto"/>
        <w:left w:val="none" w:sz="0" w:space="0" w:color="auto"/>
        <w:bottom w:val="none" w:sz="0" w:space="0" w:color="auto"/>
        <w:right w:val="none" w:sz="0" w:space="0" w:color="auto"/>
      </w:divBdr>
    </w:div>
    <w:div w:id="222565277">
      <w:bodyDiv w:val="1"/>
      <w:marLeft w:val="0"/>
      <w:marRight w:val="0"/>
      <w:marTop w:val="0"/>
      <w:marBottom w:val="0"/>
      <w:divBdr>
        <w:top w:val="none" w:sz="0" w:space="0" w:color="auto"/>
        <w:left w:val="none" w:sz="0" w:space="0" w:color="auto"/>
        <w:bottom w:val="none" w:sz="0" w:space="0" w:color="auto"/>
        <w:right w:val="none" w:sz="0" w:space="0" w:color="auto"/>
      </w:divBdr>
    </w:div>
    <w:div w:id="301468490">
      <w:bodyDiv w:val="1"/>
      <w:marLeft w:val="0"/>
      <w:marRight w:val="0"/>
      <w:marTop w:val="0"/>
      <w:marBottom w:val="0"/>
      <w:divBdr>
        <w:top w:val="none" w:sz="0" w:space="0" w:color="auto"/>
        <w:left w:val="none" w:sz="0" w:space="0" w:color="auto"/>
        <w:bottom w:val="none" w:sz="0" w:space="0" w:color="auto"/>
        <w:right w:val="none" w:sz="0" w:space="0" w:color="auto"/>
      </w:divBdr>
    </w:div>
    <w:div w:id="327828233">
      <w:bodyDiv w:val="1"/>
      <w:marLeft w:val="0"/>
      <w:marRight w:val="0"/>
      <w:marTop w:val="0"/>
      <w:marBottom w:val="0"/>
      <w:divBdr>
        <w:top w:val="none" w:sz="0" w:space="0" w:color="auto"/>
        <w:left w:val="none" w:sz="0" w:space="0" w:color="auto"/>
        <w:bottom w:val="none" w:sz="0" w:space="0" w:color="auto"/>
        <w:right w:val="none" w:sz="0" w:space="0" w:color="auto"/>
      </w:divBdr>
      <w:divsChild>
        <w:div w:id="336884597">
          <w:marLeft w:val="0"/>
          <w:marRight w:val="0"/>
          <w:marTop w:val="0"/>
          <w:marBottom w:val="0"/>
          <w:divBdr>
            <w:top w:val="none" w:sz="0" w:space="0" w:color="auto"/>
            <w:left w:val="none" w:sz="0" w:space="0" w:color="auto"/>
            <w:bottom w:val="none" w:sz="0" w:space="0" w:color="auto"/>
            <w:right w:val="none" w:sz="0" w:space="0" w:color="auto"/>
          </w:divBdr>
        </w:div>
        <w:div w:id="1211308299">
          <w:marLeft w:val="0"/>
          <w:marRight w:val="0"/>
          <w:marTop w:val="0"/>
          <w:marBottom w:val="0"/>
          <w:divBdr>
            <w:top w:val="none" w:sz="0" w:space="0" w:color="auto"/>
            <w:left w:val="none" w:sz="0" w:space="0" w:color="auto"/>
            <w:bottom w:val="none" w:sz="0" w:space="0" w:color="auto"/>
            <w:right w:val="none" w:sz="0" w:space="0" w:color="auto"/>
          </w:divBdr>
        </w:div>
        <w:div w:id="1466047313">
          <w:marLeft w:val="0"/>
          <w:marRight w:val="0"/>
          <w:marTop w:val="0"/>
          <w:marBottom w:val="0"/>
          <w:divBdr>
            <w:top w:val="none" w:sz="0" w:space="0" w:color="auto"/>
            <w:left w:val="none" w:sz="0" w:space="0" w:color="auto"/>
            <w:bottom w:val="none" w:sz="0" w:space="0" w:color="auto"/>
            <w:right w:val="none" w:sz="0" w:space="0" w:color="auto"/>
          </w:divBdr>
        </w:div>
        <w:div w:id="1861312340">
          <w:marLeft w:val="0"/>
          <w:marRight w:val="0"/>
          <w:marTop w:val="0"/>
          <w:marBottom w:val="0"/>
          <w:divBdr>
            <w:top w:val="none" w:sz="0" w:space="0" w:color="auto"/>
            <w:left w:val="none" w:sz="0" w:space="0" w:color="auto"/>
            <w:bottom w:val="none" w:sz="0" w:space="0" w:color="auto"/>
            <w:right w:val="none" w:sz="0" w:space="0" w:color="auto"/>
          </w:divBdr>
        </w:div>
        <w:div w:id="2062556999">
          <w:marLeft w:val="0"/>
          <w:marRight w:val="0"/>
          <w:marTop w:val="0"/>
          <w:marBottom w:val="0"/>
          <w:divBdr>
            <w:top w:val="none" w:sz="0" w:space="0" w:color="auto"/>
            <w:left w:val="none" w:sz="0" w:space="0" w:color="auto"/>
            <w:bottom w:val="none" w:sz="0" w:space="0" w:color="auto"/>
            <w:right w:val="none" w:sz="0" w:space="0" w:color="auto"/>
          </w:divBdr>
        </w:div>
      </w:divsChild>
    </w:div>
    <w:div w:id="338041418">
      <w:bodyDiv w:val="1"/>
      <w:marLeft w:val="0"/>
      <w:marRight w:val="0"/>
      <w:marTop w:val="0"/>
      <w:marBottom w:val="0"/>
      <w:divBdr>
        <w:top w:val="none" w:sz="0" w:space="0" w:color="auto"/>
        <w:left w:val="none" w:sz="0" w:space="0" w:color="auto"/>
        <w:bottom w:val="none" w:sz="0" w:space="0" w:color="auto"/>
        <w:right w:val="none" w:sz="0" w:space="0" w:color="auto"/>
      </w:divBdr>
    </w:div>
    <w:div w:id="350451388">
      <w:bodyDiv w:val="1"/>
      <w:marLeft w:val="0"/>
      <w:marRight w:val="0"/>
      <w:marTop w:val="0"/>
      <w:marBottom w:val="0"/>
      <w:divBdr>
        <w:top w:val="none" w:sz="0" w:space="0" w:color="auto"/>
        <w:left w:val="none" w:sz="0" w:space="0" w:color="auto"/>
        <w:bottom w:val="none" w:sz="0" w:space="0" w:color="auto"/>
        <w:right w:val="none" w:sz="0" w:space="0" w:color="auto"/>
      </w:divBdr>
    </w:div>
    <w:div w:id="385300790">
      <w:bodyDiv w:val="1"/>
      <w:marLeft w:val="0"/>
      <w:marRight w:val="0"/>
      <w:marTop w:val="0"/>
      <w:marBottom w:val="0"/>
      <w:divBdr>
        <w:top w:val="none" w:sz="0" w:space="0" w:color="auto"/>
        <w:left w:val="none" w:sz="0" w:space="0" w:color="auto"/>
        <w:bottom w:val="none" w:sz="0" w:space="0" w:color="auto"/>
        <w:right w:val="none" w:sz="0" w:space="0" w:color="auto"/>
      </w:divBdr>
    </w:div>
    <w:div w:id="386607698">
      <w:bodyDiv w:val="1"/>
      <w:marLeft w:val="0"/>
      <w:marRight w:val="0"/>
      <w:marTop w:val="0"/>
      <w:marBottom w:val="0"/>
      <w:divBdr>
        <w:top w:val="none" w:sz="0" w:space="0" w:color="auto"/>
        <w:left w:val="none" w:sz="0" w:space="0" w:color="auto"/>
        <w:bottom w:val="none" w:sz="0" w:space="0" w:color="auto"/>
        <w:right w:val="none" w:sz="0" w:space="0" w:color="auto"/>
      </w:divBdr>
    </w:div>
    <w:div w:id="399402052">
      <w:bodyDiv w:val="1"/>
      <w:marLeft w:val="0"/>
      <w:marRight w:val="0"/>
      <w:marTop w:val="0"/>
      <w:marBottom w:val="0"/>
      <w:divBdr>
        <w:top w:val="none" w:sz="0" w:space="0" w:color="auto"/>
        <w:left w:val="none" w:sz="0" w:space="0" w:color="auto"/>
        <w:bottom w:val="none" w:sz="0" w:space="0" w:color="auto"/>
        <w:right w:val="none" w:sz="0" w:space="0" w:color="auto"/>
      </w:divBdr>
    </w:div>
    <w:div w:id="411196650">
      <w:bodyDiv w:val="1"/>
      <w:marLeft w:val="0"/>
      <w:marRight w:val="0"/>
      <w:marTop w:val="0"/>
      <w:marBottom w:val="0"/>
      <w:divBdr>
        <w:top w:val="none" w:sz="0" w:space="0" w:color="auto"/>
        <w:left w:val="none" w:sz="0" w:space="0" w:color="auto"/>
        <w:bottom w:val="none" w:sz="0" w:space="0" w:color="auto"/>
        <w:right w:val="none" w:sz="0" w:space="0" w:color="auto"/>
      </w:divBdr>
    </w:div>
    <w:div w:id="430322032">
      <w:bodyDiv w:val="1"/>
      <w:marLeft w:val="0"/>
      <w:marRight w:val="0"/>
      <w:marTop w:val="0"/>
      <w:marBottom w:val="0"/>
      <w:divBdr>
        <w:top w:val="none" w:sz="0" w:space="0" w:color="auto"/>
        <w:left w:val="none" w:sz="0" w:space="0" w:color="auto"/>
        <w:bottom w:val="none" w:sz="0" w:space="0" w:color="auto"/>
        <w:right w:val="none" w:sz="0" w:space="0" w:color="auto"/>
      </w:divBdr>
    </w:div>
    <w:div w:id="478618771">
      <w:bodyDiv w:val="1"/>
      <w:marLeft w:val="0"/>
      <w:marRight w:val="0"/>
      <w:marTop w:val="0"/>
      <w:marBottom w:val="0"/>
      <w:divBdr>
        <w:top w:val="none" w:sz="0" w:space="0" w:color="auto"/>
        <w:left w:val="none" w:sz="0" w:space="0" w:color="auto"/>
        <w:bottom w:val="none" w:sz="0" w:space="0" w:color="auto"/>
        <w:right w:val="none" w:sz="0" w:space="0" w:color="auto"/>
      </w:divBdr>
    </w:div>
    <w:div w:id="484973704">
      <w:bodyDiv w:val="1"/>
      <w:marLeft w:val="0"/>
      <w:marRight w:val="0"/>
      <w:marTop w:val="0"/>
      <w:marBottom w:val="0"/>
      <w:divBdr>
        <w:top w:val="none" w:sz="0" w:space="0" w:color="auto"/>
        <w:left w:val="none" w:sz="0" w:space="0" w:color="auto"/>
        <w:bottom w:val="none" w:sz="0" w:space="0" w:color="auto"/>
        <w:right w:val="none" w:sz="0" w:space="0" w:color="auto"/>
      </w:divBdr>
    </w:div>
    <w:div w:id="525413591">
      <w:bodyDiv w:val="1"/>
      <w:marLeft w:val="0"/>
      <w:marRight w:val="0"/>
      <w:marTop w:val="0"/>
      <w:marBottom w:val="0"/>
      <w:divBdr>
        <w:top w:val="none" w:sz="0" w:space="0" w:color="auto"/>
        <w:left w:val="none" w:sz="0" w:space="0" w:color="auto"/>
        <w:bottom w:val="none" w:sz="0" w:space="0" w:color="auto"/>
        <w:right w:val="none" w:sz="0" w:space="0" w:color="auto"/>
      </w:divBdr>
    </w:div>
    <w:div w:id="550001023">
      <w:bodyDiv w:val="1"/>
      <w:marLeft w:val="0"/>
      <w:marRight w:val="0"/>
      <w:marTop w:val="0"/>
      <w:marBottom w:val="0"/>
      <w:divBdr>
        <w:top w:val="none" w:sz="0" w:space="0" w:color="auto"/>
        <w:left w:val="none" w:sz="0" w:space="0" w:color="auto"/>
        <w:bottom w:val="none" w:sz="0" w:space="0" w:color="auto"/>
        <w:right w:val="none" w:sz="0" w:space="0" w:color="auto"/>
      </w:divBdr>
    </w:div>
    <w:div w:id="589776043">
      <w:bodyDiv w:val="1"/>
      <w:marLeft w:val="0"/>
      <w:marRight w:val="0"/>
      <w:marTop w:val="0"/>
      <w:marBottom w:val="0"/>
      <w:divBdr>
        <w:top w:val="none" w:sz="0" w:space="0" w:color="auto"/>
        <w:left w:val="none" w:sz="0" w:space="0" w:color="auto"/>
        <w:bottom w:val="none" w:sz="0" w:space="0" w:color="auto"/>
        <w:right w:val="none" w:sz="0" w:space="0" w:color="auto"/>
      </w:divBdr>
    </w:div>
    <w:div w:id="630015043">
      <w:bodyDiv w:val="1"/>
      <w:marLeft w:val="0"/>
      <w:marRight w:val="0"/>
      <w:marTop w:val="0"/>
      <w:marBottom w:val="0"/>
      <w:divBdr>
        <w:top w:val="none" w:sz="0" w:space="0" w:color="auto"/>
        <w:left w:val="none" w:sz="0" w:space="0" w:color="auto"/>
        <w:bottom w:val="none" w:sz="0" w:space="0" w:color="auto"/>
        <w:right w:val="none" w:sz="0" w:space="0" w:color="auto"/>
      </w:divBdr>
    </w:div>
    <w:div w:id="630408437">
      <w:bodyDiv w:val="1"/>
      <w:marLeft w:val="0"/>
      <w:marRight w:val="0"/>
      <w:marTop w:val="0"/>
      <w:marBottom w:val="0"/>
      <w:divBdr>
        <w:top w:val="none" w:sz="0" w:space="0" w:color="auto"/>
        <w:left w:val="none" w:sz="0" w:space="0" w:color="auto"/>
        <w:bottom w:val="none" w:sz="0" w:space="0" w:color="auto"/>
        <w:right w:val="none" w:sz="0" w:space="0" w:color="auto"/>
      </w:divBdr>
      <w:divsChild>
        <w:div w:id="658730583">
          <w:marLeft w:val="0"/>
          <w:marRight w:val="0"/>
          <w:marTop w:val="0"/>
          <w:marBottom w:val="0"/>
          <w:divBdr>
            <w:top w:val="none" w:sz="0" w:space="0" w:color="auto"/>
            <w:left w:val="none" w:sz="0" w:space="0" w:color="auto"/>
            <w:bottom w:val="none" w:sz="0" w:space="0" w:color="auto"/>
            <w:right w:val="none" w:sz="0" w:space="0" w:color="auto"/>
          </w:divBdr>
        </w:div>
        <w:div w:id="976109301">
          <w:marLeft w:val="0"/>
          <w:marRight w:val="0"/>
          <w:marTop w:val="0"/>
          <w:marBottom w:val="0"/>
          <w:divBdr>
            <w:top w:val="none" w:sz="0" w:space="0" w:color="auto"/>
            <w:left w:val="none" w:sz="0" w:space="0" w:color="auto"/>
            <w:bottom w:val="none" w:sz="0" w:space="0" w:color="auto"/>
            <w:right w:val="none" w:sz="0" w:space="0" w:color="auto"/>
          </w:divBdr>
        </w:div>
        <w:div w:id="1256017356">
          <w:marLeft w:val="0"/>
          <w:marRight w:val="0"/>
          <w:marTop w:val="0"/>
          <w:marBottom w:val="0"/>
          <w:divBdr>
            <w:top w:val="none" w:sz="0" w:space="0" w:color="auto"/>
            <w:left w:val="none" w:sz="0" w:space="0" w:color="auto"/>
            <w:bottom w:val="none" w:sz="0" w:space="0" w:color="auto"/>
            <w:right w:val="none" w:sz="0" w:space="0" w:color="auto"/>
          </w:divBdr>
        </w:div>
      </w:divsChild>
    </w:div>
    <w:div w:id="634677316">
      <w:bodyDiv w:val="1"/>
      <w:marLeft w:val="0"/>
      <w:marRight w:val="0"/>
      <w:marTop w:val="0"/>
      <w:marBottom w:val="0"/>
      <w:divBdr>
        <w:top w:val="none" w:sz="0" w:space="0" w:color="auto"/>
        <w:left w:val="none" w:sz="0" w:space="0" w:color="auto"/>
        <w:bottom w:val="none" w:sz="0" w:space="0" w:color="auto"/>
        <w:right w:val="none" w:sz="0" w:space="0" w:color="auto"/>
      </w:divBdr>
    </w:div>
    <w:div w:id="648217815">
      <w:bodyDiv w:val="1"/>
      <w:marLeft w:val="0"/>
      <w:marRight w:val="0"/>
      <w:marTop w:val="0"/>
      <w:marBottom w:val="0"/>
      <w:divBdr>
        <w:top w:val="none" w:sz="0" w:space="0" w:color="auto"/>
        <w:left w:val="none" w:sz="0" w:space="0" w:color="auto"/>
        <w:bottom w:val="none" w:sz="0" w:space="0" w:color="auto"/>
        <w:right w:val="none" w:sz="0" w:space="0" w:color="auto"/>
      </w:divBdr>
    </w:div>
    <w:div w:id="716202882">
      <w:bodyDiv w:val="1"/>
      <w:marLeft w:val="0"/>
      <w:marRight w:val="0"/>
      <w:marTop w:val="0"/>
      <w:marBottom w:val="0"/>
      <w:divBdr>
        <w:top w:val="none" w:sz="0" w:space="0" w:color="auto"/>
        <w:left w:val="none" w:sz="0" w:space="0" w:color="auto"/>
        <w:bottom w:val="none" w:sz="0" w:space="0" w:color="auto"/>
        <w:right w:val="none" w:sz="0" w:space="0" w:color="auto"/>
      </w:divBdr>
    </w:div>
    <w:div w:id="727194677">
      <w:bodyDiv w:val="1"/>
      <w:marLeft w:val="0"/>
      <w:marRight w:val="0"/>
      <w:marTop w:val="0"/>
      <w:marBottom w:val="0"/>
      <w:divBdr>
        <w:top w:val="none" w:sz="0" w:space="0" w:color="auto"/>
        <w:left w:val="none" w:sz="0" w:space="0" w:color="auto"/>
        <w:bottom w:val="none" w:sz="0" w:space="0" w:color="auto"/>
        <w:right w:val="none" w:sz="0" w:space="0" w:color="auto"/>
      </w:divBdr>
    </w:div>
    <w:div w:id="740295088">
      <w:bodyDiv w:val="1"/>
      <w:marLeft w:val="0"/>
      <w:marRight w:val="0"/>
      <w:marTop w:val="0"/>
      <w:marBottom w:val="0"/>
      <w:divBdr>
        <w:top w:val="none" w:sz="0" w:space="0" w:color="auto"/>
        <w:left w:val="none" w:sz="0" w:space="0" w:color="auto"/>
        <w:bottom w:val="none" w:sz="0" w:space="0" w:color="auto"/>
        <w:right w:val="none" w:sz="0" w:space="0" w:color="auto"/>
      </w:divBdr>
    </w:div>
    <w:div w:id="783963141">
      <w:bodyDiv w:val="1"/>
      <w:marLeft w:val="0"/>
      <w:marRight w:val="0"/>
      <w:marTop w:val="0"/>
      <w:marBottom w:val="0"/>
      <w:divBdr>
        <w:top w:val="none" w:sz="0" w:space="0" w:color="auto"/>
        <w:left w:val="none" w:sz="0" w:space="0" w:color="auto"/>
        <w:bottom w:val="none" w:sz="0" w:space="0" w:color="auto"/>
        <w:right w:val="none" w:sz="0" w:space="0" w:color="auto"/>
      </w:divBdr>
    </w:div>
    <w:div w:id="795873181">
      <w:bodyDiv w:val="1"/>
      <w:marLeft w:val="0"/>
      <w:marRight w:val="0"/>
      <w:marTop w:val="0"/>
      <w:marBottom w:val="0"/>
      <w:divBdr>
        <w:top w:val="none" w:sz="0" w:space="0" w:color="auto"/>
        <w:left w:val="none" w:sz="0" w:space="0" w:color="auto"/>
        <w:bottom w:val="none" w:sz="0" w:space="0" w:color="auto"/>
        <w:right w:val="none" w:sz="0" w:space="0" w:color="auto"/>
      </w:divBdr>
    </w:div>
    <w:div w:id="821853322">
      <w:bodyDiv w:val="1"/>
      <w:marLeft w:val="0"/>
      <w:marRight w:val="0"/>
      <w:marTop w:val="0"/>
      <w:marBottom w:val="0"/>
      <w:divBdr>
        <w:top w:val="none" w:sz="0" w:space="0" w:color="auto"/>
        <w:left w:val="none" w:sz="0" w:space="0" w:color="auto"/>
        <w:bottom w:val="none" w:sz="0" w:space="0" w:color="auto"/>
        <w:right w:val="none" w:sz="0" w:space="0" w:color="auto"/>
      </w:divBdr>
    </w:div>
    <w:div w:id="827866147">
      <w:bodyDiv w:val="1"/>
      <w:marLeft w:val="0"/>
      <w:marRight w:val="0"/>
      <w:marTop w:val="0"/>
      <w:marBottom w:val="0"/>
      <w:divBdr>
        <w:top w:val="none" w:sz="0" w:space="0" w:color="auto"/>
        <w:left w:val="none" w:sz="0" w:space="0" w:color="auto"/>
        <w:bottom w:val="none" w:sz="0" w:space="0" w:color="auto"/>
        <w:right w:val="none" w:sz="0" w:space="0" w:color="auto"/>
      </w:divBdr>
    </w:div>
    <w:div w:id="832992594">
      <w:bodyDiv w:val="1"/>
      <w:marLeft w:val="0"/>
      <w:marRight w:val="0"/>
      <w:marTop w:val="0"/>
      <w:marBottom w:val="0"/>
      <w:divBdr>
        <w:top w:val="none" w:sz="0" w:space="0" w:color="auto"/>
        <w:left w:val="none" w:sz="0" w:space="0" w:color="auto"/>
        <w:bottom w:val="none" w:sz="0" w:space="0" w:color="auto"/>
        <w:right w:val="none" w:sz="0" w:space="0" w:color="auto"/>
      </w:divBdr>
    </w:div>
    <w:div w:id="841972121">
      <w:bodyDiv w:val="1"/>
      <w:marLeft w:val="0"/>
      <w:marRight w:val="0"/>
      <w:marTop w:val="0"/>
      <w:marBottom w:val="0"/>
      <w:divBdr>
        <w:top w:val="none" w:sz="0" w:space="0" w:color="auto"/>
        <w:left w:val="none" w:sz="0" w:space="0" w:color="auto"/>
        <w:bottom w:val="none" w:sz="0" w:space="0" w:color="auto"/>
        <w:right w:val="none" w:sz="0" w:space="0" w:color="auto"/>
      </w:divBdr>
    </w:div>
    <w:div w:id="843399492">
      <w:bodyDiv w:val="1"/>
      <w:marLeft w:val="0"/>
      <w:marRight w:val="0"/>
      <w:marTop w:val="0"/>
      <w:marBottom w:val="0"/>
      <w:divBdr>
        <w:top w:val="none" w:sz="0" w:space="0" w:color="auto"/>
        <w:left w:val="none" w:sz="0" w:space="0" w:color="auto"/>
        <w:bottom w:val="none" w:sz="0" w:space="0" w:color="auto"/>
        <w:right w:val="none" w:sz="0" w:space="0" w:color="auto"/>
      </w:divBdr>
    </w:div>
    <w:div w:id="867179576">
      <w:bodyDiv w:val="1"/>
      <w:marLeft w:val="0"/>
      <w:marRight w:val="0"/>
      <w:marTop w:val="0"/>
      <w:marBottom w:val="0"/>
      <w:divBdr>
        <w:top w:val="none" w:sz="0" w:space="0" w:color="auto"/>
        <w:left w:val="none" w:sz="0" w:space="0" w:color="auto"/>
        <w:bottom w:val="none" w:sz="0" w:space="0" w:color="auto"/>
        <w:right w:val="none" w:sz="0" w:space="0" w:color="auto"/>
      </w:divBdr>
    </w:div>
    <w:div w:id="885289682">
      <w:bodyDiv w:val="1"/>
      <w:marLeft w:val="0"/>
      <w:marRight w:val="0"/>
      <w:marTop w:val="0"/>
      <w:marBottom w:val="0"/>
      <w:divBdr>
        <w:top w:val="none" w:sz="0" w:space="0" w:color="auto"/>
        <w:left w:val="none" w:sz="0" w:space="0" w:color="auto"/>
        <w:bottom w:val="none" w:sz="0" w:space="0" w:color="auto"/>
        <w:right w:val="none" w:sz="0" w:space="0" w:color="auto"/>
      </w:divBdr>
    </w:div>
    <w:div w:id="895898237">
      <w:bodyDiv w:val="1"/>
      <w:marLeft w:val="0"/>
      <w:marRight w:val="0"/>
      <w:marTop w:val="0"/>
      <w:marBottom w:val="0"/>
      <w:divBdr>
        <w:top w:val="none" w:sz="0" w:space="0" w:color="auto"/>
        <w:left w:val="none" w:sz="0" w:space="0" w:color="auto"/>
        <w:bottom w:val="none" w:sz="0" w:space="0" w:color="auto"/>
        <w:right w:val="none" w:sz="0" w:space="0" w:color="auto"/>
      </w:divBdr>
      <w:divsChild>
        <w:div w:id="255022899">
          <w:marLeft w:val="0"/>
          <w:marRight w:val="0"/>
          <w:marTop w:val="0"/>
          <w:marBottom w:val="0"/>
          <w:divBdr>
            <w:top w:val="none" w:sz="0" w:space="0" w:color="auto"/>
            <w:left w:val="none" w:sz="0" w:space="0" w:color="auto"/>
            <w:bottom w:val="none" w:sz="0" w:space="0" w:color="auto"/>
            <w:right w:val="none" w:sz="0" w:space="0" w:color="auto"/>
          </w:divBdr>
        </w:div>
        <w:div w:id="390617344">
          <w:marLeft w:val="0"/>
          <w:marRight w:val="0"/>
          <w:marTop w:val="0"/>
          <w:marBottom w:val="0"/>
          <w:divBdr>
            <w:top w:val="none" w:sz="0" w:space="0" w:color="auto"/>
            <w:left w:val="none" w:sz="0" w:space="0" w:color="auto"/>
            <w:bottom w:val="none" w:sz="0" w:space="0" w:color="auto"/>
            <w:right w:val="none" w:sz="0" w:space="0" w:color="auto"/>
          </w:divBdr>
        </w:div>
        <w:div w:id="685670000">
          <w:marLeft w:val="0"/>
          <w:marRight w:val="0"/>
          <w:marTop w:val="0"/>
          <w:marBottom w:val="0"/>
          <w:divBdr>
            <w:top w:val="none" w:sz="0" w:space="0" w:color="auto"/>
            <w:left w:val="none" w:sz="0" w:space="0" w:color="auto"/>
            <w:bottom w:val="none" w:sz="0" w:space="0" w:color="auto"/>
            <w:right w:val="none" w:sz="0" w:space="0" w:color="auto"/>
          </w:divBdr>
        </w:div>
        <w:div w:id="944339096">
          <w:marLeft w:val="0"/>
          <w:marRight w:val="0"/>
          <w:marTop w:val="0"/>
          <w:marBottom w:val="0"/>
          <w:divBdr>
            <w:top w:val="none" w:sz="0" w:space="0" w:color="auto"/>
            <w:left w:val="none" w:sz="0" w:space="0" w:color="auto"/>
            <w:bottom w:val="none" w:sz="0" w:space="0" w:color="auto"/>
            <w:right w:val="none" w:sz="0" w:space="0" w:color="auto"/>
          </w:divBdr>
        </w:div>
        <w:div w:id="1019509385">
          <w:marLeft w:val="0"/>
          <w:marRight w:val="0"/>
          <w:marTop w:val="0"/>
          <w:marBottom w:val="0"/>
          <w:divBdr>
            <w:top w:val="none" w:sz="0" w:space="0" w:color="auto"/>
            <w:left w:val="none" w:sz="0" w:space="0" w:color="auto"/>
            <w:bottom w:val="none" w:sz="0" w:space="0" w:color="auto"/>
            <w:right w:val="none" w:sz="0" w:space="0" w:color="auto"/>
          </w:divBdr>
        </w:div>
        <w:div w:id="1239824866">
          <w:marLeft w:val="0"/>
          <w:marRight w:val="0"/>
          <w:marTop w:val="0"/>
          <w:marBottom w:val="0"/>
          <w:divBdr>
            <w:top w:val="none" w:sz="0" w:space="0" w:color="auto"/>
            <w:left w:val="none" w:sz="0" w:space="0" w:color="auto"/>
            <w:bottom w:val="none" w:sz="0" w:space="0" w:color="auto"/>
            <w:right w:val="none" w:sz="0" w:space="0" w:color="auto"/>
          </w:divBdr>
        </w:div>
        <w:div w:id="1644384582">
          <w:marLeft w:val="0"/>
          <w:marRight w:val="0"/>
          <w:marTop w:val="0"/>
          <w:marBottom w:val="0"/>
          <w:divBdr>
            <w:top w:val="none" w:sz="0" w:space="0" w:color="auto"/>
            <w:left w:val="none" w:sz="0" w:space="0" w:color="auto"/>
            <w:bottom w:val="none" w:sz="0" w:space="0" w:color="auto"/>
            <w:right w:val="none" w:sz="0" w:space="0" w:color="auto"/>
          </w:divBdr>
        </w:div>
        <w:div w:id="2002536057">
          <w:marLeft w:val="0"/>
          <w:marRight w:val="0"/>
          <w:marTop w:val="0"/>
          <w:marBottom w:val="0"/>
          <w:divBdr>
            <w:top w:val="none" w:sz="0" w:space="0" w:color="auto"/>
            <w:left w:val="none" w:sz="0" w:space="0" w:color="auto"/>
            <w:bottom w:val="none" w:sz="0" w:space="0" w:color="auto"/>
            <w:right w:val="none" w:sz="0" w:space="0" w:color="auto"/>
          </w:divBdr>
        </w:div>
        <w:div w:id="2089964284">
          <w:marLeft w:val="0"/>
          <w:marRight w:val="0"/>
          <w:marTop w:val="0"/>
          <w:marBottom w:val="0"/>
          <w:divBdr>
            <w:top w:val="none" w:sz="0" w:space="0" w:color="auto"/>
            <w:left w:val="none" w:sz="0" w:space="0" w:color="auto"/>
            <w:bottom w:val="none" w:sz="0" w:space="0" w:color="auto"/>
            <w:right w:val="none" w:sz="0" w:space="0" w:color="auto"/>
          </w:divBdr>
        </w:div>
        <w:div w:id="2122340916">
          <w:marLeft w:val="0"/>
          <w:marRight w:val="0"/>
          <w:marTop w:val="0"/>
          <w:marBottom w:val="0"/>
          <w:divBdr>
            <w:top w:val="none" w:sz="0" w:space="0" w:color="auto"/>
            <w:left w:val="none" w:sz="0" w:space="0" w:color="auto"/>
            <w:bottom w:val="none" w:sz="0" w:space="0" w:color="auto"/>
            <w:right w:val="none" w:sz="0" w:space="0" w:color="auto"/>
          </w:divBdr>
        </w:div>
      </w:divsChild>
    </w:div>
    <w:div w:id="953174839">
      <w:bodyDiv w:val="1"/>
      <w:marLeft w:val="0"/>
      <w:marRight w:val="0"/>
      <w:marTop w:val="0"/>
      <w:marBottom w:val="0"/>
      <w:divBdr>
        <w:top w:val="none" w:sz="0" w:space="0" w:color="auto"/>
        <w:left w:val="none" w:sz="0" w:space="0" w:color="auto"/>
        <w:bottom w:val="none" w:sz="0" w:space="0" w:color="auto"/>
        <w:right w:val="none" w:sz="0" w:space="0" w:color="auto"/>
      </w:divBdr>
      <w:divsChild>
        <w:div w:id="45374305">
          <w:marLeft w:val="0"/>
          <w:marRight w:val="0"/>
          <w:marTop w:val="0"/>
          <w:marBottom w:val="0"/>
          <w:divBdr>
            <w:top w:val="none" w:sz="0" w:space="0" w:color="auto"/>
            <w:left w:val="none" w:sz="0" w:space="0" w:color="auto"/>
            <w:bottom w:val="none" w:sz="0" w:space="0" w:color="auto"/>
            <w:right w:val="none" w:sz="0" w:space="0" w:color="auto"/>
          </w:divBdr>
          <w:divsChild>
            <w:div w:id="549388458">
              <w:marLeft w:val="0"/>
              <w:marRight w:val="0"/>
              <w:marTop w:val="30"/>
              <w:marBottom w:val="30"/>
              <w:divBdr>
                <w:top w:val="none" w:sz="0" w:space="0" w:color="auto"/>
                <w:left w:val="none" w:sz="0" w:space="0" w:color="auto"/>
                <w:bottom w:val="none" w:sz="0" w:space="0" w:color="auto"/>
                <w:right w:val="none" w:sz="0" w:space="0" w:color="auto"/>
              </w:divBdr>
              <w:divsChild>
                <w:div w:id="9458619">
                  <w:marLeft w:val="0"/>
                  <w:marRight w:val="0"/>
                  <w:marTop w:val="0"/>
                  <w:marBottom w:val="0"/>
                  <w:divBdr>
                    <w:top w:val="none" w:sz="0" w:space="0" w:color="auto"/>
                    <w:left w:val="none" w:sz="0" w:space="0" w:color="auto"/>
                    <w:bottom w:val="none" w:sz="0" w:space="0" w:color="auto"/>
                    <w:right w:val="none" w:sz="0" w:space="0" w:color="auto"/>
                  </w:divBdr>
                  <w:divsChild>
                    <w:div w:id="667908495">
                      <w:marLeft w:val="0"/>
                      <w:marRight w:val="0"/>
                      <w:marTop w:val="0"/>
                      <w:marBottom w:val="0"/>
                      <w:divBdr>
                        <w:top w:val="none" w:sz="0" w:space="0" w:color="auto"/>
                        <w:left w:val="none" w:sz="0" w:space="0" w:color="auto"/>
                        <w:bottom w:val="none" w:sz="0" w:space="0" w:color="auto"/>
                        <w:right w:val="none" w:sz="0" w:space="0" w:color="auto"/>
                      </w:divBdr>
                    </w:div>
                  </w:divsChild>
                </w:div>
                <w:div w:id="440757393">
                  <w:marLeft w:val="0"/>
                  <w:marRight w:val="0"/>
                  <w:marTop w:val="0"/>
                  <w:marBottom w:val="0"/>
                  <w:divBdr>
                    <w:top w:val="none" w:sz="0" w:space="0" w:color="auto"/>
                    <w:left w:val="none" w:sz="0" w:space="0" w:color="auto"/>
                    <w:bottom w:val="none" w:sz="0" w:space="0" w:color="auto"/>
                    <w:right w:val="none" w:sz="0" w:space="0" w:color="auto"/>
                  </w:divBdr>
                  <w:divsChild>
                    <w:div w:id="362635802">
                      <w:marLeft w:val="0"/>
                      <w:marRight w:val="0"/>
                      <w:marTop w:val="0"/>
                      <w:marBottom w:val="0"/>
                      <w:divBdr>
                        <w:top w:val="none" w:sz="0" w:space="0" w:color="auto"/>
                        <w:left w:val="none" w:sz="0" w:space="0" w:color="auto"/>
                        <w:bottom w:val="none" w:sz="0" w:space="0" w:color="auto"/>
                        <w:right w:val="none" w:sz="0" w:space="0" w:color="auto"/>
                      </w:divBdr>
                    </w:div>
                  </w:divsChild>
                </w:div>
                <w:div w:id="481509138">
                  <w:marLeft w:val="0"/>
                  <w:marRight w:val="0"/>
                  <w:marTop w:val="0"/>
                  <w:marBottom w:val="0"/>
                  <w:divBdr>
                    <w:top w:val="none" w:sz="0" w:space="0" w:color="auto"/>
                    <w:left w:val="none" w:sz="0" w:space="0" w:color="auto"/>
                    <w:bottom w:val="none" w:sz="0" w:space="0" w:color="auto"/>
                    <w:right w:val="none" w:sz="0" w:space="0" w:color="auto"/>
                  </w:divBdr>
                  <w:divsChild>
                    <w:div w:id="827984067">
                      <w:marLeft w:val="0"/>
                      <w:marRight w:val="0"/>
                      <w:marTop w:val="0"/>
                      <w:marBottom w:val="0"/>
                      <w:divBdr>
                        <w:top w:val="none" w:sz="0" w:space="0" w:color="auto"/>
                        <w:left w:val="none" w:sz="0" w:space="0" w:color="auto"/>
                        <w:bottom w:val="none" w:sz="0" w:space="0" w:color="auto"/>
                        <w:right w:val="none" w:sz="0" w:space="0" w:color="auto"/>
                      </w:divBdr>
                    </w:div>
                  </w:divsChild>
                </w:div>
                <w:div w:id="689064941">
                  <w:marLeft w:val="0"/>
                  <w:marRight w:val="0"/>
                  <w:marTop w:val="0"/>
                  <w:marBottom w:val="0"/>
                  <w:divBdr>
                    <w:top w:val="none" w:sz="0" w:space="0" w:color="auto"/>
                    <w:left w:val="none" w:sz="0" w:space="0" w:color="auto"/>
                    <w:bottom w:val="none" w:sz="0" w:space="0" w:color="auto"/>
                    <w:right w:val="none" w:sz="0" w:space="0" w:color="auto"/>
                  </w:divBdr>
                  <w:divsChild>
                    <w:div w:id="388263741">
                      <w:marLeft w:val="0"/>
                      <w:marRight w:val="0"/>
                      <w:marTop w:val="0"/>
                      <w:marBottom w:val="0"/>
                      <w:divBdr>
                        <w:top w:val="none" w:sz="0" w:space="0" w:color="auto"/>
                        <w:left w:val="none" w:sz="0" w:space="0" w:color="auto"/>
                        <w:bottom w:val="none" w:sz="0" w:space="0" w:color="auto"/>
                        <w:right w:val="none" w:sz="0" w:space="0" w:color="auto"/>
                      </w:divBdr>
                    </w:div>
                  </w:divsChild>
                </w:div>
                <w:div w:id="732967979">
                  <w:marLeft w:val="0"/>
                  <w:marRight w:val="0"/>
                  <w:marTop w:val="0"/>
                  <w:marBottom w:val="0"/>
                  <w:divBdr>
                    <w:top w:val="none" w:sz="0" w:space="0" w:color="auto"/>
                    <w:left w:val="none" w:sz="0" w:space="0" w:color="auto"/>
                    <w:bottom w:val="none" w:sz="0" w:space="0" w:color="auto"/>
                    <w:right w:val="none" w:sz="0" w:space="0" w:color="auto"/>
                  </w:divBdr>
                  <w:divsChild>
                    <w:div w:id="1657998628">
                      <w:marLeft w:val="0"/>
                      <w:marRight w:val="0"/>
                      <w:marTop w:val="0"/>
                      <w:marBottom w:val="0"/>
                      <w:divBdr>
                        <w:top w:val="none" w:sz="0" w:space="0" w:color="auto"/>
                        <w:left w:val="none" w:sz="0" w:space="0" w:color="auto"/>
                        <w:bottom w:val="none" w:sz="0" w:space="0" w:color="auto"/>
                        <w:right w:val="none" w:sz="0" w:space="0" w:color="auto"/>
                      </w:divBdr>
                    </w:div>
                  </w:divsChild>
                </w:div>
                <w:div w:id="814569716">
                  <w:marLeft w:val="0"/>
                  <w:marRight w:val="0"/>
                  <w:marTop w:val="0"/>
                  <w:marBottom w:val="0"/>
                  <w:divBdr>
                    <w:top w:val="none" w:sz="0" w:space="0" w:color="auto"/>
                    <w:left w:val="none" w:sz="0" w:space="0" w:color="auto"/>
                    <w:bottom w:val="none" w:sz="0" w:space="0" w:color="auto"/>
                    <w:right w:val="none" w:sz="0" w:space="0" w:color="auto"/>
                  </w:divBdr>
                  <w:divsChild>
                    <w:div w:id="1970625243">
                      <w:marLeft w:val="0"/>
                      <w:marRight w:val="0"/>
                      <w:marTop w:val="0"/>
                      <w:marBottom w:val="0"/>
                      <w:divBdr>
                        <w:top w:val="none" w:sz="0" w:space="0" w:color="auto"/>
                        <w:left w:val="none" w:sz="0" w:space="0" w:color="auto"/>
                        <w:bottom w:val="none" w:sz="0" w:space="0" w:color="auto"/>
                        <w:right w:val="none" w:sz="0" w:space="0" w:color="auto"/>
                      </w:divBdr>
                    </w:div>
                  </w:divsChild>
                </w:div>
                <w:div w:id="853573628">
                  <w:marLeft w:val="0"/>
                  <w:marRight w:val="0"/>
                  <w:marTop w:val="0"/>
                  <w:marBottom w:val="0"/>
                  <w:divBdr>
                    <w:top w:val="none" w:sz="0" w:space="0" w:color="auto"/>
                    <w:left w:val="none" w:sz="0" w:space="0" w:color="auto"/>
                    <w:bottom w:val="none" w:sz="0" w:space="0" w:color="auto"/>
                    <w:right w:val="none" w:sz="0" w:space="0" w:color="auto"/>
                  </w:divBdr>
                  <w:divsChild>
                    <w:div w:id="1627084971">
                      <w:marLeft w:val="0"/>
                      <w:marRight w:val="0"/>
                      <w:marTop w:val="0"/>
                      <w:marBottom w:val="0"/>
                      <w:divBdr>
                        <w:top w:val="none" w:sz="0" w:space="0" w:color="auto"/>
                        <w:left w:val="none" w:sz="0" w:space="0" w:color="auto"/>
                        <w:bottom w:val="none" w:sz="0" w:space="0" w:color="auto"/>
                        <w:right w:val="none" w:sz="0" w:space="0" w:color="auto"/>
                      </w:divBdr>
                    </w:div>
                  </w:divsChild>
                </w:div>
                <w:div w:id="885722203">
                  <w:marLeft w:val="0"/>
                  <w:marRight w:val="0"/>
                  <w:marTop w:val="0"/>
                  <w:marBottom w:val="0"/>
                  <w:divBdr>
                    <w:top w:val="none" w:sz="0" w:space="0" w:color="auto"/>
                    <w:left w:val="none" w:sz="0" w:space="0" w:color="auto"/>
                    <w:bottom w:val="none" w:sz="0" w:space="0" w:color="auto"/>
                    <w:right w:val="none" w:sz="0" w:space="0" w:color="auto"/>
                  </w:divBdr>
                  <w:divsChild>
                    <w:div w:id="1190920697">
                      <w:marLeft w:val="0"/>
                      <w:marRight w:val="0"/>
                      <w:marTop w:val="0"/>
                      <w:marBottom w:val="0"/>
                      <w:divBdr>
                        <w:top w:val="none" w:sz="0" w:space="0" w:color="auto"/>
                        <w:left w:val="none" w:sz="0" w:space="0" w:color="auto"/>
                        <w:bottom w:val="none" w:sz="0" w:space="0" w:color="auto"/>
                        <w:right w:val="none" w:sz="0" w:space="0" w:color="auto"/>
                      </w:divBdr>
                    </w:div>
                  </w:divsChild>
                </w:div>
                <w:div w:id="917831916">
                  <w:marLeft w:val="0"/>
                  <w:marRight w:val="0"/>
                  <w:marTop w:val="0"/>
                  <w:marBottom w:val="0"/>
                  <w:divBdr>
                    <w:top w:val="none" w:sz="0" w:space="0" w:color="auto"/>
                    <w:left w:val="none" w:sz="0" w:space="0" w:color="auto"/>
                    <w:bottom w:val="none" w:sz="0" w:space="0" w:color="auto"/>
                    <w:right w:val="none" w:sz="0" w:space="0" w:color="auto"/>
                  </w:divBdr>
                  <w:divsChild>
                    <w:div w:id="2091073709">
                      <w:marLeft w:val="0"/>
                      <w:marRight w:val="0"/>
                      <w:marTop w:val="0"/>
                      <w:marBottom w:val="0"/>
                      <w:divBdr>
                        <w:top w:val="none" w:sz="0" w:space="0" w:color="auto"/>
                        <w:left w:val="none" w:sz="0" w:space="0" w:color="auto"/>
                        <w:bottom w:val="none" w:sz="0" w:space="0" w:color="auto"/>
                        <w:right w:val="none" w:sz="0" w:space="0" w:color="auto"/>
                      </w:divBdr>
                    </w:div>
                  </w:divsChild>
                </w:div>
                <w:div w:id="1172526270">
                  <w:marLeft w:val="0"/>
                  <w:marRight w:val="0"/>
                  <w:marTop w:val="0"/>
                  <w:marBottom w:val="0"/>
                  <w:divBdr>
                    <w:top w:val="none" w:sz="0" w:space="0" w:color="auto"/>
                    <w:left w:val="none" w:sz="0" w:space="0" w:color="auto"/>
                    <w:bottom w:val="none" w:sz="0" w:space="0" w:color="auto"/>
                    <w:right w:val="none" w:sz="0" w:space="0" w:color="auto"/>
                  </w:divBdr>
                  <w:divsChild>
                    <w:div w:id="2014606052">
                      <w:marLeft w:val="0"/>
                      <w:marRight w:val="0"/>
                      <w:marTop w:val="0"/>
                      <w:marBottom w:val="0"/>
                      <w:divBdr>
                        <w:top w:val="none" w:sz="0" w:space="0" w:color="auto"/>
                        <w:left w:val="none" w:sz="0" w:space="0" w:color="auto"/>
                        <w:bottom w:val="none" w:sz="0" w:space="0" w:color="auto"/>
                        <w:right w:val="none" w:sz="0" w:space="0" w:color="auto"/>
                      </w:divBdr>
                    </w:div>
                  </w:divsChild>
                </w:div>
                <w:div w:id="1204830864">
                  <w:marLeft w:val="0"/>
                  <w:marRight w:val="0"/>
                  <w:marTop w:val="0"/>
                  <w:marBottom w:val="0"/>
                  <w:divBdr>
                    <w:top w:val="none" w:sz="0" w:space="0" w:color="auto"/>
                    <w:left w:val="none" w:sz="0" w:space="0" w:color="auto"/>
                    <w:bottom w:val="none" w:sz="0" w:space="0" w:color="auto"/>
                    <w:right w:val="none" w:sz="0" w:space="0" w:color="auto"/>
                  </w:divBdr>
                  <w:divsChild>
                    <w:div w:id="215822795">
                      <w:marLeft w:val="0"/>
                      <w:marRight w:val="0"/>
                      <w:marTop w:val="0"/>
                      <w:marBottom w:val="0"/>
                      <w:divBdr>
                        <w:top w:val="none" w:sz="0" w:space="0" w:color="auto"/>
                        <w:left w:val="none" w:sz="0" w:space="0" w:color="auto"/>
                        <w:bottom w:val="none" w:sz="0" w:space="0" w:color="auto"/>
                        <w:right w:val="none" w:sz="0" w:space="0" w:color="auto"/>
                      </w:divBdr>
                    </w:div>
                  </w:divsChild>
                </w:div>
                <w:div w:id="1236937890">
                  <w:marLeft w:val="0"/>
                  <w:marRight w:val="0"/>
                  <w:marTop w:val="0"/>
                  <w:marBottom w:val="0"/>
                  <w:divBdr>
                    <w:top w:val="none" w:sz="0" w:space="0" w:color="auto"/>
                    <w:left w:val="none" w:sz="0" w:space="0" w:color="auto"/>
                    <w:bottom w:val="none" w:sz="0" w:space="0" w:color="auto"/>
                    <w:right w:val="none" w:sz="0" w:space="0" w:color="auto"/>
                  </w:divBdr>
                  <w:divsChild>
                    <w:div w:id="245918272">
                      <w:marLeft w:val="0"/>
                      <w:marRight w:val="0"/>
                      <w:marTop w:val="0"/>
                      <w:marBottom w:val="0"/>
                      <w:divBdr>
                        <w:top w:val="none" w:sz="0" w:space="0" w:color="auto"/>
                        <w:left w:val="none" w:sz="0" w:space="0" w:color="auto"/>
                        <w:bottom w:val="none" w:sz="0" w:space="0" w:color="auto"/>
                        <w:right w:val="none" w:sz="0" w:space="0" w:color="auto"/>
                      </w:divBdr>
                    </w:div>
                  </w:divsChild>
                </w:div>
                <w:div w:id="1334449704">
                  <w:marLeft w:val="0"/>
                  <w:marRight w:val="0"/>
                  <w:marTop w:val="0"/>
                  <w:marBottom w:val="0"/>
                  <w:divBdr>
                    <w:top w:val="none" w:sz="0" w:space="0" w:color="auto"/>
                    <w:left w:val="none" w:sz="0" w:space="0" w:color="auto"/>
                    <w:bottom w:val="none" w:sz="0" w:space="0" w:color="auto"/>
                    <w:right w:val="none" w:sz="0" w:space="0" w:color="auto"/>
                  </w:divBdr>
                  <w:divsChild>
                    <w:div w:id="944388519">
                      <w:marLeft w:val="0"/>
                      <w:marRight w:val="0"/>
                      <w:marTop w:val="0"/>
                      <w:marBottom w:val="0"/>
                      <w:divBdr>
                        <w:top w:val="none" w:sz="0" w:space="0" w:color="auto"/>
                        <w:left w:val="none" w:sz="0" w:space="0" w:color="auto"/>
                        <w:bottom w:val="none" w:sz="0" w:space="0" w:color="auto"/>
                        <w:right w:val="none" w:sz="0" w:space="0" w:color="auto"/>
                      </w:divBdr>
                    </w:div>
                  </w:divsChild>
                </w:div>
                <w:div w:id="1802307864">
                  <w:marLeft w:val="0"/>
                  <w:marRight w:val="0"/>
                  <w:marTop w:val="0"/>
                  <w:marBottom w:val="0"/>
                  <w:divBdr>
                    <w:top w:val="none" w:sz="0" w:space="0" w:color="auto"/>
                    <w:left w:val="none" w:sz="0" w:space="0" w:color="auto"/>
                    <w:bottom w:val="none" w:sz="0" w:space="0" w:color="auto"/>
                    <w:right w:val="none" w:sz="0" w:space="0" w:color="auto"/>
                  </w:divBdr>
                  <w:divsChild>
                    <w:div w:id="791293007">
                      <w:marLeft w:val="0"/>
                      <w:marRight w:val="0"/>
                      <w:marTop w:val="0"/>
                      <w:marBottom w:val="0"/>
                      <w:divBdr>
                        <w:top w:val="none" w:sz="0" w:space="0" w:color="auto"/>
                        <w:left w:val="none" w:sz="0" w:space="0" w:color="auto"/>
                        <w:bottom w:val="none" w:sz="0" w:space="0" w:color="auto"/>
                        <w:right w:val="none" w:sz="0" w:space="0" w:color="auto"/>
                      </w:divBdr>
                    </w:div>
                  </w:divsChild>
                </w:div>
                <w:div w:id="2078043857">
                  <w:marLeft w:val="0"/>
                  <w:marRight w:val="0"/>
                  <w:marTop w:val="0"/>
                  <w:marBottom w:val="0"/>
                  <w:divBdr>
                    <w:top w:val="none" w:sz="0" w:space="0" w:color="auto"/>
                    <w:left w:val="none" w:sz="0" w:space="0" w:color="auto"/>
                    <w:bottom w:val="none" w:sz="0" w:space="0" w:color="auto"/>
                    <w:right w:val="none" w:sz="0" w:space="0" w:color="auto"/>
                  </w:divBdr>
                  <w:divsChild>
                    <w:div w:id="863438615">
                      <w:marLeft w:val="0"/>
                      <w:marRight w:val="0"/>
                      <w:marTop w:val="0"/>
                      <w:marBottom w:val="0"/>
                      <w:divBdr>
                        <w:top w:val="none" w:sz="0" w:space="0" w:color="auto"/>
                        <w:left w:val="none" w:sz="0" w:space="0" w:color="auto"/>
                        <w:bottom w:val="none" w:sz="0" w:space="0" w:color="auto"/>
                        <w:right w:val="none" w:sz="0" w:space="0" w:color="auto"/>
                      </w:divBdr>
                    </w:div>
                  </w:divsChild>
                </w:div>
                <w:div w:id="2109083173">
                  <w:marLeft w:val="0"/>
                  <w:marRight w:val="0"/>
                  <w:marTop w:val="0"/>
                  <w:marBottom w:val="0"/>
                  <w:divBdr>
                    <w:top w:val="none" w:sz="0" w:space="0" w:color="auto"/>
                    <w:left w:val="none" w:sz="0" w:space="0" w:color="auto"/>
                    <w:bottom w:val="none" w:sz="0" w:space="0" w:color="auto"/>
                    <w:right w:val="none" w:sz="0" w:space="0" w:color="auto"/>
                  </w:divBdr>
                  <w:divsChild>
                    <w:div w:id="275144217">
                      <w:marLeft w:val="0"/>
                      <w:marRight w:val="0"/>
                      <w:marTop w:val="0"/>
                      <w:marBottom w:val="0"/>
                      <w:divBdr>
                        <w:top w:val="none" w:sz="0" w:space="0" w:color="auto"/>
                        <w:left w:val="none" w:sz="0" w:space="0" w:color="auto"/>
                        <w:bottom w:val="none" w:sz="0" w:space="0" w:color="auto"/>
                        <w:right w:val="none" w:sz="0" w:space="0" w:color="auto"/>
                      </w:divBdr>
                    </w:div>
                  </w:divsChild>
                </w:div>
                <w:div w:id="2129469136">
                  <w:marLeft w:val="0"/>
                  <w:marRight w:val="0"/>
                  <w:marTop w:val="0"/>
                  <w:marBottom w:val="0"/>
                  <w:divBdr>
                    <w:top w:val="none" w:sz="0" w:space="0" w:color="auto"/>
                    <w:left w:val="none" w:sz="0" w:space="0" w:color="auto"/>
                    <w:bottom w:val="none" w:sz="0" w:space="0" w:color="auto"/>
                    <w:right w:val="none" w:sz="0" w:space="0" w:color="auto"/>
                  </w:divBdr>
                  <w:divsChild>
                    <w:div w:id="1701543925">
                      <w:marLeft w:val="0"/>
                      <w:marRight w:val="0"/>
                      <w:marTop w:val="0"/>
                      <w:marBottom w:val="0"/>
                      <w:divBdr>
                        <w:top w:val="none" w:sz="0" w:space="0" w:color="auto"/>
                        <w:left w:val="none" w:sz="0" w:space="0" w:color="auto"/>
                        <w:bottom w:val="none" w:sz="0" w:space="0" w:color="auto"/>
                        <w:right w:val="none" w:sz="0" w:space="0" w:color="auto"/>
                      </w:divBdr>
                    </w:div>
                  </w:divsChild>
                </w:div>
                <w:div w:id="2143649060">
                  <w:marLeft w:val="0"/>
                  <w:marRight w:val="0"/>
                  <w:marTop w:val="0"/>
                  <w:marBottom w:val="0"/>
                  <w:divBdr>
                    <w:top w:val="none" w:sz="0" w:space="0" w:color="auto"/>
                    <w:left w:val="none" w:sz="0" w:space="0" w:color="auto"/>
                    <w:bottom w:val="none" w:sz="0" w:space="0" w:color="auto"/>
                    <w:right w:val="none" w:sz="0" w:space="0" w:color="auto"/>
                  </w:divBdr>
                  <w:divsChild>
                    <w:div w:id="17035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175678">
          <w:marLeft w:val="0"/>
          <w:marRight w:val="0"/>
          <w:marTop w:val="0"/>
          <w:marBottom w:val="0"/>
          <w:divBdr>
            <w:top w:val="none" w:sz="0" w:space="0" w:color="auto"/>
            <w:left w:val="none" w:sz="0" w:space="0" w:color="auto"/>
            <w:bottom w:val="none" w:sz="0" w:space="0" w:color="auto"/>
            <w:right w:val="none" w:sz="0" w:space="0" w:color="auto"/>
          </w:divBdr>
        </w:div>
        <w:div w:id="556356909">
          <w:marLeft w:val="0"/>
          <w:marRight w:val="0"/>
          <w:marTop w:val="0"/>
          <w:marBottom w:val="0"/>
          <w:divBdr>
            <w:top w:val="none" w:sz="0" w:space="0" w:color="auto"/>
            <w:left w:val="none" w:sz="0" w:space="0" w:color="auto"/>
            <w:bottom w:val="none" w:sz="0" w:space="0" w:color="auto"/>
            <w:right w:val="none" w:sz="0" w:space="0" w:color="auto"/>
          </w:divBdr>
        </w:div>
        <w:div w:id="606305868">
          <w:marLeft w:val="0"/>
          <w:marRight w:val="0"/>
          <w:marTop w:val="0"/>
          <w:marBottom w:val="0"/>
          <w:divBdr>
            <w:top w:val="none" w:sz="0" w:space="0" w:color="auto"/>
            <w:left w:val="none" w:sz="0" w:space="0" w:color="auto"/>
            <w:bottom w:val="none" w:sz="0" w:space="0" w:color="auto"/>
            <w:right w:val="none" w:sz="0" w:space="0" w:color="auto"/>
          </w:divBdr>
        </w:div>
        <w:div w:id="619185888">
          <w:marLeft w:val="0"/>
          <w:marRight w:val="0"/>
          <w:marTop w:val="0"/>
          <w:marBottom w:val="0"/>
          <w:divBdr>
            <w:top w:val="none" w:sz="0" w:space="0" w:color="auto"/>
            <w:left w:val="none" w:sz="0" w:space="0" w:color="auto"/>
            <w:bottom w:val="none" w:sz="0" w:space="0" w:color="auto"/>
            <w:right w:val="none" w:sz="0" w:space="0" w:color="auto"/>
          </w:divBdr>
        </w:div>
        <w:div w:id="873999558">
          <w:marLeft w:val="0"/>
          <w:marRight w:val="0"/>
          <w:marTop w:val="0"/>
          <w:marBottom w:val="0"/>
          <w:divBdr>
            <w:top w:val="none" w:sz="0" w:space="0" w:color="auto"/>
            <w:left w:val="none" w:sz="0" w:space="0" w:color="auto"/>
            <w:bottom w:val="none" w:sz="0" w:space="0" w:color="auto"/>
            <w:right w:val="none" w:sz="0" w:space="0" w:color="auto"/>
          </w:divBdr>
        </w:div>
        <w:div w:id="1032998862">
          <w:marLeft w:val="0"/>
          <w:marRight w:val="0"/>
          <w:marTop w:val="0"/>
          <w:marBottom w:val="0"/>
          <w:divBdr>
            <w:top w:val="none" w:sz="0" w:space="0" w:color="auto"/>
            <w:left w:val="none" w:sz="0" w:space="0" w:color="auto"/>
            <w:bottom w:val="none" w:sz="0" w:space="0" w:color="auto"/>
            <w:right w:val="none" w:sz="0" w:space="0" w:color="auto"/>
          </w:divBdr>
        </w:div>
        <w:div w:id="1136147294">
          <w:marLeft w:val="0"/>
          <w:marRight w:val="0"/>
          <w:marTop w:val="0"/>
          <w:marBottom w:val="0"/>
          <w:divBdr>
            <w:top w:val="none" w:sz="0" w:space="0" w:color="auto"/>
            <w:left w:val="none" w:sz="0" w:space="0" w:color="auto"/>
            <w:bottom w:val="none" w:sz="0" w:space="0" w:color="auto"/>
            <w:right w:val="none" w:sz="0" w:space="0" w:color="auto"/>
          </w:divBdr>
        </w:div>
        <w:div w:id="1155485981">
          <w:marLeft w:val="0"/>
          <w:marRight w:val="0"/>
          <w:marTop w:val="0"/>
          <w:marBottom w:val="0"/>
          <w:divBdr>
            <w:top w:val="none" w:sz="0" w:space="0" w:color="auto"/>
            <w:left w:val="none" w:sz="0" w:space="0" w:color="auto"/>
            <w:bottom w:val="none" w:sz="0" w:space="0" w:color="auto"/>
            <w:right w:val="none" w:sz="0" w:space="0" w:color="auto"/>
          </w:divBdr>
        </w:div>
        <w:div w:id="1179467464">
          <w:marLeft w:val="0"/>
          <w:marRight w:val="0"/>
          <w:marTop w:val="0"/>
          <w:marBottom w:val="0"/>
          <w:divBdr>
            <w:top w:val="none" w:sz="0" w:space="0" w:color="auto"/>
            <w:left w:val="none" w:sz="0" w:space="0" w:color="auto"/>
            <w:bottom w:val="none" w:sz="0" w:space="0" w:color="auto"/>
            <w:right w:val="none" w:sz="0" w:space="0" w:color="auto"/>
          </w:divBdr>
        </w:div>
        <w:div w:id="1472019378">
          <w:marLeft w:val="0"/>
          <w:marRight w:val="0"/>
          <w:marTop w:val="0"/>
          <w:marBottom w:val="0"/>
          <w:divBdr>
            <w:top w:val="none" w:sz="0" w:space="0" w:color="auto"/>
            <w:left w:val="none" w:sz="0" w:space="0" w:color="auto"/>
            <w:bottom w:val="none" w:sz="0" w:space="0" w:color="auto"/>
            <w:right w:val="none" w:sz="0" w:space="0" w:color="auto"/>
          </w:divBdr>
        </w:div>
        <w:div w:id="1593472137">
          <w:marLeft w:val="0"/>
          <w:marRight w:val="0"/>
          <w:marTop w:val="0"/>
          <w:marBottom w:val="0"/>
          <w:divBdr>
            <w:top w:val="none" w:sz="0" w:space="0" w:color="auto"/>
            <w:left w:val="none" w:sz="0" w:space="0" w:color="auto"/>
            <w:bottom w:val="none" w:sz="0" w:space="0" w:color="auto"/>
            <w:right w:val="none" w:sz="0" w:space="0" w:color="auto"/>
          </w:divBdr>
        </w:div>
        <w:div w:id="1596471726">
          <w:marLeft w:val="0"/>
          <w:marRight w:val="0"/>
          <w:marTop w:val="0"/>
          <w:marBottom w:val="0"/>
          <w:divBdr>
            <w:top w:val="none" w:sz="0" w:space="0" w:color="auto"/>
            <w:left w:val="none" w:sz="0" w:space="0" w:color="auto"/>
            <w:bottom w:val="none" w:sz="0" w:space="0" w:color="auto"/>
            <w:right w:val="none" w:sz="0" w:space="0" w:color="auto"/>
          </w:divBdr>
        </w:div>
        <w:div w:id="1619330957">
          <w:marLeft w:val="0"/>
          <w:marRight w:val="0"/>
          <w:marTop w:val="0"/>
          <w:marBottom w:val="0"/>
          <w:divBdr>
            <w:top w:val="none" w:sz="0" w:space="0" w:color="auto"/>
            <w:left w:val="none" w:sz="0" w:space="0" w:color="auto"/>
            <w:bottom w:val="none" w:sz="0" w:space="0" w:color="auto"/>
            <w:right w:val="none" w:sz="0" w:space="0" w:color="auto"/>
          </w:divBdr>
        </w:div>
        <w:div w:id="1827747655">
          <w:marLeft w:val="0"/>
          <w:marRight w:val="0"/>
          <w:marTop w:val="0"/>
          <w:marBottom w:val="0"/>
          <w:divBdr>
            <w:top w:val="none" w:sz="0" w:space="0" w:color="auto"/>
            <w:left w:val="none" w:sz="0" w:space="0" w:color="auto"/>
            <w:bottom w:val="none" w:sz="0" w:space="0" w:color="auto"/>
            <w:right w:val="none" w:sz="0" w:space="0" w:color="auto"/>
          </w:divBdr>
        </w:div>
        <w:div w:id="1986616526">
          <w:marLeft w:val="0"/>
          <w:marRight w:val="0"/>
          <w:marTop w:val="0"/>
          <w:marBottom w:val="0"/>
          <w:divBdr>
            <w:top w:val="none" w:sz="0" w:space="0" w:color="auto"/>
            <w:left w:val="none" w:sz="0" w:space="0" w:color="auto"/>
            <w:bottom w:val="none" w:sz="0" w:space="0" w:color="auto"/>
            <w:right w:val="none" w:sz="0" w:space="0" w:color="auto"/>
          </w:divBdr>
        </w:div>
      </w:divsChild>
    </w:div>
    <w:div w:id="964428358">
      <w:bodyDiv w:val="1"/>
      <w:marLeft w:val="0"/>
      <w:marRight w:val="0"/>
      <w:marTop w:val="0"/>
      <w:marBottom w:val="0"/>
      <w:divBdr>
        <w:top w:val="none" w:sz="0" w:space="0" w:color="auto"/>
        <w:left w:val="none" w:sz="0" w:space="0" w:color="auto"/>
        <w:bottom w:val="none" w:sz="0" w:space="0" w:color="auto"/>
        <w:right w:val="none" w:sz="0" w:space="0" w:color="auto"/>
      </w:divBdr>
    </w:div>
    <w:div w:id="964702470">
      <w:bodyDiv w:val="1"/>
      <w:marLeft w:val="0"/>
      <w:marRight w:val="0"/>
      <w:marTop w:val="0"/>
      <w:marBottom w:val="0"/>
      <w:divBdr>
        <w:top w:val="none" w:sz="0" w:space="0" w:color="auto"/>
        <w:left w:val="none" w:sz="0" w:space="0" w:color="auto"/>
        <w:bottom w:val="none" w:sz="0" w:space="0" w:color="auto"/>
        <w:right w:val="none" w:sz="0" w:space="0" w:color="auto"/>
      </w:divBdr>
    </w:div>
    <w:div w:id="970481928">
      <w:bodyDiv w:val="1"/>
      <w:marLeft w:val="0"/>
      <w:marRight w:val="0"/>
      <w:marTop w:val="0"/>
      <w:marBottom w:val="0"/>
      <w:divBdr>
        <w:top w:val="none" w:sz="0" w:space="0" w:color="auto"/>
        <w:left w:val="none" w:sz="0" w:space="0" w:color="auto"/>
        <w:bottom w:val="none" w:sz="0" w:space="0" w:color="auto"/>
        <w:right w:val="none" w:sz="0" w:space="0" w:color="auto"/>
      </w:divBdr>
    </w:div>
    <w:div w:id="987320911">
      <w:bodyDiv w:val="1"/>
      <w:marLeft w:val="0"/>
      <w:marRight w:val="0"/>
      <w:marTop w:val="0"/>
      <w:marBottom w:val="0"/>
      <w:divBdr>
        <w:top w:val="none" w:sz="0" w:space="0" w:color="auto"/>
        <w:left w:val="none" w:sz="0" w:space="0" w:color="auto"/>
        <w:bottom w:val="none" w:sz="0" w:space="0" w:color="auto"/>
        <w:right w:val="none" w:sz="0" w:space="0" w:color="auto"/>
      </w:divBdr>
    </w:div>
    <w:div w:id="1008098123">
      <w:bodyDiv w:val="1"/>
      <w:marLeft w:val="0"/>
      <w:marRight w:val="0"/>
      <w:marTop w:val="0"/>
      <w:marBottom w:val="0"/>
      <w:divBdr>
        <w:top w:val="none" w:sz="0" w:space="0" w:color="auto"/>
        <w:left w:val="none" w:sz="0" w:space="0" w:color="auto"/>
        <w:bottom w:val="none" w:sz="0" w:space="0" w:color="auto"/>
        <w:right w:val="none" w:sz="0" w:space="0" w:color="auto"/>
      </w:divBdr>
    </w:div>
    <w:div w:id="1056054209">
      <w:bodyDiv w:val="1"/>
      <w:marLeft w:val="0"/>
      <w:marRight w:val="0"/>
      <w:marTop w:val="0"/>
      <w:marBottom w:val="0"/>
      <w:divBdr>
        <w:top w:val="none" w:sz="0" w:space="0" w:color="auto"/>
        <w:left w:val="none" w:sz="0" w:space="0" w:color="auto"/>
        <w:bottom w:val="none" w:sz="0" w:space="0" w:color="auto"/>
        <w:right w:val="none" w:sz="0" w:space="0" w:color="auto"/>
      </w:divBdr>
    </w:div>
    <w:div w:id="1060786678">
      <w:bodyDiv w:val="1"/>
      <w:marLeft w:val="0"/>
      <w:marRight w:val="0"/>
      <w:marTop w:val="0"/>
      <w:marBottom w:val="0"/>
      <w:divBdr>
        <w:top w:val="none" w:sz="0" w:space="0" w:color="auto"/>
        <w:left w:val="none" w:sz="0" w:space="0" w:color="auto"/>
        <w:bottom w:val="none" w:sz="0" w:space="0" w:color="auto"/>
        <w:right w:val="none" w:sz="0" w:space="0" w:color="auto"/>
      </w:divBdr>
    </w:div>
    <w:div w:id="1079058125">
      <w:bodyDiv w:val="1"/>
      <w:marLeft w:val="0"/>
      <w:marRight w:val="0"/>
      <w:marTop w:val="0"/>
      <w:marBottom w:val="0"/>
      <w:divBdr>
        <w:top w:val="none" w:sz="0" w:space="0" w:color="auto"/>
        <w:left w:val="none" w:sz="0" w:space="0" w:color="auto"/>
        <w:bottom w:val="none" w:sz="0" w:space="0" w:color="auto"/>
        <w:right w:val="none" w:sz="0" w:space="0" w:color="auto"/>
      </w:divBdr>
    </w:div>
    <w:div w:id="1120875299">
      <w:bodyDiv w:val="1"/>
      <w:marLeft w:val="0"/>
      <w:marRight w:val="0"/>
      <w:marTop w:val="0"/>
      <w:marBottom w:val="0"/>
      <w:divBdr>
        <w:top w:val="none" w:sz="0" w:space="0" w:color="auto"/>
        <w:left w:val="none" w:sz="0" w:space="0" w:color="auto"/>
        <w:bottom w:val="none" w:sz="0" w:space="0" w:color="auto"/>
        <w:right w:val="none" w:sz="0" w:space="0" w:color="auto"/>
      </w:divBdr>
    </w:div>
    <w:div w:id="1125469984">
      <w:bodyDiv w:val="1"/>
      <w:marLeft w:val="0"/>
      <w:marRight w:val="0"/>
      <w:marTop w:val="0"/>
      <w:marBottom w:val="0"/>
      <w:divBdr>
        <w:top w:val="none" w:sz="0" w:space="0" w:color="auto"/>
        <w:left w:val="none" w:sz="0" w:space="0" w:color="auto"/>
        <w:bottom w:val="none" w:sz="0" w:space="0" w:color="auto"/>
        <w:right w:val="none" w:sz="0" w:space="0" w:color="auto"/>
      </w:divBdr>
    </w:div>
    <w:div w:id="1129468994">
      <w:bodyDiv w:val="1"/>
      <w:marLeft w:val="0"/>
      <w:marRight w:val="0"/>
      <w:marTop w:val="0"/>
      <w:marBottom w:val="0"/>
      <w:divBdr>
        <w:top w:val="none" w:sz="0" w:space="0" w:color="auto"/>
        <w:left w:val="none" w:sz="0" w:space="0" w:color="auto"/>
        <w:bottom w:val="none" w:sz="0" w:space="0" w:color="auto"/>
        <w:right w:val="none" w:sz="0" w:space="0" w:color="auto"/>
      </w:divBdr>
    </w:div>
    <w:div w:id="1164323517">
      <w:bodyDiv w:val="1"/>
      <w:marLeft w:val="0"/>
      <w:marRight w:val="0"/>
      <w:marTop w:val="0"/>
      <w:marBottom w:val="0"/>
      <w:divBdr>
        <w:top w:val="none" w:sz="0" w:space="0" w:color="auto"/>
        <w:left w:val="none" w:sz="0" w:space="0" w:color="auto"/>
        <w:bottom w:val="none" w:sz="0" w:space="0" w:color="auto"/>
        <w:right w:val="none" w:sz="0" w:space="0" w:color="auto"/>
      </w:divBdr>
    </w:div>
    <w:div w:id="1166894514">
      <w:bodyDiv w:val="1"/>
      <w:marLeft w:val="0"/>
      <w:marRight w:val="0"/>
      <w:marTop w:val="0"/>
      <w:marBottom w:val="0"/>
      <w:divBdr>
        <w:top w:val="none" w:sz="0" w:space="0" w:color="auto"/>
        <w:left w:val="none" w:sz="0" w:space="0" w:color="auto"/>
        <w:bottom w:val="none" w:sz="0" w:space="0" w:color="auto"/>
        <w:right w:val="none" w:sz="0" w:space="0" w:color="auto"/>
      </w:divBdr>
    </w:div>
    <w:div w:id="1183200094">
      <w:bodyDiv w:val="1"/>
      <w:marLeft w:val="0"/>
      <w:marRight w:val="0"/>
      <w:marTop w:val="0"/>
      <w:marBottom w:val="0"/>
      <w:divBdr>
        <w:top w:val="none" w:sz="0" w:space="0" w:color="auto"/>
        <w:left w:val="none" w:sz="0" w:space="0" w:color="auto"/>
        <w:bottom w:val="none" w:sz="0" w:space="0" w:color="auto"/>
        <w:right w:val="none" w:sz="0" w:space="0" w:color="auto"/>
      </w:divBdr>
    </w:div>
    <w:div w:id="1185091929">
      <w:bodyDiv w:val="1"/>
      <w:marLeft w:val="0"/>
      <w:marRight w:val="0"/>
      <w:marTop w:val="0"/>
      <w:marBottom w:val="0"/>
      <w:divBdr>
        <w:top w:val="none" w:sz="0" w:space="0" w:color="auto"/>
        <w:left w:val="none" w:sz="0" w:space="0" w:color="auto"/>
        <w:bottom w:val="none" w:sz="0" w:space="0" w:color="auto"/>
        <w:right w:val="none" w:sz="0" w:space="0" w:color="auto"/>
      </w:divBdr>
    </w:div>
    <w:div w:id="1227842971">
      <w:bodyDiv w:val="1"/>
      <w:marLeft w:val="0"/>
      <w:marRight w:val="0"/>
      <w:marTop w:val="0"/>
      <w:marBottom w:val="0"/>
      <w:divBdr>
        <w:top w:val="none" w:sz="0" w:space="0" w:color="auto"/>
        <w:left w:val="none" w:sz="0" w:space="0" w:color="auto"/>
        <w:bottom w:val="none" w:sz="0" w:space="0" w:color="auto"/>
        <w:right w:val="none" w:sz="0" w:space="0" w:color="auto"/>
      </w:divBdr>
    </w:div>
    <w:div w:id="1259829187">
      <w:bodyDiv w:val="1"/>
      <w:marLeft w:val="0"/>
      <w:marRight w:val="0"/>
      <w:marTop w:val="0"/>
      <w:marBottom w:val="0"/>
      <w:divBdr>
        <w:top w:val="none" w:sz="0" w:space="0" w:color="auto"/>
        <w:left w:val="none" w:sz="0" w:space="0" w:color="auto"/>
        <w:bottom w:val="none" w:sz="0" w:space="0" w:color="auto"/>
        <w:right w:val="none" w:sz="0" w:space="0" w:color="auto"/>
      </w:divBdr>
    </w:div>
    <w:div w:id="1286808819">
      <w:bodyDiv w:val="1"/>
      <w:marLeft w:val="0"/>
      <w:marRight w:val="0"/>
      <w:marTop w:val="0"/>
      <w:marBottom w:val="0"/>
      <w:divBdr>
        <w:top w:val="none" w:sz="0" w:space="0" w:color="auto"/>
        <w:left w:val="none" w:sz="0" w:space="0" w:color="auto"/>
        <w:bottom w:val="none" w:sz="0" w:space="0" w:color="auto"/>
        <w:right w:val="none" w:sz="0" w:space="0" w:color="auto"/>
      </w:divBdr>
    </w:div>
    <w:div w:id="1292856782">
      <w:bodyDiv w:val="1"/>
      <w:marLeft w:val="0"/>
      <w:marRight w:val="0"/>
      <w:marTop w:val="0"/>
      <w:marBottom w:val="0"/>
      <w:divBdr>
        <w:top w:val="none" w:sz="0" w:space="0" w:color="auto"/>
        <w:left w:val="none" w:sz="0" w:space="0" w:color="auto"/>
        <w:bottom w:val="none" w:sz="0" w:space="0" w:color="auto"/>
        <w:right w:val="none" w:sz="0" w:space="0" w:color="auto"/>
      </w:divBdr>
    </w:div>
    <w:div w:id="1366907469">
      <w:bodyDiv w:val="1"/>
      <w:marLeft w:val="0"/>
      <w:marRight w:val="0"/>
      <w:marTop w:val="0"/>
      <w:marBottom w:val="0"/>
      <w:divBdr>
        <w:top w:val="none" w:sz="0" w:space="0" w:color="auto"/>
        <w:left w:val="none" w:sz="0" w:space="0" w:color="auto"/>
        <w:bottom w:val="none" w:sz="0" w:space="0" w:color="auto"/>
        <w:right w:val="none" w:sz="0" w:space="0" w:color="auto"/>
      </w:divBdr>
      <w:divsChild>
        <w:div w:id="357314599">
          <w:marLeft w:val="0"/>
          <w:marRight w:val="0"/>
          <w:marTop w:val="0"/>
          <w:marBottom w:val="0"/>
          <w:divBdr>
            <w:top w:val="none" w:sz="0" w:space="0" w:color="auto"/>
            <w:left w:val="none" w:sz="0" w:space="0" w:color="auto"/>
            <w:bottom w:val="none" w:sz="0" w:space="0" w:color="auto"/>
            <w:right w:val="none" w:sz="0" w:space="0" w:color="auto"/>
          </w:divBdr>
          <w:divsChild>
            <w:div w:id="6298114">
              <w:marLeft w:val="0"/>
              <w:marRight w:val="0"/>
              <w:marTop w:val="0"/>
              <w:marBottom w:val="0"/>
              <w:divBdr>
                <w:top w:val="none" w:sz="0" w:space="0" w:color="auto"/>
                <w:left w:val="none" w:sz="0" w:space="0" w:color="auto"/>
                <w:bottom w:val="none" w:sz="0" w:space="0" w:color="auto"/>
                <w:right w:val="none" w:sz="0" w:space="0" w:color="auto"/>
              </w:divBdr>
            </w:div>
            <w:div w:id="88237565">
              <w:marLeft w:val="0"/>
              <w:marRight w:val="0"/>
              <w:marTop w:val="0"/>
              <w:marBottom w:val="0"/>
              <w:divBdr>
                <w:top w:val="none" w:sz="0" w:space="0" w:color="auto"/>
                <w:left w:val="none" w:sz="0" w:space="0" w:color="auto"/>
                <w:bottom w:val="none" w:sz="0" w:space="0" w:color="auto"/>
                <w:right w:val="none" w:sz="0" w:space="0" w:color="auto"/>
              </w:divBdr>
            </w:div>
            <w:div w:id="147092805">
              <w:marLeft w:val="0"/>
              <w:marRight w:val="0"/>
              <w:marTop w:val="0"/>
              <w:marBottom w:val="0"/>
              <w:divBdr>
                <w:top w:val="none" w:sz="0" w:space="0" w:color="auto"/>
                <w:left w:val="none" w:sz="0" w:space="0" w:color="auto"/>
                <w:bottom w:val="none" w:sz="0" w:space="0" w:color="auto"/>
                <w:right w:val="none" w:sz="0" w:space="0" w:color="auto"/>
              </w:divBdr>
            </w:div>
            <w:div w:id="265500129">
              <w:marLeft w:val="0"/>
              <w:marRight w:val="0"/>
              <w:marTop w:val="0"/>
              <w:marBottom w:val="0"/>
              <w:divBdr>
                <w:top w:val="none" w:sz="0" w:space="0" w:color="auto"/>
                <w:left w:val="none" w:sz="0" w:space="0" w:color="auto"/>
                <w:bottom w:val="none" w:sz="0" w:space="0" w:color="auto"/>
                <w:right w:val="none" w:sz="0" w:space="0" w:color="auto"/>
              </w:divBdr>
            </w:div>
            <w:div w:id="283536505">
              <w:marLeft w:val="0"/>
              <w:marRight w:val="0"/>
              <w:marTop w:val="0"/>
              <w:marBottom w:val="0"/>
              <w:divBdr>
                <w:top w:val="none" w:sz="0" w:space="0" w:color="auto"/>
                <w:left w:val="none" w:sz="0" w:space="0" w:color="auto"/>
                <w:bottom w:val="none" w:sz="0" w:space="0" w:color="auto"/>
                <w:right w:val="none" w:sz="0" w:space="0" w:color="auto"/>
              </w:divBdr>
            </w:div>
            <w:div w:id="298998192">
              <w:marLeft w:val="0"/>
              <w:marRight w:val="0"/>
              <w:marTop w:val="0"/>
              <w:marBottom w:val="0"/>
              <w:divBdr>
                <w:top w:val="none" w:sz="0" w:space="0" w:color="auto"/>
                <w:left w:val="none" w:sz="0" w:space="0" w:color="auto"/>
                <w:bottom w:val="none" w:sz="0" w:space="0" w:color="auto"/>
                <w:right w:val="none" w:sz="0" w:space="0" w:color="auto"/>
              </w:divBdr>
            </w:div>
            <w:div w:id="345447706">
              <w:marLeft w:val="0"/>
              <w:marRight w:val="0"/>
              <w:marTop w:val="0"/>
              <w:marBottom w:val="0"/>
              <w:divBdr>
                <w:top w:val="none" w:sz="0" w:space="0" w:color="auto"/>
                <w:left w:val="none" w:sz="0" w:space="0" w:color="auto"/>
                <w:bottom w:val="none" w:sz="0" w:space="0" w:color="auto"/>
                <w:right w:val="none" w:sz="0" w:space="0" w:color="auto"/>
              </w:divBdr>
            </w:div>
            <w:div w:id="426971134">
              <w:marLeft w:val="0"/>
              <w:marRight w:val="0"/>
              <w:marTop w:val="0"/>
              <w:marBottom w:val="0"/>
              <w:divBdr>
                <w:top w:val="none" w:sz="0" w:space="0" w:color="auto"/>
                <w:left w:val="none" w:sz="0" w:space="0" w:color="auto"/>
                <w:bottom w:val="none" w:sz="0" w:space="0" w:color="auto"/>
                <w:right w:val="none" w:sz="0" w:space="0" w:color="auto"/>
              </w:divBdr>
            </w:div>
            <w:div w:id="483813286">
              <w:marLeft w:val="0"/>
              <w:marRight w:val="0"/>
              <w:marTop w:val="0"/>
              <w:marBottom w:val="0"/>
              <w:divBdr>
                <w:top w:val="none" w:sz="0" w:space="0" w:color="auto"/>
                <w:left w:val="none" w:sz="0" w:space="0" w:color="auto"/>
                <w:bottom w:val="none" w:sz="0" w:space="0" w:color="auto"/>
                <w:right w:val="none" w:sz="0" w:space="0" w:color="auto"/>
              </w:divBdr>
            </w:div>
            <w:div w:id="519248283">
              <w:marLeft w:val="0"/>
              <w:marRight w:val="0"/>
              <w:marTop w:val="0"/>
              <w:marBottom w:val="0"/>
              <w:divBdr>
                <w:top w:val="none" w:sz="0" w:space="0" w:color="auto"/>
                <w:left w:val="none" w:sz="0" w:space="0" w:color="auto"/>
                <w:bottom w:val="none" w:sz="0" w:space="0" w:color="auto"/>
                <w:right w:val="none" w:sz="0" w:space="0" w:color="auto"/>
              </w:divBdr>
            </w:div>
            <w:div w:id="552230498">
              <w:marLeft w:val="0"/>
              <w:marRight w:val="0"/>
              <w:marTop w:val="0"/>
              <w:marBottom w:val="0"/>
              <w:divBdr>
                <w:top w:val="none" w:sz="0" w:space="0" w:color="auto"/>
                <w:left w:val="none" w:sz="0" w:space="0" w:color="auto"/>
                <w:bottom w:val="none" w:sz="0" w:space="0" w:color="auto"/>
                <w:right w:val="none" w:sz="0" w:space="0" w:color="auto"/>
              </w:divBdr>
            </w:div>
            <w:div w:id="566916192">
              <w:marLeft w:val="0"/>
              <w:marRight w:val="0"/>
              <w:marTop w:val="0"/>
              <w:marBottom w:val="0"/>
              <w:divBdr>
                <w:top w:val="none" w:sz="0" w:space="0" w:color="auto"/>
                <w:left w:val="none" w:sz="0" w:space="0" w:color="auto"/>
                <w:bottom w:val="none" w:sz="0" w:space="0" w:color="auto"/>
                <w:right w:val="none" w:sz="0" w:space="0" w:color="auto"/>
              </w:divBdr>
            </w:div>
            <w:div w:id="587924155">
              <w:marLeft w:val="0"/>
              <w:marRight w:val="0"/>
              <w:marTop w:val="0"/>
              <w:marBottom w:val="0"/>
              <w:divBdr>
                <w:top w:val="none" w:sz="0" w:space="0" w:color="auto"/>
                <w:left w:val="none" w:sz="0" w:space="0" w:color="auto"/>
                <w:bottom w:val="none" w:sz="0" w:space="0" w:color="auto"/>
                <w:right w:val="none" w:sz="0" w:space="0" w:color="auto"/>
              </w:divBdr>
            </w:div>
            <w:div w:id="625434958">
              <w:marLeft w:val="0"/>
              <w:marRight w:val="0"/>
              <w:marTop w:val="0"/>
              <w:marBottom w:val="0"/>
              <w:divBdr>
                <w:top w:val="none" w:sz="0" w:space="0" w:color="auto"/>
                <w:left w:val="none" w:sz="0" w:space="0" w:color="auto"/>
                <w:bottom w:val="none" w:sz="0" w:space="0" w:color="auto"/>
                <w:right w:val="none" w:sz="0" w:space="0" w:color="auto"/>
              </w:divBdr>
            </w:div>
            <w:div w:id="753623803">
              <w:marLeft w:val="0"/>
              <w:marRight w:val="0"/>
              <w:marTop w:val="0"/>
              <w:marBottom w:val="0"/>
              <w:divBdr>
                <w:top w:val="none" w:sz="0" w:space="0" w:color="auto"/>
                <w:left w:val="none" w:sz="0" w:space="0" w:color="auto"/>
                <w:bottom w:val="none" w:sz="0" w:space="0" w:color="auto"/>
                <w:right w:val="none" w:sz="0" w:space="0" w:color="auto"/>
              </w:divBdr>
            </w:div>
            <w:div w:id="772020507">
              <w:marLeft w:val="0"/>
              <w:marRight w:val="0"/>
              <w:marTop w:val="0"/>
              <w:marBottom w:val="0"/>
              <w:divBdr>
                <w:top w:val="none" w:sz="0" w:space="0" w:color="auto"/>
                <w:left w:val="none" w:sz="0" w:space="0" w:color="auto"/>
                <w:bottom w:val="none" w:sz="0" w:space="0" w:color="auto"/>
                <w:right w:val="none" w:sz="0" w:space="0" w:color="auto"/>
              </w:divBdr>
            </w:div>
            <w:div w:id="862669078">
              <w:marLeft w:val="0"/>
              <w:marRight w:val="0"/>
              <w:marTop w:val="0"/>
              <w:marBottom w:val="0"/>
              <w:divBdr>
                <w:top w:val="none" w:sz="0" w:space="0" w:color="auto"/>
                <w:left w:val="none" w:sz="0" w:space="0" w:color="auto"/>
                <w:bottom w:val="none" w:sz="0" w:space="0" w:color="auto"/>
                <w:right w:val="none" w:sz="0" w:space="0" w:color="auto"/>
              </w:divBdr>
            </w:div>
            <w:div w:id="930237695">
              <w:marLeft w:val="0"/>
              <w:marRight w:val="0"/>
              <w:marTop w:val="0"/>
              <w:marBottom w:val="0"/>
              <w:divBdr>
                <w:top w:val="none" w:sz="0" w:space="0" w:color="auto"/>
                <w:left w:val="none" w:sz="0" w:space="0" w:color="auto"/>
                <w:bottom w:val="none" w:sz="0" w:space="0" w:color="auto"/>
                <w:right w:val="none" w:sz="0" w:space="0" w:color="auto"/>
              </w:divBdr>
            </w:div>
            <w:div w:id="1032419954">
              <w:marLeft w:val="0"/>
              <w:marRight w:val="0"/>
              <w:marTop w:val="0"/>
              <w:marBottom w:val="0"/>
              <w:divBdr>
                <w:top w:val="none" w:sz="0" w:space="0" w:color="auto"/>
                <w:left w:val="none" w:sz="0" w:space="0" w:color="auto"/>
                <w:bottom w:val="none" w:sz="0" w:space="0" w:color="auto"/>
                <w:right w:val="none" w:sz="0" w:space="0" w:color="auto"/>
              </w:divBdr>
            </w:div>
            <w:div w:id="1100560792">
              <w:marLeft w:val="0"/>
              <w:marRight w:val="0"/>
              <w:marTop w:val="0"/>
              <w:marBottom w:val="0"/>
              <w:divBdr>
                <w:top w:val="none" w:sz="0" w:space="0" w:color="auto"/>
                <w:left w:val="none" w:sz="0" w:space="0" w:color="auto"/>
                <w:bottom w:val="none" w:sz="0" w:space="0" w:color="auto"/>
                <w:right w:val="none" w:sz="0" w:space="0" w:color="auto"/>
              </w:divBdr>
            </w:div>
            <w:div w:id="1165129225">
              <w:marLeft w:val="0"/>
              <w:marRight w:val="0"/>
              <w:marTop w:val="0"/>
              <w:marBottom w:val="0"/>
              <w:divBdr>
                <w:top w:val="none" w:sz="0" w:space="0" w:color="auto"/>
                <w:left w:val="none" w:sz="0" w:space="0" w:color="auto"/>
                <w:bottom w:val="none" w:sz="0" w:space="0" w:color="auto"/>
                <w:right w:val="none" w:sz="0" w:space="0" w:color="auto"/>
              </w:divBdr>
            </w:div>
            <w:div w:id="1186486069">
              <w:marLeft w:val="0"/>
              <w:marRight w:val="0"/>
              <w:marTop w:val="0"/>
              <w:marBottom w:val="0"/>
              <w:divBdr>
                <w:top w:val="none" w:sz="0" w:space="0" w:color="auto"/>
                <w:left w:val="none" w:sz="0" w:space="0" w:color="auto"/>
                <w:bottom w:val="none" w:sz="0" w:space="0" w:color="auto"/>
                <w:right w:val="none" w:sz="0" w:space="0" w:color="auto"/>
              </w:divBdr>
            </w:div>
            <w:div w:id="1301570933">
              <w:marLeft w:val="0"/>
              <w:marRight w:val="0"/>
              <w:marTop w:val="0"/>
              <w:marBottom w:val="0"/>
              <w:divBdr>
                <w:top w:val="none" w:sz="0" w:space="0" w:color="auto"/>
                <w:left w:val="none" w:sz="0" w:space="0" w:color="auto"/>
                <w:bottom w:val="none" w:sz="0" w:space="0" w:color="auto"/>
                <w:right w:val="none" w:sz="0" w:space="0" w:color="auto"/>
              </w:divBdr>
            </w:div>
            <w:div w:id="1398625086">
              <w:marLeft w:val="0"/>
              <w:marRight w:val="0"/>
              <w:marTop w:val="0"/>
              <w:marBottom w:val="0"/>
              <w:divBdr>
                <w:top w:val="none" w:sz="0" w:space="0" w:color="auto"/>
                <w:left w:val="none" w:sz="0" w:space="0" w:color="auto"/>
                <w:bottom w:val="none" w:sz="0" w:space="0" w:color="auto"/>
                <w:right w:val="none" w:sz="0" w:space="0" w:color="auto"/>
              </w:divBdr>
            </w:div>
            <w:div w:id="1409884116">
              <w:marLeft w:val="0"/>
              <w:marRight w:val="0"/>
              <w:marTop w:val="0"/>
              <w:marBottom w:val="0"/>
              <w:divBdr>
                <w:top w:val="none" w:sz="0" w:space="0" w:color="auto"/>
                <w:left w:val="none" w:sz="0" w:space="0" w:color="auto"/>
                <w:bottom w:val="none" w:sz="0" w:space="0" w:color="auto"/>
                <w:right w:val="none" w:sz="0" w:space="0" w:color="auto"/>
              </w:divBdr>
            </w:div>
            <w:div w:id="1456800379">
              <w:marLeft w:val="0"/>
              <w:marRight w:val="0"/>
              <w:marTop w:val="0"/>
              <w:marBottom w:val="0"/>
              <w:divBdr>
                <w:top w:val="none" w:sz="0" w:space="0" w:color="auto"/>
                <w:left w:val="none" w:sz="0" w:space="0" w:color="auto"/>
                <w:bottom w:val="none" w:sz="0" w:space="0" w:color="auto"/>
                <w:right w:val="none" w:sz="0" w:space="0" w:color="auto"/>
              </w:divBdr>
            </w:div>
            <w:div w:id="1644121534">
              <w:marLeft w:val="0"/>
              <w:marRight w:val="0"/>
              <w:marTop w:val="0"/>
              <w:marBottom w:val="0"/>
              <w:divBdr>
                <w:top w:val="none" w:sz="0" w:space="0" w:color="auto"/>
                <w:left w:val="none" w:sz="0" w:space="0" w:color="auto"/>
                <w:bottom w:val="none" w:sz="0" w:space="0" w:color="auto"/>
                <w:right w:val="none" w:sz="0" w:space="0" w:color="auto"/>
              </w:divBdr>
            </w:div>
            <w:div w:id="1771393974">
              <w:marLeft w:val="0"/>
              <w:marRight w:val="0"/>
              <w:marTop w:val="0"/>
              <w:marBottom w:val="0"/>
              <w:divBdr>
                <w:top w:val="none" w:sz="0" w:space="0" w:color="auto"/>
                <w:left w:val="none" w:sz="0" w:space="0" w:color="auto"/>
                <w:bottom w:val="none" w:sz="0" w:space="0" w:color="auto"/>
                <w:right w:val="none" w:sz="0" w:space="0" w:color="auto"/>
              </w:divBdr>
            </w:div>
            <w:div w:id="1909223558">
              <w:marLeft w:val="0"/>
              <w:marRight w:val="0"/>
              <w:marTop w:val="0"/>
              <w:marBottom w:val="0"/>
              <w:divBdr>
                <w:top w:val="none" w:sz="0" w:space="0" w:color="auto"/>
                <w:left w:val="none" w:sz="0" w:space="0" w:color="auto"/>
                <w:bottom w:val="none" w:sz="0" w:space="0" w:color="auto"/>
                <w:right w:val="none" w:sz="0" w:space="0" w:color="auto"/>
              </w:divBdr>
            </w:div>
            <w:div w:id="1976327153">
              <w:marLeft w:val="0"/>
              <w:marRight w:val="0"/>
              <w:marTop w:val="0"/>
              <w:marBottom w:val="0"/>
              <w:divBdr>
                <w:top w:val="none" w:sz="0" w:space="0" w:color="auto"/>
                <w:left w:val="none" w:sz="0" w:space="0" w:color="auto"/>
                <w:bottom w:val="none" w:sz="0" w:space="0" w:color="auto"/>
                <w:right w:val="none" w:sz="0" w:space="0" w:color="auto"/>
              </w:divBdr>
            </w:div>
            <w:div w:id="1982810282">
              <w:marLeft w:val="0"/>
              <w:marRight w:val="0"/>
              <w:marTop w:val="0"/>
              <w:marBottom w:val="0"/>
              <w:divBdr>
                <w:top w:val="none" w:sz="0" w:space="0" w:color="auto"/>
                <w:left w:val="none" w:sz="0" w:space="0" w:color="auto"/>
                <w:bottom w:val="none" w:sz="0" w:space="0" w:color="auto"/>
                <w:right w:val="none" w:sz="0" w:space="0" w:color="auto"/>
              </w:divBdr>
            </w:div>
          </w:divsChild>
        </w:div>
        <w:div w:id="987591053">
          <w:marLeft w:val="0"/>
          <w:marRight w:val="0"/>
          <w:marTop w:val="0"/>
          <w:marBottom w:val="0"/>
          <w:divBdr>
            <w:top w:val="none" w:sz="0" w:space="0" w:color="auto"/>
            <w:left w:val="none" w:sz="0" w:space="0" w:color="auto"/>
            <w:bottom w:val="none" w:sz="0" w:space="0" w:color="auto"/>
            <w:right w:val="none" w:sz="0" w:space="0" w:color="auto"/>
          </w:divBdr>
          <w:divsChild>
            <w:div w:id="96754301">
              <w:marLeft w:val="0"/>
              <w:marRight w:val="0"/>
              <w:marTop w:val="0"/>
              <w:marBottom w:val="0"/>
              <w:divBdr>
                <w:top w:val="none" w:sz="0" w:space="0" w:color="auto"/>
                <w:left w:val="none" w:sz="0" w:space="0" w:color="auto"/>
                <w:bottom w:val="none" w:sz="0" w:space="0" w:color="auto"/>
                <w:right w:val="none" w:sz="0" w:space="0" w:color="auto"/>
              </w:divBdr>
            </w:div>
            <w:div w:id="305553732">
              <w:marLeft w:val="0"/>
              <w:marRight w:val="0"/>
              <w:marTop w:val="0"/>
              <w:marBottom w:val="0"/>
              <w:divBdr>
                <w:top w:val="none" w:sz="0" w:space="0" w:color="auto"/>
                <w:left w:val="none" w:sz="0" w:space="0" w:color="auto"/>
                <w:bottom w:val="none" w:sz="0" w:space="0" w:color="auto"/>
                <w:right w:val="none" w:sz="0" w:space="0" w:color="auto"/>
              </w:divBdr>
            </w:div>
            <w:div w:id="12442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6771">
      <w:bodyDiv w:val="1"/>
      <w:marLeft w:val="0"/>
      <w:marRight w:val="0"/>
      <w:marTop w:val="0"/>
      <w:marBottom w:val="0"/>
      <w:divBdr>
        <w:top w:val="none" w:sz="0" w:space="0" w:color="auto"/>
        <w:left w:val="none" w:sz="0" w:space="0" w:color="auto"/>
        <w:bottom w:val="none" w:sz="0" w:space="0" w:color="auto"/>
        <w:right w:val="none" w:sz="0" w:space="0" w:color="auto"/>
      </w:divBdr>
    </w:div>
    <w:div w:id="1403717023">
      <w:bodyDiv w:val="1"/>
      <w:marLeft w:val="0"/>
      <w:marRight w:val="0"/>
      <w:marTop w:val="0"/>
      <w:marBottom w:val="0"/>
      <w:divBdr>
        <w:top w:val="none" w:sz="0" w:space="0" w:color="auto"/>
        <w:left w:val="none" w:sz="0" w:space="0" w:color="auto"/>
        <w:bottom w:val="none" w:sz="0" w:space="0" w:color="auto"/>
        <w:right w:val="none" w:sz="0" w:space="0" w:color="auto"/>
      </w:divBdr>
    </w:div>
    <w:div w:id="1429501251">
      <w:bodyDiv w:val="1"/>
      <w:marLeft w:val="0"/>
      <w:marRight w:val="0"/>
      <w:marTop w:val="0"/>
      <w:marBottom w:val="0"/>
      <w:divBdr>
        <w:top w:val="none" w:sz="0" w:space="0" w:color="auto"/>
        <w:left w:val="none" w:sz="0" w:space="0" w:color="auto"/>
        <w:bottom w:val="none" w:sz="0" w:space="0" w:color="auto"/>
        <w:right w:val="none" w:sz="0" w:space="0" w:color="auto"/>
      </w:divBdr>
    </w:div>
    <w:div w:id="1430201773">
      <w:bodyDiv w:val="1"/>
      <w:marLeft w:val="0"/>
      <w:marRight w:val="0"/>
      <w:marTop w:val="0"/>
      <w:marBottom w:val="0"/>
      <w:divBdr>
        <w:top w:val="none" w:sz="0" w:space="0" w:color="auto"/>
        <w:left w:val="none" w:sz="0" w:space="0" w:color="auto"/>
        <w:bottom w:val="none" w:sz="0" w:space="0" w:color="auto"/>
        <w:right w:val="none" w:sz="0" w:space="0" w:color="auto"/>
      </w:divBdr>
    </w:div>
    <w:div w:id="1438482303">
      <w:bodyDiv w:val="1"/>
      <w:marLeft w:val="0"/>
      <w:marRight w:val="0"/>
      <w:marTop w:val="0"/>
      <w:marBottom w:val="0"/>
      <w:divBdr>
        <w:top w:val="none" w:sz="0" w:space="0" w:color="auto"/>
        <w:left w:val="none" w:sz="0" w:space="0" w:color="auto"/>
        <w:bottom w:val="none" w:sz="0" w:space="0" w:color="auto"/>
        <w:right w:val="none" w:sz="0" w:space="0" w:color="auto"/>
      </w:divBdr>
    </w:div>
    <w:div w:id="1475758192">
      <w:bodyDiv w:val="1"/>
      <w:marLeft w:val="0"/>
      <w:marRight w:val="0"/>
      <w:marTop w:val="0"/>
      <w:marBottom w:val="0"/>
      <w:divBdr>
        <w:top w:val="none" w:sz="0" w:space="0" w:color="auto"/>
        <w:left w:val="none" w:sz="0" w:space="0" w:color="auto"/>
        <w:bottom w:val="none" w:sz="0" w:space="0" w:color="auto"/>
        <w:right w:val="none" w:sz="0" w:space="0" w:color="auto"/>
      </w:divBdr>
    </w:div>
    <w:div w:id="1481969029">
      <w:bodyDiv w:val="1"/>
      <w:marLeft w:val="0"/>
      <w:marRight w:val="0"/>
      <w:marTop w:val="0"/>
      <w:marBottom w:val="0"/>
      <w:divBdr>
        <w:top w:val="none" w:sz="0" w:space="0" w:color="auto"/>
        <w:left w:val="none" w:sz="0" w:space="0" w:color="auto"/>
        <w:bottom w:val="none" w:sz="0" w:space="0" w:color="auto"/>
        <w:right w:val="none" w:sz="0" w:space="0" w:color="auto"/>
      </w:divBdr>
      <w:divsChild>
        <w:div w:id="106776049">
          <w:marLeft w:val="0"/>
          <w:marRight w:val="0"/>
          <w:marTop w:val="0"/>
          <w:marBottom w:val="0"/>
          <w:divBdr>
            <w:top w:val="none" w:sz="0" w:space="0" w:color="auto"/>
            <w:left w:val="none" w:sz="0" w:space="0" w:color="auto"/>
            <w:bottom w:val="none" w:sz="0" w:space="0" w:color="auto"/>
            <w:right w:val="none" w:sz="0" w:space="0" w:color="auto"/>
          </w:divBdr>
        </w:div>
        <w:div w:id="379938328">
          <w:marLeft w:val="0"/>
          <w:marRight w:val="0"/>
          <w:marTop w:val="0"/>
          <w:marBottom w:val="0"/>
          <w:divBdr>
            <w:top w:val="none" w:sz="0" w:space="0" w:color="auto"/>
            <w:left w:val="none" w:sz="0" w:space="0" w:color="auto"/>
            <w:bottom w:val="none" w:sz="0" w:space="0" w:color="auto"/>
            <w:right w:val="none" w:sz="0" w:space="0" w:color="auto"/>
          </w:divBdr>
        </w:div>
        <w:div w:id="769542106">
          <w:marLeft w:val="0"/>
          <w:marRight w:val="0"/>
          <w:marTop w:val="0"/>
          <w:marBottom w:val="0"/>
          <w:divBdr>
            <w:top w:val="none" w:sz="0" w:space="0" w:color="auto"/>
            <w:left w:val="none" w:sz="0" w:space="0" w:color="auto"/>
            <w:bottom w:val="none" w:sz="0" w:space="0" w:color="auto"/>
            <w:right w:val="none" w:sz="0" w:space="0" w:color="auto"/>
          </w:divBdr>
        </w:div>
        <w:div w:id="1305551140">
          <w:marLeft w:val="0"/>
          <w:marRight w:val="0"/>
          <w:marTop w:val="0"/>
          <w:marBottom w:val="0"/>
          <w:divBdr>
            <w:top w:val="none" w:sz="0" w:space="0" w:color="auto"/>
            <w:left w:val="none" w:sz="0" w:space="0" w:color="auto"/>
            <w:bottom w:val="none" w:sz="0" w:space="0" w:color="auto"/>
            <w:right w:val="none" w:sz="0" w:space="0" w:color="auto"/>
          </w:divBdr>
        </w:div>
        <w:div w:id="1328897253">
          <w:marLeft w:val="0"/>
          <w:marRight w:val="0"/>
          <w:marTop w:val="0"/>
          <w:marBottom w:val="0"/>
          <w:divBdr>
            <w:top w:val="none" w:sz="0" w:space="0" w:color="auto"/>
            <w:left w:val="none" w:sz="0" w:space="0" w:color="auto"/>
            <w:bottom w:val="none" w:sz="0" w:space="0" w:color="auto"/>
            <w:right w:val="none" w:sz="0" w:space="0" w:color="auto"/>
          </w:divBdr>
        </w:div>
        <w:div w:id="1862813001">
          <w:marLeft w:val="0"/>
          <w:marRight w:val="0"/>
          <w:marTop w:val="0"/>
          <w:marBottom w:val="0"/>
          <w:divBdr>
            <w:top w:val="none" w:sz="0" w:space="0" w:color="auto"/>
            <w:left w:val="none" w:sz="0" w:space="0" w:color="auto"/>
            <w:bottom w:val="none" w:sz="0" w:space="0" w:color="auto"/>
            <w:right w:val="none" w:sz="0" w:space="0" w:color="auto"/>
          </w:divBdr>
        </w:div>
      </w:divsChild>
    </w:div>
    <w:div w:id="1604649450">
      <w:bodyDiv w:val="1"/>
      <w:marLeft w:val="0"/>
      <w:marRight w:val="0"/>
      <w:marTop w:val="0"/>
      <w:marBottom w:val="0"/>
      <w:divBdr>
        <w:top w:val="none" w:sz="0" w:space="0" w:color="auto"/>
        <w:left w:val="none" w:sz="0" w:space="0" w:color="auto"/>
        <w:bottom w:val="none" w:sz="0" w:space="0" w:color="auto"/>
        <w:right w:val="none" w:sz="0" w:space="0" w:color="auto"/>
      </w:divBdr>
    </w:div>
    <w:div w:id="1639602177">
      <w:bodyDiv w:val="1"/>
      <w:marLeft w:val="0"/>
      <w:marRight w:val="0"/>
      <w:marTop w:val="0"/>
      <w:marBottom w:val="0"/>
      <w:divBdr>
        <w:top w:val="none" w:sz="0" w:space="0" w:color="auto"/>
        <w:left w:val="none" w:sz="0" w:space="0" w:color="auto"/>
        <w:bottom w:val="none" w:sz="0" w:space="0" w:color="auto"/>
        <w:right w:val="none" w:sz="0" w:space="0" w:color="auto"/>
      </w:divBdr>
    </w:div>
    <w:div w:id="1732338391">
      <w:bodyDiv w:val="1"/>
      <w:marLeft w:val="0"/>
      <w:marRight w:val="0"/>
      <w:marTop w:val="0"/>
      <w:marBottom w:val="0"/>
      <w:divBdr>
        <w:top w:val="none" w:sz="0" w:space="0" w:color="auto"/>
        <w:left w:val="none" w:sz="0" w:space="0" w:color="auto"/>
        <w:bottom w:val="none" w:sz="0" w:space="0" w:color="auto"/>
        <w:right w:val="none" w:sz="0" w:space="0" w:color="auto"/>
      </w:divBdr>
    </w:div>
    <w:div w:id="1773743062">
      <w:bodyDiv w:val="1"/>
      <w:marLeft w:val="0"/>
      <w:marRight w:val="0"/>
      <w:marTop w:val="0"/>
      <w:marBottom w:val="0"/>
      <w:divBdr>
        <w:top w:val="none" w:sz="0" w:space="0" w:color="auto"/>
        <w:left w:val="none" w:sz="0" w:space="0" w:color="auto"/>
        <w:bottom w:val="none" w:sz="0" w:space="0" w:color="auto"/>
        <w:right w:val="none" w:sz="0" w:space="0" w:color="auto"/>
      </w:divBdr>
    </w:div>
    <w:div w:id="1788236479">
      <w:bodyDiv w:val="1"/>
      <w:marLeft w:val="0"/>
      <w:marRight w:val="0"/>
      <w:marTop w:val="0"/>
      <w:marBottom w:val="0"/>
      <w:divBdr>
        <w:top w:val="none" w:sz="0" w:space="0" w:color="auto"/>
        <w:left w:val="none" w:sz="0" w:space="0" w:color="auto"/>
        <w:bottom w:val="none" w:sz="0" w:space="0" w:color="auto"/>
        <w:right w:val="none" w:sz="0" w:space="0" w:color="auto"/>
      </w:divBdr>
    </w:div>
    <w:div w:id="1817255901">
      <w:bodyDiv w:val="1"/>
      <w:marLeft w:val="0"/>
      <w:marRight w:val="0"/>
      <w:marTop w:val="0"/>
      <w:marBottom w:val="0"/>
      <w:divBdr>
        <w:top w:val="none" w:sz="0" w:space="0" w:color="auto"/>
        <w:left w:val="none" w:sz="0" w:space="0" w:color="auto"/>
        <w:bottom w:val="none" w:sz="0" w:space="0" w:color="auto"/>
        <w:right w:val="none" w:sz="0" w:space="0" w:color="auto"/>
      </w:divBdr>
    </w:div>
    <w:div w:id="1828592115">
      <w:bodyDiv w:val="1"/>
      <w:marLeft w:val="0"/>
      <w:marRight w:val="0"/>
      <w:marTop w:val="0"/>
      <w:marBottom w:val="0"/>
      <w:divBdr>
        <w:top w:val="none" w:sz="0" w:space="0" w:color="auto"/>
        <w:left w:val="none" w:sz="0" w:space="0" w:color="auto"/>
        <w:bottom w:val="none" w:sz="0" w:space="0" w:color="auto"/>
        <w:right w:val="none" w:sz="0" w:space="0" w:color="auto"/>
      </w:divBdr>
    </w:div>
    <w:div w:id="1837189219">
      <w:bodyDiv w:val="1"/>
      <w:marLeft w:val="0"/>
      <w:marRight w:val="0"/>
      <w:marTop w:val="0"/>
      <w:marBottom w:val="0"/>
      <w:divBdr>
        <w:top w:val="none" w:sz="0" w:space="0" w:color="auto"/>
        <w:left w:val="none" w:sz="0" w:space="0" w:color="auto"/>
        <w:bottom w:val="none" w:sz="0" w:space="0" w:color="auto"/>
        <w:right w:val="none" w:sz="0" w:space="0" w:color="auto"/>
      </w:divBdr>
    </w:div>
    <w:div w:id="1844122827">
      <w:bodyDiv w:val="1"/>
      <w:marLeft w:val="0"/>
      <w:marRight w:val="0"/>
      <w:marTop w:val="0"/>
      <w:marBottom w:val="0"/>
      <w:divBdr>
        <w:top w:val="none" w:sz="0" w:space="0" w:color="auto"/>
        <w:left w:val="none" w:sz="0" w:space="0" w:color="auto"/>
        <w:bottom w:val="none" w:sz="0" w:space="0" w:color="auto"/>
        <w:right w:val="none" w:sz="0" w:space="0" w:color="auto"/>
      </w:divBdr>
    </w:div>
    <w:div w:id="1852329643">
      <w:bodyDiv w:val="1"/>
      <w:marLeft w:val="0"/>
      <w:marRight w:val="0"/>
      <w:marTop w:val="0"/>
      <w:marBottom w:val="0"/>
      <w:divBdr>
        <w:top w:val="none" w:sz="0" w:space="0" w:color="auto"/>
        <w:left w:val="none" w:sz="0" w:space="0" w:color="auto"/>
        <w:bottom w:val="none" w:sz="0" w:space="0" w:color="auto"/>
        <w:right w:val="none" w:sz="0" w:space="0" w:color="auto"/>
      </w:divBdr>
    </w:div>
    <w:div w:id="1914270221">
      <w:bodyDiv w:val="1"/>
      <w:marLeft w:val="0"/>
      <w:marRight w:val="0"/>
      <w:marTop w:val="0"/>
      <w:marBottom w:val="0"/>
      <w:divBdr>
        <w:top w:val="none" w:sz="0" w:space="0" w:color="auto"/>
        <w:left w:val="none" w:sz="0" w:space="0" w:color="auto"/>
        <w:bottom w:val="none" w:sz="0" w:space="0" w:color="auto"/>
        <w:right w:val="none" w:sz="0" w:space="0" w:color="auto"/>
      </w:divBdr>
    </w:div>
    <w:div w:id="1941373317">
      <w:bodyDiv w:val="1"/>
      <w:marLeft w:val="0"/>
      <w:marRight w:val="0"/>
      <w:marTop w:val="0"/>
      <w:marBottom w:val="0"/>
      <w:divBdr>
        <w:top w:val="none" w:sz="0" w:space="0" w:color="auto"/>
        <w:left w:val="none" w:sz="0" w:space="0" w:color="auto"/>
        <w:bottom w:val="none" w:sz="0" w:space="0" w:color="auto"/>
        <w:right w:val="none" w:sz="0" w:space="0" w:color="auto"/>
      </w:divBdr>
    </w:div>
    <w:div w:id="1973554532">
      <w:bodyDiv w:val="1"/>
      <w:marLeft w:val="0"/>
      <w:marRight w:val="0"/>
      <w:marTop w:val="0"/>
      <w:marBottom w:val="0"/>
      <w:divBdr>
        <w:top w:val="none" w:sz="0" w:space="0" w:color="auto"/>
        <w:left w:val="none" w:sz="0" w:space="0" w:color="auto"/>
        <w:bottom w:val="none" w:sz="0" w:space="0" w:color="auto"/>
        <w:right w:val="none" w:sz="0" w:space="0" w:color="auto"/>
      </w:divBdr>
    </w:div>
    <w:div w:id="1986011217">
      <w:bodyDiv w:val="1"/>
      <w:marLeft w:val="0"/>
      <w:marRight w:val="0"/>
      <w:marTop w:val="0"/>
      <w:marBottom w:val="0"/>
      <w:divBdr>
        <w:top w:val="none" w:sz="0" w:space="0" w:color="auto"/>
        <w:left w:val="none" w:sz="0" w:space="0" w:color="auto"/>
        <w:bottom w:val="none" w:sz="0" w:space="0" w:color="auto"/>
        <w:right w:val="none" w:sz="0" w:space="0" w:color="auto"/>
      </w:divBdr>
    </w:div>
    <w:div w:id="1987121567">
      <w:bodyDiv w:val="1"/>
      <w:marLeft w:val="0"/>
      <w:marRight w:val="0"/>
      <w:marTop w:val="0"/>
      <w:marBottom w:val="0"/>
      <w:divBdr>
        <w:top w:val="none" w:sz="0" w:space="0" w:color="auto"/>
        <w:left w:val="none" w:sz="0" w:space="0" w:color="auto"/>
        <w:bottom w:val="none" w:sz="0" w:space="0" w:color="auto"/>
        <w:right w:val="none" w:sz="0" w:space="0" w:color="auto"/>
      </w:divBdr>
    </w:div>
    <w:div w:id="1991055944">
      <w:bodyDiv w:val="1"/>
      <w:marLeft w:val="0"/>
      <w:marRight w:val="0"/>
      <w:marTop w:val="0"/>
      <w:marBottom w:val="0"/>
      <w:divBdr>
        <w:top w:val="none" w:sz="0" w:space="0" w:color="auto"/>
        <w:left w:val="none" w:sz="0" w:space="0" w:color="auto"/>
        <w:bottom w:val="none" w:sz="0" w:space="0" w:color="auto"/>
        <w:right w:val="none" w:sz="0" w:space="0" w:color="auto"/>
      </w:divBdr>
    </w:div>
    <w:div w:id="2017923976">
      <w:bodyDiv w:val="1"/>
      <w:marLeft w:val="0"/>
      <w:marRight w:val="0"/>
      <w:marTop w:val="0"/>
      <w:marBottom w:val="0"/>
      <w:divBdr>
        <w:top w:val="none" w:sz="0" w:space="0" w:color="auto"/>
        <w:left w:val="none" w:sz="0" w:space="0" w:color="auto"/>
        <w:bottom w:val="none" w:sz="0" w:space="0" w:color="auto"/>
        <w:right w:val="none" w:sz="0" w:space="0" w:color="auto"/>
      </w:divBdr>
    </w:div>
    <w:div w:id="2061511944">
      <w:bodyDiv w:val="1"/>
      <w:marLeft w:val="0"/>
      <w:marRight w:val="0"/>
      <w:marTop w:val="0"/>
      <w:marBottom w:val="0"/>
      <w:divBdr>
        <w:top w:val="none" w:sz="0" w:space="0" w:color="auto"/>
        <w:left w:val="none" w:sz="0" w:space="0" w:color="auto"/>
        <w:bottom w:val="none" w:sz="0" w:space="0" w:color="auto"/>
        <w:right w:val="none" w:sz="0" w:space="0" w:color="auto"/>
      </w:divBdr>
    </w:div>
    <w:div w:id="2125078658">
      <w:bodyDiv w:val="1"/>
      <w:marLeft w:val="0"/>
      <w:marRight w:val="0"/>
      <w:marTop w:val="0"/>
      <w:marBottom w:val="0"/>
      <w:divBdr>
        <w:top w:val="none" w:sz="0" w:space="0" w:color="auto"/>
        <w:left w:val="none" w:sz="0" w:space="0" w:color="auto"/>
        <w:bottom w:val="none" w:sz="0" w:space="0" w:color="auto"/>
        <w:right w:val="none" w:sz="0" w:space="0" w:color="auto"/>
      </w:divBdr>
      <w:divsChild>
        <w:div w:id="292098141">
          <w:marLeft w:val="0"/>
          <w:marRight w:val="0"/>
          <w:marTop w:val="0"/>
          <w:marBottom w:val="0"/>
          <w:divBdr>
            <w:top w:val="none" w:sz="0" w:space="0" w:color="auto"/>
            <w:left w:val="none" w:sz="0" w:space="0" w:color="auto"/>
            <w:bottom w:val="none" w:sz="0" w:space="0" w:color="auto"/>
            <w:right w:val="none" w:sz="0" w:space="0" w:color="auto"/>
          </w:divBdr>
        </w:div>
        <w:div w:id="302005973">
          <w:marLeft w:val="0"/>
          <w:marRight w:val="0"/>
          <w:marTop w:val="0"/>
          <w:marBottom w:val="0"/>
          <w:divBdr>
            <w:top w:val="none" w:sz="0" w:space="0" w:color="auto"/>
            <w:left w:val="none" w:sz="0" w:space="0" w:color="auto"/>
            <w:bottom w:val="none" w:sz="0" w:space="0" w:color="auto"/>
            <w:right w:val="none" w:sz="0" w:space="0" w:color="auto"/>
          </w:divBdr>
        </w:div>
        <w:div w:id="365565106">
          <w:marLeft w:val="0"/>
          <w:marRight w:val="0"/>
          <w:marTop w:val="0"/>
          <w:marBottom w:val="0"/>
          <w:divBdr>
            <w:top w:val="none" w:sz="0" w:space="0" w:color="auto"/>
            <w:left w:val="none" w:sz="0" w:space="0" w:color="auto"/>
            <w:bottom w:val="none" w:sz="0" w:space="0" w:color="auto"/>
            <w:right w:val="none" w:sz="0" w:space="0" w:color="auto"/>
          </w:divBdr>
        </w:div>
        <w:div w:id="399403733">
          <w:marLeft w:val="0"/>
          <w:marRight w:val="0"/>
          <w:marTop w:val="0"/>
          <w:marBottom w:val="0"/>
          <w:divBdr>
            <w:top w:val="none" w:sz="0" w:space="0" w:color="auto"/>
            <w:left w:val="none" w:sz="0" w:space="0" w:color="auto"/>
            <w:bottom w:val="none" w:sz="0" w:space="0" w:color="auto"/>
            <w:right w:val="none" w:sz="0" w:space="0" w:color="auto"/>
          </w:divBdr>
        </w:div>
        <w:div w:id="412430504">
          <w:marLeft w:val="0"/>
          <w:marRight w:val="0"/>
          <w:marTop w:val="0"/>
          <w:marBottom w:val="0"/>
          <w:divBdr>
            <w:top w:val="none" w:sz="0" w:space="0" w:color="auto"/>
            <w:left w:val="none" w:sz="0" w:space="0" w:color="auto"/>
            <w:bottom w:val="none" w:sz="0" w:space="0" w:color="auto"/>
            <w:right w:val="none" w:sz="0" w:space="0" w:color="auto"/>
          </w:divBdr>
        </w:div>
        <w:div w:id="934480455">
          <w:marLeft w:val="0"/>
          <w:marRight w:val="0"/>
          <w:marTop w:val="0"/>
          <w:marBottom w:val="0"/>
          <w:divBdr>
            <w:top w:val="none" w:sz="0" w:space="0" w:color="auto"/>
            <w:left w:val="none" w:sz="0" w:space="0" w:color="auto"/>
            <w:bottom w:val="none" w:sz="0" w:space="0" w:color="auto"/>
            <w:right w:val="none" w:sz="0" w:space="0" w:color="auto"/>
          </w:divBdr>
        </w:div>
        <w:div w:id="1123185737">
          <w:marLeft w:val="0"/>
          <w:marRight w:val="0"/>
          <w:marTop w:val="0"/>
          <w:marBottom w:val="0"/>
          <w:divBdr>
            <w:top w:val="none" w:sz="0" w:space="0" w:color="auto"/>
            <w:left w:val="none" w:sz="0" w:space="0" w:color="auto"/>
            <w:bottom w:val="none" w:sz="0" w:space="0" w:color="auto"/>
            <w:right w:val="none" w:sz="0" w:space="0" w:color="auto"/>
          </w:divBdr>
        </w:div>
        <w:div w:id="1233345449">
          <w:marLeft w:val="0"/>
          <w:marRight w:val="0"/>
          <w:marTop w:val="0"/>
          <w:marBottom w:val="0"/>
          <w:divBdr>
            <w:top w:val="none" w:sz="0" w:space="0" w:color="auto"/>
            <w:left w:val="none" w:sz="0" w:space="0" w:color="auto"/>
            <w:bottom w:val="none" w:sz="0" w:space="0" w:color="auto"/>
            <w:right w:val="none" w:sz="0" w:space="0" w:color="auto"/>
          </w:divBdr>
        </w:div>
        <w:div w:id="1245992461">
          <w:marLeft w:val="0"/>
          <w:marRight w:val="0"/>
          <w:marTop w:val="0"/>
          <w:marBottom w:val="0"/>
          <w:divBdr>
            <w:top w:val="none" w:sz="0" w:space="0" w:color="auto"/>
            <w:left w:val="none" w:sz="0" w:space="0" w:color="auto"/>
            <w:bottom w:val="none" w:sz="0" w:space="0" w:color="auto"/>
            <w:right w:val="none" w:sz="0" w:space="0" w:color="auto"/>
          </w:divBdr>
        </w:div>
        <w:div w:id="1414662619">
          <w:marLeft w:val="0"/>
          <w:marRight w:val="0"/>
          <w:marTop w:val="0"/>
          <w:marBottom w:val="0"/>
          <w:divBdr>
            <w:top w:val="none" w:sz="0" w:space="0" w:color="auto"/>
            <w:left w:val="none" w:sz="0" w:space="0" w:color="auto"/>
            <w:bottom w:val="none" w:sz="0" w:space="0" w:color="auto"/>
            <w:right w:val="none" w:sz="0" w:space="0" w:color="auto"/>
          </w:divBdr>
        </w:div>
      </w:divsChild>
    </w:div>
    <w:div w:id="214369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image" Target="media/image7.PNG"/><Relationship Id="rId42" Type="http://schemas.openxmlformats.org/officeDocument/2006/relationships/footer" Target="footer4.xml"/><Relationship Id="rId47" Type="http://schemas.openxmlformats.org/officeDocument/2006/relationships/image" Target="media/image15.png"/><Relationship Id="rId63" Type="http://schemas.openxmlformats.org/officeDocument/2006/relationships/hyperlink" Target="https://aus01.safelinks.protection.outlook.com/?url=https%3A%2F%2Fwww.ndis-iac.com.au%2Fs%2FAdvice-Choice-and-control-to-safely-live-a-good-life-of-belonging-and-citizenship-Final-2021-06-13.docx&amp;data=05%7C01%7CJulia.DiCesare%40ndis.gov.au%7C61430ad117174c6bb08508db924dea48%7Ccd778b65752d454a87cfb9990fe58993%7C0%7C0%7C638264635580252458%7CUnknown%7CTWFpbGZsb3d8eyJWIjoiMC4wLjAwMDAiLCJQIjoiV2luMzIiLCJBTiI6Ik1haWwiLCJXVCI6Mn0%3D%7C3000%7C%7C%7C&amp;sdata=0P6JeOkQv26jHkqe0oq9eC%2BtF5EbLRpI9WcWczEPO%2BI%3D&amp;reserved=0" TargetMode="External"/><Relationship Id="rId68" Type="http://schemas.openxmlformats.org/officeDocument/2006/relationships/header" Target="header19.xml"/><Relationship Id="rId84" Type="http://schemas.openxmlformats.org/officeDocument/2006/relationships/theme" Target="theme/theme1.xml"/><Relationship Id="rId16" Type="http://schemas.openxmlformats.org/officeDocument/2006/relationships/hyperlink" Target="https://www.ndis.gov.au/media/4720/download?attachment" TargetMode="External"/><Relationship Id="rId11" Type="http://schemas.openxmlformats.org/officeDocument/2006/relationships/image" Target="media/image1.jpeg"/><Relationship Id="rId32" Type="http://schemas.openxmlformats.org/officeDocument/2006/relationships/header" Target="header6.xml"/><Relationship Id="rId37" Type="http://schemas.openxmlformats.org/officeDocument/2006/relationships/header" Target="header10.xm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hyperlink" Target="https://ndis.gov.au" TargetMode="External"/><Relationship Id="rId79" Type="http://schemas.openxmlformats.org/officeDocument/2006/relationships/hyperlink" Target="https://www.instagram.com/ndis_australia/?hl=en" TargetMode="External"/><Relationship Id="rId5" Type="http://schemas.openxmlformats.org/officeDocument/2006/relationships/numbering" Target="numbering.xml"/><Relationship Id="rId61" Type="http://schemas.openxmlformats.org/officeDocument/2006/relationships/hyperlink" Target="https://aus01.safelinks.protection.outlook.com/?url=https%3A%2F%2Fwww.ndis.gov.au%2Fabout-us%2Fpolicies%2Fsupported-decision-making-policy&amp;data=05%7C01%7CJulia.DiCesare%40ndis.gov.au%7C61430ad117174c6bb08508db924dea48%7Ccd778b65752d454a87cfb9990fe58993%7C0%7C0%7C638264635580252458%7CUnknown%7CTWFpbGZsb3d8eyJWIjoiMC4wLjAwMDAiLCJQIjoiV2luMzIiLCJBTiI6Ik1haWwiLCJXVCI6Mn0%3D%7C3000%7C%7C%7C&amp;sdata=OT8D1BrolKYEGdN9bJ%2BrP9ujbzVU3wf45HGvNoAO%2FqY%3D&amp;reserved=0" TargetMode="External"/><Relationship Id="rId82" Type="http://schemas.openxmlformats.org/officeDocument/2006/relationships/hyperlink" Target="https://relayservice.gov.au" TargetMode="External"/><Relationship Id="rId19" Type="http://schemas.openxmlformats.org/officeDocument/2006/relationships/hyperlink" Target="https://www.ndis.gov.au/about-us/policies/supported-decision-making-policy" TargetMode="External"/><Relationship Id="rId14" Type="http://schemas.openxmlformats.org/officeDocument/2006/relationships/hyperlink" Target="https://www.ndis.gov.au/media/4720/download?attachment" TargetMode="External"/><Relationship Id="rId22" Type="http://schemas.openxmlformats.org/officeDocument/2006/relationships/image" Target="media/image8.PNG"/><Relationship Id="rId27" Type="http://schemas.openxmlformats.org/officeDocument/2006/relationships/image" Target="media/image11.jpeg"/><Relationship Id="rId30" Type="http://schemas.openxmlformats.org/officeDocument/2006/relationships/header" Target="header4.xml"/><Relationship Id="rId35" Type="http://schemas.openxmlformats.org/officeDocument/2006/relationships/header" Target="header8.xml"/><Relationship Id="rId43" Type="http://schemas.openxmlformats.org/officeDocument/2006/relationships/header" Target="header15.xml"/><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hyperlink" Target="https://aus01.safelinks.protection.outlook.com/?url=https%3A%2F%2Fwww.ndis-iac.com.au%2F&amp;data=05%7C01%7CJulia.DiCesare%40ndis.gov.au%7C61430ad117174c6bb08508db924dea48%7Ccd778b65752d454a87cfb9990fe58993%7C0%7C0%7C638264635580252458%7CUnknown%7CTWFpbGZsb3d8eyJWIjoiMC4wLjAwMDAiLCJQIjoiV2luMzIiLCJBTiI6Ik1haWwiLCJXVCI6Mn0%3D%7C3000%7C%7C%7C&amp;sdata=Pr949ihDf6uTkrwNynJw7%2BE8DZQR2TwIuwdsESW888k%3D&amp;reserved=0" TargetMode="External"/><Relationship Id="rId69" Type="http://schemas.openxmlformats.org/officeDocument/2006/relationships/header" Target="header20.xml"/><Relationship Id="rId77" Type="http://schemas.openxmlformats.org/officeDocument/2006/relationships/hyperlink" Target="https://www.facebook.com/NDISAus/" TargetMode="External"/><Relationship Id="rId8" Type="http://schemas.openxmlformats.org/officeDocument/2006/relationships/webSettings" Target="webSettings.xml"/><Relationship Id="rId51" Type="http://schemas.openxmlformats.org/officeDocument/2006/relationships/image" Target="media/image19.png"/><Relationship Id="rId72" Type="http://schemas.openxmlformats.org/officeDocument/2006/relationships/image" Target="media/image28.png"/><Relationship Id="rId80" Type="http://schemas.openxmlformats.org/officeDocument/2006/relationships/hyperlink" Target="https://www.youtube.com/user/DisabilityCare"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emf"/><Relationship Id="rId25" Type="http://schemas.openxmlformats.org/officeDocument/2006/relationships/header" Target="header1.xml"/><Relationship Id="rId33" Type="http://schemas.openxmlformats.org/officeDocument/2006/relationships/header" Target="header7.xml"/><Relationship Id="rId38" Type="http://schemas.openxmlformats.org/officeDocument/2006/relationships/header" Target="header11.xml"/><Relationship Id="rId46" Type="http://schemas.openxmlformats.org/officeDocument/2006/relationships/image" Target="media/image14.emf"/><Relationship Id="rId59" Type="http://schemas.openxmlformats.org/officeDocument/2006/relationships/header" Target="header16.xml"/><Relationship Id="rId67" Type="http://schemas.openxmlformats.org/officeDocument/2006/relationships/header" Target="header18.xml"/><Relationship Id="rId20" Type="http://schemas.openxmlformats.org/officeDocument/2006/relationships/image" Target="media/image6.PNG"/><Relationship Id="rId41" Type="http://schemas.openxmlformats.org/officeDocument/2006/relationships/header" Target="header14.xml"/><Relationship Id="rId54" Type="http://schemas.openxmlformats.org/officeDocument/2006/relationships/image" Target="media/image22.png"/><Relationship Id="rId62" Type="http://schemas.openxmlformats.org/officeDocument/2006/relationships/hyperlink" Target="https://aus01.safelinks.protection.outlook.com/?url=https%3A%2F%2Fwww.ndis.gov.au%2Fparticipantsafeguarding&amp;data=05%7C01%7CJulia.DiCesare%40ndis.gov.au%7C61430ad117174c6bb08508db924dea48%7Ccd778b65752d454a87cfb9990fe58993%7C0%7C0%7C638264635580252458%7CUnknown%7CTWFpbGZsb3d8eyJWIjoiMC4wLjAwMDAiLCJQIjoiV2luMzIiLCJBTiI6Ik1haWwiLCJXVCI6Mn0%3D%7C3000%7C%7C%7C&amp;sdata=Hq1bV7HbcpHrLj6w2%2Flap%2FH7W2BVo0%2FQBe6rGKnHa0I%3D&amp;reserved=0" TargetMode="External"/><Relationship Id="rId70" Type="http://schemas.openxmlformats.org/officeDocument/2006/relationships/hyperlink" Target="https://aus01.safelinks.protection.outlook.com/?url=https%3A%2F%2Fwww.parliament.nsw.gov.au%2Fbills%2FPages%2Fbill-details.aspx%3Fpk%3D3614&amp;data=05%7C01%7CJulia.DiCesare%40ndis.gov.au%7C52318a5e3d5642f7fc5b08db948f8853%7Ccd778b65752d454a87cfb9990fe58993%7C0%7C0%7C638267116412258753%7CUnknown%7CTWFpbGZsb3d8eyJWIjoiMC4wLjAwMDAiLCJQIjoiV2luMzIiLCJBTiI6Ik1haWwiLCJXVCI6Mn0%3D%7C3000%7C%7C%7C&amp;sdata=l%2BFoVAxsqpUbnL4auLMnHgBXYmtOiRkuq5Tr9vZ449g%3D&amp;reserved=0" TargetMode="External"/><Relationship Id="rId75" Type="http://schemas.openxmlformats.org/officeDocument/2006/relationships/header" Target="header2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eader" Target="header2.xml"/><Relationship Id="rId36" Type="http://schemas.openxmlformats.org/officeDocument/2006/relationships/header" Target="header9.xml"/><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endnotes" Target="endnotes.xml"/><Relationship Id="rId31" Type="http://schemas.openxmlformats.org/officeDocument/2006/relationships/header" Target="header5.xml"/><Relationship Id="rId44" Type="http://schemas.openxmlformats.org/officeDocument/2006/relationships/image" Target="media/image12.PNG"/><Relationship Id="rId52" Type="http://schemas.openxmlformats.org/officeDocument/2006/relationships/image" Target="media/image20.png"/><Relationship Id="rId60" Type="http://schemas.openxmlformats.org/officeDocument/2006/relationships/header" Target="header17.xml"/><Relationship Id="rId65" Type="http://schemas.openxmlformats.org/officeDocument/2006/relationships/image" Target="media/image27.PNG"/><Relationship Id="rId73" Type="http://schemas.openxmlformats.org/officeDocument/2006/relationships/image" Target="media/image29.jpeg"/><Relationship Id="rId78" Type="http://schemas.openxmlformats.org/officeDocument/2006/relationships/hyperlink" Target="https://twitter.com/NDIS" TargetMode="External"/><Relationship Id="rId81" Type="http://schemas.openxmlformats.org/officeDocument/2006/relationships/hyperlink" Target="https://www.linkedin.com/company/national-disability-insurance-agency?originalSubdomain=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ndis.gov.au/participantsafeguarding" TargetMode="External"/><Relationship Id="rId39" Type="http://schemas.openxmlformats.org/officeDocument/2006/relationships/header" Target="header12.xml"/><Relationship Id="rId34" Type="http://schemas.openxmlformats.org/officeDocument/2006/relationships/footer" Target="footer3.xml"/><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hyperlink" Target="file://192.168.2.143/TIAG/IAG/5331%20-%20NDIA%20-%20Annual%20Report%202022-23%20-%20Accessibility%20services/5331-A%20-%20NDIA%20-%20Annual%20Report%202022-23%20Word%20-%20Accessibility/2_Working%20Files/ndis.gov.au" TargetMode="External"/><Relationship Id="rId7" Type="http://schemas.openxmlformats.org/officeDocument/2006/relationships/settings" Target="settings.xml"/><Relationship Id="rId71" Type="http://schemas.openxmlformats.org/officeDocument/2006/relationships/hyperlink" Target="https://www.ndis.gov.au/" TargetMode="Externa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footer" Target="footer1.xml"/><Relationship Id="rId40" Type="http://schemas.openxmlformats.org/officeDocument/2006/relationships/header" Target="header13.xml"/><Relationship Id="rId45" Type="http://schemas.openxmlformats.org/officeDocument/2006/relationships/image" Target="media/image13.PNG"/><Relationship Id="rId66" Type="http://schemas.openxmlformats.org/officeDocument/2006/relationships/hyperlink" Target="https://www.ndis.gov.au/about-us/governance/boar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inisters.dss.gov.au/media-releases/11011" TargetMode="External"/><Relationship Id="rId2" Type="http://schemas.openxmlformats.org/officeDocument/2006/relationships/hyperlink" Target="https://budget.gov.au/content/bp2/download/bp2_2023-24.pdf" TargetMode="External"/><Relationship Id="rId1" Type="http://schemas.openxmlformats.org/officeDocument/2006/relationships/hyperlink" Target="https://www.ndis.gov.au/about-us/publications/annual-financial-sustainability-reports" TargetMode="External"/><Relationship Id="rId5" Type="http://schemas.openxmlformats.org/officeDocument/2006/relationships/hyperlink" Target="https://www.ndisreview.gov.au/about/terms-of-reference" TargetMode="External"/><Relationship Id="rId4" Type="http://schemas.openxmlformats.org/officeDocument/2006/relationships/hyperlink" Target="https://treasury.gov.au/publication/2023-intergenerational-repor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D806\Downloads\NDIS%20Report%20Template%20Updated%20for%20AR%20(1).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68c516f-47e9-4cb5-b98a-f19cafa093a4">
      <UserInfo>
        <DisplayName>Clark, Narelle</DisplayName>
        <AccountId>10</AccountId>
        <AccountType/>
      </UserInfo>
      <UserInfo>
        <DisplayName>Hall, Adam</DisplayName>
        <AccountId>28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FEDC113225FD4EAE256D4AC310E42C" ma:contentTypeVersion="6" ma:contentTypeDescription="Create a new document." ma:contentTypeScope="" ma:versionID="33807732d2b4b3f81c6d1838c225ac0c">
  <xsd:schema xmlns:xsd="http://www.w3.org/2001/XMLSchema" xmlns:xs="http://www.w3.org/2001/XMLSchema" xmlns:p="http://schemas.microsoft.com/office/2006/metadata/properties" xmlns:ns2="24d5b7a0-ebbd-4146-96e4-998e8dbcaf89" xmlns:ns3="268c516f-47e9-4cb5-b98a-f19cafa093a4" targetNamespace="http://schemas.microsoft.com/office/2006/metadata/properties" ma:root="true" ma:fieldsID="732b89477bbf4b59d340f6412290a36e" ns2:_="" ns3:_="">
    <xsd:import namespace="24d5b7a0-ebbd-4146-96e4-998e8dbcaf89"/>
    <xsd:import namespace="268c516f-47e9-4cb5-b98a-f19cafa093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5b7a0-ebbd-4146-96e4-998e8dbca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8c516f-47e9-4cb5-b98a-f19cafa093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89B0D-D11F-46D6-8965-1D744A93D2D1}">
  <ds:schemaRefs>
    <ds:schemaRef ds:uri="http://purl.org/dc/terms/"/>
    <ds:schemaRef ds:uri="http://purl.org/dc/elements/1.1/"/>
    <ds:schemaRef ds:uri="7ead338c-4dcf-4c2c-bd0b-2d41c9dc838f"/>
    <ds:schemaRef ds:uri="http://schemas.openxmlformats.org/package/2006/metadata/core-properties"/>
    <ds:schemaRef ds:uri="http://purl.org/dc/dcmitype/"/>
    <ds:schemaRef ds:uri="bd79590f-c0e5-4b8b-9ee0-14cd96ba7eb4"/>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268c516f-47e9-4cb5-b98a-f19cafa093a4"/>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16E483C7-AF83-48A1-8D61-90E447195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5b7a0-ebbd-4146-96e4-998e8dbcaf89"/>
    <ds:schemaRef ds:uri="268c516f-47e9-4cb5-b98a-f19cafa093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Updated for AR (1).dotx</Template>
  <TotalTime>0</TotalTime>
  <Pages>5</Pages>
  <Words>34697</Words>
  <Characters>197779</Characters>
  <Application>Microsoft Office Word</Application>
  <DocSecurity>4</DocSecurity>
  <Lines>1648</Lines>
  <Paragraphs>464</Paragraphs>
  <ScaleCrop>false</ScaleCrop>
  <HeadingPairs>
    <vt:vector size="2" baseType="variant">
      <vt:variant>
        <vt:lpstr>Title</vt:lpstr>
      </vt:variant>
      <vt:variant>
        <vt:i4>1</vt:i4>
      </vt:variant>
    </vt:vector>
  </HeadingPairs>
  <TitlesOfParts>
    <vt:vector size="1" baseType="lpstr">
      <vt:lpstr>NDIA Annual Report 2022-23</vt:lpstr>
    </vt:vector>
  </TitlesOfParts>
  <Company>FaHCSIA</Company>
  <LinksUpToDate>false</LinksUpToDate>
  <CharactersWithSpaces>232012</CharactersWithSpaces>
  <SharedDoc>false</SharedDoc>
  <HLinks>
    <vt:vector size="510" baseType="variant">
      <vt:variant>
        <vt:i4>93</vt:i4>
      </vt:variant>
      <vt:variant>
        <vt:i4>558</vt:i4>
      </vt:variant>
      <vt:variant>
        <vt:i4>0</vt:i4>
      </vt:variant>
      <vt:variant>
        <vt:i4>5</vt:i4>
      </vt:variant>
      <vt:variant>
        <vt:lpwstr>https://www.ndis.gov.au/</vt:lpwstr>
      </vt:variant>
      <vt:variant>
        <vt:lpwstr/>
      </vt:variant>
      <vt:variant>
        <vt:i4>2097256</vt:i4>
      </vt:variant>
      <vt:variant>
        <vt:i4>555</vt:i4>
      </vt:variant>
      <vt:variant>
        <vt:i4>0</vt:i4>
      </vt:variant>
      <vt:variant>
        <vt:i4>5</vt:i4>
      </vt:variant>
      <vt:variant>
        <vt:lpwstr>https://aus01.safelinks.protection.outlook.com/?url=https%3A%2F%2Fwww.parliament.nsw.gov.au%2Fbills%2FPages%2Fbill-details.aspx%3Fpk%3D3614&amp;data=05%7C01%7CJulia.DiCesare%40ndis.gov.au%7C52318a5e3d5642f7fc5b08db948f8853%7Ccd778b65752d454a87cfb9990fe58993%7C0%7C0%7C638267116412258753%7CUnknown%7CTWFpbGZsb3d8eyJWIjoiMC4wLjAwMDAiLCJQIjoiV2luMzIiLCJBTiI6Ik1haWwiLCJXVCI6Mn0%3D%7C3000%7C%7C%7C&amp;sdata=l%2BFoVAxsqpUbnL4auLMnHgBXYmtOiRkuq5Tr9vZ449g%3D&amp;reserved=0</vt:lpwstr>
      </vt:variant>
      <vt:variant>
        <vt:lpwstr/>
      </vt:variant>
      <vt:variant>
        <vt:i4>1703953</vt:i4>
      </vt:variant>
      <vt:variant>
        <vt:i4>540</vt:i4>
      </vt:variant>
      <vt:variant>
        <vt:i4>0</vt:i4>
      </vt:variant>
      <vt:variant>
        <vt:i4>5</vt:i4>
      </vt:variant>
      <vt:variant>
        <vt:lpwstr>https://www.ndis.gov.au/about-us/governance/board</vt:lpwstr>
      </vt:variant>
      <vt:variant>
        <vt:lpwstr/>
      </vt:variant>
      <vt:variant>
        <vt:i4>6946864</vt:i4>
      </vt:variant>
      <vt:variant>
        <vt:i4>537</vt:i4>
      </vt:variant>
      <vt:variant>
        <vt:i4>0</vt:i4>
      </vt:variant>
      <vt:variant>
        <vt:i4>5</vt:i4>
      </vt:variant>
      <vt:variant>
        <vt:lpwstr>https://aus01.safelinks.protection.outlook.com/?url=https%3A%2F%2Fwww.ndis-iac.com.au%2F&amp;data=05%7C01%7CJulia.DiCesare%40ndis.gov.au%7C61430ad117174c6bb08508db924dea48%7Ccd778b65752d454a87cfb9990fe58993%7C0%7C0%7C638264635580252458%7CUnknown%7CTWFpbGZsb3d8eyJWIjoiMC4wLjAwMDAiLCJQIjoiV2luMzIiLCJBTiI6Ik1haWwiLCJXVCI6Mn0%3D%7C3000%7C%7C%7C&amp;sdata=Pr949ihDf6uTkrwNynJw7%2BE8DZQR2TwIuwdsESW888k%3D&amp;reserved=0</vt:lpwstr>
      </vt:variant>
      <vt:variant>
        <vt:lpwstr/>
      </vt:variant>
      <vt:variant>
        <vt:i4>2424885</vt:i4>
      </vt:variant>
      <vt:variant>
        <vt:i4>534</vt:i4>
      </vt:variant>
      <vt:variant>
        <vt:i4>0</vt:i4>
      </vt:variant>
      <vt:variant>
        <vt:i4>5</vt:i4>
      </vt:variant>
      <vt:variant>
        <vt:lpwstr>https://aus01.safelinks.protection.outlook.com/?url=https%3A%2F%2Fwww.ndis-iac.com.au%2Fs%2FAdvice-Choice-and-control-to-safely-live-a-good-life-of-belonging-and-citizenship-Final-2021-06-13.docx&amp;data=05%7C01%7CJulia.DiCesare%40ndis.gov.au%7C61430ad117174c6bb08508db924dea48%7Ccd778b65752d454a87cfb9990fe58993%7C0%7C0%7C638264635580252458%7CUnknown%7CTWFpbGZsb3d8eyJWIjoiMC4wLjAwMDAiLCJQIjoiV2luMzIiLCJBTiI6Ik1haWwiLCJXVCI6Mn0%3D%7C3000%7C%7C%7C&amp;sdata=0P6JeOkQv26jHkqe0oq9eC%2BtF5EbLRpI9WcWczEPO%2BI%3D&amp;reserved=0</vt:lpwstr>
      </vt:variant>
      <vt:variant>
        <vt:lpwstr/>
      </vt:variant>
      <vt:variant>
        <vt:i4>7208994</vt:i4>
      </vt:variant>
      <vt:variant>
        <vt:i4>531</vt:i4>
      </vt:variant>
      <vt:variant>
        <vt:i4>0</vt:i4>
      </vt:variant>
      <vt:variant>
        <vt:i4>5</vt:i4>
      </vt:variant>
      <vt:variant>
        <vt:lpwstr>https://aus01.safelinks.protection.outlook.com/?url=https%3A%2F%2Fwww.ndis.gov.au%2Fparticipantsafeguarding&amp;data=05%7C01%7CJulia.DiCesare%40ndis.gov.au%7C61430ad117174c6bb08508db924dea48%7Ccd778b65752d454a87cfb9990fe58993%7C0%7C0%7C638264635580252458%7CUnknown%7CTWFpbGZsb3d8eyJWIjoiMC4wLjAwMDAiLCJQIjoiV2luMzIiLCJBTiI6Ik1haWwiLCJXVCI6Mn0%3D%7C3000%7C%7C%7C&amp;sdata=Hq1bV7HbcpHrLj6w2%2Flap%2FH7W2BVo0%2FQBe6rGKnHa0I%3D&amp;reserved=0</vt:lpwstr>
      </vt:variant>
      <vt:variant>
        <vt:lpwstr/>
      </vt:variant>
      <vt:variant>
        <vt:i4>3276906</vt:i4>
      </vt:variant>
      <vt:variant>
        <vt:i4>528</vt:i4>
      </vt:variant>
      <vt:variant>
        <vt:i4>0</vt:i4>
      </vt:variant>
      <vt:variant>
        <vt:i4>5</vt:i4>
      </vt:variant>
      <vt:variant>
        <vt:lpwstr>https://aus01.safelinks.protection.outlook.com/?url=https%3A%2F%2Fwww.ndis.gov.au%2Fabout-us%2Fpolicies%2Fsupported-decision-making-policy&amp;data=05%7C01%7CJulia.DiCesare%40ndis.gov.au%7C61430ad117174c6bb08508db924dea48%7Ccd778b65752d454a87cfb9990fe58993%7C0%7C0%7C638264635580252458%7CUnknown%7CTWFpbGZsb3d8eyJWIjoiMC4wLjAwMDAiLCJQIjoiV2luMzIiLCJBTiI6Ik1haWwiLCJXVCI6Mn0%3D%7C3000%7C%7C%7C&amp;sdata=OT8D1BrolKYEGdN9bJ%2BrP9ujbzVU3wf45HGvNoAO%2FqY%3D&amp;reserved=0</vt:lpwstr>
      </vt:variant>
      <vt:variant>
        <vt:lpwstr/>
      </vt:variant>
      <vt:variant>
        <vt:i4>1900606</vt:i4>
      </vt:variant>
      <vt:variant>
        <vt:i4>437</vt:i4>
      </vt:variant>
      <vt:variant>
        <vt:i4>0</vt:i4>
      </vt:variant>
      <vt:variant>
        <vt:i4>5</vt:i4>
      </vt:variant>
      <vt:variant>
        <vt:lpwstr/>
      </vt:variant>
      <vt:variant>
        <vt:lpwstr>_Toc145583287</vt:lpwstr>
      </vt:variant>
      <vt:variant>
        <vt:i4>1900606</vt:i4>
      </vt:variant>
      <vt:variant>
        <vt:i4>431</vt:i4>
      </vt:variant>
      <vt:variant>
        <vt:i4>0</vt:i4>
      </vt:variant>
      <vt:variant>
        <vt:i4>5</vt:i4>
      </vt:variant>
      <vt:variant>
        <vt:lpwstr/>
      </vt:variant>
      <vt:variant>
        <vt:lpwstr>_Toc145583286</vt:lpwstr>
      </vt:variant>
      <vt:variant>
        <vt:i4>1900606</vt:i4>
      </vt:variant>
      <vt:variant>
        <vt:i4>425</vt:i4>
      </vt:variant>
      <vt:variant>
        <vt:i4>0</vt:i4>
      </vt:variant>
      <vt:variant>
        <vt:i4>5</vt:i4>
      </vt:variant>
      <vt:variant>
        <vt:lpwstr/>
      </vt:variant>
      <vt:variant>
        <vt:lpwstr>_Toc145583285</vt:lpwstr>
      </vt:variant>
      <vt:variant>
        <vt:i4>1900606</vt:i4>
      </vt:variant>
      <vt:variant>
        <vt:i4>419</vt:i4>
      </vt:variant>
      <vt:variant>
        <vt:i4>0</vt:i4>
      </vt:variant>
      <vt:variant>
        <vt:i4>5</vt:i4>
      </vt:variant>
      <vt:variant>
        <vt:lpwstr/>
      </vt:variant>
      <vt:variant>
        <vt:lpwstr>_Toc145583284</vt:lpwstr>
      </vt:variant>
      <vt:variant>
        <vt:i4>1900606</vt:i4>
      </vt:variant>
      <vt:variant>
        <vt:i4>413</vt:i4>
      </vt:variant>
      <vt:variant>
        <vt:i4>0</vt:i4>
      </vt:variant>
      <vt:variant>
        <vt:i4>5</vt:i4>
      </vt:variant>
      <vt:variant>
        <vt:lpwstr/>
      </vt:variant>
      <vt:variant>
        <vt:lpwstr>_Toc145583283</vt:lpwstr>
      </vt:variant>
      <vt:variant>
        <vt:i4>1900606</vt:i4>
      </vt:variant>
      <vt:variant>
        <vt:i4>407</vt:i4>
      </vt:variant>
      <vt:variant>
        <vt:i4>0</vt:i4>
      </vt:variant>
      <vt:variant>
        <vt:i4>5</vt:i4>
      </vt:variant>
      <vt:variant>
        <vt:lpwstr/>
      </vt:variant>
      <vt:variant>
        <vt:lpwstr>_Toc145583282</vt:lpwstr>
      </vt:variant>
      <vt:variant>
        <vt:i4>1900606</vt:i4>
      </vt:variant>
      <vt:variant>
        <vt:i4>401</vt:i4>
      </vt:variant>
      <vt:variant>
        <vt:i4>0</vt:i4>
      </vt:variant>
      <vt:variant>
        <vt:i4>5</vt:i4>
      </vt:variant>
      <vt:variant>
        <vt:lpwstr/>
      </vt:variant>
      <vt:variant>
        <vt:lpwstr>_Toc145583281</vt:lpwstr>
      </vt:variant>
      <vt:variant>
        <vt:i4>1900606</vt:i4>
      </vt:variant>
      <vt:variant>
        <vt:i4>395</vt:i4>
      </vt:variant>
      <vt:variant>
        <vt:i4>0</vt:i4>
      </vt:variant>
      <vt:variant>
        <vt:i4>5</vt:i4>
      </vt:variant>
      <vt:variant>
        <vt:lpwstr/>
      </vt:variant>
      <vt:variant>
        <vt:lpwstr>_Toc145583280</vt:lpwstr>
      </vt:variant>
      <vt:variant>
        <vt:i4>1179710</vt:i4>
      </vt:variant>
      <vt:variant>
        <vt:i4>389</vt:i4>
      </vt:variant>
      <vt:variant>
        <vt:i4>0</vt:i4>
      </vt:variant>
      <vt:variant>
        <vt:i4>5</vt:i4>
      </vt:variant>
      <vt:variant>
        <vt:lpwstr/>
      </vt:variant>
      <vt:variant>
        <vt:lpwstr>_Toc145583279</vt:lpwstr>
      </vt:variant>
      <vt:variant>
        <vt:i4>1179710</vt:i4>
      </vt:variant>
      <vt:variant>
        <vt:i4>383</vt:i4>
      </vt:variant>
      <vt:variant>
        <vt:i4>0</vt:i4>
      </vt:variant>
      <vt:variant>
        <vt:i4>5</vt:i4>
      </vt:variant>
      <vt:variant>
        <vt:lpwstr/>
      </vt:variant>
      <vt:variant>
        <vt:lpwstr>_Toc145583278</vt:lpwstr>
      </vt:variant>
      <vt:variant>
        <vt:i4>1179710</vt:i4>
      </vt:variant>
      <vt:variant>
        <vt:i4>377</vt:i4>
      </vt:variant>
      <vt:variant>
        <vt:i4>0</vt:i4>
      </vt:variant>
      <vt:variant>
        <vt:i4>5</vt:i4>
      </vt:variant>
      <vt:variant>
        <vt:lpwstr/>
      </vt:variant>
      <vt:variant>
        <vt:lpwstr>_Toc145583277</vt:lpwstr>
      </vt:variant>
      <vt:variant>
        <vt:i4>1179710</vt:i4>
      </vt:variant>
      <vt:variant>
        <vt:i4>371</vt:i4>
      </vt:variant>
      <vt:variant>
        <vt:i4>0</vt:i4>
      </vt:variant>
      <vt:variant>
        <vt:i4>5</vt:i4>
      </vt:variant>
      <vt:variant>
        <vt:lpwstr/>
      </vt:variant>
      <vt:variant>
        <vt:lpwstr>_Toc145583276</vt:lpwstr>
      </vt:variant>
      <vt:variant>
        <vt:i4>1179710</vt:i4>
      </vt:variant>
      <vt:variant>
        <vt:i4>365</vt:i4>
      </vt:variant>
      <vt:variant>
        <vt:i4>0</vt:i4>
      </vt:variant>
      <vt:variant>
        <vt:i4>5</vt:i4>
      </vt:variant>
      <vt:variant>
        <vt:lpwstr/>
      </vt:variant>
      <vt:variant>
        <vt:lpwstr>_Toc145583275</vt:lpwstr>
      </vt:variant>
      <vt:variant>
        <vt:i4>1179710</vt:i4>
      </vt:variant>
      <vt:variant>
        <vt:i4>359</vt:i4>
      </vt:variant>
      <vt:variant>
        <vt:i4>0</vt:i4>
      </vt:variant>
      <vt:variant>
        <vt:i4>5</vt:i4>
      </vt:variant>
      <vt:variant>
        <vt:lpwstr/>
      </vt:variant>
      <vt:variant>
        <vt:lpwstr>_Toc145583274</vt:lpwstr>
      </vt:variant>
      <vt:variant>
        <vt:i4>1179710</vt:i4>
      </vt:variant>
      <vt:variant>
        <vt:i4>353</vt:i4>
      </vt:variant>
      <vt:variant>
        <vt:i4>0</vt:i4>
      </vt:variant>
      <vt:variant>
        <vt:i4>5</vt:i4>
      </vt:variant>
      <vt:variant>
        <vt:lpwstr/>
      </vt:variant>
      <vt:variant>
        <vt:lpwstr>_Toc145583273</vt:lpwstr>
      </vt:variant>
      <vt:variant>
        <vt:i4>1179710</vt:i4>
      </vt:variant>
      <vt:variant>
        <vt:i4>347</vt:i4>
      </vt:variant>
      <vt:variant>
        <vt:i4>0</vt:i4>
      </vt:variant>
      <vt:variant>
        <vt:i4>5</vt:i4>
      </vt:variant>
      <vt:variant>
        <vt:lpwstr/>
      </vt:variant>
      <vt:variant>
        <vt:lpwstr>_Toc145583272</vt:lpwstr>
      </vt:variant>
      <vt:variant>
        <vt:i4>1179710</vt:i4>
      </vt:variant>
      <vt:variant>
        <vt:i4>341</vt:i4>
      </vt:variant>
      <vt:variant>
        <vt:i4>0</vt:i4>
      </vt:variant>
      <vt:variant>
        <vt:i4>5</vt:i4>
      </vt:variant>
      <vt:variant>
        <vt:lpwstr/>
      </vt:variant>
      <vt:variant>
        <vt:lpwstr>_Toc145583271</vt:lpwstr>
      </vt:variant>
      <vt:variant>
        <vt:i4>1179710</vt:i4>
      </vt:variant>
      <vt:variant>
        <vt:i4>335</vt:i4>
      </vt:variant>
      <vt:variant>
        <vt:i4>0</vt:i4>
      </vt:variant>
      <vt:variant>
        <vt:i4>5</vt:i4>
      </vt:variant>
      <vt:variant>
        <vt:lpwstr/>
      </vt:variant>
      <vt:variant>
        <vt:lpwstr>_Toc145583270</vt:lpwstr>
      </vt:variant>
      <vt:variant>
        <vt:i4>1245246</vt:i4>
      </vt:variant>
      <vt:variant>
        <vt:i4>329</vt:i4>
      </vt:variant>
      <vt:variant>
        <vt:i4>0</vt:i4>
      </vt:variant>
      <vt:variant>
        <vt:i4>5</vt:i4>
      </vt:variant>
      <vt:variant>
        <vt:lpwstr/>
      </vt:variant>
      <vt:variant>
        <vt:lpwstr>_Toc145583269</vt:lpwstr>
      </vt:variant>
      <vt:variant>
        <vt:i4>7471163</vt:i4>
      </vt:variant>
      <vt:variant>
        <vt:i4>312</vt:i4>
      </vt:variant>
      <vt:variant>
        <vt:i4>0</vt:i4>
      </vt:variant>
      <vt:variant>
        <vt:i4>5</vt:i4>
      </vt:variant>
      <vt:variant>
        <vt:lpwstr>https://www.ndis.gov.au/about-us/policies/supported-decision-making-policy</vt:lpwstr>
      </vt:variant>
      <vt:variant>
        <vt:lpwstr/>
      </vt:variant>
      <vt:variant>
        <vt:i4>7405600</vt:i4>
      </vt:variant>
      <vt:variant>
        <vt:i4>309</vt:i4>
      </vt:variant>
      <vt:variant>
        <vt:i4>0</vt:i4>
      </vt:variant>
      <vt:variant>
        <vt:i4>5</vt:i4>
      </vt:variant>
      <vt:variant>
        <vt:lpwstr>https://www.ndis.gov.au/participantsafeguarding</vt:lpwstr>
      </vt:variant>
      <vt:variant>
        <vt:lpwstr/>
      </vt:variant>
      <vt:variant>
        <vt:i4>6881379</vt:i4>
      </vt:variant>
      <vt:variant>
        <vt:i4>306</vt:i4>
      </vt:variant>
      <vt:variant>
        <vt:i4>0</vt:i4>
      </vt:variant>
      <vt:variant>
        <vt:i4>5</vt:i4>
      </vt:variant>
      <vt:variant>
        <vt:lpwstr>https://www.ndis.gov.au/media/4720/download?attachment</vt:lpwstr>
      </vt:variant>
      <vt:variant>
        <vt:lpwstr/>
      </vt:variant>
      <vt:variant>
        <vt:i4>6881379</vt:i4>
      </vt:variant>
      <vt:variant>
        <vt:i4>303</vt:i4>
      </vt:variant>
      <vt:variant>
        <vt:i4>0</vt:i4>
      </vt:variant>
      <vt:variant>
        <vt:i4>5</vt:i4>
      </vt:variant>
      <vt:variant>
        <vt:lpwstr>https://www.ndis.gov.au/media/4720/download?attachment</vt:lpwstr>
      </vt:variant>
      <vt:variant>
        <vt:lpwstr/>
      </vt:variant>
      <vt:variant>
        <vt:i4>1114163</vt:i4>
      </vt:variant>
      <vt:variant>
        <vt:i4>296</vt:i4>
      </vt:variant>
      <vt:variant>
        <vt:i4>0</vt:i4>
      </vt:variant>
      <vt:variant>
        <vt:i4>5</vt:i4>
      </vt:variant>
      <vt:variant>
        <vt:lpwstr/>
      </vt:variant>
      <vt:variant>
        <vt:lpwstr>_Toc148020827</vt:lpwstr>
      </vt:variant>
      <vt:variant>
        <vt:i4>1114163</vt:i4>
      </vt:variant>
      <vt:variant>
        <vt:i4>290</vt:i4>
      </vt:variant>
      <vt:variant>
        <vt:i4>0</vt:i4>
      </vt:variant>
      <vt:variant>
        <vt:i4>5</vt:i4>
      </vt:variant>
      <vt:variant>
        <vt:lpwstr/>
      </vt:variant>
      <vt:variant>
        <vt:lpwstr>_Toc148020826</vt:lpwstr>
      </vt:variant>
      <vt:variant>
        <vt:i4>1114163</vt:i4>
      </vt:variant>
      <vt:variant>
        <vt:i4>284</vt:i4>
      </vt:variant>
      <vt:variant>
        <vt:i4>0</vt:i4>
      </vt:variant>
      <vt:variant>
        <vt:i4>5</vt:i4>
      </vt:variant>
      <vt:variant>
        <vt:lpwstr/>
      </vt:variant>
      <vt:variant>
        <vt:lpwstr>_Toc148020825</vt:lpwstr>
      </vt:variant>
      <vt:variant>
        <vt:i4>1114163</vt:i4>
      </vt:variant>
      <vt:variant>
        <vt:i4>278</vt:i4>
      </vt:variant>
      <vt:variant>
        <vt:i4>0</vt:i4>
      </vt:variant>
      <vt:variant>
        <vt:i4>5</vt:i4>
      </vt:variant>
      <vt:variant>
        <vt:lpwstr/>
      </vt:variant>
      <vt:variant>
        <vt:lpwstr>_Toc148020824</vt:lpwstr>
      </vt:variant>
      <vt:variant>
        <vt:i4>1114163</vt:i4>
      </vt:variant>
      <vt:variant>
        <vt:i4>272</vt:i4>
      </vt:variant>
      <vt:variant>
        <vt:i4>0</vt:i4>
      </vt:variant>
      <vt:variant>
        <vt:i4>5</vt:i4>
      </vt:variant>
      <vt:variant>
        <vt:lpwstr/>
      </vt:variant>
      <vt:variant>
        <vt:lpwstr>_Toc148020823</vt:lpwstr>
      </vt:variant>
      <vt:variant>
        <vt:i4>1114163</vt:i4>
      </vt:variant>
      <vt:variant>
        <vt:i4>266</vt:i4>
      </vt:variant>
      <vt:variant>
        <vt:i4>0</vt:i4>
      </vt:variant>
      <vt:variant>
        <vt:i4>5</vt:i4>
      </vt:variant>
      <vt:variant>
        <vt:lpwstr/>
      </vt:variant>
      <vt:variant>
        <vt:lpwstr>_Toc148020822</vt:lpwstr>
      </vt:variant>
      <vt:variant>
        <vt:i4>1114163</vt:i4>
      </vt:variant>
      <vt:variant>
        <vt:i4>260</vt:i4>
      </vt:variant>
      <vt:variant>
        <vt:i4>0</vt:i4>
      </vt:variant>
      <vt:variant>
        <vt:i4>5</vt:i4>
      </vt:variant>
      <vt:variant>
        <vt:lpwstr/>
      </vt:variant>
      <vt:variant>
        <vt:lpwstr>_Toc148020821</vt:lpwstr>
      </vt:variant>
      <vt:variant>
        <vt:i4>1114163</vt:i4>
      </vt:variant>
      <vt:variant>
        <vt:i4>254</vt:i4>
      </vt:variant>
      <vt:variant>
        <vt:i4>0</vt:i4>
      </vt:variant>
      <vt:variant>
        <vt:i4>5</vt:i4>
      </vt:variant>
      <vt:variant>
        <vt:lpwstr/>
      </vt:variant>
      <vt:variant>
        <vt:lpwstr>_Toc148020820</vt:lpwstr>
      </vt:variant>
      <vt:variant>
        <vt:i4>1179699</vt:i4>
      </vt:variant>
      <vt:variant>
        <vt:i4>248</vt:i4>
      </vt:variant>
      <vt:variant>
        <vt:i4>0</vt:i4>
      </vt:variant>
      <vt:variant>
        <vt:i4>5</vt:i4>
      </vt:variant>
      <vt:variant>
        <vt:lpwstr/>
      </vt:variant>
      <vt:variant>
        <vt:lpwstr>_Toc148020819</vt:lpwstr>
      </vt:variant>
      <vt:variant>
        <vt:i4>1179699</vt:i4>
      </vt:variant>
      <vt:variant>
        <vt:i4>242</vt:i4>
      </vt:variant>
      <vt:variant>
        <vt:i4>0</vt:i4>
      </vt:variant>
      <vt:variant>
        <vt:i4>5</vt:i4>
      </vt:variant>
      <vt:variant>
        <vt:lpwstr/>
      </vt:variant>
      <vt:variant>
        <vt:lpwstr>_Toc148020818</vt:lpwstr>
      </vt:variant>
      <vt:variant>
        <vt:i4>1179699</vt:i4>
      </vt:variant>
      <vt:variant>
        <vt:i4>236</vt:i4>
      </vt:variant>
      <vt:variant>
        <vt:i4>0</vt:i4>
      </vt:variant>
      <vt:variant>
        <vt:i4>5</vt:i4>
      </vt:variant>
      <vt:variant>
        <vt:lpwstr/>
      </vt:variant>
      <vt:variant>
        <vt:lpwstr>_Toc148020817</vt:lpwstr>
      </vt:variant>
      <vt:variant>
        <vt:i4>1179699</vt:i4>
      </vt:variant>
      <vt:variant>
        <vt:i4>230</vt:i4>
      </vt:variant>
      <vt:variant>
        <vt:i4>0</vt:i4>
      </vt:variant>
      <vt:variant>
        <vt:i4>5</vt:i4>
      </vt:variant>
      <vt:variant>
        <vt:lpwstr/>
      </vt:variant>
      <vt:variant>
        <vt:lpwstr>_Toc148020816</vt:lpwstr>
      </vt:variant>
      <vt:variant>
        <vt:i4>1179699</vt:i4>
      </vt:variant>
      <vt:variant>
        <vt:i4>224</vt:i4>
      </vt:variant>
      <vt:variant>
        <vt:i4>0</vt:i4>
      </vt:variant>
      <vt:variant>
        <vt:i4>5</vt:i4>
      </vt:variant>
      <vt:variant>
        <vt:lpwstr/>
      </vt:variant>
      <vt:variant>
        <vt:lpwstr>_Toc148020815</vt:lpwstr>
      </vt:variant>
      <vt:variant>
        <vt:i4>1179699</vt:i4>
      </vt:variant>
      <vt:variant>
        <vt:i4>218</vt:i4>
      </vt:variant>
      <vt:variant>
        <vt:i4>0</vt:i4>
      </vt:variant>
      <vt:variant>
        <vt:i4>5</vt:i4>
      </vt:variant>
      <vt:variant>
        <vt:lpwstr/>
      </vt:variant>
      <vt:variant>
        <vt:lpwstr>_Toc148020814</vt:lpwstr>
      </vt:variant>
      <vt:variant>
        <vt:i4>1179699</vt:i4>
      </vt:variant>
      <vt:variant>
        <vt:i4>212</vt:i4>
      </vt:variant>
      <vt:variant>
        <vt:i4>0</vt:i4>
      </vt:variant>
      <vt:variant>
        <vt:i4>5</vt:i4>
      </vt:variant>
      <vt:variant>
        <vt:lpwstr/>
      </vt:variant>
      <vt:variant>
        <vt:lpwstr>_Toc148020813</vt:lpwstr>
      </vt:variant>
      <vt:variant>
        <vt:i4>1179699</vt:i4>
      </vt:variant>
      <vt:variant>
        <vt:i4>206</vt:i4>
      </vt:variant>
      <vt:variant>
        <vt:i4>0</vt:i4>
      </vt:variant>
      <vt:variant>
        <vt:i4>5</vt:i4>
      </vt:variant>
      <vt:variant>
        <vt:lpwstr/>
      </vt:variant>
      <vt:variant>
        <vt:lpwstr>_Toc148020812</vt:lpwstr>
      </vt:variant>
      <vt:variant>
        <vt:i4>1179699</vt:i4>
      </vt:variant>
      <vt:variant>
        <vt:i4>200</vt:i4>
      </vt:variant>
      <vt:variant>
        <vt:i4>0</vt:i4>
      </vt:variant>
      <vt:variant>
        <vt:i4>5</vt:i4>
      </vt:variant>
      <vt:variant>
        <vt:lpwstr/>
      </vt:variant>
      <vt:variant>
        <vt:lpwstr>_Toc148020811</vt:lpwstr>
      </vt:variant>
      <vt:variant>
        <vt:i4>1179699</vt:i4>
      </vt:variant>
      <vt:variant>
        <vt:i4>194</vt:i4>
      </vt:variant>
      <vt:variant>
        <vt:i4>0</vt:i4>
      </vt:variant>
      <vt:variant>
        <vt:i4>5</vt:i4>
      </vt:variant>
      <vt:variant>
        <vt:lpwstr/>
      </vt:variant>
      <vt:variant>
        <vt:lpwstr>_Toc148020810</vt:lpwstr>
      </vt:variant>
      <vt:variant>
        <vt:i4>1245235</vt:i4>
      </vt:variant>
      <vt:variant>
        <vt:i4>188</vt:i4>
      </vt:variant>
      <vt:variant>
        <vt:i4>0</vt:i4>
      </vt:variant>
      <vt:variant>
        <vt:i4>5</vt:i4>
      </vt:variant>
      <vt:variant>
        <vt:lpwstr/>
      </vt:variant>
      <vt:variant>
        <vt:lpwstr>_Toc148020809</vt:lpwstr>
      </vt:variant>
      <vt:variant>
        <vt:i4>1245235</vt:i4>
      </vt:variant>
      <vt:variant>
        <vt:i4>182</vt:i4>
      </vt:variant>
      <vt:variant>
        <vt:i4>0</vt:i4>
      </vt:variant>
      <vt:variant>
        <vt:i4>5</vt:i4>
      </vt:variant>
      <vt:variant>
        <vt:lpwstr/>
      </vt:variant>
      <vt:variant>
        <vt:lpwstr>_Toc148020808</vt:lpwstr>
      </vt:variant>
      <vt:variant>
        <vt:i4>1245235</vt:i4>
      </vt:variant>
      <vt:variant>
        <vt:i4>176</vt:i4>
      </vt:variant>
      <vt:variant>
        <vt:i4>0</vt:i4>
      </vt:variant>
      <vt:variant>
        <vt:i4>5</vt:i4>
      </vt:variant>
      <vt:variant>
        <vt:lpwstr/>
      </vt:variant>
      <vt:variant>
        <vt:lpwstr>_Toc148020807</vt:lpwstr>
      </vt:variant>
      <vt:variant>
        <vt:i4>1245235</vt:i4>
      </vt:variant>
      <vt:variant>
        <vt:i4>170</vt:i4>
      </vt:variant>
      <vt:variant>
        <vt:i4>0</vt:i4>
      </vt:variant>
      <vt:variant>
        <vt:i4>5</vt:i4>
      </vt:variant>
      <vt:variant>
        <vt:lpwstr/>
      </vt:variant>
      <vt:variant>
        <vt:lpwstr>_Toc148020806</vt:lpwstr>
      </vt:variant>
      <vt:variant>
        <vt:i4>1245235</vt:i4>
      </vt:variant>
      <vt:variant>
        <vt:i4>164</vt:i4>
      </vt:variant>
      <vt:variant>
        <vt:i4>0</vt:i4>
      </vt:variant>
      <vt:variant>
        <vt:i4>5</vt:i4>
      </vt:variant>
      <vt:variant>
        <vt:lpwstr/>
      </vt:variant>
      <vt:variant>
        <vt:lpwstr>_Toc148020805</vt:lpwstr>
      </vt:variant>
      <vt:variant>
        <vt:i4>1245235</vt:i4>
      </vt:variant>
      <vt:variant>
        <vt:i4>158</vt:i4>
      </vt:variant>
      <vt:variant>
        <vt:i4>0</vt:i4>
      </vt:variant>
      <vt:variant>
        <vt:i4>5</vt:i4>
      </vt:variant>
      <vt:variant>
        <vt:lpwstr/>
      </vt:variant>
      <vt:variant>
        <vt:lpwstr>_Toc148020804</vt:lpwstr>
      </vt:variant>
      <vt:variant>
        <vt:i4>1245235</vt:i4>
      </vt:variant>
      <vt:variant>
        <vt:i4>152</vt:i4>
      </vt:variant>
      <vt:variant>
        <vt:i4>0</vt:i4>
      </vt:variant>
      <vt:variant>
        <vt:i4>5</vt:i4>
      </vt:variant>
      <vt:variant>
        <vt:lpwstr/>
      </vt:variant>
      <vt:variant>
        <vt:lpwstr>_Toc148020803</vt:lpwstr>
      </vt:variant>
      <vt:variant>
        <vt:i4>1245235</vt:i4>
      </vt:variant>
      <vt:variant>
        <vt:i4>146</vt:i4>
      </vt:variant>
      <vt:variant>
        <vt:i4>0</vt:i4>
      </vt:variant>
      <vt:variant>
        <vt:i4>5</vt:i4>
      </vt:variant>
      <vt:variant>
        <vt:lpwstr/>
      </vt:variant>
      <vt:variant>
        <vt:lpwstr>_Toc148020802</vt:lpwstr>
      </vt:variant>
      <vt:variant>
        <vt:i4>1245235</vt:i4>
      </vt:variant>
      <vt:variant>
        <vt:i4>140</vt:i4>
      </vt:variant>
      <vt:variant>
        <vt:i4>0</vt:i4>
      </vt:variant>
      <vt:variant>
        <vt:i4>5</vt:i4>
      </vt:variant>
      <vt:variant>
        <vt:lpwstr/>
      </vt:variant>
      <vt:variant>
        <vt:lpwstr>_Toc148020801</vt:lpwstr>
      </vt:variant>
      <vt:variant>
        <vt:i4>1245235</vt:i4>
      </vt:variant>
      <vt:variant>
        <vt:i4>134</vt:i4>
      </vt:variant>
      <vt:variant>
        <vt:i4>0</vt:i4>
      </vt:variant>
      <vt:variant>
        <vt:i4>5</vt:i4>
      </vt:variant>
      <vt:variant>
        <vt:lpwstr/>
      </vt:variant>
      <vt:variant>
        <vt:lpwstr>_Toc148020800</vt:lpwstr>
      </vt:variant>
      <vt:variant>
        <vt:i4>1703996</vt:i4>
      </vt:variant>
      <vt:variant>
        <vt:i4>128</vt:i4>
      </vt:variant>
      <vt:variant>
        <vt:i4>0</vt:i4>
      </vt:variant>
      <vt:variant>
        <vt:i4>5</vt:i4>
      </vt:variant>
      <vt:variant>
        <vt:lpwstr/>
      </vt:variant>
      <vt:variant>
        <vt:lpwstr>_Toc148020799</vt:lpwstr>
      </vt:variant>
      <vt:variant>
        <vt:i4>1703996</vt:i4>
      </vt:variant>
      <vt:variant>
        <vt:i4>122</vt:i4>
      </vt:variant>
      <vt:variant>
        <vt:i4>0</vt:i4>
      </vt:variant>
      <vt:variant>
        <vt:i4>5</vt:i4>
      </vt:variant>
      <vt:variant>
        <vt:lpwstr/>
      </vt:variant>
      <vt:variant>
        <vt:lpwstr>_Toc148020798</vt:lpwstr>
      </vt:variant>
      <vt:variant>
        <vt:i4>1703996</vt:i4>
      </vt:variant>
      <vt:variant>
        <vt:i4>116</vt:i4>
      </vt:variant>
      <vt:variant>
        <vt:i4>0</vt:i4>
      </vt:variant>
      <vt:variant>
        <vt:i4>5</vt:i4>
      </vt:variant>
      <vt:variant>
        <vt:lpwstr/>
      </vt:variant>
      <vt:variant>
        <vt:lpwstr>_Toc148020797</vt:lpwstr>
      </vt:variant>
      <vt:variant>
        <vt:i4>1703996</vt:i4>
      </vt:variant>
      <vt:variant>
        <vt:i4>110</vt:i4>
      </vt:variant>
      <vt:variant>
        <vt:i4>0</vt:i4>
      </vt:variant>
      <vt:variant>
        <vt:i4>5</vt:i4>
      </vt:variant>
      <vt:variant>
        <vt:lpwstr/>
      </vt:variant>
      <vt:variant>
        <vt:lpwstr>_Toc148020796</vt:lpwstr>
      </vt:variant>
      <vt:variant>
        <vt:i4>1310780</vt:i4>
      </vt:variant>
      <vt:variant>
        <vt:i4>104</vt:i4>
      </vt:variant>
      <vt:variant>
        <vt:i4>0</vt:i4>
      </vt:variant>
      <vt:variant>
        <vt:i4>5</vt:i4>
      </vt:variant>
      <vt:variant>
        <vt:lpwstr/>
      </vt:variant>
      <vt:variant>
        <vt:lpwstr>_Toc148020776</vt:lpwstr>
      </vt:variant>
      <vt:variant>
        <vt:i4>1310780</vt:i4>
      </vt:variant>
      <vt:variant>
        <vt:i4>98</vt:i4>
      </vt:variant>
      <vt:variant>
        <vt:i4>0</vt:i4>
      </vt:variant>
      <vt:variant>
        <vt:i4>5</vt:i4>
      </vt:variant>
      <vt:variant>
        <vt:lpwstr/>
      </vt:variant>
      <vt:variant>
        <vt:lpwstr>_Toc148020775</vt:lpwstr>
      </vt:variant>
      <vt:variant>
        <vt:i4>1310780</vt:i4>
      </vt:variant>
      <vt:variant>
        <vt:i4>92</vt:i4>
      </vt:variant>
      <vt:variant>
        <vt:i4>0</vt:i4>
      </vt:variant>
      <vt:variant>
        <vt:i4>5</vt:i4>
      </vt:variant>
      <vt:variant>
        <vt:lpwstr/>
      </vt:variant>
      <vt:variant>
        <vt:lpwstr>_Toc148020774</vt:lpwstr>
      </vt:variant>
      <vt:variant>
        <vt:i4>1310780</vt:i4>
      </vt:variant>
      <vt:variant>
        <vt:i4>86</vt:i4>
      </vt:variant>
      <vt:variant>
        <vt:i4>0</vt:i4>
      </vt:variant>
      <vt:variant>
        <vt:i4>5</vt:i4>
      </vt:variant>
      <vt:variant>
        <vt:lpwstr/>
      </vt:variant>
      <vt:variant>
        <vt:lpwstr>_Toc148020773</vt:lpwstr>
      </vt:variant>
      <vt:variant>
        <vt:i4>1310780</vt:i4>
      </vt:variant>
      <vt:variant>
        <vt:i4>80</vt:i4>
      </vt:variant>
      <vt:variant>
        <vt:i4>0</vt:i4>
      </vt:variant>
      <vt:variant>
        <vt:i4>5</vt:i4>
      </vt:variant>
      <vt:variant>
        <vt:lpwstr/>
      </vt:variant>
      <vt:variant>
        <vt:lpwstr>_Toc148020772</vt:lpwstr>
      </vt:variant>
      <vt:variant>
        <vt:i4>1310780</vt:i4>
      </vt:variant>
      <vt:variant>
        <vt:i4>74</vt:i4>
      </vt:variant>
      <vt:variant>
        <vt:i4>0</vt:i4>
      </vt:variant>
      <vt:variant>
        <vt:i4>5</vt:i4>
      </vt:variant>
      <vt:variant>
        <vt:lpwstr/>
      </vt:variant>
      <vt:variant>
        <vt:lpwstr>_Toc148020771</vt:lpwstr>
      </vt:variant>
      <vt:variant>
        <vt:i4>1310780</vt:i4>
      </vt:variant>
      <vt:variant>
        <vt:i4>68</vt:i4>
      </vt:variant>
      <vt:variant>
        <vt:i4>0</vt:i4>
      </vt:variant>
      <vt:variant>
        <vt:i4>5</vt:i4>
      </vt:variant>
      <vt:variant>
        <vt:lpwstr/>
      </vt:variant>
      <vt:variant>
        <vt:lpwstr>_Toc148020770</vt:lpwstr>
      </vt:variant>
      <vt:variant>
        <vt:i4>1376316</vt:i4>
      </vt:variant>
      <vt:variant>
        <vt:i4>62</vt:i4>
      </vt:variant>
      <vt:variant>
        <vt:i4>0</vt:i4>
      </vt:variant>
      <vt:variant>
        <vt:i4>5</vt:i4>
      </vt:variant>
      <vt:variant>
        <vt:lpwstr/>
      </vt:variant>
      <vt:variant>
        <vt:lpwstr>_Toc148020769</vt:lpwstr>
      </vt:variant>
      <vt:variant>
        <vt:i4>1376316</vt:i4>
      </vt:variant>
      <vt:variant>
        <vt:i4>56</vt:i4>
      </vt:variant>
      <vt:variant>
        <vt:i4>0</vt:i4>
      </vt:variant>
      <vt:variant>
        <vt:i4>5</vt:i4>
      </vt:variant>
      <vt:variant>
        <vt:lpwstr/>
      </vt:variant>
      <vt:variant>
        <vt:lpwstr>_Toc148020768</vt:lpwstr>
      </vt:variant>
      <vt:variant>
        <vt:i4>1376316</vt:i4>
      </vt:variant>
      <vt:variant>
        <vt:i4>50</vt:i4>
      </vt:variant>
      <vt:variant>
        <vt:i4>0</vt:i4>
      </vt:variant>
      <vt:variant>
        <vt:i4>5</vt:i4>
      </vt:variant>
      <vt:variant>
        <vt:lpwstr/>
      </vt:variant>
      <vt:variant>
        <vt:lpwstr>_Toc148020767</vt:lpwstr>
      </vt:variant>
      <vt:variant>
        <vt:i4>1376316</vt:i4>
      </vt:variant>
      <vt:variant>
        <vt:i4>44</vt:i4>
      </vt:variant>
      <vt:variant>
        <vt:i4>0</vt:i4>
      </vt:variant>
      <vt:variant>
        <vt:i4>5</vt:i4>
      </vt:variant>
      <vt:variant>
        <vt:lpwstr/>
      </vt:variant>
      <vt:variant>
        <vt:lpwstr>_Toc148020766</vt:lpwstr>
      </vt:variant>
      <vt:variant>
        <vt:i4>1376316</vt:i4>
      </vt:variant>
      <vt:variant>
        <vt:i4>38</vt:i4>
      </vt:variant>
      <vt:variant>
        <vt:i4>0</vt:i4>
      </vt:variant>
      <vt:variant>
        <vt:i4>5</vt:i4>
      </vt:variant>
      <vt:variant>
        <vt:lpwstr/>
      </vt:variant>
      <vt:variant>
        <vt:lpwstr>_Toc148020765</vt:lpwstr>
      </vt:variant>
      <vt:variant>
        <vt:i4>1376316</vt:i4>
      </vt:variant>
      <vt:variant>
        <vt:i4>32</vt:i4>
      </vt:variant>
      <vt:variant>
        <vt:i4>0</vt:i4>
      </vt:variant>
      <vt:variant>
        <vt:i4>5</vt:i4>
      </vt:variant>
      <vt:variant>
        <vt:lpwstr/>
      </vt:variant>
      <vt:variant>
        <vt:lpwstr>_Toc148020764</vt:lpwstr>
      </vt:variant>
      <vt:variant>
        <vt:i4>1376316</vt:i4>
      </vt:variant>
      <vt:variant>
        <vt:i4>26</vt:i4>
      </vt:variant>
      <vt:variant>
        <vt:i4>0</vt:i4>
      </vt:variant>
      <vt:variant>
        <vt:i4>5</vt:i4>
      </vt:variant>
      <vt:variant>
        <vt:lpwstr/>
      </vt:variant>
      <vt:variant>
        <vt:lpwstr>_Toc148020763</vt:lpwstr>
      </vt:variant>
      <vt:variant>
        <vt:i4>1376316</vt:i4>
      </vt:variant>
      <vt:variant>
        <vt:i4>20</vt:i4>
      </vt:variant>
      <vt:variant>
        <vt:i4>0</vt:i4>
      </vt:variant>
      <vt:variant>
        <vt:i4>5</vt:i4>
      </vt:variant>
      <vt:variant>
        <vt:lpwstr/>
      </vt:variant>
      <vt:variant>
        <vt:lpwstr>_Toc148020762</vt:lpwstr>
      </vt:variant>
      <vt:variant>
        <vt:i4>1376316</vt:i4>
      </vt:variant>
      <vt:variant>
        <vt:i4>14</vt:i4>
      </vt:variant>
      <vt:variant>
        <vt:i4>0</vt:i4>
      </vt:variant>
      <vt:variant>
        <vt:i4>5</vt:i4>
      </vt:variant>
      <vt:variant>
        <vt:lpwstr/>
      </vt:variant>
      <vt:variant>
        <vt:lpwstr>_Toc148020761</vt:lpwstr>
      </vt:variant>
      <vt:variant>
        <vt:i4>1376316</vt:i4>
      </vt:variant>
      <vt:variant>
        <vt:i4>8</vt:i4>
      </vt:variant>
      <vt:variant>
        <vt:i4>0</vt:i4>
      </vt:variant>
      <vt:variant>
        <vt:i4>5</vt:i4>
      </vt:variant>
      <vt:variant>
        <vt:lpwstr/>
      </vt:variant>
      <vt:variant>
        <vt:lpwstr>_Toc148020760</vt:lpwstr>
      </vt:variant>
      <vt:variant>
        <vt:i4>1441852</vt:i4>
      </vt:variant>
      <vt:variant>
        <vt:i4>2</vt:i4>
      </vt:variant>
      <vt:variant>
        <vt:i4>0</vt:i4>
      </vt:variant>
      <vt:variant>
        <vt:i4>5</vt:i4>
      </vt:variant>
      <vt:variant>
        <vt:lpwstr/>
      </vt:variant>
      <vt:variant>
        <vt:lpwstr>_Toc148020759</vt:lpwstr>
      </vt:variant>
      <vt:variant>
        <vt:i4>7143543</vt:i4>
      </vt:variant>
      <vt:variant>
        <vt:i4>12</vt:i4>
      </vt:variant>
      <vt:variant>
        <vt:i4>0</vt:i4>
      </vt:variant>
      <vt:variant>
        <vt:i4>5</vt:i4>
      </vt:variant>
      <vt:variant>
        <vt:lpwstr>https://www.ndisreview.gov.au/about/terms-of-reference</vt:lpwstr>
      </vt:variant>
      <vt:variant>
        <vt:lpwstr/>
      </vt:variant>
      <vt:variant>
        <vt:i4>589911</vt:i4>
      </vt:variant>
      <vt:variant>
        <vt:i4>9</vt:i4>
      </vt:variant>
      <vt:variant>
        <vt:i4>0</vt:i4>
      </vt:variant>
      <vt:variant>
        <vt:i4>5</vt:i4>
      </vt:variant>
      <vt:variant>
        <vt:lpwstr>https://treasury.gov.au/publication/2023-intergenerational-report</vt:lpwstr>
      </vt:variant>
      <vt:variant>
        <vt:lpwstr/>
      </vt:variant>
      <vt:variant>
        <vt:i4>852046</vt:i4>
      </vt:variant>
      <vt:variant>
        <vt:i4>6</vt:i4>
      </vt:variant>
      <vt:variant>
        <vt:i4>0</vt:i4>
      </vt:variant>
      <vt:variant>
        <vt:i4>5</vt:i4>
      </vt:variant>
      <vt:variant>
        <vt:lpwstr>https://ministers.dss.gov.au/media-releases/11011</vt:lpwstr>
      </vt:variant>
      <vt:variant>
        <vt:lpwstr/>
      </vt:variant>
      <vt:variant>
        <vt:i4>7864336</vt:i4>
      </vt:variant>
      <vt:variant>
        <vt:i4>3</vt:i4>
      </vt:variant>
      <vt:variant>
        <vt:i4>0</vt:i4>
      </vt:variant>
      <vt:variant>
        <vt:i4>5</vt:i4>
      </vt:variant>
      <vt:variant>
        <vt:lpwstr>https://budget.gov.au/content/bp2/download/bp2_2023-24.pdf</vt:lpwstr>
      </vt:variant>
      <vt:variant>
        <vt:lpwstr/>
      </vt:variant>
      <vt:variant>
        <vt:i4>4784139</vt:i4>
      </vt:variant>
      <vt:variant>
        <vt:i4>0</vt:i4>
      </vt:variant>
      <vt:variant>
        <vt:i4>0</vt:i4>
      </vt:variant>
      <vt:variant>
        <vt:i4>5</vt:i4>
      </vt:variant>
      <vt:variant>
        <vt:lpwstr>https://www.ndis.gov.au/about-us/publications/annual-financial-sustainability-reports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Annual Report 2022-23</dc:title>
  <dc:subject/>
  <dc:creator>National Disability Insurance Agency</dc:creator>
  <cp:keywords/>
  <dc:description/>
  <cp:lastModifiedBy>Di Cesare, Julia</cp:lastModifiedBy>
  <cp:revision>2</cp:revision>
  <cp:lastPrinted>2023-10-16T02:10:00Z</cp:lastPrinted>
  <dcterms:created xsi:type="dcterms:W3CDTF">2023-11-01T02:41:00Z</dcterms:created>
  <dcterms:modified xsi:type="dcterms:W3CDTF">2023-11-01T02:41:00Z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0x010100DDFEDC113225FD4EAE256D4AC310E42C</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