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61F1" w14:textId="3341CD52" w:rsidR="0035406D" w:rsidRPr="00FD5F8E" w:rsidRDefault="008C776B" w:rsidP="007C4DAB">
      <w:pPr>
        <w:pStyle w:val="Title"/>
        <w:spacing w:before="100" w:beforeAutospacing="1" w:after="1200" w:line="600" w:lineRule="auto"/>
        <w:jc w:val="center"/>
        <w:rPr>
          <w:b/>
          <w:bCs/>
          <w:color w:val="FFFFFF" w:themeColor="background1"/>
          <w:sz w:val="48"/>
          <w:szCs w:val="48"/>
        </w:rPr>
      </w:pPr>
      <w:bookmarkStart w:id="0" w:name="_Toc122099213"/>
      <w:bookmarkStart w:id="1" w:name="_Toc122432759"/>
      <w:bookmarkStart w:id="2" w:name="_Toc122454186"/>
      <w:bookmarkStart w:id="3" w:name="_Toc122527485"/>
      <w:bookmarkStart w:id="4" w:name="_Toc122606754"/>
      <w:bookmarkStart w:id="5" w:name="_Toc122606849"/>
      <w:bookmarkStart w:id="6" w:name="_Toc122612058"/>
      <w:bookmarkStart w:id="7" w:name="_Toc126236463"/>
      <w:bookmarkStart w:id="8" w:name="_Toc126242300"/>
      <w:bookmarkStart w:id="9" w:name="_Toc126242385"/>
      <w:bookmarkStart w:id="10" w:name="_Toc126252177"/>
      <w:bookmarkStart w:id="11" w:name="_Toc126336402"/>
      <w:bookmarkStart w:id="12" w:name="_Toc126595083"/>
      <w:bookmarkStart w:id="13" w:name="_Toc126597460"/>
      <w:bookmarkStart w:id="14" w:name="_Hlk129700277"/>
      <w:r w:rsidRPr="00FD5F8E">
        <w:rPr>
          <w:b/>
          <w:bCs/>
          <w:noProof/>
          <w:color w:val="FFFFFF" w:themeColor="background1"/>
          <w:sz w:val="48"/>
          <w:szCs w:val="48"/>
          <w:lang w:eastAsia="en-AU"/>
        </w:rPr>
        <w:drawing>
          <wp:anchor distT="0" distB="0" distL="114300" distR="114300" simplePos="0" relativeHeight="251658240" behindDoc="1" locked="0" layoutInCell="1" allowOverlap="1" wp14:anchorId="6D663FB0" wp14:editId="3057FEF7">
            <wp:simplePos x="0" y="0"/>
            <wp:positionH relativeFrom="page">
              <wp:posOffset>-212090</wp:posOffset>
            </wp:positionH>
            <wp:positionV relativeFrom="paragraph">
              <wp:posOffset>-890905</wp:posOffset>
            </wp:positionV>
            <wp:extent cx="7721451" cy="10664260"/>
            <wp:effectExtent l="0" t="0" r="0" b="3810"/>
            <wp:wrapNone/>
            <wp:docPr id="52" name="Picture 52"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21451" cy="10664260"/>
                    </a:xfrm>
                    <a:prstGeom prst="rect">
                      <a:avLst/>
                    </a:prstGeom>
                  </pic:spPr>
                </pic:pic>
              </a:graphicData>
            </a:graphic>
            <wp14:sizeRelH relativeFrom="page">
              <wp14:pctWidth>0</wp14:pctWidth>
            </wp14:sizeRelH>
            <wp14:sizeRelV relativeFrom="page">
              <wp14:pctHeight>0</wp14:pctHeight>
            </wp14:sizeRelV>
          </wp:anchor>
        </w:drawing>
      </w:r>
      <w:r w:rsidR="0035406D" w:rsidRPr="00FD5F8E">
        <w:rPr>
          <w:b/>
          <w:bCs/>
          <w:color w:val="FFFFFF" w:themeColor="background1"/>
          <w:sz w:val="48"/>
          <w:szCs w:val="48"/>
        </w:rPr>
        <w:t>National Disability Insurance Scheme</w:t>
      </w:r>
    </w:p>
    <w:bookmarkEnd w:id="0"/>
    <w:bookmarkEnd w:id="1"/>
    <w:bookmarkEnd w:id="2"/>
    <w:bookmarkEnd w:id="3"/>
    <w:bookmarkEnd w:id="4"/>
    <w:bookmarkEnd w:id="5"/>
    <w:bookmarkEnd w:id="6"/>
    <w:bookmarkEnd w:id="7"/>
    <w:bookmarkEnd w:id="8"/>
    <w:bookmarkEnd w:id="9"/>
    <w:bookmarkEnd w:id="10"/>
    <w:bookmarkEnd w:id="11"/>
    <w:bookmarkEnd w:id="12"/>
    <w:bookmarkEnd w:id="13"/>
    <w:p w14:paraId="756FA213" w14:textId="6F686185" w:rsidR="00B46CFE" w:rsidRPr="00FD5F8E" w:rsidRDefault="009C447D" w:rsidP="007C4DAB">
      <w:pPr>
        <w:pStyle w:val="Title"/>
        <w:spacing w:before="100" w:beforeAutospacing="1" w:after="1200" w:line="600" w:lineRule="auto"/>
        <w:jc w:val="center"/>
        <w:rPr>
          <w:b/>
          <w:bCs/>
          <w:color w:val="FFFFFF" w:themeColor="background1"/>
          <w:sz w:val="60"/>
          <w:szCs w:val="60"/>
        </w:rPr>
      </w:pPr>
      <w:r w:rsidRPr="00FD5F8E">
        <w:rPr>
          <w:b/>
          <w:bCs/>
          <w:color w:val="FFFFFF" w:themeColor="background1"/>
          <w:sz w:val="60"/>
          <w:szCs w:val="60"/>
        </w:rPr>
        <w:t>SDA Pricing Review</w:t>
      </w:r>
      <w:r w:rsidR="00B46CFE" w:rsidRPr="00FD5F8E">
        <w:rPr>
          <w:b/>
          <w:bCs/>
          <w:color w:val="FFFFFF" w:themeColor="background1"/>
          <w:sz w:val="60"/>
          <w:szCs w:val="60"/>
        </w:rPr>
        <w:t xml:space="preserve"> 2022-23</w:t>
      </w:r>
    </w:p>
    <w:p w14:paraId="215050B5" w14:textId="18BBEC47" w:rsidR="00B46CFE" w:rsidRPr="00FD5F8E" w:rsidRDefault="00B46CFE" w:rsidP="00BA1B52">
      <w:pPr>
        <w:pStyle w:val="Title"/>
        <w:spacing w:before="100" w:beforeAutospacing="1" w:after="240" w:line="600" w:lineRule="auto"/>
        <w:jc w:val="center"/>
        <w:rPr>
          <w:b/>
          <w:bCs/>
          <w:color w:val="FFFFFF" w:themeColor="background1"/>
          <w:sz w:val="60"/>
          <w:szCs w:val="60"/>
        </w:rPr>
      </w:pPr>
      <w:r w:rsidRPr="00FD5F8E">
        <w:rPr>
          <w:b/>
          <w:bCs/>
          <w:color w:val="FFFFFF" w:themeColor="background1"/>
          <w:sz w:val="60"/>
          <w:szCs w:val="60"/>
        </w:rPr>
        <w:t>Report on Consultations</w:t>
      </w:r>
    </w:p>
    <w:p w14:paraId="632EE104" w14:textId="77777777" w:rsidR="0067682D" w:rsidRPr="00667844" w:rsidRDefault="0067682D" w:rsidP="00BA1B52">
      <w:pPr>
        <w:spacing w:before="2160"/>
        <w:rPr>
          <w:b/>
          <w:bCs/>
          <w:color w:val="FFFFFF" w:themeColor="background1"/>
          <w:sz w:val="28"/>
          <w:szCs w:val="28"/>
        </w:rPr>
      </w:pPr>
      <w:r w:rsidRPr="00667844">
        <w:rPr>
          <w:b/>
          <w:bCs/>
          <w:color w:val="FFFFFF" w:themeColor="background1"/>
          <w:sz w:val="28"/>
          <w:szCs w:val="28"/>
        </w:rPr>
        <w:t xml:space="preserve">Author: SDA Pricing Review, Home &amp; Living Branch </w:t>
      </w:r>
    </w:p>
    <w:p w14:paraId="49E43450" w14:textId="527E5450" w:rsidR="0067682D" w:rsidRPr="00667844" w:rsidRDefault="007E4C4F" w:rsidP="00BA1B52">
      <w:pPr>
        <w:spacing w:after="2880" w:line="720" w:lineRule="auto"/>
        <w:rPr>
          <w:b/>
          <w:bCs/>
          <w:color w:val="FFFFFF" w:themeColor="background1"/>
          <w:sz w:val="28"/>
          <w:szCs w:val="28"/>
        </w:rPr>
      </w:pPr>
      <w:r>
        <w:rPr>
          <w:b/>
          <w:bCs/>
          <w:color w:val="FFFFFF" w:themeColor="background1"/>
          <w:sz w:val="28"/>
          <w:szCs w:val="28"/>
        </w:rPr>
        <w:t>June 202</w:t>
      </w:r>
      <w:r w:rsidR="0067682D" w:rsidRPr="00667844">
        <w:rPr>
          <w:b/>
          <w:bCs/>
          <w:color w:val="FFFFFF" w:themeColor="background1"/>
          <w:sz w:val="28"/>
          <w:szCs w:val="28"/>
        </w:rPr>
        <w:t>3</w:t>
      </w:r>
    </w:p>
    <w:p w14:paraId="52B7C1CB" w14:textId="77777777" w:rsidR="0067682D" w:rsidRDefault="0067682D" w:rsidP="0067682D">
      <w:pPr>
        <w:spacing w:line="720" w:lineRule="auto"/>
        <w:rPr>
          <w:b/>
          <w:bCs/>
          <w:color w:val="FFFFFF" w:themeColor="background1"/>
        </w:rPr>
      </w:pPr>
      <w:r>
        <w:rPr>
          <w:b/>
          <w:bCs/>
          <w:color w:val="FFFFFF" w:themeColor="background1"/>
        </w:rPr>
        <w:t>ndis.gov.au</w:t>
      </w:r>
    </w:p>
    <w:p w14:paraId="66920269" w14:textId="1E7A3445" w:rsidR="009C447D" w:rsidRPr="0067682D" w:rsidRDefault="0067682D" w:rsidP="0067682D">
      <w:pPr>
        <w:spacing w:line="720" w:lineRule="auto"/>
        <w:rPr>
          <w:b/>
          <w:bCs/>
          <w:color w:val="FFFFFF" w:themeColor="background1"/>
        </w:rPr>
      </w:pPr>
      <w:r w:rsidRPr="005A22C2">
        <w:rPr>
          <w:noProof/>
          <w:lang w:eastAsia="en-AU"/>
        </w:rPr>
        <w:drawing>
          <wp:inline distT="0" distB="0" distL="0" distR="0" wp14:anchorId="5F6C1FC3" wp14:editId="520B6C15">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r w:rsidR="009C447D">
        <w:br w:type="page"/>
      </w:r>
    </w:p>
    <w:p w14:paraId="68F49743" w14:textId="73DAC642" w:rsidR="00773AD9" w:rsidRPr="00A57532" w:rsidRDefault="00290031" w:rsidP="00A57532">
      <w:pPr>
        <w:spacing w:before="0" w:after="0"/>
        <w:rPr>
          <w:b/>
          <w:bCs/>
        </w:rPr>
      </w:pPr>
      <w:r w:rsidRPr="00A57532">
        <w:rPr>
          <w:b/>
          <w:bCs/>
        </w:rPr>
        <w:lastRenderedPageBreak/>
        <w:t>C</w:t>
      </w:r>
      <w:r w:rsidR="00773AD9" w:rsidRPr="00A57532">
        <w:rPr>
          <w:b/>
          <w:bCs/>
        </w:rPr>
        <w:t>opyright</w:t>
      </w:r>
    </w:p>
    <w:p w14:paraId="0A5BDE94" w14:textId="4E43A3AA" w:rsidR="00773AD9" w:rsidRPr="00A57532" w:rsidRDefault="00773AD9" w:rsidP="006720A0">
      <w:pPr>
        <w:rPr>
          <w:b/>
          <w:bCs/>
        </w:rPr>
      </w:pPr>
      <w:r w:rsidRPr="00A57532">
        <w:rPr>
          <w:b/>
          <w:bCs/>
        </w:rPr>
        <w:t>© 202</w:t>
      </w:r>
      <w:r w:rsidR="00D43487" w:rsidRPr="00A57532">
        <w:rPr>
          <w:b/>
          <w:bCs/>
        </w:rPr>
        <w:t>3</w:t>
      </w:r>
    </w:p>
    <w:p w14:paraId="3A93EE2E" w14:textId="5FF81AFD" w:rsidR="00773AD9" w:rsidRPr="005A22C2" w:rsidRDefault="00773AD9" w:rsidP="00A57532">
      <w:pPr>
        <w:spacing w:before="60" w:after="60"/>
      </w:pPr>
      <w:r w:rsidRPr="005A22C2">
        <w:t>Copyright of the information contained in this document is owned and protected by the National Disability Insurance Scheme Launch Transition Agency (National Disability Insurance Agency).</w:t>
      </w:r>
    </w:p>
    <w:p w14:paraId="58252C75" w14:textId="77777777" w:rsidR="00773AD9" w:rsidRPr="005A22C2" w:rsidRDefault="00773AD9" w:rsidP="00A57532">
      <w:pPr>
        <w:spacing w:before="60" w:after="60"/>
      </w:pPr>
      <w:r w:rsidRPr="005A22C2">
        <w:t>Use of National Disability Insurance Agency copyright material</w:t>
      </w:r>
    </w:p>
    <w:p w14:paraId="25277054" w14:textId="3BEDD6E3" w:rsidR="00773AD9" w:rsidRPr="005A22C2" w:rsidRDefault="00773AD9" w:rsidP="00A57532">
      <w:pPr>
        <w:spacing w:before="60" w:after="60"/>
      </w:pPr>
      <w:r w:rsidRPr="005A22C2">
        <w:t xml:space="preserve">The material in this report, with the exception of logos, trademarks, third party material and other content as specified, is licensed under Creative Commons CC NC licence, version </w:t>
      </w:r>
      <w:hyperlink r:id="rId13" w:history="1">
        <w:r w:rsidRPr="005A22C2">
          <w:rPr>
            <w:rStyle w:val="Hyperlink"/>
          </w:rPr>
          <w:t>4.0</w:t>
        </w:r>
      </w:hyperlink>
      <w:r w:rsidRPr="005A22C2">
        <w:t xml:space="preserve">. </w:t>
      </w:r>
      <w:proofErr w:type="gramStart"/>
      <w:r w:rsidRPr="005A22C2">
        <w:t>With the exception of</w:t>
      </w:r>
      <w:proofErr w:type="gramEnd"/>
      <w:r w:rsidRPr="005A22C2">
        <w:t xml:space="preserve"> logos, trademarks, third party material and other content as specified, you may reproduce the material in this document, provided you acknowledge the National Disability Insurance Agency as the owner of all intellectual property rights in the reproduced material by using ‘© National Disability Insurance Scheme Launch Transition Agency 202</w:t>
      </w:r>
      <w:r w:rsidR="003F4D37" w:rsidRPr="005A22C2">
        <w:t>3</w:t>
      </w:r>
      <w:r w:rsidRPr="005A22C2">
        <w:t>’ and do not use the material for commercial purposes.</w:t>
      </w:r>
    </w:p>
    <w:p w14:paraId="64324133" w14:textId="77777777" w:rsidR="00A57532" w:rsidRDefault="00773AD9" w:rsidP="00A57532">
      <w:pPr>
        <w:spacing w:before="60" w:after="60"/>
      </w:pPr>
      <w:r w:rsidRPr="005A22C2">
        <w:t>Reproduction of any Creative Commons material in this document is subject to the CC NC licence conditions available on the Creative Commons site, as is the full legal code for this material.</w:t>
      </w:r>
      <w:bookmarkStart w:id="15" w:name="_Toc137113683"/>
    </w:p>
    <w:p w14:paraId="44B7C886" w14:textId="77777777" w:rsidR="00A57532" w:rsidRDefault="00A57532" w:rsidP="00A57532">
      <w:pPr>
        <w:spacing w:before="60" w:after="60"/>
      </w:pPr>
    </w:p>
    <w:p w14:paraId="5858814D" w14:textId="76FC3630" w:rsidR="00A57532" w:rsidRPr="00A57532" w:rsidRDefault="00A57532" w:rsidP="00A57532">
      <w:pPr>
        <w:rPr>
          <w:b/>
          <w:bCs/>
          <w:sz w:val="28"/>
        </w:rPr>
      </w:pPr>
      <w:r w:rsidRPr="00A57532">
        <w:rPr>
          <w:b/>
          <w:bCs/>
        </w:rPr>
        <w:t>Disclaimer</w:t>
      </w:r>
      <w:bookmarkEnd w:id="15"/>
    </w:p>
    <w:p w14:paraId="56653ABE" w14:textId="77777777" w:rsidR="00A57532" w:rsidRDefault="00A57532" w:rsidP="00A57532">
      <w:pPr>
        <w:pStyle w:val="NormalWeb"/>
        <w:shd w:val="clear" w:color="auto" w:fill="FFFFFF"/>
        <w:spacing w:before="60" w:beforeAutospacing="0" w:after="60" w:afterAutospacing="0" w:line="300" w:lineRule="atLeast"/>
        <w:rPr>
          <w:rFonts w:ascii="Arial" w:hAnsi="Arial" w:cs="Arial"/>
          <w:color w:val="222222"/>
        </w:rPr>
      </w:pPr>
      <w:r>
        <w:rPr>
          <w:rFonts w:ascii="Arial" w:hAnsi="Arial" w:cs="Arial"/>
          <w:color w:val="222222"/>
        </w:rPr>
        <w:t>The National Disability Insurance Agency (NDIA) accepts no responsibility for, and disclaims all liability in relation to, the accuracy and completeness of information and material in this report.</w:t>
      </w:r>
    </w:p>
    <w:p w14:paraId="048B67B7" w14:textId="77777777" w:rsidR="00A57532" w:rsidRDefault="00A57532" w:rsidP="00A57532">
      <w:pPr>
        <w:pStyle w:val="NormalWeb"/>
        <w:shd w:val="clear" w:color="auto" w:fill="FFFFFF"/>
        <w:spacing w:before="60" w:beforeAutospacing="0" w:after="60" w:afterAutospacing="0" w:line="300" w:lineRule="atLeast"/>
        <w:rPr>
          <w:rFonts w:ascii="Arial" w:hAnsi="Arial" w:cs="Arial"/>
          <w:color w:val="222222"/>
        </w:rPr>
      </w:pPr>
      <w:r>
        <w:rPr>
          <w:rFonts w:ascii="Arial" w:hAnsi="Arial" w:cs="Arial"/>
          <w:color w:val="222222"/>
        </w:rPr>
        <w:t>Before relying on any information or material in this report, readers should carefully evaluate its accuracy, currency, completeness, and relevance for their purposes. Before making any financial, investment, property, insurance, or taxation decision, readers should obtain appropriate advice from a qualified professional.</w:t>
      </w:r>
    </w:p>
    <w:p w14:paraId="73167F0A" w14:textId="77777777" w:rsidR="00A57532" w:rsidRDefault="00A57532" w:rsidP="00A57532">
      <w:pPr>
        <w:pStyle w:val="NormalWeb"/>
        <w:shd w:val="clear" w:color="auto" w:fill="FFFFFF"/>
        <w:spacing w:before="60" w:beforeAutospacing="0" w:after="60" w:afterAutospacing="0" w:line="300" w:lineRule="atLeast"/>
        <w:rPr>
          <w:rFonts w:cs="Arial"/>
          <w:color w:val="222222"/>
        </w:rPr>
      </w:pPr>
      <w:r>
        <w:rPr>
          <w:rFonts w:ascii="Arial" w:hAnsi="Arial" w:cs="Arial"/>
          <w:color w:val="222222"/>
        </w:rPr>
        <w:t>Views of third parties in this report do not necessarily reflect the views of the NDIA or indicate a commitment by the NDIA to a particular course of action. The NDIA</w:t>
      </w:r>
      <w:r>
        <w:rPr>
          <w:rStyle w:val="Emphasis"/>
          <w:rFonts w:ascii="Arial" w:hAnsi="Arial" w:cs="Arial"/>
          <w:color w:val="222222"/>
        </w:rPr>
        <w:t> </w:t>
      </w:r>
      <w:r>
        <w:rPr>
          <w:rFonts w:ascii="Arial" w:hAnsi="Arial" w:cs="Arial"/>
          <w:color w:val="222222"/>
        </w:rPr>
        <w:t>gives no assurance that views attributed to third parties have been accurately or wholly represented in this report.</w:t>
      </w:r>
    </w:p>
    <w:p w14:paraId="41149F3D" w14:textId="77777777" w:rsidR="00A57532" w:rsidRDefault="00A57532" w:rsidP="00A57532">
      <w:pPr>
        <w:pStyle w:val="NormalWeb"/>
        <w:shd w:val="clear" w:color="auto" w:fill="FFFFFF"/>
        <w:spacing w:before="60" w:beforeAutospacing="0" w:after="60" w:afterAutospacing="0" w:line="300" w:lineRule="atLeast"/>
        <w:rPr>
          <w:rFonts w:ascii="Arial" w:hAnsi="Arial" w:cs="Arial"/>
          <w:color w:val="222222"/>
        </w:rPr>
      </w:pPr>
      <w:r>
        <w:rPr>
          <w:rFonts w:ascii="Arial" w:hAnsi="Arial" w:cs="Arial"/>
          <w:color w:val="222222"/>
        </w:rPr>
        <w:t>Readers should be aware that changes in circumstances after the date of publication of this report may affect the accuracy, completeness, and relevance of information and material.</w:t>
      </w:r>
    </w:p>
    <w:p w14:paraId="604CD92B" w14:textId="77777777" w:rsidR="00E86E2A" w:rsidRDefault="00E86E2A" w:rsidP="006720A0"/>
    <w:p w14:paraId="2554432B" w14:textId="2E327204" w:rsidR="00E86E2A" w:rsidRPr="005A22C2" w:rsidRDefault="00E86E2A" w:rsidP="006720A0">
      <w:pPr>
        <w:sectPr w:rsidR="00E86E2A" w:rsidRPr="005A22C2" w:rsidSect="00736B3B">
          <w:headerReference w:type="even" r:id="rId14"/>
          <w:headerReference w:type="default" r:id="rId15"/>
          <w:footerReference w:type="even" r:id="rId16"/>
          <w:footerReference w:type="default" r:id="rId17"/>
          <w:footerReference w:type="first" r:id="rId18"/>
          <w:pgSz w:w="11906" w:h="16838" w:code="9"/>
          <w:pgMar w:top="1418" w:right="1418" w:bottom="1418" w:left="1418" w:header="709" w:footer="709" w:gutter="0"/>
          <w:cols w:space="708"/>
          <w:titlePg/>
          <w:docGrid w:linePitch="360"/>
        </w:sectPr>
      </w:pPr>
    </w:p>
    <w:bookmarkStart w:id="16" w:name="_Toc122612060" w:displacedByCustomXml="next"/>
    <w:bookmarkStart w:id="17" w:name="_Toc126595085" w:displacedByCustomXml="next"/>
    <w:bookmarkStart w:id="18" w:name="_Toc129783527" w:displacedByCustomXml="next"/>
    <w:sdt>
      <w:sdtPr>
        <w:rPr>
          <w:b w:val="0"/>
          <w:bCs w:val="0"/>
          <w:color w:val="auto"/>
          <w:sz w:val="22"/>
          <w:szCs w:val="24"/>
        </w:rPr>
        <w:id w:val="-130104331"/>
        <w:docPartObj>
          <w:docPartGallery w:val="Table of Contents"/>
          <w:docPartUnique/>
        </w:docPartObj>
      </w:sdtPr>
      <w:sdtEndPr>
        <w:rPr>
          <w:noProof/>
          <w:sz w:val="24"/>
        </w:rPr>
      </w:sdtEndPr>
      <w:sdtContent>
        <w:p w14:paraId="63EC743C" w14:textId="1A56B0E1" w:rsidR="00E86E2A" w:rsidRPr="00E86E2A" w:rsidRDefault="008D141B" w:rsidP="00E86E2A">
          <w:pPr>
            <w:pStyle w:val="TOCHeading"/>
            <w:rPr>
              <w:b w:val="0"/>
              <w:bCs w:val="0"/>
            </w:rPr>
          </w:pPr>
          <w:r w:rsidRPr="008D141B">
            <w:rPr>
              <w:rStyle w:val="Heading1Char"/>
            </w:rPr>
            <w:t>Contents</w:t>
          </w:r>
        </w:p>
        <w:p w14:paraId="088BD153" w14:textId="42F27EA9" w:rsidR="006772C2" w:rsidRDefault="005C5EF8" w:rsidP="006720A0">
          <w:pPr>
            <w:pStyle w:val="TOC1"/>
            <w:rPr>
              <w:rFonts w:asciiTheme="minorHAnsi" w:eastAsiaTheme="minorEastAsia" w:hAnsiTheme="minorHAnsi"/>
              <w:szCs w:val="22"/>
              <w:lang w:eastAsia="en-AU"/>
            </w:rPr>
          </w:pPr>
          <w:r w:rsidRPr="005A22C2">
            <w:fldChar w:fldCharType="begin"/>
          </w:r>
          <w:r w:rsidRPr="005A22C2">
            <w:instrText xml:space="preserve"> TOC \o "1-2" \h \z \u </w:instrText>
          </w:r>
          <w:r w:rsidRPr="005A22C2">
            <w:fldChar w:fldCharType="separate"/>
          </w:r>
          <w:hyperlink w:anchor="_Toc136006848" w:history="1">
            <w:r w:rsidR="006772C2" w:rsidRPr="00913B69">
              <w:rPr>
                <w:rStyle w:val="Hyperlink"/>
              </w:rPr>
              <w:t>Executive Summary</w:t>
            </w:r>
            <w:r w:rsidR="006772C2">
              <w:rPr>
                <w:webHidden/>
              </w:rPr>
              <w:tab/>
            </w:r>
            <w:r w:rsidR="006772C2">
              <w:rPr>
                <w:webHidden/>
              </w:rPr>
              <w:fldChar w:fldCharType="begin"/>
            </w:r>
            <w:r w:rsidR="006772C2">
              <w:rPr>
                <w:webHidden/>
              </w:rPr>
              <w:instrText xml:space="preserve"> PAGEREF _Toc136006848 \h </w:instrText>
            </w:r>
            <w:r w:rsidR="006772C2">
              <w:rPr>
                <w:webHidden/>
              </w:rPr>
            </w:r>
            <w:r w:rsidR="006772C2">
              <w:rPr>
                <w:webHidden/>
              </w:rPr>
              <w:fldChar w:fldCharType="separate"/>
            </w:r>
            <w:r w:rsidR="001306DF">
              <w:rPr>
                <w:webHidden/>
              </w:rPr>
              <w:t>0</w:t>
            </w:r>
            <w:r w:rsidR="006772C2">
              <w:rPr>
                <w:webHidden/>
              </w:rPr>
              <w:fldChar w:fldCharType="end"/>
            </w:r>
          </w:hyperlink>
        </w:p>
        <w:p w14:paraId="76EA2142" w14:textId="20C961B6" w:rsidR="006772C2" w:rsidRDefault="00000000" w:rsidP="006720A0">
          <w:pPr>
            <w:pStyle w:val="TOC1"/>
            <w:rPr>
              <w:rFonts w:asciiTheme="minorHAnsi" w:eastAsiaTheme="minorEastAsia" w:hAnsiTheme="minorHAnsi"/>
              <w:szCs w:val="22"/>
              <w:lang w:eastAsia="en-AU"/>
            </w:rPr>
          </w:pPr>
          <w:hyperlink w:anchor="_Toc136006849" w:history="1">
            <w:r w:rsidR="006772C2" w:rsidRPr="00913B69">
              <w:rPr>
                <w:rStyle w:val="Hyperlink"/>
              </w:rPr>
              <w:t>1.</w:t>
            </w:r>
            <w:r w:rsidR="006772C2">
              <w:rPr>
                <w:rFonts w:asciiTheme="minorHAnsi" w:eastAsiaTheme="minorEastAsia" w:hAnsiTheme="minorHAnsi"/>
                <w:szCs w:val="22"/>
                <w:lang w:eastAsia="en-AU"/>
              </w:rPr>
              <w:tab/>
            </w:r>
            <w:r w:rsidR="006772C2" w:rsidRPr="00FF78A0">
              <w:rPr>
                <w:rStyle w:val="Hyperlink"/>
              </w:rPr>
              <w:t>Introduction</w:t>
            </w:r>
            <w:r w:rsidR="006772C2">
              <w:rPr>
                <w:webHidden/>
              </w:rPr>
              <w:tab/>
            </w:r>
            <w:r w:rsidR="006772C2">
              <w:rPr>
                <w:webHidden/>
              </w:rPr>
              <w:fldChar w:fldCharType="begin"/>
            </w:r>
            <w:r w:rsidR="006772C2">
              <w:rPr>
                <w:webHidden/>
              </w:rPr>
              <w:instrText xml:space="preserve"> PAGEREF _Toc136006849 \h </w:instrText>
            </w:r>
            <w:r w:rsidR="006772C2">
              <w:rPr>
                <w:webHidden/>
              </w:rPr>
            </w:r>
            <w:r w:rsidR="006772C2">
              <w:rPr>
                <w:webHidden/>
              </w:rPr>
              <w:fldChar w:fldCharType="separate"/>
            </w:r>
            <w:r w:rsidR="001306DF">
              <w:rPr>
                <w:webHidden/>
              </w:rPr>
              <w:t>7</w:t>
            </w:r>
            <w:r w:rsidR="006772C2">
              <w:rPr>
                <w:webHidden/>
              </w:rPr>
              <w:fldChar w:fldCharType="end"/>
            </w:r>
          </w:hyperlink>
        </w:p>
        <w:p w14:paraId="0F0AE574" w14:textId="033ECF02" w:rsidR="006772C2" w:rsidRDefault="00000000" w:rsidP="006720A0">
          <w:pPr>
            <w:pStyle w:val="TOC2"/>
            <w:rPr>
              <w:rFonts w:asciiTheme="minorHAnsi" w:eastAsiaTheme="minorEastAsia" w:hAnsiTheme="minorHAnsi"/>
              <w:szCs w:val="22"/>
              <w:lang w:eastAsia="en-AU"/>
            </w:rPr>
          </w:pPr>
          <w:hyperlink w:anchor="_Toc136006850" w:history="1">
            <w:r w:rsidR="006772C2" w:rsidRPr="00913B69">
              <w:rPr>
                <w:rStyle w:val="Hyperlink"/>
              </w:rPr>
              <w:t>1.1</w:t>
            </w:r>
            <w:r w:rsidR="006772C2">
              <w:rPr>
                <w:rFonts w:asciiTheme="minorHAnsi" w:eastAsiaTheme="minorEastAsia" w:hAnsiTheme="minorHAnsi"/>
                <w:szCs w:val="22"/>
                <w:lang w:eastAsia="en-AU"/>
              </w:rPr>
              <w:tab/>
            </w:r>
            <w:r w:rsidR="006772C2" w:rsidRPr="00913B69">
              <w:rPr>
                <w:rStyle w:val="Hyperlink"/>
              </w:rPr>
              <w:t>Terms of Reference of the SDA Pricing Review 2022-23</w:t>
            </w:r>
            <w:r w:rsidR="006772C2">
              <w:rPr>
                <w:webHidden/>
              </w:rPr>
              <w:tab/>
            </w:r>
            <w:r w:rsidR="006772C2">
              <w:rPr>
                <w:webHidden/>
              </w:rPr>
              <w:fldChar w:fldCharType="begin"/>
            </w:r>
            <w:r w:rsidR="006772C2">
              <w:rPr>
                <w:webHidden/>
              </w:rPr>
              <w:instrText xml:space="preserve"> PAGEREF _Toc136006850 \h </w:instrText>
            </w:r>
            <w:r w:rsidR="006772C2">
              <w:rPr>
                <w:webHidden/>
              </w:rPr>
            </w:r>
            <w:r w:rsidR="006772C2">
              <w:rPr>
                <w:webHidden/>
              </w:rPr>
              <w:fldChar w:fldCharType="separate"/>
            </w:r>
            <w:r w:rsidR="001306DF">
              <w:rPr>
                <w:webHidden/>
              </w:rPr>
              <w:t>7</w:t>
            </w:r>
            <w:r w:rsidR="006772C2">
              <w:rPr>
                <w:webHidden/>
              </w:rPr>
              <w:fldChar w:fldCharType="end"/>
            </w:r>
          </w:hyperlink>
        </w:p>
        <w:p w14:paraId="30114C03" w14:textId="57EA233F" w:rsidR="006772C2" w:rsidRDefault="00000000" w:rsidP="006720A0">
          <w:pPr>
            <w:pStyle w:val="TOC2"/>
            <w:rPr>
              <w:rFonts w:asciiTheme="minorHAnsi" w:eastAsiaTheme="minorEastAsia" w:hAnsiTheme="minorHAnsi"/>
              <w:szCs w:val="22"/>
              <w:lang w:eastAsia="en-AU"/>
            </w:rPr>
          </w:pPr>
          <w:hyperlink w:anchor="_Toc136006851" w:history="1">
            <w:r w:rsidR="006772C2" w:rsidRPr="00913B69">
              <w:rPr>
                <w:rStyle w:val="Hyperlink"/>
              </w:rPr>
              <w:t>1.2</w:t>
            </w:r>
            <w:r w:rsidR="006772C2">
              <w:rPr>
                <w:rFonts w:asciiTheme="minorHAnsi" w:eastAsiaTheme="minorEastAsia" w:hAnsiTheme="minorHAnsi"/>
                <w:szCs w:val="22"/>
                <w:lang w:eastAsia="en-AU"/>
              </w:rPr>
              <w:tab/>
            </w:r>
            <w:r w:rsidR="006772C2" w:rsidRPr="00913B69">
              <w:rPr>
                <w:rStyle w:val="Hyperlink"/>
              </w:rPr>
              <w:t>Consultations</w:t>
            </w:r>
            <w:r w:rsidR="006772C2">
              <w:rPr>
                <w:webHidden/>
              </w:rPr>
              <w:tab/>
            </w:r>
            <w:r w:rsidR="006772C2">
              <w:rPr>
                <w:webHidden/>
              </w:rPr>
              <w:fldChar w:fldCharType="begin"/>
            </w:r>
            <w:r w:rsidR="006772C2">
              <w:rPr>
                <w:webHidden/>
              </w:rPr>
              <w:instrText xml:space="preserve"> PAGEREF _Toc136006851 \h </w:instrText>
            </w:r>
            <w:r w:rsidR="006772C2">
              <w:rPr>
                <w:webHidden/>
              </w:rPr>
            </w:r>
            <w:r w:rsidR="006772C2">
              <w:rPr>
                <w:webHidden/>
              </w:rPr>
              <w:fldChar w:fldCharType="separate"/>
            </w:r>
            <w:r w:rsidR="001306DF">
              <w:rPr>
                <w:webHidden/>
              </w:rPr>
              <w:t>10</w:t>
            </w:r>
            <w:r w:rsidR="006772C2">
              <w:rPr>
                <w:webHidden/>
              </w:rPr>
              <w:fldChar w:fldCharType="end"/>
            </w:r>
          </w:hyperlink>
        </w:p>
        <w:p w14:paraId="229DE3C3" w14:textId="77298B67" w:rsidR="006772C2" w:rsidRDefault="00000000" w:rsidP="006720A0">
          <w:pPr>
            <w:pStyle w:val="TOC2"/>
            <w:rPr>
              <w:rFonts w:asciiTheme="minorHAnsi" w:eastAsiaTheme="minorEastAsia" w:hAnsiTheme="minorHAnsi"/>
              <w:szCs w:val="22"/>
              <w:lang w:eastAsia="en-AU"/>
            </w:rPr>
          </w:pPr>
          <w:hyperlink w:anchor="_Toc136006852" w:history="1">
            <w:r w:rsidR="006772C2" w:rsidRPr="00913B69">
              <w:rPr>
                <w:rStyle w:val="Hyperlink"/>
              </w:rPr>
              <w:t>1.3</w:t>
            </w:r>
            <w:r w:rsidR="006772C2">
              <w:rPr>
                <w:rFonts w:asciiTheme="minorHAnsi" w:eastAsiaTheme="minorEastAsia" w:hAnsiTheme="minorHAnsi"/>
                <w:szCs w:val="22"/>
                <w:lang w:eastAsia="en-AU"/>
              </w:rPr>
              <w:tab/>
            </w:r>
            <w:r w:rsidR="006772C2" w:rsidRPr="00913B69">
              <w:rPr>
                <w:rStyle w:val="Hyperlink"/>
              </w:rPr>
              <w:t>Structure of this report</w:t>
            </w:r>
            <w:r w:rsidR="006772C2">
              <w:rPr>
                <w:webHidden/>
              </w:rPr>
              <w:tab/>
            </w:r>
            <w:r w:rsidR="006772C2">
              <w:rPr>
                <w:webHidden/>
              </w:rPr>
              <w:fldChar w:fldCharType="begin"/>
            </w:r>
            <w:r w:rsidR="006772C2">
              <w:rPr>
                <w:webHidden/>
              </w:rPr>
              <w:instrText xml:space="preserve"> PAGEREF _Toc136006852 \h </w:instrText>
            </w:r>
            <w:r w:rsidR="006772C2">
              <w:rPr>
                <w:webHidden/>
              </w:rPr>
            </w:r>
            <w:r w:rsidR="006772C2">
              <w:rPr>
                <w:webHidden/>
              </w:rPr>
              <w:fldChar w:fldCharType="separate"/>
            </w:r>
            <w:r w:rsidR="001306DF">
              <w:rPr>
                <w:webHidden/>
              </w:rPr>
              <w:t>11</w:t>
            </w:r>
            <w:r w:rsidR="006772C2">
              <w:rPr>
                <w:webHidden/>
              </w:rPr>
              <w:fldChar w:fldCharType="end"/>
            </w:r>
          </w:hyperlink>
        </w:p>
        <w:p w14:paraId="1E376D0F" w14:textId="64A6A374" w:rsidR="006772C2" w:rsidRDefault="00000000" w:rsidP="006720A0">
          <w:pPr>
            <w:pStyle w:val="TOC1"/>
            <w:rPr>
              <w:rFonts w:asciiTheme="minorHAnsi" w:eastAsiaTheme="minorEastAsia" w:hAnsiTheme="minorHAnsi"/>
              <w:szCs w:val="22"/>
              <w:lang w:eastAsia="en-AU"/>
            </w:rPr>
          </w:pPr>
          <w:hyperlink w:anchor="_Toc136006853" w:history="1">
            <w:r w:rsidR="006772C2" w:rsidRPr="00913B69">
              <w:rPr>
                <w:rStyle w:val="Hyperlink"/>
              </w:rPr>
              <w:t>2.</w:t>
            </w:r>
            <w:r w:rsidR="006772C2">
              <w:rPr>
                <w:rFonts w:asciiTheme="minorHAnsi" w:eastAsiaTheme="minorEastAsia" w:hAnsiTheme="minorHAnsi"/>
                <w:szCs w:val="22"/>
                <w:lang w:eastAsia="en-AU"/>
              </w:rPr>
              <w:tab/>
            </w:r>
            <w:r w:rsidR="006772C2" w:rsidRPr="00913B69">
              <w:rPr>
                <w:rStyle w:val="Hyperlink"/>
              </w:rPr>
              <w:t>Build Costs</w:t>
            </w:r>
            <w:r w:rsidR="006772C2">
              <w:rPr>
                <w:webHidden/>
              </w:rPr>
              <w:tab/>
            </w:r>
            <w:r w:rsidR="006772C2">
              <w:rPr>
                <w:webHidden/>
              </w:rPr>
              <w:fldChar w:fldCharType="begin"/>
            </w:r>
            <w:r w:rsidR="006772C2">
              <w:rPr>
                <w:webHidden/>
              </w:rPr>
              <w:instrText xml:space="preserve"> PAGEREF _Toc136006853 \h </w:instrText>
            </w:r>
            <w:r w:rsidR="006772C2">
              <w:rPr>
                <w:webHidden/>
              </w:rPr>
            </w:r>
            <w:r w:rsidR="006772C2">
              <w:rPr>
                <w:webHidden/>
              </w:rPr>
              <w:fldChar w:fldCharType="separate"/>
            </w:r>
            <w:r w:rsidR="001306DF">
              <w:rPr>
                <w:webHidden/>
              </w:rPr>
              <w:t>13</w:t>
            </w:r>
            <w:r w:rsidR="006772C2">
              <w:rPr>
                <w:webHidden/>
              </w:rPr>
              <w:fldChar w:fldCharType="end"/>
            </w:r>
          </w:hyperlink>
        </w:p>
        <w:p w14:paraId="4F5F9B49" w14:textId="265AFFE8" w:rsidR="006772C2" w:rsidRDefault="00000000" w:rsidP="006720A0">
          <w:pPr>
            <w:pStyle w:val="TOC2"/>
            <w:rPr>
              <w:rFonts w:asciiTheme="minorHAnsi" w:eastAsiaTheme="minorEastAsia" w:hAnsiTheme="minorHAnsi"/>
              <w:szCs w:val="22"/>
              <w:lang w:eastAsia="en-AU"/>
            </w:rPr>
          </w:pPr>
          <w:hyperlink w:anchor="_Toc136006854" w:history="1">
            <w:r w:rsidR="006772C2" w:rsidRPr="00913B69">
              <w:rPr>
                <w:rStyle w:val="Hyperlink"/>
              </w:rPr>
              <w:t>2.1</w:t>
            </w:r>
            <w:r w:rsidR="006772C2">
              <w:rPr>
                <w:rFonts w:asciiTheme="minorHAnsi" w:eastAsiaTheme="minorEastAsia" w:hAnsiTheme="minorHAnsi"/>
                <w:szCs w:val="22"/>
                <w:lang w:eastAsia="en-AU"/>
              </w:rPr>
              <w:tab/>
            </w:r>
            <w:r w:rsidR="006772C2" w:rsidRPr="00913B69">
              <w:rPr>
                <w:rStyle w:val="Hyperlink"/>
              </w:rPr>
              <w:t>Building Materials, Labour, and Other Inputs</w:t>
            </w:r>
            <w:r w:rsidR="006772C2">
              <w:rPr>
                <w:webHidden/>
              </w:rPr>
              <w:tab/>
            </w:r>
            <w:r w:rsidR="006772C2">
              <w:rPr>
                <w:webHidden/>
              </w:rPr>
              <w:fldChar w:fldCharType="begin"/>
            </w:r>
            <w:r w:rsidR="006772C2">
              <w:rPr>
                <w:webHidden/>
              </w:rPr>
              <w:instrText xml:space="preserve"> PAGEREF _Toc136006854 \h </w:instrText>
            </w:r>
            <w:r w:rsidR="006772C2">
              <w:rPr>
                <w:webHidden/>
              </w:rPr>
            </w:r>
            <w:r w:rsidR="006772C2">
              <w:rPr>
                <w:webHidden/>
              </w:rPr>
              <w:fldChar w:fldCharType="separate"/>
            </w:r>
            <w:r w:rsidR="001306DF">
              <w:rPr>
                <w:webHidden/>
              </w:rPr>
              <w:t>13</w:t>
            </w:r>
            <w:r w:rsidR="006772C2">
              <w:rPr>
                <w:webHidden/>
              </w:rPr>
              <w:fldChar w:fldCharType="end"/>
            </w:r>
          </w:hyperlink>
        </w:p>
        <w:p w14:paraId="21D51A43" w14:textId="2DA302D9" w:rsidR="006772C2" w:rsidRDefault="00000000" w:rsidP="006720A0">
          <w:pPr>
            <w:pStyle w:val="TOC2"/>
            <w:rPr>
              <w:rFonts w:asciiTheme="minorHAnsi" w:eastAsiaTheme="minorEastAsia" w:hAnsiTheme="minorHAnsi"/>
              <w:szCs w:val="22"/>
              <w:lang w:eastAsia="en-AU"/>
            </w:rPr>
          </w:pPr>
          <w:hyperlink w:anchor="_Toc136006855" w:history="1">
            <w:r w:rsidR="006772C2" w:rsidRPr="00913B69">
              <w:rPr>
                <w:rStyle w:val="Hyperlink"/>
              </w:rPr>
              <w:t>2.2</w:t>
            </w:r>
            <w:r w:rsidR="006772C2">
              <w:rPr>
                <w:rFonts w:asciiTheme="minorHAnsi" w:eastAsiaTheme="minorEastAsia" w:hAnsiTheme="minorHAnsi"/>
                <w:szCs w:val="22"/>
                <w:lang w:eastAsia="en-AU"/>
              </w:rPr>
              <w:tab/>
            </w:r>
            <w:r w:rsidR="006772C2" w:rsidRPr="00913B69">
              <w:rPr>
                <w:rStyle w:val="Hyperlink"/>
              </w:rPr>
              <w:t>Building Classification</w:t>
            </w:r>
            <w:r w:rsidR="006772C2">
              <w:rPr>
                <w:webHidden/>
              </w:rPr>
              <w:tab/>
            </w:r>
            <w:r w:rsidR="006772C2">
              <w:rPr>
                <w:webHidden/>
              </w:rPr>
              <w:fldChar w:fldCharType="begin"/>
            </w:r>
            <w:r w:rsidR="006772C2">
              <w:rPr>
                <w:webHidden/>
              </w:rPr>
              <w:instrText xml:space="preserve"> PAGEREF _Toc136006855 \h </w:instrText>
            </w:r>
            <w:r w:rsidR="006772C2">
              <w:rPr>
                <w:webHidden/>
              </w:rPr>
            </w:r>
            <w:r w:rsidR="006772C2">
              <w:rPr>
                <w:webHidden/>
              </w:rPr>
              <w:fldChar w:fldCharType="separate"/>
            </w:r>
            <w:r w:rsidR="001306DF">
              <w:rPr>
                <w:webHidden/>
              </w:rPr>
              <w:t>16</w:t>
            </w:r>
            <w:r w:rsidR="006772C2">
              <w:rPr>
                <w:webHidden/>
              </w:rPr>
              <w:fldChar w:fldCharType="end"/>
            </w:r>
          </w:hyperlink>
        </w:p>
        <w:p w14:paraId="075D2E8C" w14:textId="1F9301D6" w:rsidR="006772C2" w:rsidRDefault="00000000" w:rsidP="006720A0">
          <w:pPr>
            <w:pStyle w:val="TOC2"/>
            <w:rPr>
              <w:rFonts w:asciiTheme="minorHAnsi" w:eastAsiaTheme="minorEastAsia" w:hAnsiTheme="minorHAnsi"/>
              <w:szCs w:val="22"/>
              <w:lang w:eastAsia="en-AU"/>
            </w:rPr>
          </w:pPr>
          <w:hyperlink w:anchor="_Toc136006856" w:history="1">
            <w:r w:rsidR="006772C2" w:rsidRPr="00913B69">
              <w:rPr>
                <w:rStyle w:val="Hyperlink"/>
              </w:rPr>
              <w:t>2.3</w:t>
            </w:r>
            <w:r w:rsidR="006772C2">
              <w:rPr>
                <w:rFonts w:asciiTheme="minorHAnsi" w:eastAsiaTheme="minorEastAsia" w:hAnsiTheme="minorHAnsi"/>
                <w:szCs w:val="22"/>
                <w:lang w:eastAsia="en-AU"/>
              </w:rPr>
              <w:tab/>
            </w:r>
            <w:r w:rsidR="006772C2" w:rsidRPr="00913B69">
              <w:rPr>
                <w:rStyle w:val="Hyperlink"/>
              </w:rPr>
              <w:t>SDA Design Standard</w:t>
            </w:r>
            <w:r w:rsidR="006772C2">
              <w:rPr>
                <w:webHidden/>
              </w:rPr>
              <w:tab/>
            </w:r>
            <w:r w:rsidR="006772C2">
              <w:rPr>
                <w:webHidden/>
              </w:rPr>
              <w:fldChar w:fldCharType="begin"/>
            </w:r>
            <w:r w:rsidR="006772C2">
              <w:rPr>
                <w:webHidden/>
              </w:rPr>
              <w:instrText xml:space="preserve"> PAGEREF _Toc136006856 \h </w:instrText>
            </w:r>
            <w:r w:rsidR="006772C2">
              <w:rPr>
                <w:webHidden/>
              </w:rPr>
            </w:r>
            <w:r w:rsidR="006772C2">
              <w:rPr>
                <w:webHidden/>
              </w:rPr>
              <w:fldChar w:fldCharType="separate"/>
            </w:r>
            <w:r w:rsidR="001306DF">
              <w:rPr>
                <w:webHidden/>
              </w:rPr>
              <w:t>18</w:t>
            </w:r>
            <w:r w:rsidR="006772C2">
              <w:rPr>
                <w:webHidden/>
              </w:rPr>
              <w:fldChar w:fldCharType="end"/>
            </w:r>
          </w:hyperlink>
        </w:p>
        <w:p w14:paraId="1CCF58CC" w14:textId="14094DAA" w:rsidR="006772C2" w:rsidRDefault="00000000" w:rsidP="006720A0">
          <w:pPr>
            <w:pStyle w:val="TOC2"/>
            <w:rPr>
              <w:rFonts w:asciiTheme="minorHAnsi" w:eastAsiaTheme="minorEastAsia" w:hAnsiTheme="minorHAnsi"/>
              <w:szCs w:val="22"/>
              <w:lang w:eastAsia="en-AU"/>
            </w:rPr>
          </w:pPr>
          <w:hyperlink w:anchor="_Toc136006857" w:history="1">
            <w:r w:rsidR="006772C2" w:rsidRPr="00913B69">
              <w:rPr>
                <w:rStyle w:val="Hyperlink"/>
              </w:rPr>
              <w:t>2.4</w:t>
            </w:r>
            <w:r w:rsidR="006772C2">
              <w:rPr>
                <w:rFonts w:asciiTheme="minorHAnsi" w:eastAsiaTheme="minorEastAsia" w:hAnsiTheme="minorHAnsi"/>
                <w:szCs w:val="22"/>
                <w:lang w:eastAsia="en-AU"/>
              </w:rPr>
              <w:tab/>
            </w:r>
            <w:r w:rsidR="006772C2" w:rsidRPr="00913B69">
              <w:rPr>
                <w:rStyle w:val="Hyperlink"/>
              </w:rPr>
              <w:t>Other Costs</w:t>
            </w:r>
            <w:r w:rsidR="006772C2">
              <w:rPr>
                <w:webHidden/>
              </w:rPr>
              <w:tab/>
            </w:r>
            <w:r w:rsidR="006772C2">
              <w:rPr>
                <w:webHidden/>
              </w:rPr>
              <w:fldChar w:fldCharType="begin"/>
            </w:r>
            <w:r w:rsidR="006772C2">
              <w:rPr>
                <w:webHidden/>
              </w:rPr>
              <w:instrText xml:space="preserve"> PAGEREF _Toc136006857 \h </w:instrText>
            </w:r>
            <w:r w:rsidR="006772C2">
              <w:rPr>
                <w:webHidden/>
              </w:rPr>
            </w:r>
            <w:r w:rsidR="006772C2">
              <w:rPr>
                <w:webHidden/>
              </w:rPr>
              <w:fldChar w:fldCharType="separate"/>
            </w:r>
            <w:r w:rsidR="001306DF">
              <w:rPr>
                <w:webHidden/>
              </w:rPr>
              <w:t>22</w:t>
            </w:r>
            <w:r w:rsidR="006772C2">
              <w:rPr>
                <w:webHidden/>
              </w:rPr>
              <w:fldChar w:fldCharType="end"/>
            </w:r>
          </w:hyperlink>
        </w:p>
        <w:p w14:paraId="598E5CD4" w14:textId="5632AF16" w:rsidR="006772C2" w:rsidRDefault="00000000" w:rsidP="006720A0">
          <w:pPr>
            <w:pStyle w:val="TOC1"/>
            <w:rPr>
              <w:rFonts w:asciiTheme="minorHAnsi" w:eastAsiaTheme="minorEastAsia" w:hAnsiTheme="minorHAnsi"/>
              <w:szCs w:val="22"/>
              <w:lang w:eastAsia="en-AU"/>
            </w:rPr>
          </w:pPr>
          <w:hyperlink w:anchor="_Toc136006858" w:history="1">
            <w:r w:rsidR="006772C2" w:rsidRPr="00913B69">
              <w:rPr>
                <w:rStyle w:val="Hyperlink"/>
              </w:rPr>
              <w:t>3.</w:t>
            </w:r>
            <w:r w:rsidR="006772C2">
              <w:rPr>
                <w:rFonts w:asciiTheme="minorHAnsi" w:eastAsiaTheme="minorEastAsia" w:hAnsiTheme="minorHAnsi"/>
                <w:szCs w:val="22"/>
                <w:lang w:eastAsia="en-AU"/>
              </w:rPr>
              <w:tab/>
            </w:r>
            <w:r w:rsidR="006772C2" w:rsidRPr="00913B69">
              <w:rPr>
                <w:rStyle w:val="Hyperlink"/>
              </w:rPr>
              <w:t>Land Costs</w:t>
            </w:r>
            <w:r w:rsidR="006772C2">
              <w:rPr>
                <w:webHidden/>
              </w:rPr>
              <w:tab/>
            </w:r>
            <w:r w:rsidR="006772C2">
              <w:rPr>
                <w:webHidden/>
              </w:rPr>
              <w:fldChar w:fldCharType="begin"/>
            </w:r>
            <w:r w:rsidR="006772C2">
              <w:rPr>
                <w:webHidden/>
              </w:rPr>
              <w:instrText xml:space="preserve"> PAGEREF _Toc136006858 \h </w:instrText>
            </w:r>
            <w:r w:rsidR="006772C2">
              <w:rPr>
                <w:webHidden/>
              </w:rPr>
            </w:r>
            <w:r w:rsidR="006772C2">
              <w:rPr>
                <w:webHidden/>
              </w:rPr>
              <w:fldChar w:fldCharType="separate"/>
            </w:r>
            <w:r w:rsidR="001306DF">
              <w:rPr>
                <w:webHidden/>
              </w:rPr>
              <w:t>25</w:t>
            </w:r>
            <w:r w:rsidR="006772C2">
              <w:rPr>
                <w:webHidden/>
              </w:rPr>
              <w:fldChar w:fldCharType="end"/>
            </w:r>
          </w:hyperlink>
        </w:p>
        <w:p w14:paraId="458C1F3C" w14:textId="73A51A8F" w:rsidR="006772C2" w:rsidRDefault="00000000" w:rsidP="006720A0">
          <w:pPr>
            <w:pStyle w:val="TOC2"/>
            <w:rPr>
              <w:rFonts w:asciiTheme="minorHAnsi" w:eastAsiaTheme="minorEastAsia" w:hAnsiTheme="minorHAnsi"/>
              <w:szCs w:val="22"/>
              <w:lang w:eastAsia="en-AU"/>
            </w:rPr>
          </w:pPr>
          <w:hyperlink w:anchor="_Toc136006859" w:history="1">
            <w:r w:rsidR="006772C2" w:rsidRPr="00913B69">
              <w:rPr>
                <w:rStyle w:val="Hyperlink"/>
              </w:rPr>
              <w:t>3.1</w:t>
            </w:r>
            <w:r w:rsidR="006772C2">
              <w:rPr>
                <w:rFonts w:asciiTheme="minorHAnsi" w:eastAsiaTheme="minorEastAsia" w:hAnsiTheme="minorHAnsi"/>
                <w:szCs w:val="22"/>
                <w:lang w:eastAsia="en-AU"/>
              </w:rPr>
              <w:tab/>
            </w:r>
            <w:r w:rsidR="006772C2" w:rsidRPr="00913B69">
              <w:rPr>
                <w:rStyle w:val="Hyperlink"/>
              </w:rPr>
              <w:t>Land Size and Frontage</w:t>
            </w:r>
            <w:r w:rsidR="006772C2">
              <w:rPr>
                <w:webHidden/>
              </w:rPr>
              <w:tab/>
            </w:r>
            <w:r w:rsidR="006772C2">
              <w:rPr>
                <w:webHidden/>
              </w:rPr>
              <w:fldChar w:fldCharType="begin"/>
            </w:r>
            <w:r w:rsidR="006772C2">
              <w:rPr>
                <w:webHidden/>
              </w:rPr>
              <w:instrText xml:space="preserve"> PAGEREF _Toc136006859 \h </w:instrText>
            </w:r>
            <w:r w:rsidR="006772C2">
              <w:rPr>
                <w:webHidden/>
              </w:rPr>
            </w:r>
            <w:r w:rsidR="006772C2">
              <w:rPr>
                <w:webHidden/>
              </w:rPr>
              <w:fldChar w:fldCharType="separate"/>
            </w:r>
            <w:r w:rsidR="001306DF">
              <w:rPr>
                <w:webHidden/>
              </w:rPr>
              <w:t>25</w:t>
            </w:r>
            <w:r w:rsidR="006772C2">
              <w:rPr>
                <w:webHidden/>
              </w:rPr>
              <w:fldChar w:fldCharType="end"/>
            </w:r>
          </w:hyperlink>
        </w:p>
        <w:p w14:paraId="2B97220E" w14:textId="298E2D08" w:rsidR="006772C2" w:rsidRDefault="00000000" w:rsidP="006720A0">
          <w:pPr>
            <w:pStyle w:val="TOC2"/>
            <w:rPr>
              <w:rFonts w:asciiTheme="minorHAnsi" w:eastAsiaTheme="minorEastAsia" w:hAnsiTheme="minorHAnsi"/>
              <w:szCs w:val="22"/>
              <w:lang w:eastAsia="en-AU"/>
            </w:rPr>
          </w:pPr>
          <w:hyperlink w:anchor="_Toc136006860" w:history="1">
            <w:r w:rsidR="006772C2" w:rsidRPr="00913B69">
              <w:rPr>
                <w:rStyle w:val="Hyperlink"/>
              </w:rPr>
              <w:t>3.2</w:t>
            </w:r>
            <w:r w:rsidR="006772C2">
              <w:rPr>
                <w:rFonts w:asciiTheme="minorHAnsi" w:eastAsiaTheme="minorEastAsia" w:hAnsiTheme="minorHAnsi"/>
                <w:szCs w:val="22"/>
                <w:lang w:eastAsia="en-AU"/>
              </w:rPr>
              <w:tab/>
            </w:r>
            <w:r w:rsidR="006772C2" w:rsidRPr="00913B69">
              <w:rPr>
                <w:rStyle w:val="Hyperlink"/>
              </w:rPr>
              <w:t>Land Costs</w:t>
            </w:r>
            <w:r w:rsidR="006772C2">
              <w:rPr>
                <w:webHidden/>
              </w:rPr>
              <w:tab/>
            </w:r>
            <w:r w:rsidR="006772C2">
              <w:rPr>
                <w:webHidden/>
              </w:rPr>
              <w:fldChar w:fldCharType="begin"/>
            </w:r>
            <w:r w:rsidR="006772C2">
              <w:rPr>
                <w:webHidden/>
              </w:rPr>
              <w:instrText xml:space="preserve"> PAGEREF _Toc136006860 \h </w:instrText>
            </w:r>
            <w:r w:rsidR="006772C2">
              <w:rPr>
                <w:webHidden/>
              </w:rPr>
            </w:r>
            <w:r w:rsidR="006772C2">
              <w:rPr>
                <w:webHidden/>
              </w:rPr>
              <w:fldChar w:fldCharType="separate"/>
            </w:r>
            <w:r w:rsidR="001306DF">
              <w:rPr>
                <w:webHidden/>
              </w:rPr>
              <w:t>28</w:t>
            </w:r>
            <w:r w:rsidR="006772C2">
              <w:rPr>
                <w:webHidden/>
              </w:rPr>
              <w:fldChar w:fldCharType="end"/>
            </w:r>
          </w:hyperlink>
        </w:p>
        <w:p w14:paraId="60024415" w14:textId="427EACFE" w:rsidR="006772C2" w:rsidRDefault="00000000" w:rsidP="006720A0">
          <w:pPr>
            <w:pStyle w:val="TOC2"/>
            <w:rPr>
              <w:rFonts w:asciiTheme="minorHAnsi" w:eastAsiaTheme="minorEastAsia" w:hAnsiTheme="minorHAnsi"/>
              <w:szCs w:val="22"/>
              <w:lang w:eastAsia="en-AU"/>
            </w:rPr>
          </w:pPr>
          <w:hyperlink w:anchor="_Toc136006861" w:history="1">
            <w:r w:rsidR="006772C2" w:rsidRPr="00913B69">
              <w:rPr>
                <w:rStyle w:val="Hyperlink"/>
              </w:rPr>
              <w:t>3.3</w:t>
            </w:r>
            <w:r w:rsidR="006772C2">
              <w:rPr>
                <w:rFonts w:asciiTheme="minorHAnsi" w:eastAsiaTheme="minorEastAsia" w:hAnsiTheme="minorHAnsi"/>
                <w:szCs w:val="22"/>
                <w:lang w:eastAsia="en-AU"/>
              </w:rPr>
              <w:tab/>
            </w:r>
            <w:r w:rsidR="006772C2" w:rsidRPr="00913B69">
              <w:rPr>
                <w:rStyle w:val="Hyperlink"/>
              </w:rPr>
              <w:t>Location Factors</w:t>
            </w:r>
            <w:r w:rsidR="006772C2">
              <w:rPr>
                <w:webHidden/>
              </w:rPr>
              <w:tab/>
            </w:r>
            <w:r w:rsidR="006772C2">
              <w:rPr>
                <w:webHidden/>
              </w:rPr>
              <w:fldChar w:fldCharType="begin"/>
            </w:r>
            <w:r w:rsidR="006772C2">
              <w:rPr>
                <w:webHidden/>
              </w:rPr>
              <w:instrText xml:space="preserve"> PAGEREF _Toc136006861 \h </w:instrText>
            </w:r>
            <w:r w:rsidR="006772C2">
              <w:rPr>
                <w:webHidden/>
              </w:rPr>
            </w:r>
            <w:r w:rsidR="006772C2">
              <w:rPr>
                <w:webHidden/>
              </w:rPr>
              <w:fldChar w:fldCharType="separate"/>
            </w:r>
            <w:r w:rsidR="001306DF">
              <w:rPr>
                <w:webHidden/>
              </w:rPr>
              <w:t>31</w:t>
            </w:r>
            <w:r w:rsidR="006772C2">
              <w:rPr>
                <w:webHidden/>
              </w:rPr>
              <w:fldChar w:fldCharType="end"/>
            </w:r>
          </w:hyperlink>
        </w:p>
        <w:p w14:paraId="51FAC107" w14:textId="19BDD7AE" w:rsidR="006772C2" w:rsidRDefault="00000000" w:rsidP="006720A0">
          <w:pPr>
            <w:pStyle w:val="TOC1"/>
            <w:rPr>
              <w:rFonts w:asciiTheme="minorHAnsi" w:eastAsiaTheme="minorEastAsia" w:hAnsiTheme="minorHAnsi"/>
              <w:szCs w:val="22"/>
              <w:lang w:eastAsia="en-AU"/>
            </w:rPr>
          </w:pPr>
          <w:hyperlink w:anchor="_Toc136006862" w:history="1">
            <w:r w:rsidR="006772C2" w:rsidRPr="00913B69">
              <w:rPr>
                <w:rStyle w:val="Hyperlink"/>
              </w:rPr>
              <w:t>4.</w:t>
            </w:r>
            <w:r w:rsidR="006772C2">
              <w:rPr>
                <w:rFonts w:asciiTheme="minorHAnsi" w:eastAsiaTheme="minorEastAsia" w:hAnsiTheme="minorHAnsi"/>
                <w:szCs w:val="22"/>
                <w:lang w:eastAsia="en-AU"/>
              </w:rPr>
              <w:tab/>
            </w:r>
            <w:r w:rsidR="006772C2" w:rsidRPr="00913B69">
              <w:rPr>
                <w:rStyle w:val="Hyperlink"/>
              </w:rPr>
              <w:t>Sprinkler Costs</w:t>
            </w:r>
            <w:r w:rsidR="006772C2">
              <w:rPr>
                <w:webHidden/>
              </w:rPr>
              <w:tab/>
            </w:r>
            <w:r w:rsidR="006772C2">
              <w:rPr>
                <w:webHidden/>
              </w:rPr>
              <w:fldChar w:fldCharType="begin"/>
            </w:r>
            <w:r w:rsidR="006772C2">
              <w:rPr>
                <w:webHidden/>
              </w:rPr>
              <w:instrText xml:space="preserve"> PAGEREF _Toc136006862 \h </w:instrText>
            </w:r>
            <w:r w:rsidR="006772C2">
              <w:rPr>
                <w:webHidden/>
              </w:rPr>
            </w:r>
            <w:r w:rsidR="006772C2">
              <w:rPr>
                <w:webHidden/>
              </w:rPr>
              <w:fldChar w:fldCharType="separate"/>
            </w:r>
            <w:r w:rsidR="001306DF">
              <w:rPr>
                <w:webHidden/>
              </w:rPr>
              <w:t>34</w:t>
            </w:r>
            <w:r w:rsidR="006772C2">
              <w:rPr>
                <w:webHidden/>
              </w:rPr>
              <w:fldChar w:fldCharType="end"/>
            </w:r>
          </w:hyperlink>
        </w:p>
        <w:p w14:paraId="1BCC1CDC" w14:textId="3BFA778F" w:rsidR="006772C2" w:rsidRDefault="00000000" w:rsidP="006720A0">
          <w:pPr>
            <w:pStyle w:val="TOC2"/>
            <w:rPr>
              <w:rFonts w:asciiTheme="minorHAnsi" w:eastAsiaTheme="minorEastAsia" w:hAnsiTheme="minorHAnsi"/>
              <w:szCs w:val="22"/>
              <w:lang w:eastAsia="en-AU"/>
            </w:rPr>
          </w:pPr>
          <w:hyperlink w:anchor="_Toc136006863" w:history="1">
            <w:r w:rsidR="006772C2" w:rsidRPr="00913B69">
              <w:rPr>
                <w:rStyle w:val="Hyperlink"/>
              </w:rPr>
              <w:t>4.1</w:t>
            </w:r>
            <w:r w:rsidR="006772C2">
              <w:rPr>
                <w:rFonts w:asciiTheme="minorHAnsi" w:eastAsiaTheme="minorEastAsia" w:hAnsiTheme="minorHAnsi"/>
                <w:szCs w:val="22"/>
                <w:lang w:eastAsia="en-AU"/>
              </w:rPr>
              <w:tab/>
            </w:r>
            <w:r w:rsidR="006772C2" w:rsidRPr="00913B69">
              <w:rPr>
                <w:rStyle w:val="Hyperlink"/>
              </w:rPr>
              <w:t>Need for Sprinklers</w:t>
            </w:r>
            <w:r w:rsidR="006772C2">
              <w:rPr>
                <w:webHidden/>
              </w:rPr>
              <w:tab/>
            </w:r>
            <w:r w:rsidR="006772C2">
              <w:rPr>
                <w:webHidden/>
              </w:rPr>
              <w:fldChar w:fldCharType="begin"/>
            </w:r>
            <w:r w:rsidR="006772C2">
              <w:rPr>
                <w:webHidden/>
              </w:rPr>
              <w:instrText xml:space="preserve"> PAGEREF _Toc136006863 \h </w:instrText>
            </w:r>
            <w:r w:rsidR="006772C2">
              <w:rPr>
                <w:webHidden/>
              </w:rPr>
            </w:r>
            <w:r w:rsidR="006772C2">
              <w:rPr>
                <w:webHidden/>
              </w:rPr>
              <w:fldChar w:fldCharType="separate"/>
            </w:r>
            <w:r w:rsidR="001306DF">
              <w:rPr>
                <w:webHidden/>
              </w:rPr>
              <w:t>34</w:t>
            </w:r>
            <w:r w:rsidR="006772C2">
              <w:rPr>
                <w:webHidden/>
              </w:rPr>
              <w:fldChar w:fldCharType="end"/>
            </w:r>
          </w:hyperlink>
        </w:p>
        <w:p w14:paraId="007BEC4F" w14:textId="56EB4070" w:rsidR="006772C2" w:rsidRDefault="00000000" w:rsidP="006720A0">
          <w:pPr>
            <w:pStyle w:val="TOC2"/>
            <w:rPr>
              <w:rFonts w:asciiTheme="minorHAnsi" w:eastAsiaTheme="minorEastAsia" w:hAnsiTheme="minorHAnsi"/>
              <w:szCs w:val="22"/>
              <w:lang w:eastAsia="en-AU"/>
            </w:rPr>
          </w:pPr>
          <w:hyperlink w:anchor="_Toc136006864" w:history="1">
            <w:r w:rsidR="006772C2" w:rsidRPr="00913B69">
              <w:rPr>
                <w:rStyle w:val="Hyperlink"/>
              </w:rPr>
              <w:t>4.2</w:t>
            </w:r>
            <w:r w:rsidR="006772C2">
              <w:rPr>
                <w:rFonts w:asciiTheme="minorHAnsi" w:eastAsiaTheme="minorEastAsia" w:hAnsiTheme="minorHAnsi"/>
                <w:szCs w:val="22"/>
                <w:lang w:eastAsia="en-AU"/>
              </w:rPr>
              <w:tab/>
            </w:r>
            <w:r w:rsidR="006772C2" w:rsidRPr="00913B69">
              <w:rPr>
                <w:rStyle w:val="Hyperlink"/>
              </w:rPr>
              <w:t>Cost of Installation</w:t>
            </w:r>
            <w:r w:rsidR="006772C2">
              <w:rPr>
                <w:webHidden/>
              </w:rPr>
              <w:tab/>
            </w:r>
            <w:r w:rsidR="006772C2">
              <w:rPr>
                <w:webHidden/>
              </w:rPr>
              <w:fldChar w:fldCharType="begin"/>
            </w:r>
            <w:r w:rsidR="006772C2">
              <w:rPr>
                <w:webHidden/>
              </w:rPr>
              <w:instrText xml:space="preserve"> PAGEREF _Toc136006864 \h </w:instrText>
            </w:r>
            <w:r w:rsidR="006772C2">
              <w:rPr>
                <w:webHidden/>
              </w:rPr>
            </w:r>
            <w:r w:rsidR="006772C2">
              <w:rPr>
                <w:webHidden/>
              </w:rPr>
              <w:fldChar w:fldCharType="separate"/>
            </w:r>
            <w:r w:rsidR="001306DF">
              <w:rPr>
                <w:webHidden/>
              </w:rPr>
              <w:t>35</w:t>
            </w:r>
            <w:r w:rsidR="006772C2">
              <w:rPr>
                <w:webHidden/>
              </w:rPr>
              <w:fldChar w:fldCharType="end"/>
            </w:r>
          </w:hyperlink>
        </w:p>
        <w:p w14:paraId="2D2531A5" w14:textId="4AE9355D" w:rsidR="006772C2" w:rsidRDefault="00000000" w:rsidP="006720A0">
          <w:pPr>
            <w:pStyle w:val="TOC2"/>
            <w:rPr>
              <w:rFonts w:asciiTheme="minorHAnsi" w:eastAsiaTheme="minorEastAsia" w:hAnsiTheme="minorHAnsi"/>
              <w:szCs w:val="22"/>
              <w:lang w:eastAsia="en-AU"/>
            </w:rPr>
          </w:pPr>
          <w:hyperlink w:anchor="_Toc136006865" w:history="1">
            <w:r w:rsidR="006772C2" w:rsidRPr="00913B69">
              <w:rPr>
                <w:rStyle w:val="Hyperlink"/>
              </w:rPr>
              <w:t>4.3</w:t>
            </w:r>
            <w:r w:rsidR="006772C2">
              <w:rPr>
                <w:rFonts w:asciiTheme="minorHAnsi" w:eastAsiaTheme="minorEastAsia" w:hAnsiTheme="minorHAnsi"/>
                <w:szCs w:val="22"/>
                <w:lang w:eastAsia="en-AU"/>
              </w:rPr>
              <w:tab/>
            </w:r>
            <w:r w:rsidR="006772C2" w:rsidRPr="00913B69">
              <w:rPr>
                <w:rStyle w:val="Hyperlink"/>
              </w:rPr>
              <w:t>Sprinklers in Regional and Remote Areas</w:t>
            </w:r>
            <w:r w:rsidR="006772C2">
              <w:rPr>
                <w:webHidden/>
              </w:rPr>
              <w:tab/>
            </w:r>
            <w:r w:rsidR="006772C2">
              <w:rPr>
                <w:webHidden/>
              </w:rPr>
              <w:fldChar w:fldCharType="begin"/>
            </w:r>
            <w:r w:rsidR="006772C2">
              <w:rPr>
                <w:webHidden/>
              </w:rPr>
              <w:instrText xml:space="preserve"> PAGEREF _Toc136006865 \h </w:instrText>
            </w:r>
            <w:r w:rsidR="006772C2">
              <w:rPr>
                <w:webHidden/>
              </w:rPr>
            </w:r>
            <w:r w:rsidR="006772C2">
              <w:rPr>
                <w:webHidden/>
              </w:rPr>
              <w:fldChar w:fldCharType="separate"/>
            </w:r>
            <w:r w:rsidR="001306DF">
              <w:rPr>
                <w:webHidden/>
              </w:rPr>
              <w:t>38</w:t>
            </w:r>
            <w:r w:rsidR="006772C2">
              <w:rPr>
                <w:webHidden/>
              </w:rPr>
              <w:fldChar w:fldCharType="end"/>
            </w:r>
          </w:hyperlink>
        </w:p>
        <w:p w14:paraId="06EE6176" w14:textId="5BA2C58E" w:rsidR="006772C2" w:rsidRDefault="00000000" w:rsidP="006720A0">
          <w:pPr>
            <w:pStyle w:val="TOC2"/>
            <w:rPr>
              <w:rFonts w:asciiTheme="minorHAnsi" w:eastAsiaTheme="minorEastAsia" w:hAnsiTheme="minorHAnsi"/>
              <w:szCs w:val="22"/>
              <w:lang w:eastAsia="en-AU"/>
            </w:rPr>
          </w:pPr>
          <w:hyperlink w:anchor="_Toc136006866" w:history="1">
            <w:r w:rsidR="006772C2" w:rsidRPr="00913B69">
              <w:rPr>
                <w:rStyle w:val="Hyperlink"/>
              </w:rPr>
              <w:t>4.4</w:t>
            </w:r>
            <w:r w:rsidR="006772C2">
              <w:rPr>
                <w:rFonts w:asciiTheme="minorHAnsi" w:eastAsiaTheme="minorEastAsia" w:hAnsiTheme="minorHAnsi"/>
                <w:szCs w:val="22"/>
                <w:lang w:eastAsia="en-AU"/>
              </w:rPr>
              <w:tab/>
            </w:r>
            <w:r w:rsidR="006772C2" w:rsidRPr="00913B69">
              <w:rPr>
                <w:rStyle w:val="Hyperlink"/>
              </w:rPr>
              <w:t>Sprinklers in “Salt and Pepper” Apartment Developments</w:t>
            </w:r>
            <w:r w:rsidR="006772C2">
              <w:rPr>
                <w:webHidden/>
              </w:rPr>
              <w:tab/>
            </w:r>
            <w:r w:rsidR="006772C2">
              <w:rPr>
                <w:webHidden/>
              </w:rPr>
              <w:fldChar w:fldCharType="begin"/>
            </w:r>
            <w:r w:rsidR="006772C2">
              <w:rPr>
                <w:webHidden/>
              </w:rPr>
              <w:instrText xml:space="preserve"> PAGEREF _Toc136006866 \h </w:instrText>
            </w:r>
            <w:r w:rsidR="006772C2">
              <w:rPr>
                <w:webHidden/>
              </w:rPr>
            </w:r>
            <w:r w:rsidR="006772C2">
              <w:rPr>
                <w:webHidden/>
              </w:rPr>
              <w:fldChar w:fldCharType="separate"/>
            </w:r>
            <w:r w:rsidR="001306DF">
              <w:rPr>
                <w:webHidden/>
              </w:rPr>
              <w:t>38</w:t>
            </w:r>
            <w:r w:rsidR="006772C2">
              <w:rPr>
                <w:webHidden/>
              </w:rPr>
              <w:fldChar w:fldCharType="end"/>
            </w:r>
          </w:hyperlink>
        </w:p>
        <w:p w14:paraId="021D94AB" w14:textId="077BE639" w:rsidR="006772C2" w:rsidRDefault="00000000" w:rsidP="006720A0">
          <w:pPr>
            <w:pStyle w:val="TOC2"/>
            <w:rPr>
              <w:rFonts w:asciiTheme="minorHAnsi" w:eastAsiaTheme="minorEastAsia" w:hAnsiTheme="minorHAnsi"/>
              <w:szCs w:val="22"/>
              <w:lang w:eastAsia="en-AU"/>
            </w:rPr>
          </w:pPr>
          <w:hyperlink w:anchor="_Toc136006867" w:history="1">
            <w:r w:rsidR="006772C2" w:rsidRPr="00913B69">
              <w:rPr>
                <w:rStyle w:val="Hyperlink"/>
              </w:rPr>
              <w:t>4.5</w:t>
            </w:r>
            <w:r w:rsidR="006772C2">
              <w:rPr>
                <w:rFonts w:asciiTheme="minorHAnsi" w:eastAsiaTheme="minorEastAsia" w:hAnsiTheme="minorHAnsi"/>
                <w:szCs w:val="22"/>
                <w:lang w:eastAsia="en-AU"/>
              </w:rPr>
              <w:tab/>
            </w:r>
            <w:r w:rsidR="006772C2" w:rsidRPr="00913B69">
              <w:rPr>
                <w:rStyle w:val="Hyperlink"/>
              </w:rPr>
              <w:t>Sprinkler Infrastructure Costs</w:t>
            </w:r>
            <w:r w:rsidR="006772C2">
              <w:rPr>
                <w:webHidden/>
              </w:rPr>
              <w:tab/>
            </w:r>
            <w:r w:rsidR="006772C2">
              <w:rPr>
                <w:webHidden/>
              </w:rPr>
              <w:fldChar w:fldCharType="begin"/>
            </w:r>
            <w:r w:rsidR="006772C2">
              <w:rPr>
                <w:webHidden/>
              </w:rPr>
              <w:instrText xml:space="preserve"> PAGEREF _Toc136006867 \h </w:instrText>
            </w:r>
            <w:r w:rsidR="006772C2">
              <w:rPr>
                <w:webHidden/>
              </w:rPr>
            </w:r>
            <w:r w:rsidR="006772C2">
              <w:rPr>
                <w:webHidden/>
              </w:rPr>
              <w:fldChar w:fldCharType="separate"/>
            </w:r>
            <w:r w:rsidR="001306DF">
              <w:rPr>
                <w:webHidden/>
              </w:rPr>
              <w:t>39</w:t>
            </w:r>
            <w:r w:rsidR="006772C2">
              <w:rPr>
                <w:webHidden/>
              </w:rPr>
              <w:fldChar w:fldCharType="end"/>
            </w:r>
          </w:hyperlink>
        </w:p>
        <w:p w14:paraId="43DD2712" w14:textId="1E1910E4" w:rsidR="006772C2" w:rsidRDefault="00000000" w:rsidP="006720A0">
          <w:pPr>
            <w:pStyle w:val="TOC2"/>
            <w:rPr>
              <w:rFonts w:asciiTheme="minorHAnsi" w:eastAsiaTheme="minorEastAsia" w:hAnsiTheme="minorHAnsi"/>
              <w:szCs w:val="22"/>
              <w:lang w:eastAsia="en-AU"/>
            </w:rPr>
          </w:pPr>
          <w:hyperlink w:anchor="_Toc136006868" w:history="1">
            <w:r w:rsidR="006772C2" w:rsidRPr="00913B69">
              <w:rPr>
                <w:rStyle w:val="Hyperlink"/>
              </w:rPr>
              <w:t>4.6</w:t>
            </w:r>
            <w:r w:rsidR="006772C2">
              <w:rPr>
                <w:rFonts w:asciiTheme="minorHAnsi" w:eastAsiaTheme="minorEastAsia" w:hAnsiTheme="minorHAnsi"/>
                <w:szCs w:val="22"/>
                <w:lang w:eastAsia="en-AU"/>
              </w:rPr>
              <w:tab/>
            </w:r>
            <w:r w:rsidR="006772C2" w:rsidRPr="00913B69">
              <w:rPr>
                <w:rStyle w:val="Hyperlink"/>
              </w:rPr>
              <w:t>Sprinkler Operating Costs</w:t>
            </w:r>
            <w:r w:rsidR="006772C2">
              <w:rPr>
                <w:webHidden/>
              </w:rPr>
              <w:tab/>
            </w:r>
            <w:r w:rsidR="006772C2">
              <w:rPr>
                <w:webHidden/>
              </w:rPr>
              <w:fldChar w:fldCharType="begin"/>
            </w:r>
            <w:r w:rsidR="006772C2">
              <w:rPr>
                <w:webHidden/>
              </w:rPr>
              <w:instrText xml:space="preserve"> PAGEREF _Toc136006868 \h </w:instrText>
            </w:r>
            <w:r w:rsidR="006772C2">
              <w:rPr>
                <w:webHidden/>
              </w:rPr>
            </w:r>
            <w:r w:rsidR="006772C2">
              <w:rPr>
                <w:webHidden/>
              </w:rPr>
              <w:fldChar w:fldCharType="separate"/>
            </w:r>
            <w:r w:rsidR="001306DF">
              <w:rPr>
                <w:webHidden/>
              </w:rPr>
              <w:t>39</w:t>
            </w:r>
            <w:r w:rsidR="006772C2">
              <w:rPr>
                <w:webHidden/>
              </w:rPr>
              <w:fldChar w:fldCharType="end"/>
            </w:r>
          </w:hyperlink>
        </w:p>
        <w:p w14:paraId="1630AF8E" w14:textId="36CD0E43" w:rsidR="006772C2" w:rsidRDefault="00000000" w:rsidP="006720A0">
          <w:pPr>
            <w:pStyle w:val="TOC1"/>
            <w:rPr>
              <w:rFonts w:asciiTheme="minorHAnsi" w:eastAsiaTheme="minorEastAsia" w:hAnsiTheme="minorHAnsi"/>
              <w:szCs w:val="22"/>
              <w:lang w:eastAsia="en-AU"/>
            </w:rPr>
          </w:pPr>
          <w:hyperlink w:anchor="_Toc136006869" w:history="1">
            <w:r w:rsidR="006772C2" w:rsidRPr="00913B69">
              <w:rPr>
                <w:rStyle w:val="Hyperlink"/>
              </w:rPr>
              <w:t>5.</w:t>
            </w:r>
            <w:r w:rsidR="006772C2">
              <w:rPr>
                <w:rFonts w:asciiTheme="minorHAnsi" w:eastAsiaTheme="minorEastAsia" w:hAnsiTheme="minorHAnsi"/>
                <w:szCs w:val="22"/>
                <w:lang w:eastAsia="en-AU"/>
              </w:rPr>
              <w:tab/>
            </w:r>
            <w:r w:rsidR="006772C2" w:rsidRPr="00913B69">
              <w:rPr>
                <w:rStyle w:val="Hyperlink"/>
              </w:rPr>
              <w:t>Other Acquisition Costs</w:t>
            </w:r>
            <w:r w:rsidR="006772C2">
              <w:rPr>
                <w:webHidden/>
              </w:rPr>
              <w:tab/>
            </w:r>
            <w:r w:rsidR="006772C2">
              <w:rPr>
                <w:webHidden/>
              </w:rPr>
              <w:fldChar w:fldCharType="begin"/>
            </w:r>
            <w:r w:rsidR="006772C2">
              <w:rPr>
                <w:webHidden/>
              </w:rPr>
              <w:instrText xml:space="preserve"> PAGEREF _Toc136006869 \h </w:instrText>
            </w:r>
            <w:r w:rsidR="006772C2">
              <w:rPr>
                <w:webHidden/>
              </w:rPr>
            </w:r>
            <w:r w:rsidR="006772C2">
              <w:rPr>
                <w:webHidden/>
              </w:rPr>
              <w:fldChar w:fldCharType="separate"/>
            </w:r>
            <w:r w:rsidR="001306DF">
              <w:rPr>
                <w:webHidden/>
              </w:rPr>
              <w:t>41</w:t>
            </w:r>
            <w:r w:rsidR="006772C2">
              <w:rPr>
                <w:webHidden/>
              </w:rPr>
              <w:fldChar w:fldCharType="end"/>
            </w:r>
          </w:hyperlink>
        </w:p>
        <w:p w14:paraId="64CB8A63" w14:textId="3EB463C5" w:rsidR="006772C2" w:rsidRDefault="00000000" w:rsidP="006720A0">
          <w:pPr>
            <w:pStyle w:val="TOC2"/>
            <w:rPr>
              <w:rFonts w:asciiTheme="minorHAnsi" w:eastAsiaTheme="minorEastAsia" w:hAnsiTheme="minorHAnsi"/>
              <w:szCs w:val="22"/>
              <w:lang w:eastAsia="en-AU"/>
            </w:rPr>
          </w:pPr>
          <w:hyperlink w:anchor="_Toc136006870" w:history="1">
            <w:r w:rsidR="006772C2" w:rsidRPr="00913B69">
              <w:rPr>
                <w:rStyle w:val="Hyperlink"/>
              </w:rPr>
              <w:t>5.1</w:t>
            </w:r>
            <w:r w:rsidR="006772C2">
              <w:rPr>
                <w:rFonts w:asciiTheme="minorHAnsi" w:eastAsiaTheme="minorEastAsia" w:hAnsiTheme="minorHAnsi"/>
                <w:szCs w:val="22"/>
                <w:lang w:eastAsia="en-AU"/>
              </w:rPr>
              <w:tab/>
            </w:r>
            <w:r w:rsidR="006772C2" w:rsidRPr="00913B69">
              <w:rPr>
                <w:rStyle w:val="Hyperlink"/>
              </w:rPr>
              <w:t>Demolition costs</w:t>
            </w:r>
            <w:r w:rsidR="006772C2">
              <w:rPr>
                <w:webHidden/>
              </w:rPr>
              <w:tab/>
            </w:r>
            <w:r w:rsidR="006772C2">
              <w:rPr>
                <w:webHidden/>
              </w:rPr>
              <w:fldChar w:fldCharType="begin"/>
            </w:r>
            <w:r w:rsidR="006772C2">
              <w:rPr>
                <w:webHidden/>
              </w:rPr>
              <w:instrText xml:space="preserve"> PAGEREF _Toc136006870 \h </w:instrText>
            </w:r>
            <w:r w:rsidR="006772C2">
              <w:rPr>
                <w:webHidden/>
              </w:rPr>
            </w:r>
            <w:r w:rsidR="006772C2">
              <w:rPr>
                <w:webHidden/>
              </w:rPr>
              <w:fldChar w:fldCharType="separate"/>
            </w:r>
            <w:r w:rsidR="001306DF">
              <w:rPr>
                <w:webHidden/>
              </w:rPr>
              <w:t>41</w:t>
            </w:r>
            <w:r w:rsidR="006772C2">
              <w:rPr>
                <w:webHidden/>
              </w:rPr>
              <w:fldChar w:fldCharType="end"/>
            </w:r>
          </w:hyperlink>
        </w:p>
        <w:p w14:paraId="6F88F3D2" w14:textId="7CB4F14E" w:rsidR="006772C2" w:rsidRDefault="00000000" w:rsidP="006720A0">
          <w:pPr>
            <w:pStyle w:val="TOC2"/>
            <w:rPr>
              <w:rFonts w:asciiTheme="minorHAnsi" w:eastAsiaTheme="minorEastAsia" w:hAnsiTheme="minorHAnsi"/>
              <w:szCs w:val="22"/>
              <w:lang w:eastAsia="en-AU"/>
            </w:rPr>
          </w:pPr>
          <w:hyperlink w:anchor="_Toc136006871" w:history="1">
            <w:r w:rsidR="006772C2" w:rsidRPr="00913B69">
              <w:rPr>
                <w:rStyle w:val="Hyperlink"/>
              </w:rPr>
              <w:t>5.2</w:t>
            </w:r>
            <w:r w:rsidR="006772C2">
              <w:rPr>
                <w:rFonts w:asciiTheme="minorHAnsi" w:eastAsiaTheme="minorEastAsia" w:hAnsiTheme="minorHAnsi"/>
                <w:szCs w:val="22"/>
                <w:lang w:eastAsia="en-AU"/>
              </w:rPr>
              <w:tab/>
            </w:r>
            <w:r w:rsidR="006772C2" w:rsidRPr="00913B69">
              <w:rPr>
                <w:rStyle w:val="Hyperlink"/>
              </w:rPr>
              <w:t>Valuation costs</w:t>
            </w:r>
            <w:r w:rsidR="006772C2">
              <w:rPr>
                <w:webHidden/>
              </w:rPr>
              <w:tab/>
            </w:r>
            <w:r w:rsidR="006772C2">
              <w:rPr>
                <w:webHidden/>
              </w:rPr>
              <w:fldChar w:fldCharType="begin"/>
            </w:r>
            <w:r w:rsidR="006772C2">
              <w:rPr>
                <w:webHidden/>
              </w:rPr>
              <w:instrText xml:space="preserve"> PAGEREF _Toc136006871 \h </w:instrText>
            </w:r>
            <w:r w:rsidR="006772C2">
              <w:rPr>
                <w:webHidden/>
              </w:rPr>
            </w:r>
            <w:r w:rsidR="006772C2">
              <w:rPr>
                <w:webHidden/>
              </w:rPr>
              <w:fldChar w:fldCharType="separate"/>
            </w:r>
            <w:r w:rsidR="001306DF">
              <w:rPr>
                <w:webHidden/>
              </w:rPr>
              <w:t>42</w:t>
            </w:r>
            <w:r w:rsidR="006772C2">
              <w:rPr>
                <w:webHidden/>
              </w:rPr>
              <w:fldChar w:fldCharType="end"/>
            </w:r>
          </w:hyperlink>
        </w:p>
        <w:p w14:paraId="73FEA2CA" w14:textId="35D2AFD3" w:rsidR="006772C2" w:rsidRDefault="00000000" w:rsidP="006720A0">
          <w:pPr>
            <w:pStyle w:val="TOC2"/>
            <w:rPr>
              <w:rFonts w:asciiTheme="minorHAnsi" w:eastAsiaTheme="minorEastAsia" w:hAnsiTheme="minorHAnsi"/>
              <w:szCs w:val="22"/>
              <w:lang w:eastAsia="en-AU"/>
            </w:rPr>
          </w:pPr>
          <w:hyperlink w:anchor="_Toc136006872" w:history="1">
            <w:r w:rsidR="006772C2" w:rsidRPr="00913B69">
              <w:rPr>
                <w:rStyle w:val="Hyperlink"/>
              </w:rPr>
              <w:t>5.3</w:t>
            </w:r>
            <w:r w:rsidR="006772C2">
              <w:rPr>
                <w:rFonts w:asciiTheme="minorHAnsi" w:eastAsiaTheme="minorEastAsia" w:hAnsiTheme="minorHAnsi"/>
                <w:szCs w:val="22"/>
                <w:lang w:eastAsia="en-AU"/>
              </w:rPr>
              <w:tab/>
            </w:r>
            <w:r w:rsidR="006772C2" w:rsidRPr="00913B69">
              <w:rPr>
                <w:rStyle w:val="Hyperlink"/>
              </w:rPr>
              <w:t>Consultancy Capacity and Cost</w:t>
            </w:r>
            <w:r w:rsidR="006772C2">
              <w:rPr>
                <w:webHidden/>
              </w:rPr>
              <w:tab/>
            </w:r>
            <w:r w:rsidR="006772C2">
              <w:rPr>
                <w:webHidden/>
              </w:rPr>
              <w:fldChar w:fldCharType="begin"/>
            </w:r>
            <w:r w:rsidR="006772C2">
              <w:rPr>
                <w:webHidden/>
              </w:rPr>
              <w:instrText xml:space="preserve"> PAGEREF _Toc136006872 \h </w:instrText>
            </w:r>
            <w:r w:rsidR="006772C2">
              <w:rPr>
                <w:webHidden/>
              </w:rPr>
            </w:r>
            <w:r w:rsidR="006772C2">
              <w:rPr>
                <w:webHidden/>
              </w:rPr>
              <w:fldChar w:fldCharType="separate"/>
            </w:r>
            <w:r w:rsidR="001306DF">
              <w:rPr>
                <w:webHidden/>
              </w:rPr>
              <w:t>42</w:t>
            </w:r>
            <w:r w:rsidR="006772C2">
              <w:rPr>
                <w:webHidden/>
              </w:rPr>
              <w:fldChar w:fldCharType="end"/>
            </w:r>
          </w:hyperlink>
        </w:p>
        <w:p w14:paraId="0AB827FB" w14:textId="6032EC2D" w:rsidR="006772C2" w:rsidRDefault="00000000" w:rsidP="006720A0">
          <w:pPr>
            <w:pStyle w:val="TOC2"/>
            <w:rPr>
              <w:rFonts w:asciiTheme="minorHAnsi" w:eastAsiaTheme="minorEastAsia" w:hAnsiTheme="minorHAnsi"/>
              <w:szCs w:val="22"/>
              <w:lang w:eastAsia="en-AU"/>
            </w:rPr>
          </w:pPr>
          <w:hyperlink w:anchor="_Toc136006873" w:history="1">
            <w:r w:rsidR="006772C2" w:rsidRPr="00913B69">
              <w:rPr>
                <w:rStyle w:val="Hyperlink"/>
              </w:rPr>
              <w:t>5.4</w:t>
            </w:r>
            <w:r w:rsidR="006772C2">
              <w:rPr>
                <w:rFonts w:asciiTheme="minorHAnsi" w:eastAsiaTheme="minorEastAsia" w:hAnsiTheme="minorHAnsi"/>
                <w:szCs w:val="22"/>
                <w:lang w:eastAsia="en-AU"/>
              </w:rPr>
              <w:tab/>
            </w:r>
            <w:r w:rsidR="006772C2" w:rsidRPr="00913B69">
              <w:rPr>
                <w:rStyle w:val="Hyperlink"/>
              </w:rPr>
              <w:t>Planning Approvals</w:t>
            </w:r>
            <w:r w:rsidR="006772C2">
              <w:rPr>
                <w:webHidden/>
              </w:rPr>
              <w:tab/>
            </w:r>
            <w:r w:rsidR="006772C2">
              <w:rPr>
                <w:webHidden/>
              </w:rPr>
              <w:fldChar w:fldCharType="begin"/>
            </w:r>
            <w:r w:rsidR="006772C2">
              <w:rPr>
                <w:webHidden/>
              </w:rPr>
              <w:instrText xml:space="preserve"> PAGEREF _Toc136006873 \h </w:instrText>
            </w:r>
            <w:r w:rsidR="006772C2">
              <w:rPr>
                <w:webHidden/>
              </w:rPr>
            </w:r>
            <w:r w:rsidR="006772C2">
              <w:rPr>
                <w:webHidden/>
              </w:rPr>
              <w:fldChar w:fldCharType="separate"/>
            </w:r>
            <w:r w:rsidR="001306DF">
              <w:rPr>
                <w:webHidden/>
              </w:rPr>
              <w:t>42</w:t>
            </w:r>
            <w:r w:rsidR="006772C2">
              <w:rPr>
                <w:webHidden/>
              </w:rPr>
              <w:fldChar w:fldCharType="end"/>
            </w:r>
          </w:hyperlink>
        </w:p>
        <w:p w14:paraId="55E280C1" w14:textId="548EAF28" w:rsidR="006772C2" w:rsidRDefault="00000000" w:rsidP="006720A0">
          <w:pPr>
            <w:pStyle w:val="TOC1"/>
            <w:rPr>
              <w:rFonts w:asciiTheme="minorHAnsi" w:eastAsiaTheme="minorEastAsia" w:hAnsiTheme="minorHAnsi"/>
              <w:szCs w:val="22"/>
              <w:lang w:eastAsia="en-AU"/>
            </w:rPr>
          </w:pPr>
          <w:hyperlink w:anchor="_Toc136006874" w:history="1">
            <w:r w:rsidR="006772C2" w:rsidRPr="00913B69">
              <w:rPr>
                <w:rStyle w:val="Hyperlink"/>
              </w:rPr>
              <w:t>6.</w:t>
            </w:r>
            <w:r w:rsidR="006772C2">
              <w:rPr>
                <w:rFonts w:asciiTheme="minorHAnsi" w:eastAsiaTheme="minorEastAsia" w:hAnsiTheme="minorHAnsi"/>
                <w:szCs w:val="22"/>
                <w:lang w:eastAsia="en-AU"/>
              </w:rPr>
              <w:tab/>
            </w:r>
            <w:r w:rsidR="006772C2" w:rsidRPr="00913B69">
              <w:rPr>
                <w:rStyle w:val="Hyperlink"/>
              </w:rPr>
              <w:t>Exit Costs</w:t>
            </w:r>
            <w:r w:rsidR="006772C2">
              <w:rPr>
                <w:webHidden/>
              </w:rPr>
              <w:tab/>
            </w:r>
            <w:r w:rsidR="006772C2">
              <w:rPr>
                <w:webHidden/>
              </w:rPr>
              <w:fldChar w:fldCharType="begin"/>
            </w:r>
            <w:r w:rsidR="006772C2">
              <w:rPr>
                <w:webHidden/>
              </w:rPr>
              <w:instrText xml:space="preserve"> PAGEREF _Toc136006874 \h </w:instrText>
            </w:r>
            <w:r w:rsidR="006772C2">
              <w:rPr>
                <w:webHidden/>
              </w:rPr>
            </w:r>
            <w:r w:rsidR="006772C2">
              <w:rPr>
                <w:webHidden/>
              </w:rPr>
              <w:fldChar w:fldCharType="separate"/>
            </w:r>
            <w:r w:rsidR="001306DF">
              <w:rPr>
                <w:webHidden/>
              </w:rPr>
              <w:t>44</w:t>
            </w:r>
            <w:r w:rsidR="006772C2">
              <w:rPr>
                <w:webHidden/>
              </w:rPr>
              <w:fldChar w:fldCharType="end"/>
            </w:r>
          </w:hyperlink>
        </w:p>
        <w:p w14:paraId="6D724B45" w14:textId="2FE7F03C" w:rsidR="006772C2" w:rsidRDefault="00000000" w:rsidP="006720A0">
          <w:pPr>
            <w:pStyle w:val="TOC2"/>
            <w:rPr>
              <w:rFonts w:asciiTheme="minorHAnsi" w:eastAsiaTheme="minorEastAsia" w:hAnsiTheme="minorHAnsi"/>
              <w:szCs w:val="22"/>
              <w:lang w:eastAsia="en-AU"/>
            </w:rPr>
          </w:pPr>
          <w:hyperlink w:anchor="_Toc136006875" w:history="1">
            <w:r w:rsidR="006772C2" w:rsidRPr="00913B69">
              <w:rPr>
                <w:rStyle w:val="Hyperlink"/>
              </w:rPr>
              <w:t>6.1</w:t>
            </w:r>
            <w:r w:rsidR="006772C2">
              <w:rPr>
                <w:rFonts w:asciiTheme="minorHAnsi" w:eastAsiaTheme="minorEastAsia" w:hAnsiTheme="minorHAnsi"/>
                <w:szCs w:val="22"/>
                <w:lang w:eastAsia="en-AU"/>
              </w:rPr>
              <w:tab/>
            </w:r>
            <w:r w:rsidR="006772C2" w:rsidRPr="00913B69">
              <w:rPr>
                <w:rStyle w:val="Hyperlink"/>
              </w:rPr>
              <w:t>Costs of Major Refurbishment</w:t>
            </w:r>
            <w:r w:rsidR="006772C2">
              <w:rPr>
                <w:webHidden/>
              </w:rPr>
              <w:tab/>
            </w:r>
            <w:r w:rsidR="006772C2">
              <w:rPr>
                <w:webHidden/>
              </w:rPr>
              <w:fldChar w:fldCharType="begin"/>
            </w:r>
            <w:r w:rsidR="006772C2">
              <w:rPr>
                <w:webHidden/>
              </w:rPr>
              <w:instrText xml:space="preserve"> PAGEREF _Toc136006875 \h </w:instrText>
            </w:r>
            <w:r w:rsidR="006772C2">
              <w:rPr>
                <w:webHidden/>
              </w:rPr>
            </w:r>
            <w:r w:rsidR="006772C2">
              <w:rPr>
                <w:webHidden/>
              </w:rPr>
              <w:fldChar w:fldCharType="separate"/>
            </w:r>
            <w:r w:rsidR="001306DF">
              <w:rPr>
                <w:webHidden/>
              </w:rPr>
              <w:t>44</w:t>
            </w:r>
            <w:r w:rsidR="006772C2">
              <w:rPr>
                <w:webHidden/>
              </w:rPr>
              <w:fldChar w:fldCharType="end"/>
            </w:r>
          </w:hyperlink>
        </w:p>
        <w:p w14:paraId="54BE8A21" w14:textId="1F157050" w:rsidR="006772C2" w:rsidRDefault="00000000" w:rsidP="006720A0">
          <w:pPr>
            <w:pStyle w:val="TOC2"/>
            <w:rPr>
              <w:rFonts w:asciiTheme="minorHAnsi" w:eastAsiaTheme="minorEastAsia" w:hAnsiTheme="minorHAnsi"/>
              <w:szCs w:val="22"/>
              <w:lang w:eastAsia="en-AU"/>
            </w:rPr>
          </w:pPr>
          <w:hyperlink w:anchor="_Toc136006876" w:history="1">
            <w:r w:rsidR="006772C2" w:rsidRPr="00913B69">
              <w:rPr>
                <w:rStyle w:val="Hyperlink"/>
              </w:rPr>
              <w:t>6.2</w:t>
            </w:r>
            <w:r w:rsidR="006772C2">
              <w:rPr>
                <w:rFonts w:asciiTheme="minorHAnsi" w:eastAsiaTheme="minorEastAsia" w:hAnsiTheme="minorHAnsi"/>
                <w:szCs w:val="22"/>
                <w:lang w:eastAsia="en-AU"/>
              </w:rPr>
              <w:tab/>
            </w:r>
            <w:r w:rsidR="006772C2" w:rsidRPr="00913B69">
              <w:rPr>
                <w:rStyle w:val="Hyperlink"/>
              </w:rPr>
              <w:t>Lifespan Assumptions</w:t>
            </w:r>
            <w:r w:rsidR="006772C2">
              <w:rPr>
                <w:webHidden/>
              </w:rPr>
              <w:tab/>
            </w:r>
            <w:r w:rsidR="006772C2">
              <w:rPr>
                <w:webHidden/>
              </w:rPr>
              <w:fldChar w:fldCharType="begin"/>
            </w:r>
            <w:r w:rsidR="006772C2">
              <w:rPr>
                <w:webHidden/>
              </w:rPr>
              <w:instrText xml:space="preserve"> PAGEREF _Toc136006876 \h </w:instrText>
            </w:r>
            <w:r w:rsidR="006772C2">
              <w:rPr>
                <w:webHidden/>
              </w:rPr>
            </w:r>
            <w:r w:rsidR="006772C2">
              <w:rPr>
                <w:webHidden/>
              </w:rPr>
              <w:fldChar w:fldCharType="separate"/>
            </w:r>
            <w:r w:rsidR="001306DF">
              <w:rPr>
                <w:webHidden/>
              </w:rPr>
              <w:t>45</w:t>
            </w:r>
            <w:r w:rsidR="006772C2">
              <w:rPr>
                <w:webHidden/>
              </w:rPr>
              <w:fldChar w:fldCharType="end"/>
            </w:r>
          </w:hyperlink>
        </w:p>
        <w:p w14:paraId="2CC5FBC4" w14:textId="21E2EE4C" w:rsidR="006772C2" w:rsidRDefault="00000000" w:rsidP="006720A0">
          <w:pPr>
            <w:pStyle w:val="TOC2"/>
            <w:rPr>
              <w:rFonts w:asciiTheme="minorHAnsi" w:eastAsiaTheme="minorEastAsia" w:hAnsiTheme="minorHAnsi"/>
              <w:szCs w:val="22"/>
              <w:lang w:eastAsia="en-AU"/>
            </w:rPr>
          </w:pPr>
          <w:hyperlink w:anchor="_Toc136006877" w:history="1">
            <w:r w:rsidR="006772C2" w:rsidRPr="00913B69">
              <w:rPr>
                <w:rStyle w:val="Hyperlink"/>
              </w:rPr>
              <w:t>6.3</w:t>
            </w:r>
            <w:r w:rsidR="006772C2">
              <w:rPr>
                <w:rFonts w:asciiTheme="minorHAnsi" w:eastAsiaTheme="minorEastAsia" w:hAnsiTheme="minorHAnsi"/>
                <w:szCs w:val="22"/>
                <w:lang w:eastAsia="en-AU"/>
              </w:rPr>
              <w:tab/>
            </w:r>
            <w:r w:rsidR="006772C2" w:rsidRPr="00913B69">
              <w:rPr>
                <w:rStyle w:val="Hyperlink"/>
              </w:rPr>
              <w:t>20-year Lifespan Commencement Date</w:t>
            </w:r>
            <w:r w:rsidR="006772C2">
              <w:rPr>
                <w:webHidden/>
              </w:rPr>
              <w:tab/>
            </w:r>
            <w:r w:rsidR="006772C2">
              <w:rPr>
                <w:webHidden/>
              </w:rPr>
              <w:fldChar w:fldCharType="begin"/>
            </w:r>
            <w:r w:rsidR="006772C2">
              <w:rPr>
                <w:webHidden/>
              </w:rPr>
              <w:instrText xml:space="preserve"> PAGEREF _Toc136006877 \h </w:instrText>
            </w:r>
            <w:r w:rsidR="006772C2">
              <w:rPr>
                <w:webHidden/>
              </w:rPr>
            </w:r>
            <w:r w:rsidR="006772C2">
              <w:rPr>
                <w:webHidden/>
              </w:rPr>
              <w:fldChar w:fldCharType="separate"/>
            </w:r>
            <w:r w:rsidR="001306DF">
              <w:rPr>
                <w:webHidden/>
              </w:rPr>
              <w:t>46</w:t>
            </w:r>
            <w:r w:rsidR="006772C2">
              <w:rPr>
                <w:webHidden/>
              </w:rPr>
              <w:fldChar w:fldCharType="end"/>
            </w:r>
          </w:hyperlink>
        </w:p>
        <w:p w14:paraId="425857A2" w14:textId="236CAEBA" w:rsidR="006772C2" w:rsidRDefault="00000000" w:rsidP="006720A0">
          <w:pPr>
            <w:pStyle w:val="TOC2"/>
            <w:rPr>
              <w:rFonts w:asciiTheme="minorHAnsi" w:eastAsiaTheme="minorEastAsia" w:hAnsiTheme="minorHAnsi"/>
              <w:szCs w:val="22"/>
              <w:lang w:eastAsia="en-AU"/>
            </w:rPr>
          </w:pPr>
          <w:hyperlink w:anchor="_Toc136006878" w:history="1">
            <w:r w:rsidR="006772C2" w:rsidRPr="00913B69">
              <w:rPr>
                <w:rStyle w:val="Hyperlink"/>
              </w:rPr>
              <w:t>6.4</w:t>
            </w:r>
            <w:r w:rsidR="006772C2">
              <w:rPr>
                <w:rFonts w:asciiTheme="minorHAnsi" w:eastAsiaTheme="minorEastAsia" w:hAnsiTheme="minorHAnsi"/>
                <w:szCs w:val="22"/>
                <w:lang w:eastAsia="en-AU"/>
              </w:rPr>
              <w:tab/>
            </w:r>
            <w:r w:rsidR="006772C2" w:rsidRPr="00913B69">
              <w:rPr>
                <w:rStyle w:val="Hyperlink"/>
              </w:rPr>
              <w:t>Alternate Use Cost Assumptions</w:t>
            </w:r>
            <w:r w:rsidR="006772C2">
              <w:rPr>
                <w:webHidden/>
              </w:rPr>
              <w:tab/>
            </w:r>
            <w:r w:rsidR="006772C2">
              <w:rPr>
                <w:webHidden/>
              </w:rPr>
              <w:fldChar w:fldCharType="begin"/>
            </w:r>
            <w:r w:rsidR="006772C2">
              <w:rPr>
                <w:webHidden/>
              </w:rPr>
              <w:instrText xml:space="preserve"> PAGEREF _Toc136006878 \h </w:instrText>
            </w:r>
            <w:r w:rsidR="006772C2">
              <w:rPr>
                <w:webHidden/>
              </w:rPr>
            </w:r>
            <w:r w:rsidR="006772C2">
              <w:rPr>
                <w:webHidden/>
              </w:rPr>
              <w:fldChar w:fldCharType="separate"/>
            </w:r>
            <w:r w:rsidR="001306DF">
              <w:rPr>
                <w:webHidden/>
              </w:rPr>
              <w:t>46</w:t>
            </w:r>
            <w:r w:rsidR="006772C2">
              <w:rPr>
                <w:webHidden/>
              </w:rPr>
              <w:fldChar w:fldCharType="end"/>
            </w:r>
          </w:hyperlink>
        </w:p>
        <w:p w14:paraId="5226BBFD" w14:textId="1968654C" w:rsidR="006772C2" w:rsidRDefault="00000000" w:rsidP="006720A0">
          <w:pPr>
            <w:pStyle w:val="TOC1"/>
            <w:rPr>
              <w:rFonts w:asciiTheme="minorHAnsi" w:eastAsiaTheme="minorEastAsia" w:hAnsiTheme="minorHAnsi"/>
              <w:szCs w:val="22"/>
              <w:lang w:eastAsia="en-AU"/>
            </w:rPr>
          </w:pPr>
          <w:hyperlink w:anchor="_Toc136006879" w:history="1">
            <w:r w:rsidR="006772C2" w:rsidRPr="00913B69">
              <w:rPr>
                <w:rStyle w:val="Hyperlink"/>
              </w:rPr>
              <w:t>7.</w:t>
            </w:r>
            <w:r w:rsidR="006772C2">
              <w:rPr>
                <w:rFonts w:asciiTheme="minorHAnsi" w:eastAsiaTheme="minorEastAsia" w:hAnsiTheme="minorHAnsi"/>
                <w:szCs w:val="22"/>
                <w:lang w:eastAsia="en-AU"/>
              </w:rPr>
              <w:tab/>
            </w:r>
            <w:r w:rsidR="006772C2" w:rsidRPr="00913B69">
              <w:rPr>
                <w:rStyle w:val="Hyperlink"/>
              </w:rPr>
              <w:t>Ownership Costs</w:t>
            </w:r>
            <w:r w:rsidR="006772C2">
              <w:rPr>
                <w:webHidden/>
              </w:rPr>
              <w:tab/>
            </w:r>
            <w:r w:rsidR="006772C2">
              <w:rPr>
                <w:webHidden/>
              </w:rPr>
              <w:fldChar w:fldCharType="begin"/>
            </w:r>
            <w:r w:rsidR="006772C2">
              <w:rPr>
                <w:webHidden/>
              </w:rPr>
              <w:instrText xml:space="preserve"> PAGEREF _Toc136006879 \h </w:instrText>
            </w:r>
            <w:r w:rsidR="006772C2">
              <w:rPr>
                <w:webHidden/>
              </w:rPr>
            </w:r>
            <w:r w:rsidR="006772C2">
              <w:rPr>
                <w:webHidden/>
              </w:rPr>
              <w:fldChar w:fldCharType="separate"/>
            </w:r>
            <w:r w:rsidR="001306DF">
              <w:rPr>
                <w:webHidden/>
              </w:rPr>
              <w:t>49</w:t>
            </w:r>
            <w:r w:rsidR="006772C2">
              <w:rPr>
                <w:webHidden/>
              </w:rPr>
              <w:fldChar w:fldCharType="end"/>
            </w:r>
          </w:hyperlink>
        </w:p>
        <w:p w14:paraId="3306C675" w14:textId="37BA6467" w:rsidR="006772C2" w:rsidRDefault="00000000" w:rsidP="006720A0">
          <w:pPr>
            <w:pStyle w:val="TOC2"/>
            <w:rPr>
              <w:rFonts w:asciiTheme="minorHAnsi" w:eastAsiaTheme="minorEastAsia" w:hAnsiTheme="minorHAnsi"/>
              <w:szCs w:val="22"/>
              <w:lang w:eastAsia="en-AU"/>
            </w:rPr>
          </w:pPr>
          <w:hyperlink w:anchor="_Toc136006880" w:history="1">
            <w:r w:rsidR="006772C2" w:rsidRPr="00913B69">
              <w:rPr>
                <w:rStyle w:val="Hyperlink"/>
              </w:rPr>
              <w:t>7.1</w:t>
            </w:r>
            <w:r w:rsidR="006772C2">
              <w:rPr>
                <w:rFonts w:asciiTheme="minorHAnsi" w:eastAsiaTheme="minorEastAsia" w:hAnsiTheme="minorHAnsi"/>
                <w:szCs w:val="22"/>
                <w:lang w:eastAsia="en-AU"/>
              </w:rPr>
              <w:tab/>
            </w:r>
            <w:r w:rsidR="006772C2" w:rsidRPr="00913B69">
              <w:rPr>
                <w:rStyle w:val="Hyperlink"/>
              </w:rPr>
              <w:t>Maintenance Costs</w:t>
            </w:r>
            <w:r w:rsidR="006772C2">
              <w:rPr>
                <w:webHidden/>
              </w:rPr>
              <w:tab/>
            </w:r>
            <w:r w:rsidR="006772C2">
              <w:rPr>
                <w:webHidden/>
              </w:rPr>
              <w:fldChar w:fldCharType="begin"/>
            </w:r>
            <w:r w:rsidR="006772C2">
              <w:rPr>
                <w:webHidden/>
              </w:rPr>
              <w:instrText xml:space="preserve"> PAGEREF _Toc136006880 \h </w:instrText>
            </w:r>
            <w:r w:rsidR="006772C2">
              <w:rPr>
                <w:webHidden/>
              </w:rPr>
            </w:r>
            <w:r w:rsidR="006772C2">
              <w:rPr>
                <w:webHidden/>
              </w:rPr>
              <w:fldChar w:fldCharType="separate"/>
            </w:r>
            <w:r w:rsidR="001306DF">
              <w:rPr>
                <w:webHidden/>
              </w:rPr>
              <w:t>49</w:t>
            </w:r>
            <w:r w:rsidR="006772C2">
              <w:rPr>
                <w:webHidden/>
              </w:rPr>
              <w:fldChar w:fldCharType="end"/>
            </w:r>
          </w:hyperlink>
        </w:p>
        <w:p w14:paraId="25F83F69" w14:textId="66160654" w:rsidR="006772C2" w:rsidRDefault="00000000" w:rsidP="006720A0">
          <w:pPr>
            <w:pStyle w:val="TOC2"/>
            <w:rPr>
              <w:rFonts w:asciiTheme="minorHAnsi" w:eastAsiaTheme="minorEastAsia" w:hAnsiTheme="minorHAnsi"/>
              <w:szCs w:val="22"/>
              <w:lang w:eastAsia="en-AU"/>
            </w:rPr>
          </w:pPr>
          <w:hyperlink w:anchor="_Toc136006881" w:history="1">
            <w:r w:rsidR="006772C2" w:rsidRPr="00913B69">
              <w:rPr>
                <w:rStyle w:val="Hyperlink"/>
              </w:rPr>
              <w:t>7.2</w:t>
            </w:r>
            <w:r w:rsidR="006772C2">
              <w:rPr>
                <w:rFonts w:asciiTheme="minorHAnsi" w:eastAsiaTheme="minorEastAsia" w:hAnsiTheme="minorHAnsi"/>
                <w:szCs w:val="22"/>
                <w:lang w:eastAsia="en-AU"/>
              </w:rPr>
              <w:tab/>
            </w:r>
            <w:r w:rsidR="006772C2" w:rsidRPr="00913B69">
              <w:rPr>
                <w:rStyle w:val="Hyperlink"/>
              </w:rPr>
              <w:t>Property Management Costs</w:t>
            </w:r>
            <w:r w:rsidR="006772C2">
              <w:rPr>
                <w:webHidden/>
              </w:rPr>
              <w:tab/>
            </w:r>
            <w:r w:rsidR="006772C2">
              <w:rPr>
                <w:webHidden/>
              </w:rPr>
              <w:fldChar w:fldCharType="begin"/>
            </w:r>
            <w:r w:rsidR="006772C2">
              <w:rPr>
                <w:webHidden/>
              </w:rPr>
              <w:instrText xml:space="preserve"> PAGEREF _Toc136006881 \h </w:instrText>
            </w:r>
            <w:r w:rsidR="006772C2">
              <w:rPr>
                <w:webHidden/>
              </w:rPr>
            </w:r>
            <w:r w:rsidR="006772C2">
              <w:rPr>
                <w:webHidden/>
              </w:rPr>
              <w:fldChar w:fldCharType="separate"/>
            </w:r>
            <w:r w:rsidR="001306DF">
              <w:rPr>
                <w:webHidden/>
              </w:rPr>
              <w:t>51</w:t>
            </w:r>
            <w:r w:rsidR="006772C2">
              <w:rPr>
                <w:webHidden/>
              </w:rPr>
              <w:fldChar w:fldCharType="end"/>
            </w:r>
          </w:hyperlink>
        </w:p>
        <w:p w14:paraId="3FA56EDE" w14:textId="3EAF5CE4" w:rsidR="006772C2" w:rsidRDefault="00000000" w:rsidP="006720A0">
          <w:pPr>
            <w:pStyle w:val="TOC2"/>
            <w:rPr>
              <w:rFonts w:asciiTheme="minorHAnsi" w:eastAsiaTheme="minorEastAsia" w:hAnsiTheme="minorHAnsi"/>
              <w:szCs w:val="22"/>
              <w:lang w:eastAsia="en-AU"/>
            </w:rPr>
          </w:pPr>
          <w:hyperlink w:anchor="_Toc136006882" w:history="1">
            <w:r w:rsidR="006772C2" w:rsidRPr="00913B69">
              <w:rPr>
                <w:rStyle w:val="Hyperlink"/>
              </w:rPr>
              <w:t>7.3</w:t>
            </w:r>
            <w:r w:rsidR="006772C2">
              <w:rPr>
                <w:rFonts w:asciiTheme="minorHAnsi" w:eastAsiaTheme="minorEastAsia" w:hAnsiTheme="minorHAnsi"/>
                <w:szCs w:val="22"/>
                <w:lang w:eastAsia="en-AU"/>
              </w:rPr>
              <w:tab/>
            </w:r>
            <w:r w:rsidR="006772C2" w:rsidRPr="00913B69">
              <w:rPr>
                <w:rStyle w:val="Hyperlink"/>
              </w:rPr>
              <w:t>Vacancy and Tenancy Management Costs</w:t>
            </w:r>
            <w:r w:rsidR="006772C2">
              <w:rPr>
                <w:webHidden/>
              </w:rPr>
              <w:tab/>
            </w:r>
            <w:r w:rsidR="006772C2">
              <w:rPr>
                <w:webHidden/>
              </w:rPr>
              <w:fldChar w:fldCharType="begin"/>
            </w:r>
            <w:r w:rsidR="006772C2">
              <w:rPr>
                <w:webHidden/>
              </w:rPr>
              <w:instrText xml:space="preserve"> PAGEREF _Toc136006882 \h </w:instrText>
            </w:r>
            <w:r w:rsidR="006772C2">
              <w:rPr>
                <w:webHidden/>
              </w:rPr>
            </w:r>
            <w:r w:rsidR="006772C2">
              <w:rPr>
                <w:webHidden/>
              </w:rPr>
              <w:fldChar w:fldCharType="separate"/>
            </w:r>
            <w:r w:rsidR="001306DF">
              <w:rPr>
                <w:webHidden/>
              </w:rPr>
              <w:t>52</w:t>
            </w:r>
            <w:r w:rsidR="006772C2">
              <w:rPr>
                <w:webHidden/>
              </w:rPr>
              <w:fldChar w:fldCharType="end"/>
            </w:r>
          </w:hyperlink>
        </w:p>
        <w:p w14:paraId="489B1EAD" w14:textId="6AB9CAF5" w:rsidR="006772C2" w:rsidRDefault="00000000" w:rsidP="006720A0">
          <w:pPr>
            <w:pStyle w:val="TOC2"/>
            <w:rPr>
              <w:rFonts w:asciiTheme="minorHAnsi" w:eastAsiaTheme="minorEastAsia" w:hAnsiTheme="minorHAnsi"/>
              <w:szCs w:val="22"/>
              <w:lang w:eastAsia="en-AU"/>
            </w:rPr>
          </w:pPr>
          <w:hyperlink w:anchor="_Toc136006883" w:history="1">
            <w:r w:rsidR="006772C2" w:rsidRPr="00913B69">
              <w:rPr>
                <w:rStyle w:val="Hyperlink"/>
              </w:rPr>
              <w:t>7.4</w:t>
            </w:r>
            <w:r w:rsidR="006772C2">
              <w:rPr>
                <w:rFonts w:asciiTheme="minorHAnsi" w:eastAsiaTheme="minorEastAsia" w:hAnsiTheme="minorHAnsi"/>
                <w:szCs w:val="22"/>
                <w:lang w:eastAsia="en-AU"/>
              </w:rPr>
              <w:tab/>
            </w:r>
            <w:r w:rsidR="006772C2" w:rsidRPr="00913B69">
              <w:rPr>
                <w:rStyle w:val="Hyperlink"/>
              </w:rPr>
              <w:t>Vacancy Costs</w:t>
            </w:r>
            <w:r w:rsidR="006772C2">
              <w:rPr>
                <w:webHidden/>
              </w:rPr>
              <w:tab/>
            </w:r>
            <w:r w:rsidR="006772C2">
              <w:rPr>
                <w:webHidden/>
              </w:rPr>
              <w:fldChar w:fldCharType="begin"/>
            </w:r>
            <w:r w:rsidR="006772C2">
              <w:rPr>
                <w:webHidden/>
              </w:rPr>
              <w:instrText xml:space="preserve"> PAGEREF _Toc136006883 \h </w:instrText>
            </w:r>
            <w:r w:rsidR="006772C2">
              <w:rPr>
                <w:webHidden/>
              </w:rPr>
            </w:r>
            <w:r w:rsidR="006772C2">
              <w:rPr>
                <w:webHidden/>
              </w:rPr>
              <w:fldChar w:fldCharType="separate"/>
            </w:r>
            <w:r w:rsidR="001306DF">
              <w:rPr>
                <w:webHidden/>
              </w:rPr>
              <w:t>52</w:t>
            </w:r>
            <w:r w:rsidR="006772C2">
              <w:rPr>
                <w:webHidden/>
              </w:rPr>
              <w:fldChar w:fldCharType="end"/>
            </w:r>
          </w:hyperlink>
        </w:p>
        <w:p w14:paraId="01F4BF7F" w14:textId="3731F90C" w:rsidR="006772C2" w:rsidRDefault="00000000" w:rsidP="006720A0">
          <w:pPr>
            <w:pStyle w:val="TOC2"/>
            <w:rPr>
              <w:rFonts w:asciiTheme="minorHAnsi" w:eastAsiaTheme="minorEastAsia" w:hAnsiTheme="minorHAnsi"/>
              <w:szCs w:val="22"/>
              <w:lang w:eastAsia="en-AU"/>
            </w:rPr>
          </w:pPr>
          <w:hyperlink w:anchor="_Toc136006884" w:history="1">
            <w:r w:rsidR="006772C2" w:rsidRPr="00913B69">
              <w:rPr>
                <w:rStyle w:val="Hyperlink"/>
              </w:rPr>
              <w:t>7.5</w:t>
            </w:r>
            <w:r w:rsidR="006772C2">
              <w:rPr>
                <w:rFonts w:asciiTheme="minorHAnsi" w:eastAsiaTheme="minorEastAsia" w:hAnsiTheme="minorHAnsi"/>
                <w:szCs w:val="22"/>
                <w:lang w:eastAsia="en-AU"/>
              </w:rPr>
              <w:tab/>
            </w:r>
            <w:r w:rsidR="006772C2" w:rsidRPr="00913B69">
              <w:rPr>
                <w:rStyle w:val="Hyperlink"/>
              </w:rPr>
              <w:t>Corporate overheads</w:t>
            </w:r>
            <w:r w:rsidR="006772C2">
              <w:rPr>
                <w:webHidden/>
              </w:rPr>
              <w:tab/>
            </w:r>
            <w:r w:rsidR="006772C2">
              <w:rPr>
                <w:webHidden/>
              </w:rPr>
              <w:fldChar w:fldCharType="begin"/>
            </w:r>
            <w:r w:rsidR="006772C2">
              <w:rPr>
                <w:webHidden/>
              </w:rPr>
              <w:instrText xml:space="preserve"> PAGEREF _Toc136006884 \h </w:instrText>
            </w:r>
            <w:r w:rsidR="006772C2">
              <w:rPr>
                <w:webHidden/>
              </w:rPr>
            </w:r>
            <w:r w:rsidR="006772C2">
              <w:rPr>
                <w:webHidden/>
              </w:rPr>
              <w:fldChar w:fldCharType="separate"/>
            </w:r>
            <w:r w:rsidR="001306DF">
              <w:rPr>
                <w:webHidden/>
              </w:rPr>
              <w:t>56</w:t>
            </w:r>
            <w:r w:rsidR="006772C2">
              <w:rPr>
                <w:webHidden/>
              </w:rPr>
              <w:fldChar w:fldCharType="end"/>
            </w:r>
          </w:hyperlink>
        </w:p>
        <w:p w14:paraId="25632D27" w14:textId="2769C749" w:rsidR="006772C2" w:rsidRDefault="00000000" w:rsidP="006720A0">
          <w:pPr>
            <w:pStyle w:val="TOC1"/>
            <w:rPr>
              <w:rFonts w:asciiTheme="minorHAnsi" w:eastAsiaTheme="minorEastAsia" w:hAnsiTheme="minorHAnsi"/>
              <w:szCs w:val="22"/>
              <w:lang w:eastAsia="en-AU"/>
            </w:rPr>
          </w:pPr>
          <w:hyperlink w:anchor="_Toc136006885" w:history="1">
            <w:r w:rsidR="006772C2" w:rsidRPr="00913B69">
              <w:rPr>
                <w:rStyle w:val="Hyperlink"/>
              </w:rPr>
              <w:t>8.</w:t>
            </w:r>
            <w:r w:rsidR="006772C2">
              <w:rPr>
                <w:rFonts w:asciiTheme="minorHAnsi" w:eastAsiaTheme="minorEastAsia" w:hAnsiTheme="minorHAnsi"/>
                <w:szCs w:val="22"/>
                <w:lang w:eastAsia="en-AU"/>
              </w:rPr>
              <w:tab/>
            </w:r>
            <w:r w:rsidR="006772C2" w:rsidRPr="00913B69">
              <w:rPr>
                <w:rStyle w:val="Hyperlink"/>
              </w:rPr>
              <w:t>Tax Costs</w:t>
            </w:r>
            <w:r w:rsidR="006772C2">
              <w:rPr>
                <w:webHidden/>
              </w:rPr>
              <w:tab/>
            </w:r>
            <w:r w:rsidR="006772C2">
              <w:rPr>
                <w:webHidden/>
              </w:rPr>
              <w:fldChar w:fldCharType="begin"/>
            </w:r>
            <w:r w:rsidR="006772C2">
              <w:rPr>
                <w:webHidden/>
              </w:rPr>
              <w:instrText xml:space="preserve"> PAGEREF _Toc136006885 \h </w:instrText>
            </w:r>
            <w:r w:rsidR="006772C2">
              <w:rPr>
                <w:webHidden/>
              </w:rPr>
            </w:r>
            <w:r w:rsidR="006772C2">
              <w:rPr>
                <w:webHidden/>
              </w:rPr>
              <w:fldChar w:fldCharType="separate"/>
            </w:r>
            <w:r w:rsidR="001306DF">
              <w:rPr>
                <w:webHidden/>
              </w:rPr>
              <w:t>58</w:t>
            </w:r>
            <w:r w:rsidR="006772C2">
              <w:rPr>
                <w:webHidden/>
              </w:rPr>
              <w:fldChar w:fldCharType="end"/>
            </w:r>
          </w:hyperlink>
        </w:p>
        <w:p w14:paraId="68C7E59E" w14:textId="27A6DF81" w:rsidR="006772C2" w:rsidRDefault="00000000" w:rsidP="006720A0">
          <w:pPr>
            <w:pStyle w:val="TOC2"/>
            <w:rPr>
              <w:rFonts w:asciiTheme="minorHAnsi" w:eastAsiaTheme="minorEastAsia" w:hAnsiTheme="minorHAnsi"/>
              <w:szCs w:val="22"/>
              <w:lang w:eastAsia="en-AU"/>
            </w:rPr>
          </w:pPr>
          <w:hyperlink w:anchor="_Toc136006886" w:history="1">
            <w:r w:rsidR="006772C2" w:rsidRPr="00913B69">
              <w:rPr>
                <w:rStyle w:val="Hyperlink"/>
              </w:rPr>
              <w:t>8.1</w:t>
            </w:r>
            <w:r w:rsidR="006772C2">
              <w:rPr>
                <w:rFonts w:asciiTheme="minorHAnsi" w:eastAsiaTheme="minorEastAsia" w:hAnsiTheme="minorHAnsi"/>
                <w:szCs w:val="22"/>
                <w:lang w:eastAsia="en-AU"/>
              </w:rPr>
              <w:tab/>
            </w:r>
            <w:r w:rsidR="006772C2" w:rsidRPr="00913B69">
              <w:rPr>
                <w:rStyle w:val="Hyperlink"/>
              </w:rPr>
              <w:t>Goods and Services Tax (GST)</w:t>
            </w:r>
            <w:r w:rsidR="006772C2">
              <w:rPr>
                <w:webHidden/>
              </w:rPr>
              <w:tab/>
            </w:r>
            <w:r w:rsidR="006772C2">
              <w:rPr>
                <w:webHidden/>
              </w:rPr>
              <w:fldChar w:fldCharType="begin"/>
            </w:r>
            <w:r w:rsidR="006772C2">
              <w:rPr>
                <w:webHidden/>
              </w:rPr>
              <w:instrText xml:space="preserve"> PAGEREF _Toc136006886 \h </w:instrText>
            </w:r>
            <w:r w:rsidR="006772C2">
              <w:rPr>
                <w:webHidden/>
              </w:rPr>
            </w:r>
            <w:r w:rsidR="006772C2">
              <w:rPr>
                <w:webHidden/>
              </w:rPr>
              <w:fldChar w:fldCharType="separate"/>
            </w:r>
            <w:r w:rsidR="001306DF">
              <w:rPr>
                <w:webHidden/>
              </w:rPr>
              <w:t>58</w:t>
            </w:r>
            <w:r w:rsidR="006772C2">
              <w:rPr>
                <w:webHidden/>
              </w:rPr>
              <w:fldChar w:fldCharType="end"/>
            </w:r>
          </w:hyperlink>
        </w:p>
        <w:p w14:paraId="57C0D4EF" w14:textId="73F6BE3C" w:rsidR="006772C2" w:rsidRDefault="00000000" w:rsidP="006720A0">
          <w:pPr>
            <w:pStyle w:val="TOC2"/>
            <w:rPr>
              <w:rFonts w:asciiTheme="minorHAnsi" w:eastAsiaTheme="minorEastAsia" w:hAnsiTheme="minorHAnsi"/>
              <w:szCs w:val="22"/>
              <w:lang w:eastAsia="en-AU"/>
            </w:rPr>
          </w:pPr>
          <w:hyperlink w:anchor="_Toc136006887" w:history="1">
            <w:r w:rsidR="006772C2" w:rsidRPr="00913B69">
              <w:rPr>
                <w:rStyle w:val="Hyperlink"/>
              </w:rPr>
              <w:t>8.2</w:t>
            </w:r>
            <w:r w:rsidR="006772C2">
              <w:rPr>
                <w:rFonts w:asciiTheme="minorHAnsi" w:eastAsiaTheme="minorEastAsia" w:hAnsiTheme="minorHAnsi"/>
                <w:szCs w:val="22"/>
                <w:lang w:eastAsia="en-AU"/>
              </w:rPr>
              <w:tab/>
            </w:r>
            <w:r w:rsidR="006772C2" w:rsidRPr="00913B69">
              <w:rPr>
                <w:rStyle w:val="Hyperlink"/>
              </w:rPr>
              <w:t>Land Taxes and Stamp Duties</w:t>
            </w:r>
            <w:r w:rsidR="006772C2">
              <w:rPr>
                <w:webHidden/>
              </w:rPr>
              <w:tab/>
            </w:r>
            <w:r w:rsidR="006772C2">
              <w:rPr>
                <w:webHidden/>
              </w:rPr>
              <w:fldChar w:fldCharType="begin"/>
            </w:r>
            <w:r w:rsidR="006772C2">
              <w:rPr>
                <w:webHidden/>
              </w:rPr>
              <w:instrText xml:space="preserve"> PAGEREF _Toc136006887 \h </w:instrText>
            </w:r>
            <w:r w:rsidR="006772C2">
              <w:rPr>
                <w:webHidden/>
              </w:rPr>
            </w:r>
            <w:r w:rsidR="006772C2">
              <w:rPr>
                <w:webHidden/>
              </w:rPr>
              <w:fldChar w:fldCharType="separate"/>
            </w:r>
            <w:r w:rsidR="001306DF">
              <w:rPr>
                <w:webHidden/>
              </w:rPr>
              <w:t>59</w:t>
            </w:r>
            <w:r w:rsidR="006772C2">
              <w:rPr>
                <w:webHidden/>
              </w:rPr>
              <w:fldChar w:fldCharType="end"/>
            </w:r>
          </w:hyperlink>
        </w:p>
        <w:p w14:paraId="1BB5BC4D" w14:textId="4EDE0A2F" w:rsidR="006772C2" w:rsidRDefault="00000000" w:rsidP="006720A0">
          <w:pPr>
            <w:pStyle w:val="TOC2"/>
            <w:rPr>
              <w:rFonts w:asciiTheme="minorHAnsi" w:eastAsiaTheme="minorEastAsia" w:hAnsiTheme="minorHAnsi"/>
              <w:szCs w:val="22"/>
              <w:lang w:eastAsia="en-AU"/>
            </w:rPr>
          </w:pPr>
          <w:hyperlink w:anchor="_Toc136006888" w:history="1">
            <w:r w:rsidR="006772C2" w:rsidRPr="00913B69">
              <w:rPr>
                <w:rStyle w:val="Hyperlink"/>
              </w:rPr>
              <w:t>8.3</w:t>
            </w:r>
            <w:r w:rsidR="006772C2">
              <w:rPr>
                <w:rFonts w:asciiTheme="minorHAnsi" w:eastAsiaTheme="minorEastAsia" w:hAnsiTheme="minorHAnsi"/>
                <w:szCs w:val="22"/>
                <w:lang w:eastAsia="en-AU"/>
              </w:rPr>
              <w:tab/>
            </w:r>
            <w:r w:rsidR="006772C2" w:rsidRPr="00913B69">
              <w:rPr>
                <w:rStyle w:val="Hyperlink"/>
              </w:rPr>
              <w:t>Other Taxes and Charges</w:t>
            </w:r>
            <w:r w:rsidR="006772C2">
              <w:rPr>
                <w:webHidden/>
              </w:rPr>
              <w:tab/>
            </w:r>
            <w:r w:rsidR="006772C2">
              <w:rPr>
                <w:webHidden/>
              </w:rPr>
              <w:fldChar w:fldCharType="begin"/>
            </w:r>
            <w:r w:rsidR="006772C2">
              <w:rPr>
                <w:webHidden/>
              </w:rPr>
              <w:instrText xml:space="preserve"> PAGEREF _Toc136006888 \h </w:instrText>
            </w:r>
            <w:r w:rsidR="006772C2">
              <w:rPr>
                <w:webHidden/>
              </w:rPr>
            </w:r>
            <w:r w:rsidR="006772C2">
              <w:rPr>
                <w:webHidden/>
              </w:rPr>
              <w:fldChar w:fldCharType="separate"/>
            </w:r>
            <w:r w:rsidR="001306DF">
              <w:rPr>
                <w:webHidden/>
              </w:rPr>
              <w:t>60</w:t>
            </w:r>
            <w:r w:rsidR="006772C2">
              <w:rPr>
                <w:webHidden/>
              </w:rPr>
              <w:fldChar w:fldCharType="end"/>
            </w:r>
          </w:hyperlink>
        </w:p>
        <w:p w14:paraId="2605A9E5" w14:textId="28F878AE" w:rsidR="006772C2" w:rsidRDefault="00000000" w:rsidP="006720A0">
          <w:pPr>
            <w:pStyle w:val="TOC1"/>
            <w:rPr>
              <w:rFonts w:asciiTheme="minorHAnsi" w:eastAsiaTheme="minorEastAsia" w:hAnsiTheme="minorHAnsi"/>
              <w:szCs w:val="22"/>
              <w:lang w:eastAsia="en-AU"/>
            </w:rPr>
          </w:pPr>
          <w:hyperlink w:anchor="_Toc136006889" w:history="1">
            <w:r w:rsidR="006772C2" w:rsidRPr="00913B69">
              <w:rPr>
                <w:rStyle w:val="Hyperlink"/>
              </w:rPr>
              <w:t>9.</w:t>
            </w:r>
            <w:r w:rsidR="006772C2">
              <w:rPr>
                <w:rFonts w:asciiTheme="minorHAnsi" w:eastAsiaTheme="minorEastAsia" w:hAnsiTheme="minorHAnsi"/>
                <w:szCs w:val="22"/>
                <w:lang w:eastAsia="en-AU"/>
              </w:rPr>
              <w:tab/>
            </w:r>
            <w:r w:rsidR="006772C2" w:rsidRPr="00913B69">
              <w:rPr>
                <w:rStyle w:val="Hyperlink"/>
              </w:rPr>
              <w:t>Financing Costs</w:t>
            </w:r>
            <w:r w:rsidR="006772C2">
              <w:rPr>
                <w:webHidden/>
              </w:rPr>
              <w:tab/>
            </w:r>
            <w:r w:rsidR="006772C2">
              <w:rPr>
                <w:webHidden/>
              </w:rPr>
              <w:fldChar w:fldCharType="begin"/>
            </w:r>
            <w:r w:rsidR="006772C2">
              <w:rPr>
                <w:webHidden/>
              </w:rPr>
              <w:instrText xml:space="preserve"> PAGEREF _Toc136006889 \h </w:instrText>
            </w:r>
            <w:r w:rsidR="006772C2">
              <w:rPr>
                <w:webHidden/>
              </w:rPr>
            </w:r>
            <w:r w:rsidR="006772C2">
              <w:rPr>
                <w:webHidden/>
              </w:rPr>
              <w:fldChar w:fldCharType="separate"/>
            </w:r>
            <w:r w:rsidR="001306DF">
              <w:rPr>
                <w:webHidden/>
              </w:rPr>
              <w:t>62</w:t>
            </w:r>
            <w:r w:rsidR="006772C2">
              <w:rPr>
                <w:webHidden/>
              </w:rPr>
              <w:fldChar w:fldCharType="end"/>
            </w:r>
          </w:hyperlink>
        </w:p>
        <w:p w14:paraId="42537A74" w14:textId="7CCCDAC0" w:rsidR="006772C2" w:rsidRDefault="00000000" w:rsidP="006720A0">
          <w:pPr>
            <w:pStyle w:val="TOC2"/>
            <w:rPr>
              <w:rFonts w:asciiTheme="minorHAnsi" w:eastAsiaTheme="minorEastAsia" w:hAnsiTheme="minorHAnsi"/>
              <w:szCs w:val="22"/>
              <w:lang w:eastAsia="en-AU"/>
            </w:rPr>
          </w:pPr>
          <w:hyperlink w:anchor="_Toc136006890" w:history="1">
            <w:r w:rsidR="006772C2" w:rsidRPr="00913B69">
              <w:rPr>
                <w:rStyle w:val="Hyperlink"/>
              </w:rPr>
              <w:t>9.1</w:t>
            </w:r>
            <w:r w:rsidR="006772C2">
              <w:rPr>
                <w:rFonts w:asciiTheme="minorHAnsi" w:eastAsiaTheme="minorEastAsia" w:hAnsiTheme="minorHAnsi"/>
                <w:szCs w:val="22"/>
                <w:lang w:eastAsia="en-AU"/>
              </w:rPr>
              <w:tab/>
            </w:r>
            <w:r w:rsidR="006772C2" w:rsidRPr="00913B69">
              <w:rPr>
                <w:rStyle w:val="Hyperlink"/>
              </w:rPr>
              <w:t>Risk</w:t>
            </w:r>
            <w:r w:rsidR="006772C2">
              <w:rPr>
                <w:webHidden/>
              </w:rPr>
              <w:tab/>
            </w:r>
            <w:r w:rsidR="006772C2">
              <w:rPr>
                <w:webHidden/>
              </w:rPr>
              <w:fldChar w:fldCharType="begin"/>
            </w:r>
            <w:r w:rsidR="006772C2">
              <w:rPr>
                <w:webHidden/>
              </w:rPr>
              <w:instrText xml:space="preserve"> PAGEREF _Toc136006890 \h </w:instrText>
            </w:r>
            <w:r w:rsidR="006772C2">
              <w:rPr>
                <w:webHidden/>
              </w:rPr>
            </w:r>
            <w:r w:rsidR="006772C2">
              <w:rPr>
                <w:webHidden/>
              </w:rPr>
              <w:fldChar w:fldCharType="separate"/>
            </w:r>
            <w:r w:rsidR="001306DF">
              <w:rPr>
                <w:webHidden/>
              </w:rPr>
              <w:t>62</w:t>
            </w:r>
            <w:r w:rsidR="006772C2">
              <w:rPr>
                <w:webHidden/>
              </w:rPr>
              <w:fldChar w:fldCharType="end"/>
            </w:r>
          </w:hyperlink>
        </w:p>
        <w:p w14:paraId="178D79D4" w14:textId="2C9C4F6F" w:rsidR="006772C2" w:rsidRDefault="00000000" w:rsidP="006720A0">
          <w:pPr>
            <w:pStyle w:val="TOC2"/>
            <w:rPr>
              <w:rFonts w:asciiTheme="minorHAnsi" w:eastAsiaTheme="minorEastAsia" w:hAnsiTheme="minorHAnsi"/>
              <w:szCs w:val="22"/>
              <w:lang w:eastAsia="en-AU"/>
            </w:rPr>
          </w:pPr>
          <w:hyperlink w:anchor="_Toc136006891" w:history="1">
            <w:r w:rsidR="006772C2" w:rsidRPr="00913B69">
              <w:rPr>
                <w:rStyle w:val="Hyperlink"/>
              </w:rPr>
              <w:t>9.2</w:t>
            </w:r>
            <w:r w:rsidR="006772C2">
              <w:rPr>
                <w:rFonts w:asciiTheme="minorHAnsi" w:eastAsiaTheme="minorEastAsia" w:hAnsiTheme="minorHAnsi"/>
                <w:szCs w:val="22"/>
                <w:lang w:eastAsia="en-AU"/>
              </w:rPr>
              <w:tab/>
            </w:r>
            <w:r w:rsidR="006772C2" w:rsidRPr="00913B69">
              <w:rPr>
                <w:rStyle w:val="Hyperlink"/>
              </w:rPr>
              <w:t>Availability and Accuracy of Demand and Supply Data</w:t>
            </w:r>
            <w:r w:rsidR="006772C2">
              <w:rPr>
                <w:webHidden/>
              </w:rPr>
              <w:tab/>
            </w:r>
            <w:r w:rsidR="006772C2">
              <w:rPr>
                <w:webHidden/>
              </w:rPr>
              <w:fldChar w:fldCharType="begin"/>
            </w:r>
            <w:r w:rsidR="006772C2">
              <w:rPr>
                <w:webHidden/>
              </w:rPr>
              <w:instrText xml:space="preserve"> PAGEREF _Toc136006891 \h </w:instrText>
            </w:r>
            <w:r w:rsidR="006772C2">
              <w:rPr>
                <w:webHidden/>
              </w:rPr>
            </w:r>
            <w:r w:rsidR="006772C2">
              <w:rPr>
                <w:webHidden/>
              </w:rPr>
              <w:fldChar w:fldCharType="separate"/>
            </w:r>
            <w:r w:rsidR="001306DF">
              <w:rPr>
                <w:webHidden/>
              </w:rPr>
              <w:t>69</w:t>
            </w:r>
            <w:r w:rsidR="006772C2">
              <w:rPr>
                <w:webHidden/>
              </w:rPr>
              <w:fldChar w:fldCharType="end"/>
            </w:r>
          </w:hyperlink>
        </w:p>
        <w:p w14:paraId="29876AA5" w14:textId="5C76E7F4" w:rsidR="006772C2" w:rsidRDefault="00000000" w:rsidP="006720A0">
          <w:pPr>
            <w:pStyle w:val="TOC2"/>
            <w:rPr>
              <w:rFonts w:asciiTheme="minorHAnsi" w:eastAsiaTheme="minorEastAsia" w:hAnsiTheme="minorHAnsi"/>
              <w:szCs w:val="22"/>
              <w:lang w:eastAsia="en-AU"/>
            </w:rPr>
          </w:pPr>
          <w:hyperlink w:anchor="_Toc136006892" w:history="1">
            <w:r w:rsidR="006772C2" w:rsidRPr="00913B69">
              <w:rPr>
                <w:rStyle w:val="Hyperlink"/>
              </w:rPr>
              <w:t>9.3</w:t>
            </w:r>
            <w:r w:rsidR="006772C2">
              <w:rPr>
                <w:rFonts w:asciiTheme="minorHAnsi" w:eastAsiaTheme="minorEastAsia" w:hAnsiTheme="minorHAnsi"/>
                <w:szCs w:val="22"/>
                <w:lang w:eastAsia="en-AU"/>
              </w:rPr>
              <w:tab/>
            </w:r>
            <w:r w:rsidR="006772C2" w:rsidRPr="00913B69">
              <w:rPr>
                <w:rStyle w:val="Hyperlink"/>
              </w:rPr>
              <w:t>Uncertainty of valuation methods</w:t>
            </w:r>
            <w:r w:rsidR="006772C2">
              <w:rPr>
                <w:webHidden/>
              </w:rPr>
              <w:tab/>
            </w:r>
            <w:r w:rsidR="006772C2">
              <w:rPr>
                <w:webHidden/>
              </w:rPr>
              <w:fldChar w:fldCharType="begin"/>
            </w:r>
            <w:r w:rsidR="006772C2">
              <w:rPr>
                <w:webHidden/>
              </w:rPr>
              <w:instrText xml:space="preserve"> PAGEREF _Toc136006892 \h </w:instrText>
            </w:r>
            <w:r w:rsidR="006772C2">
              <w:rPr>
                <w:webHidden/>
              </w:rPr>
            </w:r>
            <w:r w:rsidR="006772C2">
              <w:rPr>
                <w:webHidden/>
              </w:rPr>
              <w:fldChar w:fldCharType="separate"/>
            </w:r>
            <w:r w:rsidR="001306DF">
              <w:rPr>
                <w:webHidden/>
              </w:rPr>
              <w:t>70</w:t>
            </w:r>
            <w:r w:rsidR="006772C2">
              <w:rPr>
                <w:webHidden/>
              </w:rPr>
              <w:fldChar w:fldCharType="end"/>
            </w:r>
          </w:hyperlink>
        </w:p>
        <w:p w14:paraId="4B13115C" w14:textId="1D7794EC" w:rsidR="006772C2" w:rsidRDefault="00000000" w:rsidP="006720A0">
          <w:pPr>
            <w:pStyle w:val="TOC2"/>
            <w:rPr>
              <w:rFonts w:asciiTheme="minorHAnsi" w:eastAsiaTheme="minorEastAsia" w:hAnsiTheme="minorHAnsi"/>
              <w:szCs w:val="22"/>
              <w:lang w:eastAsia="en-AU"/>
            </w:rPr>
          </w:pPr>
          <w:hyperlink w:anchor="_Toc136006893" w:history="1">
            <w:r w:rsidR="006772C2" w:rsidRPr="00913B69">
              <w:rPr>
                <w:rStyle w:val="Hyperlink"/>
              </w:rPr>
              <w:t>9.4</w:t>
            </w:r>
            <w:r w:rsidR="006772C2">
              <w:rPr>
                <w:rFonts w:asciiTheme="minorHAnsi" w:eastAsiaTheme="minorEastAsia" w:hAnsiTheme="minorHAnsi"/>
                <w:szCs w:val="22"/>
                <w:lang w:eastAsia="en-AU"/>
              </w:rPr>
              <w:tab/>
            </w:r>
            <w:r w:rsidR="006772C2" w:rsidRPr="00913B69">
              <w:rPr>
                <w:rStyle w:val="Hyperlink"/>
              </w:rPr>
              <w:t>Franking Credits</w:t>
            </w:r>
            <w:r w:rsidR="006772C2">
              <w:rPr>
                <w:webHidden/>
              </w:rPr>
              <w:tab/>
            </w:r>
            <w:r w:rsidR="006772C2">
              <w:rPr>
                <w:webHidden/>
              </w:rPr>
              <w:fldChar w:fldCharType="begin"/>
            </w:r>
            <w:r w:rsidR="006772C2">
              <w:rPr>
                <w:webHidden/>
              </w:rPr>
              <w:instrText xml:space="preserve"> PAGEREF _Toc136006893 \h </w:instrText>
            </w:r>
            <w:r w:rsidR="006772C2">
              <w:rPr>
                <w:webHidden/>
              </w:rPr>
            </w:r>
            <w:r w:rsidR="006772C2">
              <w:rPr>
                <w:webHidden/>
              </w:rPr>
              <w:fldChar w:fldCharType="separate"/>
            </w:r>
            <w:r w:rsidR="001306DF">
              <w:rPr>
                <w:webHidden/>
              </w:rPr>
              <w:t>72</w:t>
            </w:r>
            <w:r w:rsidR="006772C2">
              <w:rPr>
                <w:webHidden/>
              </w:rPr>
              <w:fldChar w:fldCharType="end"/>
            </w:r>
          </w:hyperlink>
        </w:p>
        <w:p w14:paraId="358DD2F6" w14:textId="627C761D" w:rsidR="006772C2" w:rsidRDefault="00000000" w:rsidP="006720A0">
          <w:pPr>
            <w:pStyle w:val="TOC2"/>
            <w:rPr>
              <w:rFonts w:asciiTheme="minorHAnsi" w:eastAsiaTheme="minorEastAsia" w:hAnsiTheme="minorHAnsi"/>
              <w:szCs w:val="22"/>
              <w:lang w:eastAsia="en-AU"/>
            </w:rPr>
          </w:pPr>
          <w:hyperlink w:anchor="_Toc136006894" w:history="1">
            <w:r w:rsidR="006772C2" w:rsidRPr="00913B69">
              <w:rPr>
                <w:rStyle w:val="Hyperlink"/>
              </w:rPr>
              <w:t>9.5</w:t>
            </w:r>
            <w:r w:rsidR="006772C2">
              <w:rPr>
                <w:rFonts w:asciiTheme="minorHAnsi" w:eastAsiaTheme="minorEastAsia" w:hAnsiTheme="minorHAnsi"/>
                <w:szCs w:val="22"/>
                <w:lang w:eastAsia="en-AU"/>
              </w:rPr>
              <w:tab/>
            </w:r>
            <w:r w:rsidR="006772C2" w:rsidRPr="00913B69">
              <w:rPr>
                <w:rStyle w:val="Hyperlink"/>
              </w:rPr>
              <w:t>Gross Rental Yields</w:t>
            </w:r>
            <w:r w:rsidR="006772C2">
              <w:rPr>
                <w:webHidden/>
              </w:rPr>
              <w:tab/>
            </w:r>
            <w:r w:rsidR="006772C2">
              <w:rPr>
                <w:webHidden/>
              </w:rPr>
              <w:fldChar w:fldCharType="begin"/>
            </w:r>
            <w:r w:rsidR="006772C2">
              <w:rPr>
                <w:webHidden/>
              </w:rPr>
              <w:instrText xml:space="preserve"> PAGEREF _Toc136006894 \h </w:instrText>
            </w:r>
            <w:r w:rsidR="006772C2">
              <w:rPr>
                <w:webHidden/>
              </w:rPr>
            </w:r>
            <w:r w:rsidR="006772C2">
              <w:rPr>
                <w:webHidden/>
              </w:rPr>
              <w:fldChar w:fldCharType="separate"/>
            </w:r>
            <w:r w:rsidR="001306DF">
              <w:rPr>
                <w:webHidden/>
              </w:rPr>
              <w:t>72</w:t>
            </w:r>
            <w:r w:rsidR="006772C2">
              <w:rPr>
                <w:webHidden/>
              </w:rPr>
              <w:fldChar w:fldCharType="end"/>
            </w:r>
          </w:hyperlink>
        </w:p>
        <w:p w14:paraId="1CE2E75C" w14:textId="233415A9" w:rsidR="006772C2" w:rsidRDefault="00000000" w:rsidP="006720A0">
          <w:pPr>
            <w:pStyle w:val="TOC2"/>
            <w:rPr>
              <w:rFonts w:asciiTheme="minorHAnsi" w:eastAsiaTheme="minorEastAsia" w:hAnsiTheme="minorHAnsi"/>
              <w:szCs w:val="22"/>
              <w:lang w:eastAsia="en-AU"/>
            </w:rPr>
          </w:pPr>
          <w:hyperlink w:anchor="_Toc136006895" w:history="1">
            <w:r w:rsidR="006772C2" w:rsidRPr="00913B69">
              <w:rPr>
                <w:rStyle w:val="Hyperlink"/>
              </w:rPr>
              <w:t>9.6</w:t>
            </w:r>
            <w:r w:rsidR="006772C2">
              <w:rPr>
                <w:rFonts w:asciiTheme="minorHAnsi" w:eastAsiaTheme="minorEastAsia" w:hAnsiTheme="minorHAnsi"/>
                <w:szCs w:val="22"/>
                <w:lang w:eastAsia="en-AU"/>
              </w:rPr>
              <w:tab/>
            </w:r>
            <w:r w:rsidR="006772C2" w:rsidRPr="00913B69">
              <w:rPr>
                <w:rStyle w:val="Hyperlink"/>
              </w:rPr>
              <w:t>Capital Assets Pricing Model (CPM)</w:t>
            </w:r>
            <w:r w:rsidR="006772C2">
              <w:rPr>
                <w:webHidden/>
              </w:rPr>
              <w:tab/>
            </w:r>
            <w:r w:rsidR="006772C2">
              <w:rPr>
                <w:webHidden/>
              </w:rPr>
              <w:fldChar w:fldCharType="begin"/>
            </w:r>
            <w:r w:rsidR="006772C2">
              <w:rPr>
                <w:webHidden/>
              </w:rPr>
              <w:instrText xml:space="preserve"> PAGEREF _Toc136006895 \h </w:instrText>
            </w:r>
            <w:r w:rsidR="006772C2">
              <w:rPr>
                <w:webHidden/>
              </w:rPr>
            </w:r>
            <w:r w:rsidR="006772C2">
              <w:rPr>
                <w:webHidden/>
              </w:rPr>
              <w:fldChar w:fldCharType="separate"/>
            </w:r>
            <w:r w:rsidR="001306DF">
              <w:rPr>
                <w:webHidden/>
              </w:rPr>
              <w:t>72</w:t>
            </w:r>
            <w:r w:rsidR="006772C2">
              <w:rPr>
                <w:webHidden/>
              </w:rPr>
              <w:fldChar w:fldCharType="end"/>
            </w:r>
          </w:hyperlink>
        </w:p>
        <w:p w14:paraId="47D26C8B" w14:textId="0AF89A58" w:rsidR="006772C2" w:rsidRDefault="00000000" w:rsidP="006720A0">
          <w:pPr>
            <w:pStyle w:val="TOC1"/>
            <w:rPr>
              <w:rFonts w:asciiTheme="minorHAnsi" w:eastAsiaTheme="minorEastAsia" w:hAnsiTheme="minorHAnsi"/>
              <w:szCs w:val="22"/>
              <w:lang w:eastAsia="en-AU"/>
            </w:rPr>
          </w:pPr>
          <w:hyperlink w:anchor="_Toc136006896" w:history="1">
            <w:r w:rsidR="006772C2" w:rsidRPr="00913B69">
              <w:rPr>
                <w:rStyle w:val="Hyperlink"/>
              </w:rPr>
              <w:t>10.</w:t>
            </w:r>
            <w:r w:rsidR="006772C2">
              <w:rPr>
                <w:rFonts w:asciiTheme="minorHAnsi" w:eastAsiaTheme="minorEastAsia" w:hAnsiTheme="minorHAnsi"/>
                <w:szCs w:val="22"/>
                <w:lang w:eastAsia="en-AU"/>
              </w:rPr>
              <w:tab/>
            </w:r>
            <w:r w:rsidR="006772C2" w:rsidRPr="00913B69">
              <w:rPr>
                <w:rStyle w:val="Hyperlink"/>
              </w:rPr>
              <w:t>Indexation of Base Prices</w:t>
            </w:r>
            <w:r w:rsidR="006772C2">
              <w:rPr>
                <w:webHidden/>
              </w:rPr>
              <w:tab/>
            </w:r>
            <w:r w:rsidR="006772C2">
              <w:rPr>
                <w:webHidden/>
              </w:rPr>
              <w:fldChar w:fldCharType="begin"/>
            </w:r>
            <w:r w:rsidR="006772C2">
              <w:rPr>
                <w:webHidden/>
              </w:rPr>
              <w:instrText xml:space="preserve"> PAGEREF _Toc136006896 \h </w:instrText>
            </w:r>
            <w:r w:rsidR="006772C2">
              <w:rPr>
                <w:webHidden/>
              </w:rPr>
            </w:r>
            <w:r w:rsidR="006772C2">
              <w:rPr>
                <w:webHidden/>
              </w:rPr>
              <w:fldChar w:fldCharType="separate"/>
            </w:r>
            <w:r w:rsidR="001306DF">
              <w:rPr>
                <w:webHidden/>
              </w:rPr>
              <w:t>80</w:t>
            </w:r>
            <w:r w:rsidR="006772C2">
              <w:rPr>
                <w:webHidden/>
              </w:rPr>
              <w:fldChar w:fldCharType="end"/>
            </w:r>
          </w:hyperlink>
        </w:p>
        <w:p w14:paraId="6E9AEC35" w14:textId="08EDB577" w:rsidR="006772C2" w:rsidRDefault="00000000" w:rsidP="006720A0">
          <w:pPr>
            <w:pStyle w:val="TOC2"/>
            <w:rPr>
              <w:rFonts w:asciiTheme="minorHAnsi" w:eastAsiaTheme="minorEastAsia" w:hAnsiTheme="minorHAnsi"/>
              <w:szCs w:val="22"/>
              <w:lang w:eastAsia="en-AU"/>
            </w:rPr>
          </w:pPr>
          <w:hyperlink w:anchor="_Toc136006897" w:history="1">
            <w:r w:rsidR="006772C2" w:rsidRPr="00913B69">
              <w:rPr>
                <w:rStyle w:val="Hyperlink"/>
              </w:rPr>
              <w:t>10.1</w:t>
            </w:r>
            <w:r w:rsidR="006772C2">
              <w:rPr>
                <w:rFonts w:asciiTheme="minorHAnsi" w:eastAsiaTheme="minorEastAsia" w:hAnsiTheme="minorHAnsi"/>
                <w:szCs w:val="22"/>
                <w:lang w:eastAsia="en-AU"/>
              </w:rPr>
              <w:tab/>
            </w:r>
            <w:r w:rsidR="006772C2" w:rsidRPr="00913B69">
              <w:rPr>
                <w:rStyle w:val="Hyperlink"/>
              </w:rPr>
              <w:t>Indexation of SDA plans</w:t>
            </w:r>
            <w:r w:rsidR="006772C2">
              <w:rPr>
                <w:webHidden/>
              </w:rPr>
              <w:tab/>
            </w:r>
            <w:r w:rsidR="006772C2">
              <w:rPr>
                <w:webHidden/>
              </w:rPr>
              <w:fldChar w:fldCharType="begin"/>
            </w:r>
            <w:r w:rsidR="006772C2">
              <w:rPr>
                <w:webHidden/>
              </w:rPr>
              <w:instrText xml:space="preserve"> PAGEREF _Toc136006897 \h </w:instrText>
            </w:r>
            <w:r w:rsidR="006772C2">
              <w:rPr>
                <w:webHidden/>
              </w:rPr>
            </w:r>
            <w:r w:rsidR="006772C2">
              <w:rPr>
                <w:webHidden/>
              </w:rPr>
              <w:fldChar w:fldCharType="separate"/>
            </w:r>
            <w:r w:rsidR="001306DF">
              <w:rPr>
                <w:webHidden/>
              </w:rPr>
              <w:t>80</w:t>
            </w:r>
            <w:r w:rsidR="006772C2">
              <w:rPr>
                <w:webHidden/>
              </w:rPr>
              <w:fldChar w:fldCharType="end"/>
            </w:r>
          </w:hyperlink>
        </w:p>
        <w:p w14:paraId="486493AE" w14:textId="19BAB634" w:rsidR="006772C2" w:rsidRDefault="00000000" w:rsidP="006720A0">
          <w:pPr>
            <w:pStyle w:val="TOC2"/>
            <w:rPr>
              <w:rFonts w:asciiTheme="minorHAnsi" w:eastAsiaTheme="minorEastAsia" w:hAnsiTheme="minorHAnsi"/>
              <w:szCs w:val="22"/>
              <w:lang w:eastAsia="en-AU"/>
            </w:rPr>
          </w:pPr>
          <w:hyperlink w:anchor="_Toc136006898" w:history="1">
            <w:r w:rsidR="006772C2" w:rsidRPr="00913B69">
              <w:rPr>
                <w:rStyle w:val="Hyperlink"/>
              </w:rPr>
              <w:t>10.2</w:t>
            </w:r>
            <w:r w:rsidR="006772C2">
              <w:rPr>
                <w:rFonts w:asciiTheme="minorHAnsi" w:eastAsiaTheme="minorEastAsia" w:hAnsiTheme="minorHAnsi"/>
                <w:szCs w:val="22"/>
                <w:lang w:eastAsia="en-AU"/>
              </w:rPr>
              <w:tab/>
            </w:r>
            <w:r w:rsidR="006772C2" w:rsidRPr="00913B69">
              <w:rPr>
                <w:rStyle w:val="Hyperlink"/>
              </w:rPr>
              <w:t>CPI versus Construction and Land Cost Indices</w:t>
            </w:r>
            <w:r w:rsidR="006772C2">
              <w:rPr>
                <w:webHidden/>
              </w:rPr>
              <w:tab/>
            </w:r>
            <w:r w:rsidR="006772C2">
              <w:rPr>
                <w:webHidden/>
              </w:rPr>
              <w:fldChar w:fldCharType="begin"/>
            </w:r>
            <w:r w:rsidR="006772C2">
              <w:rPr>
                <w:webHidden/>
              </w:rPr>
              <w:instrText xml:space="preserve"> PAGEREF _Toc136006898 \h </w:instrText>
            </w:r>
            <w:r w:rsidR="006772C2">
              <w:rPr>
                <w:webHidden/>
              </w:rPr>
            </w:r>
            <w:r w:rsidR="006772C2">
              <w:rPr>
                <w:webHidden/>
              </w:rPr>
              <w:fldChar w:fldCharType="separate"/>
            </w:r>
            <w:r w:rsidR="001306DF">
              <w:rPr>
                <w:webHidden/>
              </w:rPr>
              <w:t>81</w:t>
            </w:r>
            <w:r w:rsidR="006772C2">
              <w:rPr>
                <w:webHidden/>
              </w:rPr>
              <w:fldChar w:fldCharType="end"/>
            </w:r>
          </w:hyperlink>
        </w:p>
        <w:p w14:paraId="55825FBD" w14:textId="34A18F56" w:rsidR="006772C2" w:rsidRDefault="00000000" w:rsidP="006720A0">
          <w:pPr>
            <w:pStyle w:val="TOC2"/>
            <w:rPr>
              <w:rFonts w:asciiTheme="minorHAnsi" w:eastAsiaTheme="minorEastAsia" w:hAnsiTheme="minorHAnsi"/>
              <w:szCs w:val="22"/>
              <w:lang w:eastAsia="en-AU"/>
            </w:rPr>
          </w:pPr>
          <w:hyperlink w:anchor="_Toc136006899" w:history="1">
            <w:r w:rsidR="006772C2" w:rsidRPr="00913B69">
              <w:rPr>
                <w:rStyle w:val="Hyperlink"/>
              </w:rPr>
              <w:t>10.3</w:t>
            </w:r>
            <w:r w:rsidR="006772C2">
              <w:rPr>
                <w:rFonts w:asciiTheme="minorHAnsi" w:eastAsiaTheme="minorEastAsia" w:hAnsiTheme="minorHAnsi"/>
                <w:szCs w:val="22"/>
                <w:lang w:eastAsia="en-AU"/>
              </w:rPr>
              <w:tab/>
            </w:r>
            <w:r w:rsidR="006772C2" w:rsidRPr="00913B69">
              <w:rPr>
                <w:rStyle w:val="Hyperlink"/>
              </w:rPr>
              <w:t>Frequency of SDA Pricing Reviews</w:t>
            </w:r>
            <w:r w:rsidR="006772C2">
              <w:rPr>
                <w:webHidden/>
              </w:rPr>
              <w:tab/>
            </w:r>
            <w:r w:rsidR="006772C2">
              <w:rPr>
                <w:webHidden/>
              </w:rPr>
              <w:fldChar w:fldCharType="begin"/>
            </w:r>
            <w:r w:rsidR="006772C2">
              <w:rPr>
                <w:webHidden/>
              </w:rPr>
              <w:instrText xml:space="preserve"> PAGEREF _Toc136006899 \h </w:instrText>
            </w:r>
            <w:r w:rsidR="006772C2">
              <w:rPr>
                <w:webHidden/>
              </w:rPr>
            </w:r>
            <w:r w:rsidR="006772C2">
              <w:rPr>
                <w:webHidden/>
              </w:rPr>
              <w:fldChar w:fldCharType="separate"/>
            </w:r>
            <w:r w:rsidR="001306DF">
              <w:rPr>
                <w:webHidden/>
              </w:rPr>
              <w:t>82</w:t>
            </w:r>
            <w:r w:rsidR="006772C2">
              <w:rPr>
                <w:webHidden/>
              </w:rPr>
              <w:fldChar w:fldCharType="end"/>
            </w:r>
          </w:hyperlink>
        </w:p>
        <w:p w14:paraId="059FB439" w14:textId="4B36F6D0" w:rsidR="006772C2" w:rsidRDefault="00000000" w:rsidP="006720A0">
          <w:pPr>
            <w:pStyle w:val="TOC1"/>
            <w:rPr>
              <w:rFonts w:asciiTheme="minorHAnsi" w:eastAsiaTheme="minorEastAsia" w:hAnsiTheme="minorHAnsi"/>
              <w:szCs w:val="22"/>
              <w:lang w:eastAsia="en-AU"/>
            </w:rPr>
          </w:pPr>
          <w:hyperlink w:anchor="_Toc136006900" w:history="1">
            <w:r w:rsidR="006772C2" w:rsidRPr="00913B69">
              <w:rPr>
                <w:rStyle w:val="Hyperlink"/>
              </w:rPr>
              <w:t>11.</w:t>
            </w:r>
            <w:r w:rsidR="006772C2">
              <w:rPr>
                <w:rFonts w:asciiTheme="minorHAnsi" w:eastAsiaTheme="minorEastAsia" w:hAnsiTheme="minorHAnsi"/>
                <w:szCs w:val="22"/>
                <w:lang w:eastAsia="en-AU"/>
              </w:rPr>
              <w:tab/>
            </w:r>
            <w:r w:rsidR="006772C2" w:rsidRPr="00913B69">
              <w:rPr>
                <w:rStyle w:val="Hyperlink"/>
              </w:rPr>
              <w:t>Other Issues</w:t>
            </w:r>
            <w:r w:rsidR="006772C2">
              <w:rPr>
                <w:webHidden/>
              </w:rPr>
              <w:tab/>
            </w:r>
            <w:r w:rsidR="006772C2">
              <w:rPr>
                <w:webHidden/>
              </w:rPr>
              <w:fldChar w:fldCharType="begin"/>
            </w:r>
            <w:r w:rsidR="006772C2">
              <w:rPr>
                <w:webHidden/>
              </w:rPr>
              <w:instrText xml:space="preserve"> PAGEREF _Toc136006900 \h </w:instrText>
            </w:r>
            <w:r w:rsidR="006772C2">
              <w:rPr>
                <w:webHidden/>
              </w:rPr>
            </w:r>
            <w:r w:rsidR="006772C2">
              <w:rPr>
                <w:webHidden/>
              </w:rPr>
              <w:fldChar w:fldCharType="separate"/>
            </w:r>
            <w:r w:rsidR="001306DF">
              <w:rPr>
                <w:webHidden/>
              </w:rPr>
              <w:t>84</w:t>
            </w:r>
            <w:r w:rsidR="006772C2">
              <w:rPr>
                <w:webHidden/>
              </w:rPr>
              <w:fldChar w:fldCharType="end"/>
            </w:r>
          </w:hyperlink>
        </w:p>
        <w:p w14:paraId="5AD1AB06" w14:textId="5457D533" w:rsidR="006772C2" w:rsidRDefault="00000000" w:rsidP="006720A0">
          <w:pPr>
            <w:pStyle w:val="TOC2"/>
            <w:rPr>
              <w:rFonts w:asciiTheme="minorHAnsi" w:eastAsiaTheme="minorEastAsia" w:hAnsiTheme="minorHAnsi"/>
              <w:szCs w:val="22"/>
              <w:lang w:eastAsia="en-AU"/>
            </w:rPr>
          </w:pPr>
          <w:hyperlink w:anchor="_Toc136006901" w:history="1">
            <w:r w:rsidR="006772C2" w:rsidRPr="00913B69">
              <w:rPr>
                <w:rStyle w:val="Hyperlink"/>
              </w:rPr>
              <w:t>11.1</w:t>
            </w:r>
            <w:r w:rsidR="006772C2">
              <w:rPr>
                <w:rFonts w:asciiTheme="minorHAnsi" w:eastAsiaTheme="minorEastAsia" w:hAnsiTheme="minorHAnsi"/>
                <w:szCs w:val="22"/>
                <w:lang w:eastAsia="en-AU"/>
              </w:rPr>
              <w:tab/>
            </w:r>
            <w:r w:rsidR="006772C2" w:rsidRPr="00913B69">
              <w:rPr>
                <w:rStyle w:val="Hyperlink"/>
              </w:rPr>
              <w:t>Flexible funding and living arrangements</w:t>
            </w:r>
            <w:r w:rsidR="006772C2">
              <w:rPr>
                <w:webHidden/>
              </w:rPr>
              <w:tab/>
            </w:r>
            <w:r w:rsidR="006772C2">
              <w:rPr>
                <w:webHidden/>
              </w:rPr>
              <w:fldChar w:fldCharType="begin"/>
            </w:r>
            <w:r w:rsidR="006772C2">
              <w:rPr>
                <w:webHidden/>
              </w:rPr>
              <w:instrText xml:space="preserve"> PAGEREF _Toc136006901 \h </w:instrText>
            </w:r>
            <w:r w:rsidR="006772C2">
              <w:rPr>
                <w:webHidden/>
              </w:rPr>
            </w:r>
            <w:r w:rsidR="006772C2">
              <w:rPr>
                <w:webHidden/>
              </w:rPr>
              <w:fldChar w:fldCharType="separate"/>
            </w:r>
            <w:r w:rsidR="001306DF">
              <w:rPr>
                <w:webHidden/>
              </w:rPr>
              <w:t>84</w:t>
            </w:r>
            <w:r w:rsidR="006772C2">
              <w:rPr>
                <w:webHidden/>
              </w:rPr>
              <w:fldChar w:fldCharType="end"/>
            </w:r>
          </w:hyperlink>
        </w:p>
        <w:p w14:paraId="389AE77D" w14:textId="4730C7C6" w:rsidR="006772C2" w:rsidRDefault="00000000" w:rsidP="006720A0">
          <w:pPr>
            <w:pStyle w:val="TOC2"/>
            <w:rPr>
              <w:rFonts w:asciiTheme="minorHAnsi" w:eastAsiaTheme="minorEastAsia" w:hAnsiTheme="minorHAnsi"/>
              <w:szCs w:val="22"/>
              <w:lang w:eastAsia="en-AU"/>
            </w:rPr>
          </w:pPr>
          <w:hyperlink w:anchor="_Toc136006902" w:history="1">
            <w:r w:rsidR="006772C2" w:rsidRPr="00913B69">
              <w:rPr>
                <w:rStyle w:val="Hyperlink"/>
              </w:rPr>
              <w:t>11.2</w:t>
            </w:r>
            <w:r w:rsidR="006772C2">
              <w:rPr>
                <w:rFonts w:asciiTheme="minorHAnsi" w:eastAsiaTheme="minorEastAsia" w:hAnsiTheme="minorHAnsi"/>
                <w:szCs w:val="22"/>
                <w:lang w:eastAsia="en-AU"/>
              </w:rPr>
              <w:tab/>
            </w:r>
            <w:r w:rsidR="006772C2" w:rsidRPr="00913B69">
              <w:rPr>
                <w:rStyle w:val="Hyperlink"/>
              </w:rPr>
              <w:t>Innovative financing for self-providers</w:t>
            </w:r>
            <w:r w:rsidR="006772C2">
              <w:rPr>
                <w:webHidden/>
              </w:rPr>
              <w:tab/>
            </w:r>
            <w:r w:rsidR="006772C2">
              <w:rPr>
                <w:webHidden/>
              </w:rPr>
              <w:fldChar w:fldCharType="begin"/>
            </w:r>
            <w:r w:rsidR="006772C2">
              <w:rPr>
                <w:webHidden/>
              </w:rPr>
              <w:instrText xml:space="preserve"> PAGEREF _Toc136006902 \h </w:instrText>
            </w:r>
            <w:r w:rsidR="006772C2">
              <w:rPr>
                <w:webHidden/>
              </w:rPr>
            </w:r>
            <w:r w:rsidR="006772C2">
              <w:rPr>
                <w:webHidden/>
              </w:rPr>
              <w:fldChar w:fldCharType="separate"/>
            </w:r>
            <w:r w:rsidR="001306DF">
              <w:rPr>
                <w:webHidden/>
              </w:rPr>
              <w:t>85</w:t>
            </w:r>
            <w:r w:rsidR="006772C2">
              <w:rPr>
                <w:webHidden/>
              </w:rPr>
              <w:fldChar w:fldCharType="end"/>
            </w:r>
          </w:hyperlink>
        </w:p>
        <w:p w14:paraId="29AF65E0" w14:textId="584E197E" w:rsidR="006772C2" w:rsidRDefault="00000000" w:rsidP="006720A0">
          <w:pPr>
            <w:pStyle w:val="TOC2"/>
            <w:rPr>
              <w:rFonts w:asciiTheme="minorHAnsi" w:eastAsiaTheme="minorEastAsia" w:hAnsiTheme="minorHAnsi"/>
              <w:szCs w:val="22"/>
              <w:lang w:eastAsia="en-AU"/>
            </w:rPr>
          </w:pPr>
          <w:hyperlink w:anchor="_Toc136006903" w:history="1">
            <w:r w:rsidR="006772C2" w:rsidRPr="00913B69">
              <w:rPr>
                <w:rStyle w:val="Hyperlink"/>
              </w:rPr>
              <w:t>11.3</w:t>
            </w:r>
            <w:r w:rsidR="006772C2">
              <w:rPr>
                <w:rFonts w:asciiTheme="minorHAnsi" w:eastAsiaTheme="minorEastAsia" w:hAnsiTheme="minorHAnsi"/>
                <w:szCs w:val="22"/>
                <w:lang w:eastAsia="en-AU"/>
              </w:rPr>
              <w:tab/>
            </w:r>
            <w:r w:rsidR="006772C2" w:rsidRPr="00913B69">
              <w:rPr>
                <w:rStyle w:val="Hyperlink"/>
              </w:rPr>
              <w:t>Mixed design categories</w:t>
            </w:r>
            <w:r w:rsidR="006772C2">
              <w:rPr>
                <w:webHidden/>
              </w:rPr>
              <w:tab/>
            </w:r>
            <w:r w:rsidR="006772C2">
              <w:rPr>
                <w:webHidden/>
              </w:rPr>
              <w:fldChar w:fldCharType="begin"/>
            </w:r>
            <w:r w:rsidR="006772C2">
              <w:rPr>
                <w:webHidden/>
              </w:rPr>
              <w:instrText xml:space="preserve"> PAGEREF _Toc136006903 \h </w:instrText>
            </w:r>
            <w:r w:rsidR="006772C2">
              <w:rPr>
                <w:webHidden/>
              </w:rPr>
            </w:r>
            <w:r w:rsidR="006772C2">
              <w:rPr>
                <w:webHidden/>
              </w:rPr>
              <w:fldChar w:fldCharType="separate"/>
            </w:r>
            <w:r w:rsidR="001306DF">
              <w:rPr>
                <w:webHidden/>
              </w:rPr>
              <w:t>86</w:t>
            </w:r>
            <w:r w:rsidR="006772C2">
              <w:rPr>
                <w:webHidden/>
              </w:rPr>
              <w:fldChar w:fldCharType="end"/>
            </w:r>
          </w:hyperlink>
        </w:p>
        <w:p w14:paraId="48E41672" w14:textId="583D36B9" w:rsidR="006772C2" w:rsidRDefault="00000000" w:rsidP="006720A0">
          <w:pPr>
            <w:pStyle w:val="TOC2"/>
            <w:rPr>
              <w:rFonts w:asciiTheme="minorHAnsi" w:eastAsiaTheme="minorEastAsia" w:hAnsiTheme="minorHAnsi"/>
              <w:szCs w:val="22"/>
              <w:lang w:eastAsia="en-AU"/>
            </w:rPr>
          </w:pPr>
          <w:hyperlink w:anchor="_Toc136006904" w:history="1">
            <w:r w:rsidR="006772C2" w:rsidRPr="00913B69">
              <w:rPr>
                <w:rStyle w:val="Hyperlink"/>
              </w:rPr>
              <w:t>11.4</w:t>
            </w:r>
            <w:r w:rsidR="006772C2">
              <w:rPr>
                <w:rFonts w:asciiTheme="minorHAnsi" w:eastAsiaTheme="minorEastAsia" w:hAnsiTheme="minorHAnsi"/>
                <w:szCs w:val="22"/>
                <w:lang w:eastAsia="en-AU"/>
              </w:rPr>
              <w:tab/>
            </w:r>
            <w:r w:rsidR="006772C2" w:rsidRPr="00913B69">
              <w:rPr>
                <w:rStyle w:val="Hyperlink"/>
              </w:rPr>
              <w:t>Group homes</w:t>
            </w:r>
            <w:r w:rsidR="006772C2">
              <w:rPr>
                <w:webHidden/>
              </w:rPr>
              <w:tab/>
            </w:r>
            <w:r w:rsidR="006772C2">
              <w:rPr>
                <w:webHidden/>
              </w:rPr>
              <w:fldChar w:fldCharType="begin"/>
            </w:r>
            <w:r w:rsidR="006772C2">
              <w:rPr>
                <w:webHidden/>
              </w:rPr>
              <w:instrText xml:space="preserve"> PAGEREF _Toc136006904 \h </w:instrText>
            </w:r>
            <w:r w:rsidR="006772C2">
              <w:rPr>
                <w:webHidden/>
              </w:rPr>
            </w:r>
            <w:r w:rsidR="006772C2">
              <w:rPr>
                <w:webHidden/>
              </w:rPr>
              <w:fldChar w:fldCharType="separate"/>
            </w:r>
            <w:r w:rsidR="001306DF">
              <w:rPr>
                <w:webHidden/>
              </w:rPr>
              <w:t>86</w:t>
            </w:r>
            <w:r w:rsidR="006772C2">
              <w:rPr>
                <w:webHidden/>
              </w:rPr>
              <w:fldChar w:fldCharType="end"/>
            </w:r>
          </w:hyperlink>
        </w:p>
        <w:p w14:paraId="713DE59C" w14:textId="6EA8D40F" w:rsidR="006772C2" w:rsidRDefault="00000000" w:rsidP="006720A0">
          <w:pPr>
            <w:pStyle w:val="TOC2"/>
            <w:rPr>
              <w:rFonts w:asciiTheme="minorHAnsi" w:eastAsiaTheme="minorEastAsia" w:hAnsiTheme="minorHAnsi"/>
              <w:szCs w:val="22"/>
              <w:lang w:eastAsia="en-AU"/>
            </w:rPr>
          </w:pPr>
          <w:hyperlink w:anchor="_Toc136006905" w:history="1">
            <w:r w:rsidR="006772C2" w:rsidRPr="00913B69">
              <w:rPr>
                <w:rStyle w:val="Hyperlink"/>
              </w:rPr>
              <w:t>11.5</w:t>
            </w:r>
            <w:r w:rsidR="006772C2">
              <w:rPr>
                <w:rFonts w:asciiTheme="minorHAnsi" w:eastAsiaTheme="minorEastAsia" w:hAnsiTheme="minorHAnsi"/>
                <w:szCs w:val="22"/>
                <w:lang w:eastAsia="en-AU"/>
              </w:rPr>
              <w:tab/>
            </w:r>
            <w:r w:rsidR="006772C2" w:rsidRPr="00913B69">
              <w:rPr>
                <w:rStyle w:val="Hyperlink"/>
              </w:rPr>
              <w:t>Leasehold and freehold acquisition of land</w:t>
            </w:r>
            <w:r w:rsidR="006772C2">
              <w:rPr>
                <w:webHidden/>
              </w:rPr>
              <w:tab/>
            </w:r>
            <w:r w:rsidR="006772C2">
              <w:rPr>
                <w:webHidden/>
              </w:rPr>
              <w:fldChar w:fldCharType="begin"/>
            </w:r>
            <w:r w:rsidR="006772C2">
              <w:rPr>
                <w:webHidden/>
              </w:rPr>
              <w:instrText xml:space="preserve"> PAGEREF _Toc136006905 \h </w:instrText>
            </w:r>
            <w:r w:rsidR="006772C2">
              <w:rPr>
                <w:webHidden/>
              </w:rPr>
            </w:r>
            <w:r w:rsidR="006772C2">
              <w:rPr>
                <w:webHidden/>
              </w:rPr>
              <w:fldChar w:fldCharType="separate"/>
            </w:r>
            <w:r w:rsidR="001306DF">
              <w:rPr>
                <w:webHidden/>
              </w:rPr>
              <w:t>87</w:t>
            </w:r>
            <w:r w:rsidR="006772C2">
              <w:rPr>
                <w:webHidden/>
              </w:rPr>
              <w:fldChar w:fldCharType="end"/>
            </w:r>
          </w:hyperlink>
        </w:p>
        <w:p w14:paraId="6E9E7579" w14:textId="6E6B1353" w:rsidR="006772C2" w:rsidRDefault="00000000" w:rsidP="006720A0">
          <w:pPr>
            <w:pStyle w:val="TOC2"/>
            <w:rPr>
              <w:rFonts w:asciiTheme="minorHAnsi" w:eastAsiaTheme="minorEastAsia" w:hAnsiTheme="minorHAnsi"/>
              <w:szCs w:val="22"/>
              <w:lang w:eastAsia="en-AU"/>
            </w:rPr>
          </w:pPr>
          <w:hyperlink w:anchor="_Toc136006906" w:history="1">
            <w:r w:rsidR="006772C2" w:rsidRPr="00913B69">
              <w:rPr>
                <w:rStyle w:val="Hyperlink"/>
              </w:rPr>
              <w:t>11.6</w:t>
            </w:r>
            <w:r w:rsidR="006772C2">
              <w:rPr>
                <w:rFonts w:asciiTheme="minorHAnsi" w:eastAsiaTheme="minorEastAsia" w:hAnsiTheme="minorHAnsi"/>
                <w:szCs w:val="22"/>
                <w:lang w:eastAsia="en-AU"/>
              </w:rPr>
              <w:tab/>
            </w:r>
            <w:r w:rsidR="006772C2" w:rsidRPr="00913B69">
              <w:rPr>
                <w:rStyle w:val="Hyperlink"/>
              </w:rPr>
              <w:t>Self-managed super funds</w:t>
            </w:r>
            <w:r w:rsidR="006772C2">
              <w:rPr>
                <w:webHidden/>
              </w:rPr>
              <w:tab/>
            </w:r>
            <w:r w:rsidR="006772C2">
              <w:rPr>
                <w:webHidden/>
              </w:rPr>
              <w:fldChar w:fldCharType="begin"/>
            </w:r>
            <w:r w:rsidR="006772C2">
              <w:rPr>
                <w:webHidden/>
              </w:rPr>
              <w:instrText xml:space="preserve"> PAGEREF _Toc136006906 \h </w:instrText>
            </w:r>
            <w:r w:rsidR="006772C2">
              <w:rPr>
                <w:webHidden/>
              </w:rPr>
            </w:r>
            <w:r w:rsidR="006772C2">
              <w:rPr>
                <w:webHidden/>
              </w:rPr>
              <w:fldChar w:fldCharType="separate"/>
            </w:r>
            <w:r w:rsidR="001306DF">
              <w:rPr>
                <w:webHidden/>
              </w:rPr>
              <w:t>87</w:t>
            </w:r>
            <w:r w:rsidR="006772C2">
              <w:rPr>
                <w:webHidden/>
              </w:rPr>
              <w:fldChar w:fldCharType="end"/>
            </w:r>
          </w:hyperlink>
        </w:p>
        <w:p w14:paraId="500DA110" w14:textId="0FC48BF6" w:rsidR="006772C2" w:rsidRDefault="00000000" w:rsidP="006720A0">
          <w:pPr>
            <w:pStyle w:val="TOC1"/>
            <w:rPr>
              <w:rFonts w:asciiTheme="minorHAnsi" w:eastAsiaTheme="minorEastAsia" w:hAnsiTheme="minorHAnsi"/>
              <w:szCs w:val="22"/>
              <w:lang w:eastAsia="en-AU"/>
            </w:rPr>
          </w:pPr>
          <w:hyperlink w:anchor="_Toc136006907" w:history="1">
            <w:r w:rsidR="006772C2" w:rsidRPr="00913B69">
              <w:rPr>
                <w:rStyle w:val="Hyperlink"/>
              </w:rPr>
              <w:t>Appendix A – Consultation Activities</w:t>
            </w:r>
            <w:r w:rsidR="006772C2">
              <w:rPr>
                <w:webHidden/>
              </w:rPr>
              <w:tab/>
            </w:r>
            <w:r w:rsidR="006772C2">
              <w:rPr>
                <w:webHidden/>
              </w:rPr>
              <w:fldChar w:fldCharType="begin"/>
            </w:r>
            <w:r w:rsidR="006772C2">
              <w:rPr>
                <w:webHidden/>
              </w:rPr>
              <w:instrText xml:space="preserve"> PAGEREF _Toc136006907 \h </w:instrText>
            </w:r>
            <w:r w:rsidR="006772C2">
              <w:rPr>
                <w:webHidden/>
              </w:rPr>
            </w:r>
            <w:r w:rsidR="006772C2">
              <w:rPr>
                <w:webHidden/>
              </w:rPr>
              <w:fldChar w:fldCharType="separate"/>
            </w:r>
            <w:r w:rsidR="001306DF">
              <w:rPr>
                <w:webHidden/>
              </w:rPr>
              <w:t>89</w:t>
            </w:r>
            <w:r w:rsidR="006772C2">
              <w:rPr>
                <w:webHidden/>
              </w:rPr>
              <w:fldChar w:fldCharType="end"/>
            </w:r>
          </w:hyperlink>
        </w:p>
        <w:p w14:paraId="35E8B143" w14:textId="3CAB5740" w:rsidR="006772C2" w:rsidRDefault="00000000" w:rsidP="006720A0">
          <w:pPr>
            <w:pStyle w:val="TOC2"/>
            <w:rPr>
              <w:rFonts w:asciiTheme="minorHAnsi" w:eastAsiaTheme="minorEastAsia" w:hAnsiTheme="minorHAnsi"/>
              <w:szCs w:val="22"/>
              <w:lang w:eastAsia="en-AU"/>
            </w:rPr>
          </w:pPr>
          <w:hyperlink w:anchor="_Toc136006908" w:history="1">
            <w:r w:rsidR="006772C2" w:rsidRPr="00913B69">
              <w:rPr>
                <w:rStyle w:val="Hyperlink"/>
              </w:rPr>
              <w:t>List of Submissions</w:t>
            </w:r>
            <w:r w:rsidR="006772C2">
              <w:rPr>
                <w:webHidden/>
              </w:rPr>
              <w:tab/>
            </w:r>
            <w:r w:rsidR="006772C2">
              <w:rPr>
                <w:webHidden/>
              </w:rPr>
              <w:fldChar w:fldCharType="begin"/>
            </w:r>
            <w:r w:rsidR="006772C2">
              <w:rPr>
                <w:webHidden/>
              </w:rPr>
              <w:instrText xml:space="preserve"> PAGEREF _Toc136006908 \h </w:instrText>
            </w:r>
            <w:r w:rsidR="006772C2">
              <w:rPr>
                <w:webHidden/>
              </w:rPr>
            </w:r>
            <w:r w:rsidR="006772C2">
              <w:rPr>
                <w:webHidden/>
              </w:rPr>
              <w:fldChar w:fldCharType="separate"/>
            </w:r>
            <w:r w:rsidR="001306DF">
              <w:rPr>
                <w:webHidden/>
              </w:rPr>
              <w:t>89</w:t>
            </w:r>
            <w:r w:rsidR="006772C2">
              <w:rPr>
                <w:webHidden/>
              </w:rPr>
              <w:fldChar w:fldCharType="end"/>
            </w:r>
          </w:hyperlink>
        </w:p>
        <w:p w14:paraId="06A2179E" w14:textId="39E625A4" w:rsidR="006772C2" w:rsidRDefault="001306DF" w:rsidP="006720A0">
          <w:pPr>
            <w:pStyle w:val="TOC2"/>
            <w:rPr>
              <w:rFonts w:asciiTheme="minorHAnsi" w:eastAsiaTheme="minorEastAsia" w:hAnsiTheme="minorHAnsi"/>
              <w:szCs w:val="22"/>
              <w:lang w:eastAsia="en-AU"/>
            </w:rPr>
          </w:pPr>
          <w:r>
            <w:t>Organisations</w:t>
          </w:r>
          <w:hyperlink w:anchor="_Toc136006910" w:history="1">
            <w:r w:rsidR="006772C2" w:rsidRPr="00913B69">
              <w:rPr>
                <w:rStyle w:val="Hyperlink"/>
              </w:rPr>
              <w:t xml:space="preserve"> Consulted by the Review</w:t>
            </w:r>
            <w:r w:rsidR="006772C2">
              <w:rPr>
                <w:webHidden/>
              </w:rPr>
              <w:tab/>
            </w:r>
            <w:r w:rsidR="006772C2">
              <w:rPr>
                <w:webHidden/>
              </w:rPr>
              <w:fldChar w:fldCharType="begin"/>
            </w:r>
            <w:r w:rsidR="006772C2">
              <w:rPr>
                <w:webHidden/>
              </w:rPr>
              <w:instrText xml:space="preserve"> PAGEREF _Toc136006910 \h </w:instrText>
            </w:r>
            <w:r w:rsidR="006772C2">
              <w:rPr>
                <w:webHidden/>
              </w:rPr>
            </w:r>
            <w:r w:rsidR="006772C2">
              <w:rPr>
                <w:webHidden/>
              </w:rPr>
              <w:fldChar w:fldCharType="separate"/>
            </w:r>
            <w:r>
              <w:rPr>
                <w:webHidden/>
              </w:rPr>
              <w:t>91</w:t>
            </w:r>
            <w:r w:rsidR="006772C2">
              <w:rPr>
                <w:webHidden/>
              </w:rPr>
              <w:fldChar w:fldCharType="end"/>
            </w:r>
          </w:hyperlink>
        </w:p>
        <w:p w14:paraId="1370C40B" w14:textId="5F10D5D4" w:rsidR="006772C2" w:rsidRDefault="00000000" w:rsidP="006720A0">
          <w:pPr>
            <w:pStyle w:val="TOC1"/>
            <w:rPr>
              <w:rFonts w:asciiTheme="minorHAnsi" w:eastAsiaTheme="minorEastAsia" w:hAnsiTheme="minorHAnsi"/>
              <w:szCs w:val="22"/>
              <w:lang w:eastAsia="en-AU"/>
            </w:rPr>
          </w:pPr>
          <w:hyperlink w:anchor="_Toc136006911" w:history="1">
            <w:r w:rsidR="006772C2" w:rsidRPr="00913B69">
              <w:rPr>
                <w:rStyle w:val="Hyperlink"/>
              </w:rPr>
              <w:t>Glossary</w:t>
            </w:r>
            <w:r w:rsidR="006772C2">
              <w:rPr>
                <w:webHidden/>
              </w:rPr>
              <w:tab/>
            </w:r>
            <w:r w:rsidR="006772C2">
              <w:rPr>
                <w:webHidden/>
              </w:rPr>
              <w:fldChar w:fldCharType="begin"/>
            </w:r>
            <w:r w:rsidR="006772C2">
              <w:rPr>
                <w:webHidden/>
              </w:rPr>
              <w:instrText xml:space="preserve"> PAGEREF _Toc136006911 \h </w:instrText>
            </w:r>
            <w:r w:rsidR="006772C2">
              <w:rPr>
                <w:webHidden/>
              </w:rPr>
            </w:r>
            <w:r w:rsidR="006772C2">
              <w:rPr>
                <w:webHidden/>
              </w:rPr>
              <w:fldChar w:fldCharType="separate"/>
            </w:r>
            <w:r w:rsidR="001306DF">
              <w:rPr>
                <w:webHidden/>
              </w:rPr>
              <w:t>94</w:t>
            </w:r>
            <w:r w:rsidR="006772C2">
              <w:rPr>
                <w:webHidden/>
              </w:rPr>
              <w:fldChar w:fldCharType="end"/>
            </w:r>
          </w:hyperlink>
        </w:p>
        <w:p w14:paraId="4EAC3210" w14:textId="681DA3F3" w:rsidR="005C5EF8" w:rsidRPr="005A22C2" w:rsidRDefault="005C5EF8" w:rsidP="006720A0">
          <w:r w:rsidRPr="005A22C2">
            <w:rPr>
              <w:b/>
              <w:bCs/>
              <w:noProof/>
            </w:rPr>
            <w:fldChar w:fldCharType="end"/>
          </w:r>
        </w:p>
      </w:sdtContent>
    </w:sdt>
    <w:p w14:paraId="63D618D1" w14:textId="77777777" w:rsidR="005525F5" w:rsidRPr="005A22C2" w:rsidRDefault="005525F5" w:rsidP="006720A0">
      <w:pPr>
        <w:pStyle w:val="Heading1"/>
        <w:sectPr w:rsidR="005525F5" w:rsidRPr="005A22C2" w:rsidSect="00736B3B">
          <w:footerReference w:type="default" r:id="rId19"/>
          <w:footerReference w:type="first" r:id="rId20"/>
          <w:pgSz w:w="11906" w:h="16838" w:code="9"/>
          <w:pgMar w:top="1418" w:right="1418" w:bottom="1418" w:left="1418" w:header="709" w:footer="709" w:gutter="0"/>
          <w:cols w:space="708"/>
          <w:titlePg/>
          <w:docGrid w:linePitch="360"/>
        </w:sectPr>
      </w:pPr>
    </w:p>
    <w:p w14:paraId="766B7881" w14:textId="49333BD4" w:rsidR="007B6FAA" w:rsidRPr="005A22C2" w:rsidRDefault="007B6FAA" w:rsidP="00DF5B29">
      <w:pPr>
        <w:pStyle w:val="Heading1"/>
        <w:numPr>
          <w:ilvl w:val="0"/>
          <w:numId w:val="0"/>
        </w:numPr>
      </w:pPr>
      <w:bookmarkStart w:id="19" w:name="_Toc136006848"/>
      <w:r w:rsidRPr="005A22C2">
        <w:lastRenderedPageBreak/>
        <w:t xml:space="preserve">Executive </w:t>
      </w:r>
      <w:bookmarkStart w:id="20" w:name="_Hlk121818747"/>
      <w:r w:rsidR="00E93B2F" w:rsidRPr="005A22C2">
        <w:t>S</w:t>
      </w:r>
      <w:r w:rsidRPr="005A22C2">
        <w:t>ummary</w:t>
      </w:r>
      <w:bookmarkEnd w:id="18"/>
      <w:bookmarkEnd w:id="17"/>
      <w:bookmarkEnd w:id="16"/>
      <w:bookmarkEnd w:id="19"/>
      <w:bookmarkEnd w:id="20"/>
    </w:p>
    <w:p w14:paraId="3E634B08" w14:textId="369A4699" w:rsidR="00683546" w:rsidRPr="006720A0" w:rsidRDefault="00B83999" w:rsidP="006720A0">
      <w:r w:rsidRPr="006720A0">
        <w:t xml:space="preserve">As part of the </w:t>
      </w:r>
      <w:r w:rsidR="006F5AF5" w:rsidRPr="006720A0">
        <w:t xml:space="preserve">Specialist Disability Accommodation (SDA) </w:t>
      </w:r>
      <w:r w:rsidRPr="006720A0">
        <w:t>Pricing Review</w:t>
      </w:r>
      <w:r w:rsidR="006F5AF5" w:rsidRPr="006720A0">
        <w:t xml:space="preserve"> 2022-23</w:t>
      </w:r>
      <w:r w:rsidRPr="006720A0">
        <w:t xml:space="preserve">, the </w:t>
      </w:r>
      <w:r w:rsidR="006F5AF5" w:rsidRPr="006720A0">
        <w:t xml:space="preserve">National Disability Insurance Agency (NDIA) </w:t>
      </w:r>
      <w:r w:rsidRPr="006720A0">
        <w:t>has undertaken extensive consultations with interested parties. This document summarises the issues that were raised with, and the evidence that was provided to, the NDIA through those consultations.</w:t>
      </w:r>
    </w:p>
    <w:p w14:paraId="36A276AF" w14:textId="1A228E03" w:rsidR="00B83999" w:rsidRPr="005A22C2" w:rsidRDefault="00B83999" w:rsidP="006720A0">
      <w:r w:rsidRPr="005A22C2">
        <w:t>The views expressed in this document are not necessarily those of the NDIA</w:t>
      </w:r>
      <w:r w:rsidR="006F5AF5" w:rsidRPr="005A22C2">
        <w:t xml:space="preserve"> and </w:t>
      </w:r>
      <w:r w:rsidR="00475E88" w:rsidRPr="005A22C2">
        <w:t xml:space="preserve">the </w:t>
      </w:r>
      <w:r w:rsidR="006F5AF5" w:rsidRPr="005A22C2">
        <w:t xml:space="preserve">publication of these views by the NDIA should not be taken to </w:t>
      </w:r>
      <w:r w:rsidR="004739FE">
        <w:t xml:space="preserve">be </w:t>
      </w:r>
      <w:r w:rsidR="006F5AF5" w:rsidRPr="005A22C2">
        <w:t>an endorsement by the NDIA of the views expressed. The NDIA</w:t>
      </w:r>
      <w:r w:rsidRPr="005A22C2">
        <w:t xml:space="preserve"> is publishing this report of the issues raised, and evidence provided, by stakeholders during the SDA Pricing Review to ensure greater transparency in its decision-making processes.</w:t>
      </w:r>
      <w:r w:rsidR="00475E88" w:rsidRPr="005A22C2">
        <w:t xml:space="preserve"> </w:t>
      </w:r>
      <w:r w:rsidRPr="005A22C2">
        <w:t xml:space="preserve">The NDIA’s response to the issues raised in the consultations </w:t>
      </w:r>
      <w:r w:rsidR="006F5AF5" w:rsidRPr="005A22C2">
        <w:t>is</w:t>
      </w:r>
      <w:r w:rsidRPr="005A22C2">
        <w:t xml:space="preserve"> published separately in the final report of the SDA Pricing Review.</w:t>
      </w:r>
    </w:p>
    <w:p w14:paraId="573B395A" w14:textId="77777777" w:rsidR="00475E88" w:rsidRPr="005A22C2" w:rsidRDefault="00B83999" w:rsidP="006720A0">
      <w:r w:rsidRPr="005A22C2">
        <w:t>The NDIA sought the views of stakeholders through three methods: submissions in response to a consultation paper that was released by the NDIA</w:t>
      </w:r>
      <w:r w:rsidR="00DD2DFA" w:rsidRPr="005A22C2">
        <w:t xml:space="preserve"> </w:t>
      </w:r>
      <w:r w:rsidR="001E0815" w:rsidRPr="005A22C2">
        <w:t>on 27 October 2022</w:t>
      </w:r>
      <w:r w:rsidRPr="005A22C2">
        <w:t xml:space="preserve">, discussions with </w:t>
      </w:r>
      <w:r w:rsidR="00D45118" w:rsidRPr="005A22C2">
        <w:t>c</w:t>
      </w:r>
      <w:r w:rsidRPr="005A22C2">
        <w:t xml:space="preserve">onsultation </w:t>
      </w:r>
      <w:r w:rsidR="001A2FCF" w:rsidRPr="005A22C2">
        <w:t>g</w:t>
      </w:r>
      <w:r w:rsidRPr="005A22C2">
        <w:t>roups</w:t>
      </w:r>
      <w:r w:rsidR="00683546" w:rsidRPr="005A22C2">
        <w:t>,</w:t>
      </w:r>
      <w:r w:rsidRPr="005A22C2">
        <w:t xml:space="preserve"> and individual consultations. </w:t>
      </w:r>
      <w:r w:rsidR="00475E88" w:rsidRPr="005A22C2">
        <w:t xml:space="preserve">The </w:t>
      </w:r>
      <w:r w:rsidRPr="005A22C2">
        <w:t xml:space="preserve">NDIA acknowledges the quality of the submissions received and is grateful to all the individuals and organisations who brought their considerable experience and expertise to the consultations. </w:t>
      </w:r>
    </w:p>
    <w:p w14:paraId="681F03E0" w14:textId="36FB3A04" w:rsidR="00B83999" w:rsidRPr="005A22C2" w:rsidRDefault="00B83999" w:rsidP="006720A0">
      <w:r w:rsidRPr="005A22C2">
        <w:t xml:space="preserve">The issues that were raised by stakeholders </w:t>
      </w:r>
      <w:r w:rsidR="00475E88" w:rsidRPr="005A22C2">
        <w:t xml:space="preserve">through the consultations </w:t>
      </w:r>
      <w:r w:rsidRPr="005A22C2">
        <w:t xml:space="preserve">are summarised below under the ten themes that were set out in the </w:t>
      </w:r>
      <w:hyperlink r:id="rId21" w:history="1">
        <w:r w:rsidR="00183549" w:rsidRPr="005A22C2">
          <w:rPr>
            <w:rStyle w:val="Hyperlink"/>
            <w:i/>
            <w:iCs/>
          </w:rPr>
          <w:t>SDA Pricing Review 2022-23 Consultation Paper</w:t>
        </w:r>
      </w:hyperlink>
      <w:r w:rsidR="0003661F" w:rsidRPr="005A22C2">
        <w:rPr>
          <w:i/>
          <w:iCs/>
        </w:rPr>
        <w:t>.</w:t>
      </w:r>
    </w:p>
    <w:p w14:paraId="242DB402" w14:textId="4D2893A1" w:rsidR="00856634" w:rsidRPr="005A22C2" w:rsidRDefault="00996C31" w:rsidP="00885F9E">
      <w:pPr>
        <w:pStyle w:val="Heading2"/>
        <w:numPr>
          <w:ilvl w:val="0"/>
          <w:numId w:val="0"/>
        </w:numPr>
        <w:ind w:left="567" w:hanging="567"/>
      </w:pPr>
      <w:r w:rsidRPr="005A22C2">
        <w:t xml:space="preserve">Build </w:t>
      </w:r>
      <w:r w:rsidR="000D3458" w:rsidRPr="005A22C2">
        <w:t>C</w:t>
      </w:r>
      <w:r w:rsidRPr="005A22C2">
        <w:t>osts</w:t>
      </w:r>
    </w:p>
    <w:p w14:paraId="39553925" w14:textId="180120A1" w:rsidR="008E6D2F" w:rsidRPr="005A22C2" w:rsidRDefault="008E6D2F" w:rsidP="006720A0">
      <w:r w:rsidRPr="005A22C2">
        <w:t>Stakeholders reported that the cost of building SDA has increased by between 20</w:t>
      </w:r>
      <w:r w:rsidR="001F7CA6">
        <w:t>%</w:t>
      </w:r>
      <w:r w:rsidRPr="005A22C2">
        <w:t xml:space="preserve"> and 45</w:t>
      </w:r>
      <w:r w:rsidR="001F7CA6">
        <w:t>%</w:t>
      </w:r>
      <w:r w:rsidRPr="005A22C2">
        <w:t xml:space="preserve"> in the last few years, with cost increases varying by location, build type and design category. The higher build costs (materials, transport</w:t>
      </w:r>
      <w:r w:rsidR="0003661F" w:rsidRPr="005A22C2">
        <w:t>,</w:t>
      </w:r>
      <w:r w:rsidRPr="005A22C2">
        <w:t xml:space="preserve"> and labour) </w:t>
      </w:r>
      <w:r w:rsidR="00415A30" w:rsidRPr="005A22C2">
        <w:t>were</w:t>
      </w:r>
      <w:r w:rsidRPr="005A22C2">
        <w:t xml:space="preserve"> attributed to supply chain disruptions, shortages</w:t>
      </w:r>
      <w:r w:rsidR="0003661F" w:rsidRPr="005A22C2">
        <w:t>,</w:t>
      </w:r>
      <w:r w:rsidRPr="005A22C2">
        <w:t xml:space="preserve"> and delays in sourcing materials </w:t>
      </w:r>
      <w:proofErr w:type="gramStart"/>
      <w:r w:rsidRPr="005A22C2">
        <w:t>as a result of</w:t>
      </w:r>
      <w:proofErr w:type="gramEnd"/>
      <w:r w:rsidRPr="005A22C2">
        <w:t xml:space="preserve"> COVID-19 and the war</w:t>
      </w:r>
      <w:r w:rsidR="00475E88" w:rsidRPr="005A22C2">
        <w:t xml:space="preserve"> in Ukraine</w:t>
      </w:r>
      <w:r w:rsidRPr="005A22C2">
        <w:t xml:space="preserve">. Labour costs </w:t>
      </w:r>
      <w:r w:rsidR="00415A30" w:rsidRPr="005A22C2">
        <w:t>were also</w:t>
      </w:r>
      <w:r w:rsidRPr="005A22C2">
        <w:t xml:space="preserve"> reported to have increased due to a tight labour market, with SDA builders competing with government funded infrastructure projects and the mining sector for workers.</w:t>
      </w:r>
    </w:p>
    <w:p w14:paraId="251DF736" w14:textId="53C6D6F1" w:rsidR="00415A30" w:rsidRPr="005A22C2" w:rsidRDefault="008E6D2F" w:rsidP="006720A0">
      <w:r w:rsidRPr="005A22C2">
        <w:t xml:space="preserve">Stakeholders </w:t>
      </w:r>
      <w:r w:rsidR="00415A30" w:rsidRPr="005A22C2">
        <w:t xml:space="preserve">also </w:t>
      </w:r>
      <w:r w:rsidRPr="005A22C2">
        <w:t xml:space="preserve">reported that they </w:t>
      </w:r>
      <w:r w:rsidR="00415A30" w:rsidRPr="005A22C2">
        <w:t>were</w:t>
      </w:r>
      <w:r w:rsidRPr="005A22C2">
        <w:t xml:space="preserve"> designing and building SDA above the SDA Design Standard requirements to meet market expectations and attract suitable Supported Independent Living providers and improve participant outcomes.</w:t>
      </w:r>
      <w:r w:rsidR="000B08C5" w:rsidRPr="005A22C2">
        <w:t xml:space="preserve"> </w:t>
      </w:r>
      <w:r w:rsidRPr="005A22C2">
        <w:t xml:space="preserve">Stakeholders </w:t>
      </w:r>
      <w:r w:rsidR="00415A30" w:rsidRPr="005A22C2">
        <w:t>indicated</w:t>
      </w:r>
      <w:r w:rsidRPr="005A22C2">
        <w:t xml:space="preserve"> </w:t>
      </w:r>
      <w:r w:rsidR="00475E88" w:rsidRPr="005A22C2">
        <w:t xml:space="preserve">that </w:t>
      </w:r>
      <w:r w:rsidRPr="005A22C2">
        <w:t>they are including additional features such as ensuites, additional parking for support workers, outdoor spaces</w:t>
      </w:r>
      <w:r w:rsidR="0003661F" w:rsidRPr="005A22C2">
        <w:t>,</w:t>
      </w:r>
      <w:r w:rsidRPr="005A22C2">
        <w:t xml:space="preserve"> and extra living rooms to increase privacy and enable participants to entertain friends and family. </w:t>
      </w:r>
    </w:p>
    <w:p w14:paraId="157E17F6" w14:textId="3F81C4AD" w:rsidR="008E6D2F" w:rsidRPr="005A22C2" w:rsidRDefault="008E6D2F" w:rsidP="006720A0">
      <w:r w:rsidRPr="005A22C2">
        <w:t xml:space="preserve">Stakeholders indicated that changes to the SDA Design Standard are onerous to adapt to, and often generate additional costs and delays in the design and build of </w:t>
      </w:r>
      <w:r w:rsidRPr="005A22C2">
        <w:lastRenderedPageBreak/>
        <w:t xml:space="preserve">SDA. </w:t>
      </w:r>
      <w:r w:rsidR="00415A30" w:rsidRPr="005A22C2">
        <w:t>They</w:t>
      </w:r>
      <w:r w:rsidRPr="005A22C2">
        <w:t xml:space="preserve"> recommended </w:t>
      </w:r>
      <w:r w:rsidR="00475E88" w:rsidRPr="005A22C2">
        <w:t xml:space="preserve">that the NDIA </w:t>
      </w:r>
      <w:r w:rsidRPr="005A22C2">
        <w:t xml:space="preserve">align changes to the </w:t>
      </w:r>
      <w:r w:rsidR="00475E88" w:rsidRPr="005A22C2">
        <w:t xml:space="preserve">SDA </w:t>
      </w:r>
      <w:r w:rsidRPr="005A22C2">
        <w:t>Design Standard with the SDA pricing cycle to reduce potential gaps in costs and funding.</w:t>
      </w:r>
    </w:p>
    <w:p w14:paraId="07A85795" w14:textId="6DD68EF1" w:rsidR="00415A30" w:rsidRPr="005A22C2" w:rsidRDefault="008E6D2F" w:rsidP="006720A0">
      <w:r w:rsidRPr="005A22C2">
        <w:t>Stakeholders</w:t>
      </w:r>
      <w:r w:rsidR="0003661F" w:rsidRPr="005A22C2">
        <w:t xml:space="preserve"> also</w:t>
      </w:r>
      <w:r w:rsidRPr="005A22C2">
        <w:t xml:space="preserve"> </w:t>
      </w:r>
      <w:r w:rsidR="00415A30" w:rsidRPr="005A22C2">
        <w:t>indicated</w:t>
      </w:r>
      <w:r w:rsidRPr="005A22C2">
        <w:t xml:space="preserve"> that the cost to construct Fully Accessible and High Physical Support </w:t>
      </w:r>
      <w:r w:rsidR="00415A30" w:rsidRPr="005A22C2">
        <w:t>dwellings</w:t>
      </w:r>
      <w:r w:rsidRPr="005A22C2">
        <w:t xml:space="preserve"> are very similar</w:t>
      </w:r>
      <w:r w:rsidR="0003661F" w:rsidRPr="005A22C2">
        <w:t xml:space="preserve"> and that the differences in these costs were </w:t>
      </w:r>
      <w:r w:rsidR="00415A30" w:rsidRPr="005A22C2">
        <w:t>not in line with</w:t>
      </w:r>
      <w:r w:rsidR="0003661F" w:rsidRPr="005A22C2">
        <w:t xml:space="preserve"> differences in the payments for these types of dwellings under</w:t>
      </w:r>
      <w:r w:rsidR="00415A30" w:rsidRPr="005A22C2">
        <w:t xml:space="preserve"> the current SDA pricing arrangements.</w:t>
      </w:r>
      <w:r w:rsidR="0003661F" w:rsidRPr="005A22C2">
        <w:t xml:space="preserve"> Stakeholders recommended that the SDA amounts payable for Fully Accessible dwellings should be brought more in line with the SDA amounts payable for High Physical Support dwellings.</w:t>
      </w:r>
    </w:p>
    <w:p w14:paraId="2169F1D7" w14:textId="57B25C2C" w:rsidR="008E6D2F" w:rsidRPr="005A22C2" w:rsidRDefault="008E6D2F" w:rsidP="006720A0">
      <w:r w:rsidRPr="005A22C2">
        <w:t xml:space="preserve">Stakeholders </w:t>
      </w:r>
      <w:r w:rsidR="0003661F" w:rsidRPr="005A22C2">
        <w:t xml:space="preserve">further </w:t>
      </w:r>
      <w:r w:rsidR="00415A30" w:rsidRPr="005A22C2">
        <w:t xml:space="preserve">indicated that current SDA prices do </w:t>
      </w:r>
      <w:r w:rsidRPr="005A22C2">
        <w:t>not accurately allow for the additional costs incurred in building Robust SDA (which use</w:t>
      </w:r>
      <w:r w:rsidR="00475E88" w:rsidRPr="005A22C2">
        <w:t>s</w:t>
      </w:r>
      <w:r w:rsidRPr="005A22C2">
        <w:t xml:space="preserve"> specialised materials, </w:t>
      </w:r>
      <w:r w:rsidR="00475E88" w:rsidRPr="005A22C2">
        <w:t>is</w:t>
      </w:r>
      <w:r w:rsidRPr="005A22C2">
        <w:t xml:space="preserve"> more complex and take</w:t>
      </w:r>
      <w:r w:rsidR="00475E88" w:rsidRPr="005A22C2">
        <w:t>s</w:t>
      </w:r>
      <w:r w:rsidRPr="005A22C2">
        <w:t xml:space="preserve"> longer)</w:t>
      </w:r>
      <w:r w:rsidR="0003661F" w:rsidRPr="005A22C2">
        <w:t>. They argued that this was one of the main reasons w</w:t>
      </w:r>
      <w:r w:rsidR="00415A30" w:rsidRPr="005A22C2">
        <w:t>hy</w:t>
      </w:r>
      <w:r w:rsidRPr="005A22C2">
        <w:t xml:space="preserve"> there </w:t>
      </w:r>
      <w:r w:rsidR="00415A30" w:rsidRPr="005A22C2">
        <w:t>wa</w:t>
      </w:r>
      <w:r w:rsidRPr="005A22C2">
        <w:t>s a lower supply of Robust SDA in the market.</w:t>
      </w:r>
      <w:r w:rsidR="0003661F" w:rsidRPr="005A22C2">
        <w:t xml:space="preserve"> Stakeholders recommended that the amounts payable for Robust dwellings should be increased.</w:t>
      </w:r>
    </w:p>
    <w:p w14:paraId="6F59E7EC" w14:textId="049BD38A" w:rsidR="00415A30" w:rsidRPr="005A22C2" w:rsidRDefault="008E6D2F" w:rsidP="006720A0">
      <w:r w:rsidRPr="005A22C2">
        <w:t xml:space="preserve">There were mixed views amongst stakeholders on whether SDA should be built to </w:t>
      </w:r>
      <w:r w:rsidR="00415A30" w:rsidRPr="005A22C2">
        <w:t xml:space="preserve">the National Construction Code’s </w:t>
      </w:r>
      <w:r w:rsidRPr="005A22C2">
        <w:t xml:space="preserve">Class 1b </w:t>
      </w:r>
      <w:r w:rsidR="00415A30" w:rsidRPr="005A22C2">
        <w:t xml:space="preserve">standards </w:t>
      </w:r>
      <w:r w:rsidRPr="005A22C2">
        <w:t>or Class 3</w:t>
      </w:r>
      <w:r w:rsidR="00415A30" w:rsidRPr="005A22C2">
        <w:t xml:space="preserve"> standards</w:t>
      </w:r>
      <w:r w:rsidRPr="005A22C2">
        <w:t>. Some stakeholders expressed concerns about the additional construction and compliance costs incurred with building to the provisions of Class 3 and noted that these buildings may create an institutionalised environment and reduce the participant’s sense of homeliness.</w:t>
      </w:r>
      <w:r w:rsidR="000B08C5" w:rsidRPr="005A22C2">
        <w:t xml:space="preserve"> </w:t>
      </w:r>
      <w:r w:rsidRPr="005A22C2">
        <w:t xml:space="preserve">However, other stakeholders </w:t>
      </w:r>
      <w:r w:rsidR="00415A30" w:rsidRPr="005A22C2">
        <w:t>reported that they are</w:t>
      </w:r>
      <w:r w:rsidRPr="005A22C2">
        <w:t xml:space="preserve"> building SDA to </w:t>
      </w:r>
      <w:r w:rsidR="00415A30" w:rsidRPr="005A22C2">
        <w:t xml:space="preserve">the </w:t>
      </w:r>
      <w:r w:rsidRPr="005A22C2">
        <w:t xml:space="preserve">Class 3 </w:t>
      </w:r>
      <w:r w:rsidR="00415A30" w:rsidRPr="005A22C2">
        <w:t xml:space="preserve">standard </w:t>
      </w:r>
      <w:r w:rsidRPr="005A22C2">
        <w:t>due to increasing pressure from SDA certifiers, planning authorities</w:t>
      </w:r>
      <w:r w:rsidR="00475E88" w:rsidRPr="005A22C2">
        <w:t>,</w:t>
      </w:r>
      <w:r w:rsidRPr="005A22C2">
        <w:t xml:space="preserve"> and local fire services to provide additional protections from injury, hazards</w:t>
      </w:r>
      <w:r w:rsidR="0003661F" w:rsidRPr="005A22C2">
        <w:t>,</w:t>
      </w:r>
      <w:r w:rsidRPr="005A22C2">
        <w:t xml:space="preserve"> and fire. </w:t>
      </w:r>
    </w:p>
    <w:p w14:paraId="29E9F993" w14:textId="77777777" w:rsidR="00475E88" w:rsidRPr="005A22C2" w:rsidRDefault="008E6D2F" w:rsidP="006720A0">
      <w:r w:rsidRPr="005A22C2">
        <w:t>Stakeholders broadly agreed that</w:t>
      </w:r>
      <w:r w:rsidR="0003661F" w:rsidRPr="005A22C2">
        <w:t>,</w:t>
      </w:r>
      <w:r w:rsidRPr="005A22C2">
        <w:t xml:space="preserve"> if building to </w:t>
      </w:r>
      <w:r w:rsidR="00415A30" w:rsidRPr="005A22C2">
        <w:t>the</w:t>
      </w:r>
      <w:r w:rsidRPr="005A22C2">
        <w:t xml:space="preserve"> Class 3 </w:t>
      </w:r>
      <w:r w:rsidR="00415A30" w:rsidRPr="005A22C2">
        <w:t xml:space="preserve">standard </w:t>
      </w:r>
      <w:r w:rsidRPr="005A22C2">
        <w:t xml:space="preserve">was mandated by the </w:t>
      </w:r>
      <w:r w:rsidR="00475E88" w:rsidRPr="005A22C2">
        <w:t>NDIA</w:t>
      </w:r>
      <w:r w:rsidRPr="005A22C2">
        <w:t>, the</w:t>
      </w:r>
      <w:r w:rsidR="00415A30" w:rsidRPr="005A22C2">
        <w:t>n SDA prices would need to be increased, because of</w:t>
      </w:r>
      <w:r w:rsidR="00475E88" w:rsidRPr="005A22C2">
        <w:t>:</w:t>
      </w:r>
    </w:p>
    <w:p w14:paraId="5B3C53B5" w14:textId="0198C53B" w:rsidR="00475E88" w:rsidRPr="005A22C2" w:rsidRDefault="00475E88" w:rsidP="006720A0">
      <w:pPr>
        <w:pStyle w:val="DotPoint"/>
      </w:pPr>
      <w:r w:rsidRPr="005A22C2">
        <w:t>T</w:t>
      </w:r>
      <w:r w:rsidR="00415A30" w:rsidRPr="005A22C2">
        <w:t xml:space="preserve">he need to </w:t>
      </w:r>
      <w:r w:rsidR="008E6D2F" w:rsidRPr="005A22C2">
        <w:t>use commercial builders</w:t>
      </w:r>
      <w:r w:rsidR="00217BE3" w:rsidRPr="005A22C2">
        <w:t>;</w:t>
      </w:r>
      <w:r w:rsidR="00415A30" w:rsidRPr="005A22C2">
        <w:t xml:space="preserve"> </w:t>
      </w:r>
    </w:p>
    <w:p w14:paraId="4AE438B0" w14:textId="521A60BD" w:rsidR="00475E88" w:rsidRPr="005A22C2" w:rsidRDefault="00475E88" w:rsidP="006720A0">
      <w:pPr>
        <w:pStyle w:val="DotPoint"/>
      </w:pPr>
      <w:r w:rsidRPr="005A22C2">
        <w:t>T</w:t>
      </w:r>
      <w:r w:rsidR="00415A30" w:rsidRPr="005A22C2">
        <w:t xml:space="preserve">he </w:t>
      </w:r>
      <w:r w:rsidR="008E6D2F" w:rsidRPr="005A22C2">
        <w:t xml:space="preserve">costs </w:t>
      </w:r>
      <w:r w:rsidR="00415A30" w:rsidRPr="005A22C2">
        <w:t>of</w:t>
      </w:r>
      <w:r w:rsidR="008E6D2F" w:rsidRPr="005A22C2">
        <w:t xml:space="preserve"> </w:t>
      </w:r>
      <w:r w:rsidR="00415A30" w:rsidRPr="005A22C2">
        <w:t>meeting the</w:t>
      </w:r>
      <w:r w:rsidR="008E6D2F" w:rsidRPr="005A22C2">
        <w:t xml:space="preserve"> additional fire protection and prevention requirements</w:t>
      </w:r>
      <w:r w:rsidR="00217BE3" w:rsidRPr="005A22C2">
        <w:t>;</w:t>
      </w:r>
      <w:r w:rsidR="008E6D2F" w:rsidRPr="005A22C2">
        <w:t xml:space="preserve"> </w:t>
      </w:r>
      <w:r w:rsidR="00415A30" w:rsidRPr="005A22C2">
        <w:t xml:space="preserve">and </w:t>
      </w:r>
    </w:p>
    <w:p w14:paraId="694648B8" w14:textId="122DFD9C" w:rsidR="008E6D2F" w:rsidRPr="005A22C2" w:rsidRDefault="00475E88" w:rsidP="006720A0">
      <w:pPr>
        <w:pStyle w:val="DotPoint"/>
      </w:pPr>
      <w:r w:rsidRPr="005A22C2">
        <w:t>Additional requirements such as r</w:t>
      </w:r>
      <w:r w:rsidR="00415A30" w:rsidRPr="005A22C2">
        <w:t xml:space="preserve">equirements of </w:t>
      </w:r>
      <w:r w:rsidR="008E6D2F" w:rsidRPr="005A22C2">
        <w:t>site setbacks, vacuum stairwells (for apartments) and backup battery generators on lifts.</w:t>
      </w:r>
      <w:r w:rsidR="000B08C5" w:rsidRPr="005A22C2">
        <w:t xml:space="preserve"> </w:t>
      </w:r>
    </w:p>
    <w:p w14:paraId="773E5C6E" w14:textId="2C555BD0" w:rsidR="005F5C04" w:rsidRPr="005A22C2" w:rsidRDefault="005F5C04" w:rsidP="006720A0">
      <w:pPr>
        <w:rPr>
          <w:lang w:eastAsia="en-AU"/>
        </w:rPr>
      </w:pPr>
      <w:r w:rsidRPr="005A22C2">
        <w:rPr>
          <w:lang w:eastAsia="en-AU"/>
        </w:rPr>
        <w:t xml:space="preserve">Alternatively, several </w:t>
      </w:r>
      <w:r w:rsidRPr="005A22C2">
        <w:t>stakeholders</w:t>
      </w:r>
      <w:r w:rsidRPr="005A22C2">
        <w:rPr>
          <w:lang w:eastAsia="en-AU"/>
        </w:rPr>
        <w:t xml:space="preserve"> across a range of Consultation Groups suggested that the NDIA consider developing a separate price for Class1B and Class 3 SDA, or otherwise compensating builders that choose to develop to the Class 3 standard.</w:t>
      </w:r>
    </w:p>
    <w:p w14:paraId="4860A71D" w14:textId="28F9DD9D" w:rsidR="008E6D2F" w:rsidRPr="005A22C2" w:rsidRDefault="008E6D2F" w:rsidP="006720A0">
      <w:r w:rsidRPr="005A22C2">
        <w:t xml:space="preserve">Stakeholders </w:t>
      </w:r>
      <w:r w:rsidR="0003661F" w:rsidRPr="005A22C2">
        <w:t>reported</w:t>
      </w:r>
      <w:r w:rsidRPr="005A22C2">
        <w:t xml:space="preserve"> that SDA is being designed and built to be more resilient to climatic risks such as cyclones, floods</w:t>
      </w:r>
      <w:r w:rsidR="0003661F" w:rsidRPr="005A22C2">
        <w:t>,</w:t>
      </w:r>
      <w:r w:rsidRPr="005A22C2">
        <w:t xml:space="preserve"> and bushfires</w:t>
      </w:r>
      <w:r w:rsidR="00415A30" w:rsidRPr="005A22C2">
        <w:t>,</w:t>
      </w:r>
      <w:r w:rsidRPr="005A22C2">
        <w:t xml:space="preserve"> which is adding to the cost to build SDA. </w:t>
      </w:r>
      <w:r w:rsidR="0003661F" w:rsidRPr="005A22C2">
        <w:t>They also reported that s</w:t>
      </w:r>
      <w:r w:rsidRPr="005A22C2">
        <w:t xml:space="preserve">ustainability features to improve energy efficiency are also </w:t>
      </w:r>
      <w:r w:rsidR="00475E88" w:rsidRPr="005A22C2">
        <w:t xml:space="preserve">often </w:t>
      </w:r>
      <w:r w:rsidRPr="005A22C2">
        <w:t>being included in new SDA builds to help reduce participants’ on-going living costs.</w:t>
      </w:r>
    </w:p>
    <w:p w14:paraId="250D6338" w14:textId="7FCCE546" w:rsidR="001839A1" w:rsidRPr="005A22C2" w:rsidRDefault="001839A1" w:rsidP="006720A0">
      <w:r w:rsidRPr="005A22C2">
        <w:t xml:space="preserve">Stakeholders recommended that the </w:t>
      </w:r>
      <w:r w:rsidR="00475E88" w:rsidRPr="005A22C2">
        <w:t>NDIA</w:t>
      </w:r>
      <w:r w:rsidRPr="005A22C2">
        <w:t xml:space="preserve"> consider three key types of </w:t>
      </w:r>
      <w:r w:rsidR="0003661F" w:rsidRPr="005A22C2">
        <w:t>costs</w:t>
      </w:r>
      <w:r w:rsidRPr="005A22C2">
        <w:t xml:space="preserve"> </w:t>
      </w:r>
      <w:r w:rsidR="00475E88" w:rsidRPr="005A22C2">
        <w:t>in determining the cost of delivering SDA</w:t>
      </w:r>
      <w:r w:rsidR="005F5C04" w:rsidRPr="005A22C2">
        <w:t>: a</w:t>
      </w:r>
      <w:r w:rsidRPr="005A22C2">
        <w:t xml:space="preserve"> development margin to account for the risk </w:t>
      </w:r>
      <w:r w:rsidRPr="005A22C2">
        <w:lastRenderedPageBreak/>
        <w:t>in constructing of the asset</w:t>
      </w:r>
      <w:r w:rsidR="00475E88" w:rsidRPr="005A22C2">
        <w:t>. One stakeholder suggested SDA developers typically seek development margins of 15</w:t>
      </w:r>
      <w:r w:rsidR="00A82995">
        <w:t>%</w:t>
      </w:r>
      <w:r w:rsidR="00475E88" w:rsidRPr="005A22C2">
        <w:t xml:space="preserve"> to 20</w:t>
      </w:r>
      <w:r w:rsidR="00A82995">
        <w:t>%</w:t>
      </w:r>
      <w:r w:rsidR="00475E88" w:rsidRPr="005A22C2">
        <w:t xml:space="preserve"> of the total build and land cost</w:t>
      </w:r>
      <w:r w:rsidR="005F5C04" w:rsidRPr="005A22C2">
        <w:t>; a</w:t>
      </w:r>
      <w:r w:rsidR="0003661F" w:rsidRPr="005A22C2">
        <w:t xml:space="preserve"> rate of return for </w:t>
      </w:r>
      <w:r w:rsidRPr="005A22C2">
        <w:t>the SDA investor to account for the risk in financing and owning the asset</w:t>
      </w:r>
      <w:r w:rsidR="00117167" w:rsidRPr="005A22C2">
        <w:t>;</w:t>
      </w:r>
      <w:r w:rsidRPr="005A22C2">
        <w:t xml:space="preserve"> and</w:t>
      </w:r>
      <w:r w:rsidR="005F5C04" w:rsidRPr="005A22C2">
        <w:t xml:space="preserve"> t</w:t>
      </w:r>
      <w:r w:rsidRPr="005A22C2">
        <w:t xml:space="preserve">he costs associated with managing the asset. </w:t>
      </w:r>
    </w:p>
    <w:p w14:paraId="273DE89F" w14:textId="0C3F4597" w:rsidR="00B83999" w:rsidRPr="005A22C2" w:rsidRDefault="00B83999" w:rsidP="00885F9E">
      <w:pPr>
        <w:pStyle w:val="Heading2"/>
        <w:numPr>
          <w:ilvl w:val="0"/>
          <w:numId w:val="0"/>
        </w:numPr>
        <w:ind w:left="567" w:hanging="567"/>
      </w:pPr>
      <w:r w:rsidRPr="005A22C2">
        <w:t>Land Costs</w:t>
      </w:r>
    </w:p>
    <w:p w14:paraId="0C07FF98" w14:textId="6E915E2C" w:rsidR="00415A30" w:rsidRPr="005A22C2" w:rsidRDefault="00415A30" w:rsidP="006720A0">
      <w:r w:rsidRPr="005A22C2">
        <w:t xml:space="preserve">Stakeholders indicated that the cost of land had increased in the last three years, with increases observed across both metropolitan and regional areas as well as for greenfield and brownfield sites. Stakeholders </w:t>
      </w:r>
      <w:r w:rsidR="0003661F" w:rsidRPr="005A22C2">
        <w:t>reported</w:t>
      </w:r>
      <w:r w:rsidRPr="005A22C2">
        <w:t xml:space="preserve"> that land costs are now accounting for about 70</w:t>
      </w:r>
      <w:r w:rsidR="00A82995">
        <w:t>%</w:t>
      </w:r>
      <w:r w:rsidRPr="005A22C2">
        <w:t xml:space="preserve"> of the aggregate cost of development and are not reflected in the current SDA prices.</w:t>
      </w:r>
    </w:p>
    <w:p w14:paraId="576313CE" w14:textId="3F5BA0A1" w:rsidR="00415A30" w:rsidRPr="005A22C2" w:rsidRDefault="00415A30" w:rsidP="006720A0">
      <w:r w:rsidRPr="005A22C2">
        <w:t xml:space="preserve">Stakeholders indicated that the cost of land is driving them to pursue higher density SDA developments on smaller sites. Stakeholders also noted that BCA Class 3 SDA often requires larger land </w:t>
      </w:r>
      <w:r w:rsidR="00475E88" w:rsidRPr="005A22C2">
        <w:t>areas</w:t>
      </w:r>
      <w:r w:rsidRPr="005A22C2">
        <w:t xml:space="preserve"> to include mandatory provisions such as fire setbacks, wider parking spaces and compliant escape routes.</w:t>
      </w:r>
    </w:p>
    <w:p w14:paraId="5B158B19" w14:textId="77777777" w:rsidR="00702C88" w:rsidRPr="005A22C2" w:rsidRDefault="00415A30" w:rsidP="006720A0">
      <w:r w:rsidRPr="005A22C2">
        <w:t xml:space="preserve">Stakeholders generally agreed that participants should have choice and control over where they live. They noted that in general, participants prefer to live in </w:t>
      </w:r>
      <w:r w:rsidR="0003661F" w:rsidRPr="005A22C2">
        <w:t>developed</w:t>
      </w:r>
      <w:r w:rsidRPr="005A22C2">
        <w:t xml:space="preserve"> locations where they have long established relationships with service providers, supporting infrastructure and family and friends. </w:t>
      </w:r>
      <w:r w:rsidR="00F537B7" w:rsidRPr="005A22C2">
        <w:t>Stakeholders were concerned that, because</w:t>
      </w:r>
      <w:r w:rsidR="0003661F" w:rsidRPr="005A22C2">
        <w:t xml:space="preserve"> the</w:t>
      </w:r>
      <w:r w:rsidR="00702C88" w:rsidRPr="005A22C2">
        <w:t xml:space="preserve"> recent</w:t>
      </w:r>
      <w:r w:rsidRPr="005A22C2">
        <w:t xml:space="preserve"> increase in land costs </w:t>
      </w:r>
      <w:r w:rsidR="00F537B7" w:rsidRPr="005A22C2">
        <w:t>is</w:t>
      </w:r>
      <w:r w:rsidRPr="005A22C2">
        <w:t xml:space="preserve"> not captured in the </w:t>
      </w:r>
      <w:r w:rsidR="00702C88" w:rsidRPr="005A22C2">
        <w:t xml:space="preserve">current </w:t>
      </w:r>
      <w:r w:rsidRPr="005A22C2">
        <w:t xml:space="preserve">prices for SDA, some developers </w:t>
      </w:r>
      <w:r w:rsidR="00F537B7" w:rsidRPr="005A22C2">
        <w:t xml:space="preserve">were choosing to </w:t>
      </w:r>
      <w:r w:rsidRPr="005A22C2">
        <w:t>build SDA on cheaper greenfield land on the urban fringes</w:t>
      </w:r>
      <w:r w:rsidR="00702C88" w:rsidRPr="005A22C2">
        <w:t>,</w:t>
      </w:r>
      <w:r w:rsidRPr="005A22C2">
        <w:t xml:space="preserve"> which was not in line with participant needs and expectations. Stakeholders indicated that the current Location Factors</w:t>
      </w:r>
      <w:r w:rsidR="00F537B7" w:rsidRPr="005A22C2">
        <w:t xml:space="preserve"> </w:t>
      </w:r>
      <w:r w:rsidRPr="005A22C2">
        <w:t>used in the SDA pricing arrangements do not accurately reflect the true cost of land and hence should be updated to reflect increase in land values.</w:t>
      </w:r>
      <w:r w:rsidR="000B08C5" w:rsidRPr="005A22C2">
        <w:t xml:space="preserve"> </w:t>
      </w:r>
    </w:p>
    <w:p w14:paraId="6A932EB1" w14:textId="7067D9A5" w:rsidR="00415A30" w:rsidRPr="005A22C2" w:rsidRDefault="00415A30" w:rsidP="006720A0">
      <w:r w:rsidRPr="005A22C2">
        <w:t xml:space="preserve">There were divergent views on whether Location Factors should be set at </w:t>
      </w:r>
      <w:r w:rsidR="00ED2CC8" w:rsidRPr="005A22C2">
        <w:t xml:space="preserve">the </w:t>
      </w:r>
      <w:r w:rsidRPr="005A22C2">
        <w:t xml:space="preserve">Statistical Area 4 (SA4) or Statistical Area (SA3) level. Some stakeholders recommended using SA3 to minimise SDA developments built in greenfield locations on the urban fringes. However, other stakeholders recommended the Location Factors remain at SA4, as this provides stability and investor confidence </w:t>
      </w:r>
      <w:proofErr w:type="gramStart"/>
      <w:r w:rsidRPr="005A22C2">
        <w:t>and also</w:t>
      </w:r>
      <w:proofErr w:type="gramEnd"/>
      <w:r w:rsidRPr="005A22C2">
        <w:t xml:space="preserve"> allows for adequate choice</w:t>
      </w:r>
      <w:r w:rsidR="00F537B7" w:rsidRPr="005A22C2">
        <w:t xml:space="preserve"> for participants</w:t>
      </w:r>
      <w:r w:rsidRPr="005A22C2">
        <w:t xml:space="preserve">. </w:t>
      </w:r>
      <w:r w:rsidR="00F537B7" w:rsidRPr="005A22C2">
        <w:t>One</w:t>
      </w:r>
      <w:r w:rsidRPr="005A22C2">
        <w:t xml:space="preserve"> stakeholder </w:t>
      </w:r>
      <w:r w:rsidR="00F537B7" w:rsidRPr="005A22C2">
        <w:t>suggested</w:t>
      </w:r>
      <w:r w:rsidRPr="005A22C2">
        <w:t xml:space="preserve"> </w:t>
      </w:r>
      <w:r w:rsidR="00F537B7" w:rsidRPr="005A22C2">
        <w:t xml:space="preserve">that </w:t>
      </w:r>
      <w:r w:rsidRPr="005A22C2">
        <w:t xml:space="preserve">the </w:t>
      </w:r>
      <w:r w:rsidR="00F537B7" w:rsidRPr="005A22C2">
        <w:t>NDIA should</w:t>
      </w:r>
      <w:r w:rsidRPr="005A22C2">
        <w:t xml:space="preserve"> develop separate rural and remote </w:t>
      </w:r>
      <w:r w:rsidR="00772A14" w:rsidRPr="005A22C2">
        <w:t>L</w:t>
      </w:r>
      <w:r w:rsidRPr="005A22C2">
        <w:t xml:space="preserve">ocation </w:t>
      </w:r>
      <w:r w:rsidR="005E3777" w:rsidRPr="005A22C2">
        <w:t>F</w:t>
      </w:r>
      <w:r w:rsidRPr="005A22C2">
        <w:t>actor</w:t>
      </w:r>
      <w:r w:rsidR="00F537B7" w:rsidRPr="005A22C2">
        <w:t>s</w:t>
      </w:r>
      <w:r w:rsidRPr="005A22C2">
        <w:t xml:space="preserve"> to encourage investment in SDA in these areas. </w:t>
      </w:r>
    </w:p>
    <w:p w14:paraId="5A529770" w14:textId="3BD89964" w:rsidR="00B83999" w:rsidRPr="005A22C2" w:rsidRDefault="00B83999" w:rsidP="009F3F8F">
      <w:pPr>
        <w:pStyle w:val="Heading2"/>
        <w:numPr>
          <w:ilvl w:val="0"/>
          <w:numId w:val="0"/>
        </w:numPr>
        <w:ind w:left="567" w:hanging="567"/>
      </w:pPr>
      <w:r w:rsidRPr="005A22C2">
        <w:t>Sprinkler Costs</w:t>
      </w:r>
    </w:p>
    <w:p w14:paraId="35B7F4EE" w14:textId="3E89A092" w:rsidR="00415A30" w:rsidRPr="005A22C2" w:rsidRDefault="00415A30" w:rsidP="006720A0">
      <w:r w:rsidRPr="005A22C2">
        <w:t>Stakeholders expressed mixed views about the purpose, use and necessity of sprinklers in SDA. Some stakeholders were concerned that the inclusion of sprinklers may reduce the amenity and lead to a more institutionalised setting for SDA which</w:t>
      </w:r>
      <w:r w:rsidR="00F537B7" w:rsidRPr="005A22C2">
        <w:t>, they argued,</w:t>
      </w:r>
      <w:r w:rsidRPr="005A22C2">
        <w:t xml:space="preserve"> was against the intent of the Scheme. Other stakeholders cited ethical reasons for including sprinklers and stressed the importance of sprinklers in ensuring the safety of participants, particularly given their vulnerability.</w:t>
      </w:r>
    </w:p>
    <w:p w14:paraId="0F13EC8F" w14:textId="043E2B9E" w:rsidR="00391781" w:rsidRPr="005A22C2" w:rsidRDefault="00415A30" w:rsidP="006720A0">
      <w:r w:rsidRPr="005A22C2">
        <w:lastRenderedPageBreak/>
        <w:t xml:space="preserve">Stakeholders </w:t>
      </w:r>
      <w:r w:rsidR="00F537B7" w:rsidRPr="005A22C2">
        <w:t>also indicated</w:t>
      </w:r>
      <w:r w:rsidRPr="005A22C2">
        <w:t xml:space="preserve"> that the </w:t>
      </w:r>
      <w:r w:rsidR="00391781" w:rsidRPr="005A22C2">
        <w:t xml:space="preserve">current </w:t>
      </w:r>
      <w:r w:rsidRPr="005A22C2">
        <w:t>sprinkler cost allowance of 1.2</w:t>
      </w:r>
      <w:r w:rsidR="00A82995">
        <w:t>%</w:t>
      </w:r>
      <w:r w:rsidRPr="005A22C2">
        <w:t xml:space="preserve"> of total build costs for apartments and 1.9</w:t>
      </w:r>
      <w:r w:rsidR="00A82995">
        <w:t>%</w:t>
      </w:r>
      <w:r w:rsidRPr="005A22C2">
        <w:t xml:space="preserve"> of total build costs for other build types was insufficient to cover the cost of installing sprinklers in SDA. Some stakeholders suggested that an allowance of 4</w:t>
      </w:r>
      <w:r w:rsidR="00A82995">
        <w:t>%</w:t>
      </w:r>
      <w:r w:rsidR="00F537B7" w:rsidRPr="005A22C2">
        <w:t xml:space="preserve"> to </w:t>
      </w:r>
      <w:r w:rsidRPr="005A22C2">
        <w:t>13</w:t>
      </w:r>
      <w:r w:rsidR="00B24711">
        <w:t xml:space="preserve">% </w:t>
      </w:r>
      <w:r w:rsidRPr="005A22C2">
        <w:t xml:space="preserve">of total build costs would be more appropriate. Other stakeholders suggested a flat dollar value for each build type would be more appropriate than a percentage, given the costs for installation are relatively fixed across design categories and building types. </w:t>
      </w:r>
    </w:p>
    <w:p w14:paraId="39053695" w14:textId="07CC8A4F" w:rsidR="00415A30" w:rsidRPr="005A22C2" w:rsidRDefault="00415A30" w:rsidP="006720A0">
      <w:r w:rsidRPr="005A22C2">
        <w:t xml:space="preserve">Stakeholders also </w:t>
      </w:r>
      <w:r w:rsidR="00391781" w:rsidRPr="005A22C2">
        <w:t>indicated that</w:t>
      </w:r>
      <w:r w:rsidRPr="005A22C2">
        <w:t xml:space="preserve"> the complications of installing sprinklers in mixed-use (SDA and non-SDA) apartment developments</w:t>
      </w:r>
      <w:r w:rsidR="00391781" w:rsidRPr="005A22C2">
        <w:t>, w</w:t>
      </w:r>
      <w:r w:rsidRPr="005A22C2">
        <w:t xml:space="preserve">here sprinklers are required due to the presence of SDA </w:t>
      </w:r>
      <w:r w:rsidR="00391781" w:rsidRPr="005A22C2">
        <w:t xml:space="preserve">meant that </w:t>
      </w:r>
      <w:r w:rsidRPr="005A22C2">
        <w:t>the total cost of installing sprinkler systems may be passed on by the developer to the SDA provider.</w:t>
      </w:r>
    </w:p>
    <w:p w14:paraId="67CBBB25" w14:textId="0AE4FF9B" w:rsidR="00B83999" w:rsidRPr="005A22C2" w:rsidRDefault="00B83999" w:rsidP="009F3F8F">
      <w:pPr>
        <w:pStyle w:val="Heading2"/>
        <w:numPr>
          <w:ilvl w:val="0"/>
          <w:numId w:val="0"/>
        </w:numPr>
        <w:ind w:left="567" w:hanging="567"/>
      </w:pPr>
      <w:r w:rsidRPr="005A22C2">
        <w:t>Other Acquisition Costs</w:t>
      </w:r>
    </w:p>
    <w:p w14:paraId="51CAA26E" w14:textId="2D6A4E2F" w:rsidR="00391781" w:rsidRPr="005A22C2" w:rsidRDefault="00391781" w:rsidP="006720A0">
      <w:r w:rsidRPr="005A22C2">
        <w:t>Stakeholders indicated that building SDA on brownfield sites typically involves higher land costs, and incurs additional costs (demolition consent and works, site remediation, tree and vegetation removal and management) that are not currently adequately factored into the SDA pricing arrangements. These costs can reduce gross rental yields and impact the feasibility of an SDA project. Stakeholders noted that these additional costs can range between $20,000 and $75,000 per property. They recommended that these costs should be factored into the SDA pricing arrangements.</w:t>
      </w:r>
    </w:p>
    <w:p w14:paraId="65C6412E" w14:textId="1936E792" w:rsidR="00391781" w:rsidRPr="005A22C2" w:rsidRDefault="00391781" w:rsidP="006720A0">
      <w:r w:rsidRPr="005A22C2">
        <w:t xml:space="preserve">Stakeholders </w:t>
      </w:r>
      <w:r w:rsidR="00F537B7" w:rsidRPr="005A22C2">
        <w:t xml:space="preserve">also </w:t>
      </w:r>
      <w:r w:rsidRPr="005A22C2">
        <w:t xml:space="preserve">indicated </w:t>
      </w:r>
      <w:r w:rsidR="00F537B7" w:rsidRPr="005A22C2">
        <w:t xml:space="preserve">that </w:t>
      </w:r>
      <w:r w:rsidRPr="005A22C2">
        <w:t xml:space="preserve">there is a limited supply of suitably qualified SDA assessors and valuers. Stakeholders have observed a significant increase in the </w:t>
      </w:r>
      <w:r w:rsidR="007E3BD6" w:rsidRPr="005A22C2">
        <w:t xml:space="preserve">requirement for and </w:t>
      </w:r>
      <w:r w:rsidRPr="005A22C2">
        <w:t>cost of consultancies in the last few years, with consultants passing on increases in the cost of professional indemnity insurance to SDA developers.</w:t>
      </w:r>
    </w:p>
    <w:p w14:paraId="01BF7F25" w14:textId="03D05F20" w:rsidR="00391781" w:rsidRPr="005A22C2" w:rsidRDefault="00391781" w:rsidP="006720A0">
      <w:r w:rsidRPr="005A22C2">
        <w:t xml:space="preserve">Stakeholders </w:t>
      </w:r>
      <w:r w:rsidR="00702C88" w:rsidRPr="005A22C2">
        <w:t>further indicated</w:t>
      </w:r>
      <w:r w:rsidRPr="005A22C2">
        <w:t xml:space="preserve"> that inconsistent planning approvals, regulations and requirements across state, territory and local governments are generating additional costs and project delays which are not accounted for in the current SDA pricing arrangements. </w:t>
      </w:r>
    </w:p>
    <w:p w14:paraId="50BCEF52" w14:textId="120D8C75" w:rsidR="00B83999" w:rsidRPr="005A22C2" w:rsidRDefault="00B83999" w:rsidP="009F3F8F">
      <w:pPr>
        <w:pStyle w:val="Heading2"/>
        <w:numPr>
          <w:ilvl w:val="0"/>
          <w:numId w:val="0"/>
        </w:numPr>
        <w:ind w:left="567" w:hanging="567"/>
      </w:pPr>
      <w:r w:rsidRPr="005A22C2">
        <w:t>Exit Costs</w:t>
      </w:r>
    </w:p>
    <w:p w14:paraId="424A5DC6" w14:textId="1DCB0012" w:rsidR="004D4E65" w:rsidRPr="005A22C2" w:rsidRDefault="00391781" w:rsidP="006720A0">
      <w:r w:rsidRPr="005A22C2">
        <w:t>Stakeholders indicated that the requirement to undertake a major refurbishment of SDA at 20 years, regardless of asset condition, to meet New Build requirements, is a major barrier</w:t>
      </w:r>
      <w:r w:rsidR="00F537B7" w:rsidRPr="005A22C2">
        <w:t>,</w:t>
      </w:r>
      <w:r w:rsidRPr="005A22C2">
        <w:t xml:space="preserve"> does not align with other asset classes</w:t>
      </w:r>
      <w:r w:rsidR="00F537B7" w:rsidRPr="005A22C2">
        <w:t>,</w:t>
      </w:r>
      <w:r w:rsidRPr="005A22C2">
        <w:t xml:space="preserve"> and incentivises SDA owners to exit SDA and transition the asset to an alternate use. </w:t>
      </w:r>
    </w:p>
    <w:p w14:paraId="1E7B3281" w14:textId="16B2EC30" w:rsidR="00391781" w:rsidRPr="005A22C2" w:rsidRDefault="00391781" w:rsidP="006720A0">
      <w:r w:rsidRPr="005A22C2">
        <w:t>In general, stakeholders stated that they believe this assumption is misaligned to the market’s willingness to invest longer-term in SDA</w:t>
      </w:r>
      <w:r w:rsidR="00F537B7" w:rsidRPr="005A22C2">
        <w:t xml:space="preserve">. </w:t>
      </w:r>
      <w:r w:rsidRPr="005A22C2">
        <w:t xml:space="preserve">Some stakeholders suggested </w:t>
      </w:r>
      <w:r w:rsidR="00F537B7" w:rsidRPr="005A22C2">
        <w:t xml:space="preserve">SDA providers should be required to establish </w:t>
      </w:r>
      <w:r w:rsidRPr="005A22C2">
        <w:t>a sinking fund</w:t>
      </w:r>
      <w:r w:rsidR="00F537B7" w:rsidRPr="005A22C2">
        <w:t xml:space="preserve"> </w:t>
      </w:r>
      <w:r w:rsidRPr="005A22C2">
        <w:t xml:space="preserve">to ensure capital is made available to refurbish the asset at more regular periods. Other stakeholders </w:t>
      </w:r>
      <w:r w:rsidRPr="005A22C2">
        <w:lastRenderedPageBreak/>
        <w:t>suggested a bespoke approach which assesses the quality of the asset at re-enrolment to determine the refurbishment requirements, rather than a fixed amount.</w:t>
      </w:r>
    </w:p>
    <w:p w14:paraId="774D42F8" w14:textId="3D763043" w:rsidR="00391781" w:rsidRPr="005A22C2" w:rsidRDefault="00391781" w:rsidP="006720A0">
      <w:r w:rsidRPr="005A22C2">
        <w:t>Stakeholders also indicated that the minimum refurbishment cost requirement is a significant obstacle for self-providers wanting to buy their own SDA house and suggested that the NDIA should reduce or eliminate the minimum refurbishment requirements to qualify for New Build SDA funding.</w:t>
      </w:r>
    </w:p>
    <w:p w14:paraId="629421E8" w14:textId="15C34DDD" w:rsidR="00391781" w:rsidRPr="005A22C2" w:rsidRDefault="00391781" w:rsidP="006720A0">
      <w:r w:rsidRPr="005A22C2">
        <w:t>Stakeholders suggested the 20</w:t>
      </w:r>
      <w:r w:rsidR="00F537B7" w:rsidRPr="005A22C2">
        <w:t>-</w:t>
      </w:r>
      <w:r w:rsidRPr="005A22C2">
        <w:t>yea</w:t>
      </w:r>
      <w:r w:rsidR="00F537B7" w:rsidRPr="005A22C2">
        <w:t xml:space="preserve">r </w:t>
      </w:r>
      <w:r w:rsidRPr="005A22C2">
        <w:t>investment horizon for New Build SDA should commence from the date of first payment by the NDIS, rather than when the certificate of occupancy is issued.</w:t>
      </w:r>
    </w:p>
    <w:p w14:paraId="5FCA9597" w14:textId="15F210BC" w:rsidR="00B83999" w:rsidRPr="005A22C2" w:rsidRDefault="00B83999" w:rsidP="009F3F8F">
      <w:pPr>
        <w:pStyle w:val="Heading2"/>
        <w:numPr>
          <w:ilvl w:val="0"/>
          <w:numId w:val="0"/>
        </w:numPr>
        <w:ind w:left="567" w:hanging="567"/>
      </w:pPr>
      <w:r w:rsidRPr="005A22C2">
        <w:t>Ownership Costs</w:t>
      </w:r>
    </w:p>
    <w:p w14:paraId="71FF2464" w14:textId="41CE82D5" w:rsidR="00391781" w:rsidRPr="005A22C2" w:rsidRDefault="00391781" w:rsidP="006720A0">
      <w:r w:rsidRPr="005A22C2">
        <w:t xml:space="preserve">There were divergent views amongst stakeholders on the appropriateness of the allowance for maintenance costs in the current SDA pricing arrangements. </w:t>
      </w:r>
    </w:p>
    <w:p w14:paraId="6423F9AD" w14:textId="64B6D084" w:rsidR="00391781" w:rsidRPr="005A22C2" w:rsidRDefault="00391781" w:rsidP="006720A0">
      <w:r w:rsidRPr="005A22C2">
        <w:t>Some stakeholders indicated that damage caused by participants with behaviours of concern living in Robust SDA posed a significant cost that was not adequately accounted for in the current SDA pricing arrangements. In some cases, stakeholders also noted insurance premium renewals (</w:t>
      </w:r>
      <w:r w:rsidR="008966F5">
        <w:t xml:space="preserve">approximately </w:t>
      </w:r>
      <w:r w:rsidRPr="005A22C2">
        <w:t>$10,000 on a four-bedroom home)</w:t>
      </w:r>
      <w:r w:rsidR="005F6B48" w:rsidRPr="005A22C2">
        <w:t>,</w:t>
      </w:r>
      <w:r w:rsidRPr="005A22C2">
        <w:t xml:space="preserve"> and difficulties in obtaining insurance for Robust SDA and SDA in areas prone to natural disaster</w:t>
      </w:r>
      <w:r w:rsidR="005F6B48" w:rsidRPr="005A22C2">
        <w:t>s</w:t>
      </w:r>
      <w:r w:rsidRPr="005A22C2">
        <w:t>.</w:t>
      </w:r>
    </w:p>
    <w:p w14:paraId="31F386BF" w14:textId="1B7D1F5E" w:rsidR="00391781" w:rsidRPr="005A22C2" w:rsidRDefault="00391781" w:rsidP="006720A0">
      <w:r w:rsidRPr="005A22C2">
        <w:t>S</w:t>
      </w:r>
      <w:r w:rsidR="00F537B7" w:rsidRPr="005A22C2">
        <w:t>ome s</w:t>
      </w:r>
      <w:r w:rsidRPr="005A22C2">
        <w:t>takeholders</w:t>
      </w:r>
      <w:r w:rsidR="00F537B7" w:rsidRPr="005A22C2">
        <w:t xml:space="preserve"> also suggested </w:t>
      </w:r>
      <w:r w:rsidRPr="005A22C2">
        <w:t xml:space="preserve">that vacancy and tenancy management costs are not adequately reflected in the current SDA pricing arrangements. </w:t>
      </w:r>
    </w:p>
    <w:p w14:paraId="66851431" w14:textId="5191215F" w:rsidR="00391781" w:rsidRPr="005A22C2" w:rsidRDefault="00391781" w:rsidP="006720A0">
      <w:r w:rsidRPr="005A22C2">
        <w:t xml:space="preserve">Stakeholders also indicated that corporate overhead costs, such as those to do with stakeholder engagement, research, legal, portfolio management, accounting and tax, reporting and compliance, are not adequately covered in </w:t>
      </w:r>
      <w:r w:rsidR="001839A1" w:rsidRPr="005A22C2">
        <w:t>the current SDA pricing arrangements.</w:t>
      </w:r>
    </w:p>
    <w:p w14:paraId="32E15B75" w14:textId="44E99519" w:rsidR="001839A1" w:rsidRPr="005A22C2" w:rsidRDefault="00391781" w:rsidP="006720A0">
      <w:r w:rsidRPr="005A22C2">
        <w:t>Stakeholders suggested the 3</w:t>
      </w:r>
      <w:r w:rsidR="00B24711">
        <w:t>%</w:t>
      </w:r>
      <w:r w:rsidR="00F537B7" w:rsidRPr="005A22C2">
        <w:t xml:space="preserve"> to 10</w:t>
      </w:r>
      <w:r w:rsidR="00B24711">
        <w:t>%</w:t>
      </w:r>
      <w:r w:rsidR="00F537B7" w:rsidRPr="005A22C2">
        <w:t xml:space="preserve"> </w:t>
      </w:r>
      <w:r w:rsidRPr="005A22C2">
        <w:t xml:space="preserve">vacancy rates assumed in the </w:t>
      </w:r>
      <w:r w:rsidRPr="005A22C2">
        <w:rPr>
          <w:i/>
          <w:iCs/>
        </w:rPr>
        <w:t xml:space="preserve">NDIS </w:t>
      </w:r>
      <w:r w:rsidR="005A75BF" w:rsidRPr="005A22C2">
        <w:rPr>
          <w:i/>
          <w:iCs/>
        </w:rPr>
        <w:t>P</w:t>
      </w:r>
      <w:r w:rsidRPr="005A22C2">
        <w:rPr>
          <w:i/>
          <w:iCs/>
        </w:rPr>
        <w:t xml:space="preserve">ricing Arrangements for SDA </w:t>
      </w:r>
      <w:r w:rsidRPr="005A22C2">
        <w:t xml:space="preserve">were too low and did not reflect actual vacancy rates experienced by the sector. Stakeholders stated they experience higher vacancy rates early in an SDA’s asset lifecycle, with vacancy rates sometimes reaching </w:t>
      </w:r>
      <w:r w:rsidR="00FF5D43">
        <w:t xml:space="preserve">approximately </w:t>
      </w:r>
      <w:r w:rsidR="00C0438F" w:rsidRPr="005A22C2">
        <w:t>70</w:t>
      </w:r>
      <w:r w:rsidR="0059330B">
        <w:t>%</w:t>
      </w:r>
      <w:r w:rsidRPr="005A22C2">
        <w:t xml:space="preserve"> for the first six months. </w:t>
      </w:r>
    </w:p>
    <w:p w14:paraId="467BFB53" w14:textId="1DD9BAD0" w:rsidR="00391781" w:rsidRPr="005A22C2" w:rsidRDefault="00391781" w:rsidP="006720A0">
      <w:r w:rsidRPr="005A22C2">
        <w:t>Stakeholders suggested t</w:t>
      </w:r>
      <w:r w:rsidR="001839A1" w:rsidRPr="005A22C2">
        <w:t>hat t</w:t>
      </w:r>
      <w:r w:rsidRPr="005A22C2">
        <w:t xml:space="preserve">he Agency </w:t>
      </w:r>
      <w:r w:rsidR="001839A1" w:rsidRPr="005A22C2">
        <w:t xml:space="preserve">should </w:t>
      </w:r>
      <w:r w:rsidRPr="005A22C2">
        <w:t xml:space="preserve">consider the time taken to match participants in setting the vacancy assumptions, noting that matching participants in multi-bedroom homes often contributes to higher longer-term vacancy rates. Successfully matching participants requires considering the compatibility of residents, as well as their families, </w:t>
      </w:r>
      <w:r w:rsidR="00702C88" w:rsidRPr="005A22C2">
        <w:t>Supported Independent Living</w:t>
      </w:r>
      <w:r w:rsidRPr="005A22C2">
        <w:t xml:space="preserve"> services</w:t>
      </w:r>
      <w:r w:rsidR="00702C88" w:rsidRPr="005A22C2">
        <w:t>,</w:t>
      </w:r>
      <w:r w:rsidRPr="005A22C2">
        <w:t xml:space="preserve"> and space</w:t>
      </w:r>
      <w:r w:rsidR="00C0438F" w:rsidRPr="005A22C2">
        <w:t xml:space="preserve"> </w:t>
      </w:r>
      <w:r w:rsidRPr="005A22C2">
        <w:t xml:space="preserve">requirements for equipment. </w:t>
      </w:r>
    </w:p>
    <w:p w14:paraId="593E55AD" w14:textId="24EAC8FA" w:rsidR="00391781" w:rsidRPr="005A22C2" w:rsidRDefault="00391781" w:rsidP="006720A0">
      <w:r w:rsidRPr="005A22C2">
        <w:t>Some stakeholders noted they were managing vacancy risk by utilising vacant SDA to provide social housing or Medium-Term Accommodation for NDIS participants as well as accepting participants with a lower level of funding to fill</w:t>
      </w:r>
      <w:r w:rsidR="00702C88" w:rsidRPr="005A22C2">
        <w:t xml:space="preserve"> </w:t>
      </w:r>
      <w:r w:rsidRPr="005A22C2">
        <w:t>room</w:t>
      </w:r>
      <w:r w:rsidR="00702C88" w:rsidRPr="005A22C2">
        <w:t>s</w:t>
      </w:r>
      <w:r w:rsidRPr="005A22C2">
        <w:t xml:space="preserve"> more quickly. One stakeholder noted the compatibility of Improved Liveability SDA for social </w:t>
      </w:r>
      <w:r w:rsidRPr="005A22C2">
        <w:lastRenderedPageBreak/>
        <w:t xml:space="preserve">housing residents who often have disabilities but do not qualify for SDA. </w:t>
      </w:r>
      <w:r w:rsidR="00C0438F" w:rsidRPr="005A22C2">
        <w:t>The argued that u</w:t>
      </w:r>
      <w:r w:rsidRPr="005A22C2">
        <w:t xml:space="preserve">tilising vacant </w:t>
      </w:r>
      <w:r w:rsidR="001839A1" w:rsidRPr="005A22C2">
        <w:t xml:space="preserve">Improved Liveability SDA </w:t>
      </w:r>
      <w:r w:rsidRPr="005A22C2">
        <w:t xml:space="preserve">for social housing would help address a need in the community, reduce vacancy, and provide income for SDA providers (noting the funding for social housing is lower than </w:t>
      </w:r>
      <w:r w:rsidR="00702C88" w:rsidRPr="005A22C2">
        <w:t xml:space="preserve">the funding for </w:t>
      </w:r>
      <w:r w:rsidRPr="005A22C2">
        <w:t>SDA).</w:t>
      </w:r>
    </w:p>
    <w:p w14:paraId="71FEB2DB" w14:textId="0BB8EF01" w:rsidR="00B83999" w:rsidRPr="005A22C2" w:rsidRDefault="00B83999" w:rsidP="009F3F8F">
      <w:pPr>
        <w:pStyle w:val="Heading2"/>
        <w:numPr>
          <w:ilvl w:val="0"/>
          <w:numId w:val="0"/>
        </w:numPr>
        <w:ind w:left="567" w:hanging="567"/>
      </w:pPr>
      <w:r w:rsidRPr="005A22C2">
        <w:t>Tax Costs</w:t>
      </w:r>
    </w:p>
    <w:p w14:paraId="4502A3F9" w14:textId="3F9FD569" w:rsidR="00391781" w:rsidRPr="005A22C2" w:rsidRDefault="00391781" w:rsidP="006720A0">
      <w:r w:rsidRPr="005A22C2">
        <w:t xml:space="preserve">Stakeholders noted that Goods and Services Tax (GST) credits can only be claimed by SDA providers and cannot be claimed by developers, owners, self-providers and investors who are not registered SDA providers. Stakeholders raised concerns about the equity of different organisational legal structures being able to claim GST concessions and the implications for </w:t>
      </w:r>
      <w:proofErr w:type="spellStart"/>
      <w:r w:rsidRPr="005A22C2">
        <w:t>investability</w:t>
      </w:r>
      <w:proofErr w:type="spellEnd"/>
      <w:r w:rsidRPr="005A22C2">
        <w:t xml:space="preserve"> of the SDA market. Stakeholders recommended the </w:t>
      </w:r>
      <w:r w:rsidR="001839A1" w:rsidRPr="005A22C2">
        <w:t>SDA pricing arrangements should</w:t>
      </w:r>
      <w:r w:rsidRPr="005A22C2">
        <w:t xml:space="preserve"> recognise that not all developers and self-providers are eligible for GST </w:t>
      </w:r>
      <w:r w:rsidR="00C0438F" w:rsidRPr="005A22C2">
        <w:t xml:space="preserve">input tax </w:t>
      </w:r>
      <w:r w:rsidRPr="005A22C2">
        <w:t>credits</w:t>
      </w:r>
      <w:r w:rsidR="001839A1" w:rsidRPr="005A22C2">
        <w:t>.</w:t>
      </w:r>
    </w:p>
    <w:p w14:paraId="53205F10" w14:textId="39952812" w:rsidR="00B83999" w:rsidRPr="005A22C2" w:rsidRDefault="00391781" w:rsidP="006720A0">
      <w:r w:rsidRPr="005A22C2">
        <w:t xml:space="preserve">Stakeholders </w:t>
      </w:r>
      <w:r w:rsidR="001839A1" w:rsidRPr="005A22C2">
        <w:t>indicated that</w:t>
      </w:r>
      <w:r w:rsidRPr="005A22C2">
        <w:t xml:space="preserve"> there are </w:t>
      </w:r>
      <w:r w:rsidR="00C0438F" w:rsidRPr="005A22C2">
        <w:t xml:space="preserve">also </w:t>
      </w:r>
      <w:r w:rsidRPr="005A22C2">
        <w:t>inconsistencies with the application of land tax and stamp duty concessions across different organisational legal structures and state and territory jurisdictions. The inconsistencies are viewed by some stakeholders as inequitable and may inhibit further investment in the SDA market, particularly for foreign investors who are subject to additional surcharges</w:t>
      </w:r>
      <w:r w:rsidR="001839A1" w:rsidRPr="005A22C2">
        <w:t xml:space="preserve">. A </w:t>
      </w:r>
      <w:r w:rsidRPr="005A22C2">
        <w:t xml:space="preserve">stakeholder suggested setting separate SDA prices for those </w:t>
      </w:r>
      <w:r w:rsidR="00C0438F" w:rsidRPr="005A22C2">
        <w:t>providers</w:t>
      </w:r>
      <w:r w:rsidRPr="005A22C2">
        <w:t xml:space="preserve"> who can access the land tax and stamp duty concessions and those that are unable to access tax concessions to level the playing field. </w:t>
      </w:r>
    </w:p>
    <w:p w14:paraId="1BEBCB0C" w14:textId="350DA2CB" w:rsidR="00B83999" w:rsidRPr="005A22C2" w:rsidRDefault="00B83999" w:rsidP="009F3F8F">
      <w:pPr>
        <w:pStyle w:val="Heading2"/>
        <w:numPr>
          <w:ilvl w:val="0"/>
          <w:numId w:val="0"/>
        </w:numPr>
        <w:ind w:left="567" w:hanging="567"/>
      </w:pPr>
      <w:r w:rsidRPr="005A22C2">
        <w:t>Financing Costs</w:t>
      </w:r>
    </w:p>
    <w:p w14:paraId="4FDD92E2" w14:textId="4CCB7D69" w:rsidR="00391781" w:rsidRPr="005A22C2" w:rsidRDefault="00391781" w:rsidP="006720A0">
      <w:r w:rsidRPr="005A22C2">
        <w:t xml:space="preserve">Stakeholders </w:t>
      </w:r>
      <w:r w:rsidR="001839A1" w:rsidRPr="005A22C2">
        <w:t>indicated that</w:t>
      </w:r>
      <w:r w:rsidRPr="005A22C2">
        <w:t xml:space="preserve"> investment in the SDA market is constrained by the level of risk that is present in the sector and the comparative returns to similar but lower risk asset classes such as aged care and social housing.</w:t>
      </w:r>
      <w:r w:rsidR="00702C88" w:rsidRPr="005A22C2">
        <w:t xml:space="preserve"> </w:t>
      </w:r>
      <w:r w:rsidR="001839A1" w:rsidRPr="005A22C2">
        <w:t>S</w:t>
      </w:r>
      <w:r w:rsidRPr="005A22C2">
        <w:t xml:space="preserve">takeholders generally agreed that the Equity Beta </w:t>
      </w:r>
      <w:r w:rsidR="001839A1" w:rsidRPr="005A22C2">
        <w:t xml:space="preserve">used in the Capital Asset Pricing Model </w:t>
      </w:r>
      <w:r w:rsidRPr="005A22C2">
        <w:t>for SDA should be higher than the Equity Beta of aged care and social housing, with one stakeholder suggesting an Equity Beta of 1.27 assuming a 50</w:t>
      </w:r>
      <w:r w:rsidR="00FF5D43">
        <w:t>%</w:t>
      </w:r>
      <w:r w:rsidRPr="005A22C2">
        <w:t xml:space="preserve"> gearing.</w:t>
      </w:r>
    </w:p>
    <w:p w14:paraId="0258C17F" w14:textId="5E3EA752" w:rsidR="00391781" w:rsidRPr="005A22C2" w:rsidRDefault="00391781" w:rsidP="006720A0">
      <w:r w:rsidRPr="005A22C2">
        <w:t>Stakeholders suggested</w:t>
      </w:r>
      <w:r w:rsidR="001839A1" w:rsidRPr="005A22C2">
        <w:t xml:space="preserve"> that</w:t>
      </w:r>
      <w:r w:rsidRPr="005A22C2">
        <w:t xml:space="preserve"> the lack of available and accurate data on demand and vacant supply is </w:t>
      </w:r>
      <w:r w:rsidR="001839A1" w:rsidRPr="005A22C2">
        <w:t>preventing</w:t>
      </w:r>
      <w:r w:rsidRPr="005A22C2">
        <w:t xml:space="preserve"> developers from making informed decisions regarding potential developments. The lack of supply and demand data is resulting in a mismatch of demand and supply leading to higher vacancy rates, which ultimately is impacting investor confidence. Stakeholders requested a range of data be provided to the market </w:t>
      </w:r>
      <w:proofErr w:type="gramStart"/>
      <w:r w:rsidRPr="005A22C2">
        <w:t>including:</w:t>
      </w:r>
      <w:proofErr w:type="gramEnd"/>
      <w:r w:rsidRPr="005A22C2">
        <w:t xml:space="preserve"> unmet SDA demand, sources of demand (</w:t>
      </w:r>
      <w:r w:rsidR="00692C70">
        <w:t>for example</w:t>
      </w:r>
      <w:r w:rsidR="007E2D44">
        <w:t>,</w:t>
      </w:r>
      <w:r w:rsidRPr="005A22C2">
        <w:t xml:space="preserve"> aged care, hospitals, Legacy Stock), vacancy rates by design category, location and building type, supply and demand gaps and actual tenancy allocations. One stakeholder requested further information on participant preferences and disaggregated data on Aboriginal and Torres Strait Islander participants to meet their specific cultural needs.</w:t>
      </w:r>
    </w:p>
    <w:p w14:paraId="06DC44C2" w14:textId="795AC0D5" w:rsidR="00391781" w:rsidRPr="005A22C2" w:rsidRDefault="00391781" w:rsidP="006720A0">
      <w:r w:rsidRPr="005A22C2">
        <w:t xml:space="preserve">Stakeholders </w:t>
      </w:r>
      <w:r w:rsidR="001839A1" w:rsidRPr="005A22C2">
        <w:t>indicated that</w:t>
      </w:r>
      <w:r w:rsidRPr="005A22C2">
        <w:t xml:space="preserve"> there are few valuers that understand the SDA market and the NDIS Pricing Arrangements for SDA, and </w:t>
      </w:r>
      <w:r w:rsidR="00702C88" w:rsidRPr="005A22C2">
        <w:t>that, as a result, valuers</w:t>
      </w:r>
      <w:r w:rsidRPr="005A22C2">
        <w:t xml:space="preserve"> frequently </w:t>
      </w:r>
      <w:r w:rsidRPr="005A22C2">
        <w:lastRenderedPageBreak/>
        <w:t>undervalue SDA. Stakeholders noted that many valuers and financiers use the alternate use (</w:t>
      </w:r>
      <w:r w:rsidR="006D6E6F">
        <w:t>that is,</w:t>
      </w:r>
      <w:r w:rsidRPr="005A22C2">
        <w:t xml:space="preserve"> residential house) to value SDA as opposed to a 10-year discounted rental cashflow method. The undervaluation of SDA assets impacts the gearing ratios and total loan to value ratio that financiers offer the market. </w:t>
      </w:r>
    </w:p>
    <w:p w14:paraId="2427B5EC" w14:textId="45928D55" w:rsidR="00B83999" w:rsidRPr="005A22C2" w:rsidRDefault="00B83999" w:rsidP="009F3F8F">
      <w:pPr>
        <w:pStyle w:val="Heading2"/>
        <w:numPr>
          <w:ilvl w:val="0"/>
          <w:numId w:val="0"/>
        </w:numPr>
        <w:ind w:left="567" w:hanging="567"/>
      </w:pPr>
      <w:r w:rsidRPr="005A22C2">
        <w:t>Indexation of Base Prices</w:t>
      </w:r>
    </w:p>
    <w:p w14:paraId="114BF870" w14:textId="5E9B205E" w:rsidR="00391781" w:rsidRPr="005A22C2" w:rsidRDefault="001839A1" w:rsidP="006720A0">
      <w:r w:rsidRPr="005A22C2">
        <w:t>S</w:t>
      </w:r>
      <w:r w:rsidR="00391781" w:rsidRPr="005A22C2">
        <w:t xml:space="preserve">takeholders noted that SDA is not automatically indexed in participant’s plans each year. Instead, SDA prices only increase when a plan review is undertaken, which may be only every two or three years. Stakeholders </w:t>
      </w:r>
      <w:r w:rsidRPr="005A22C2">
        <w:t>indicated that this meant that</w:t>
      </w:r>
      <w:r w:rsidR="00391781" w:rsidRPr="005A22C2">
        <w:t xml:space="preserve"> they currently absorb the CPI increases until </w:t>
      </w:r>
      <w:r w:rsidR="00C0438F" w:rsidRPr="005A22C2">
        <w:t xml:space="preserve">a </w:t>
      </w:r>
      <w:r w:rsidR="00391781" w:rsidRPr="005A22C2">
        <w:t>participant</w:t>
      </w:r>
      <w:r w:rsidR="00C0438F" w:rsidRPr="005A22C2">
        <w:t>’s</w:t>
      </w:r>
      <w:r w:rsidR="00391781" w:rsidRPr="005A22C2">
        <w:t xml:space="preserve"> plan</w:t>
      </w:r>
      <w:r w:rsidR="00C0438F" w:rsidRPr="005A22C2">
        <w:t xml:space="preserve"> is</w:t>
      </w:r>
      <w:r w:rsidR="00391781" w:rsidRPr="005A22C2">
        <w:t xml:space="preserve"> reviewed and the updated pricing is adopted</w:t>
      </w:r>
      <w:r w:rsidRPr="005A22C2">
        <w:t>, which i</w:t>
      </w:r>
      <w:r w:rsidR="00391781" w:rsidRPr="005A22C2">
        <w:t xml:space="preserve">mpacts profitability and investor confidence and participation in the market. </w:t>
      </w:r>
    </w:p>
    <w:p w14:paraId="0781A5D9" w14:textId="4FCBB632" w:rsidR="00391781" w:rsidRPr="005A22C2" w:rsidRDefault="00391781" w:rsidP="006720A0">
      <w:r w:rsidRPr="005A22C2">
        <w:t xml:space="preserve">Stakeholders </w:t>
      </w:r>
      <w:r w:rsidR="001839A1" w:rsidRPr="005A22C2">
        <w:t>indicated</w:t>
      </w:r>
      <w:r w:rsidRPr="005A22C2">
        <w:t xml:space="preserve"> that build and land costs increases over the past five years have outpaced the Consumer Price Index. Stakeholder views varied on the most appropriate approach to price indexation. Several investors and financiers recommended CPI should be maintained to promote stability and investor confidence, while other stakeholders recommended the use of other indices. For example, for construction costs, some stakeholders recommended either the Cordell Construction Cost Index or Rawlinson’s trade guide. For land costs, some stakeholders recommended or the Australian Bureau of Statistics Residential Property Price Index or Heron Todd White Property Report.</w:t>
      </w:r>
    </w:p>
    <w:p w14:paraId="227ADC2D" w14:textId="7FDAE8C2" w:rsidR="00B83999" w:rsidRPr="005A22C2" w:rsidRDefault="00391781" w:rsidP="006720A0">
      <w:r w:rsidRPr="005A22C2">
        <w:t>Stakeholders recommended that limited SDA Price Reviews (smaller reviews undertaken between 5-year SDA Price Review</w:t>
      </w:r>
      <w:r w:rsidR="00702C88" w:rsidRPr="005A22C2">
        <w:t>s</w:t>
      </w:r>
      <w:r w:rsidRPr="005A22C2">
        <w:t>) could be used to correct for significant surges in the prices of land or materials.</w:t>
      </w:r>
    </w:p>
    <w:p w14:paraId="5E5D8216" w14:textId="077DC1FB" w:rsidR="00B83999" w:rsidRPr="005A22C2" w:rsidRDefault="00B83999" w:rsidP="002402DA">
      <w:pPr>
        <w:pStyle w:val="Heading2"/>
        <w:numPr>
          <w:ilvl w:val="0"/>
          <w:numId w:val="0"/>
        </w:numPr>
        <w:ind w:left="567" w:hanging="567"/>
      </w:pPr>
      <w:r w:rsidRPr="005A22C2">
        <w:t>Other Issues</w:t>
      </w:r>
    </w:p>
    <w:p w14:paraId="2B695CCD" w14:textId="77777777" w:rsidR="00822E80" w:rsidRPr="005A22C2" w:rsidRDefault="00391781" w:rsidP="006720A0">
      <w:r w:rsidRPr="005A22C2">
        <w:t xml:space="preserve">Stakeholders noted the current rules for using SDA are restrictive and indicated a desire for greater flexibility in how participants can utilise SDA funding (perhaps through amendments to Appendix G of the </w:t>
      </w:r>
      <w:r w:rsidRPr="005A22C2">
        <w:rPr>
          <w:i/>
          <w:iCs/>
        </w:rPr>
        <w:t>NDIS Pricing Arrangements for SDA</w:t>
      </w:r>
      <w:r w:rsidRPr="005A22C2">
        <w:t xml:space="preserve">) to better accommodate different lifestyle, family and independence needs in line with the original intention of the Scheme. </w:t>
      </w:r>
    </w:p>
    <w:p w14:paraId="2F9ECD18" w14:textId="3AD7A6BA" w:rsidR="00391781" w:rsidRPr="005A22C2" w:rsidRDefault="00391781" w:rsidP="006720A0">
      <w:r w:rsidRPr="005A22C2">
        <w:t>Stakeholders recommended promoting Independent Living Options which would allow SDA participants to live with family and friends, which would also reduce care costs for the Agency.</w:t>
      </w:r>
    </w:p>
    <w:p w14:paraId="7C370277" w14:textId="1F6B6E39" w:rsidR="00A47429" w:rsidRPr="005A22C2" w:rsidRDefault="00702C88" w:rsidP="006720A0">
      <w:r w:rsidRPr="005A22C2">
        <w:t>Some</w:t>
      </w:r>
      <w:r w:rsidR="00391781" w:rsidRPr="005A22C2">
        <w:t xml:space="preserve"> stakeholders suggested that alternative finance arrangements should be considered to encourage greater institutional investment in SDA and assist SDA participants with home ownership. Stakeholders suggested allowing self-providers to use their SDA funding for a home deposit or the Agency develop a shared equity model.</w:t>
      </w:r>
    </w:p>
    <w:p w14:paraId="28199FBC" w14:textId="65C61C42" w:rsidR="00A714D0" w:rsidRPr="005A22C2" w:rsidRDefault="00A714D0" w:rsidP="006720A0"/>
    <w:p w14:paraId="361F9BE0" w14:textId="77777777" w:rsidR="003731F1" w:rsidRPr="005A22C2" w:rsidRDefault="003731F1" w:rsidP="006720A0">
      <w:pPr>
        <w:pStyle w:val="Heading1"/>
        <w:sectPr w:rsidR="003731F1" w:rsidRPr="005A22C2" w:rsidSect="00D71FA7">
          <w:footerReference w:type="default" r:id="rId22"/>
          <w:footerReference w:type="first" r:id="rId23"/>
          <w:pgSz w:w="11906" w:h="16838" w:code="9"/>
          <w:pgMar w:top="1418" w:right="1418" w:bottom="1418" w:left="1418" w:header="709" w:footer="709" w:gutter="0"/>
          <w:pgNumType w:start="0"/>
          <w:cols w:space="708"/>
          <w:docGrid w:linePitch="360"/>
        </w:sectPr>
      </w:pPr>
      <w:bookmarkStart w:id="21" w:name="_Toc122612061"/>
      <w:bookmarkStart w:id="22" w:name="_Toc126595086"/>
    </w:p>
    <w:p w14:paraId="7A11B341" w14:textId="77777777" w:rsidR="00A714D0" w:rsidRPr="005A22C2" w:rsidRDefault="00A714D0" w:rsidP="006720A0">
      <w:pPr>
        <w:pStyle w:val="Heading1"/>
      </w:pPr>
      <w:bookmarkStart w:id="23" w:name="_Toc129783528"/>
      <w:bookmarkStart w:id="24" w:name="_Toc136006849"/>
      <w:r w:rsidRPr="005A22C2">
        <w:lastRenderedPageBreak/>
        <w:t>Introduction</w:t>
      </w:r>
      <w:bookmarkEnd w:id="21"/>
      <w:bookmarkEnd w:id="22"/>
      <w:bookmarkEnd w:id="23"/>
      <w:bookmarkEnd w:id="24"/>
    </w:p>
    <w:p w14:paraId="7A6A053F" w14:textId="77777777" w:rsidR="00C140AD" w:rsidRPr="005A22C2" w:rsidRDefault="00C140AD" w:rsidP="006720A0">
      <w:r w:rsidRPr="005A22C2">
        <w:t>Specialist Disability Accommodation (SDA) is one of the supports that may be funded under the National Disability Insurance Scheme (NDIS) for some participants. SDA funding is provided to participants who require a specialist dwelling that reduces their need for person-to-person supports, or that improves the efficiency of the delivery of the person-to-person supports that they receive. SDA funding is only provided for participants who meet strict eligibility criteria. Participants who meet the eligibility criteria will have an extreme functional impairment and/or very high support needs.</w:t>
      </w:r>
    </w:p>
    <w:p w14:paraId="27FE8514" w14:textId="77ABC35E" w:rsidR="00A47429" w:rsidRPr="005A22C2" w:rsidRDefault="00C140AD" w:rsidP="006720A0">
      <w:r w:rsidRPr="005A22C2">
        <w:t xml:space="preserve">The long-term pricing and payments framework for the funding of the land and built elements of SDA under the NDIS is set out in the </w:t>
      </w:r>
      <w:hyperlink r:id="rId24" w:history="1">
        <w:r w:rsidRPr="005A22C2">
          <w:rPr>
            <w:rStyle w:val="Hyperlink"/>
            <w:i/>
            <w:iCs/>
          </w:rPr>
          <w:t>Specialist Disability Accommodation Pricing and Payments Framework</w:t>
        </w:r>
      </w:hyperlink>
      <w:r w:rsidRPr="005A22C2">
        <w:t xml:space="preserve"> (“the Framework”), which was approved by the Commonwealth and all state and territory ministers in 2020. Under the Framework, the National Disability Insurance Agency (NDIA) is responsible for setting the pricing </w:t>
      </w:r>
      <w:r w:rsidRPr="005A22C2">
        <w:rPr>
          <w:szCs w:val="22"/>
        </w:rPr>
        <w:t>arrangements</w:t>
      </w:r>
      <w:r w:rsidRPr="005A22C2">
        <w:t xml:space="preserve"> for SDA. In line with the Framework, the NDIA</w:t>
      </w:r>
      <w:r w:rsidR="001B2067" w:rsidRPr="005A22C2">
        <w:t xml:space="preserve"> is currently undertaking </w:t>
      </w:r>
      <w:r w:rsidRPr="005A22C2">
        <w:t>the first five-yearly</w:t>
      </w:r>
      <w:r w:rsidR="001B2067" w:rsidRPr="005A22C2">
        <w:t xml:space="preserve"> review of the pricing arrangements for </w:t>
      </w:r>
      <w:r w:rsidRPr="005A22C2">
        <w:t>SDA in the NDIS.</w:t>
      </w:r>
      <w:r w:rsidR="001B2067" w:rsidRPr="005A22C2">
        <w:t xml:space="preserve"> The results of the SDA Pricing Review will be implemented from 1 July 2023.</w:t>
      </w:r>
    </w:p>
    <w:p w14:paraId="250A77D8" w14:textId="7AE40E3A" w:rsidR="00A47429" w:rsidRPr="005A22C2" w:rsidRDefault="001B2067" w:rsidP="006720A0">
      <w:r w:rsidRPr="005A22C2">
        <w:t xml:space="preserve">As part of the SDA Pricing Review, the NDIA has undertaken extensive consultations with interested parties. </w:t>
      </w:r>
      <w:r w:rsidR="00960B2D" w:rsidRPr="005A22C2">
        <w:t xml:space="preserve">This document summarises </w:t>
      </w:r>
      <w:r w:rsidR="00B0434D" w:rsidRPr="005A22C2">
        <w:t xml:space="preserve">the </w:t>
      </w:r>
      <w:r w:rsidRPr="005A22C2">
        <w:t xml:space="preserve">issues that were raised with, and the </w:t>
      </w:r>
      <w:r w:rsidR="00960B2D" w:rsidRPr="005A22C2">
        <w:t>evidence that was provided to</w:t>
      </w:r>
      <w:r w:rsidRPr="005A22C2">
        <w:t>,</w:t>
      </w:r>
      <w:r w:rsidR="00960B2D" w:rsidRPr="005A22C2">
        <w:t xml:space="preserve"> the</w:t>
      </w:r>
      <w:r w:rsidRPr="005A22C2">
        <w:t xml:space="preserve"> NDIA </w:t>
      </w:r>
      <w:r w:rsidR="00960B2D" w:rsidRPr="005A22C2">
        <w:t xml:space="preserve">through </w:t>
      </w:r>
      <w:r w:rsidRPr="005A22C2">
        <w:t>those</w:t>
      </w:r>
      <w:r w:rsidR="00B0434D" w:rsidRPr="005A22C2">
        <w:t xml:space="preserve"> </w:t>
      </w:r>
      <w:r w:rsidR="00960B2D" w:rsidRPr="005A22C2">
        <w:t>consultations</w:t>
      </w:r>
      <w:r w:rsidRPr="005A22C2">
        <w:t>.</w:t>
      </w:r>
      <w:r w:rsidR="005F5C04" w:rsidRPr="005A22C2">
        <w:t xml:space="preserve"> The views expressed in this document are not necessarily those of the NDIA and the publication of these views by the NDIA should not be taken to an endorsement by the NDIA of the views expressed. The NDIA </w:t>
      </w:r>
      <w:r w:rsidR="007B6007" w:rsidRPr="005A22C2">
        <w:t xml:space="preserve">is publishing this report of the </w:t>
      </w:r>
      <w:r w:rsidRPr="005A22C2">
        <w:t xml:space="preserve">issues raised, and </w:t>
      </w:r>
      <w:r w:rsidR="00B0434D" w:rsidRPr="005A22C2">
        <w:t>evidence provided</w:t>
      </w:r>
      <w:r w:rsidRPr="005A22C2">
        <w:t xml:space="preserve">, </w:t>
      </w:r>
      <w:r w:rsidR="00E93B2F" w:rsidRPr="005A22C2">
        <w:t xml:space="preserve">by stakeholders </w:t>
      </w:r>
      <w:r w:rsidR="007B6007" w:rsidRPr="005A22C2">
        <w:t>during the SDA Pricing Review to ensure greater transparency in its decision-making processes.</w:t>
      </w:r>
      <w:r w:rsidR="005F5C04" w:rsidRPr="005A22C2">
        <w:t xml:space="preserve"> </w:t>
      </w:r>
      <w:r w:rsidR="00960B2D" w:rsidRPr="005A22C2">
        <w:t xml:space="preserve">The NDIA’s response to the issues raised in the consultations will be published separately </w:t>
      </w:r>
      <w:r w:rsidR="00CA2E82" w:rsidRPr="005A22C2">
        <w:t xml:space="preserve">in the </w:t>
      </w:r>
      <w:r w:rsidR="007B6007" w:rsidRPr="005A22C2">
        <w:t>final report of the SDA</w:t>
      </w:r>
      <w:r w:rsidR="0015640B" w:rsidRPr="005A22C2">
        <w:t xml:space="preserve"> Pricing Review</w:t>
      </w:r>
      <w:r w:rsidR="00960B2D" w:rsidRPr="005A22C2">
        <w:t>.</w:t>
      </w:r>
    </w:p>
    <w:p w14:paraId="3BBDC54F" w14:textId="3BAE33EA" w:rsidR="00960B2D" w:rsidRPr="005A22C2" w:rsidRDefault="00960B2D" w:rsidP="006720A0">
      <w:pPr>
        <w:pStyle w:val="Heading2"/>
      </w:pPr>
      <w:bookmarkStart w:id="25" w:name="_Toc122612062"/>
      <w:bookmarkStart w:id="26" w:name="_Toc126595087"/>
      <w:bookmarkStart w:id="27" w:name="_Toc129783529"/>
      <w:bookmarkStart w:id="28" w:name="_Toc136006850"/>
      <w:r w:rsidRPr="005A22C2">
        <w:t xml:space="preserve">Terms of Reference of the </w:t>
      </w:r>
      <w:r w:rsidR="00A53FE7" w:rsidRPr="005A22C2">
        <w:t>SDA</w:t>
      </w:r>
      <w:r w:rsidR="0032162A" w:rsidRPr="005A22C2">
        <w:t xml:space="preserve"> </w:t>
      </w:r>
      <w:r w:rsidR="007B6007" w:rsidRPr="005A22C2">
        <w:t>Pricing Review</w:t>
      </w:r>
      <w:r w:rsidR="00E927C5" w:rsidRPr="005A22C2">
        <w:t xml:space="preserve"> 2022-23</w:t>
      </w:r>
      <w:bookmarkEnd w:id="25"/>
      <w:bookmarkEnd w:id="26"/>
      <w:bookmarkEnd w:id="27"/>
      <w:bookmarkEnd w:id="28"/>
    </w:p>
    <w:p w14:paraId="17C19E4E" w14:textId="01269026" w:rsidR="0036255C" w:rsidRPr="005A22C2" w:rsidRDefault="002128CC" w:rsidP="006720A0">
      <w:r w:rsidRPr="005A22C2">
        <w:t xml:space="preserve">The Terms of Reference of the </w:t>
      </w:r>
      <w:r w:rsidR="006344D5" w:rsidRPr="005A22C2">
        <w:t>SDA Pricing Review</w:t>
      </w:r>
      <w:r w:rsidRPr="005A22C2">
        <w:t xml:space="preserve"> </w:t>
      </w:r>
      <w:r w:rsidR="007B6007" w:rsidRPr="005A22C2">
        <w:t>require it</w:t>
      </w:r>
      <w:r w:rsidR="009B34BD" w:rsidRPr="005A22C2">
        <w:t xml:space="preserve"> to examine whether the existing assumptions that underpin SDA prices will support a sustainable SDA market that fosters choice and control, encourages innovation, provide</w:t>
      </w:r>
      <w:r w:rsidR="000E208D" w:rsidRPr="005A22C2">
        <w:t>s</w:t>
      </w:r>
      <w:r w:rsidR="009B34BD" w:rsidRPr="005A22C2">
        <w:t xml:space="preserve"> options for participants,</w:t>
      </w:r>
      <w:r w:rsidR="003040DC" w:rsidRPr="005A22C2">
        <w:t xml:space="preserve"> and supports</w:t>
      </w:r>
      <w:r w:rsidR="009B34BD" w:rsidRPr="005A22C2">
        <w:t xml:space="preserve"> continuity of supply and financial sustainability for governments, participants, </w:t>
      </w:r>
      <w:r w:rsidR="00F15D41" w:rsidRPr="005A22C2">
        <w:t>investors,</w:t>
      </w:r>
      <w:r w:rsidR="009B34BD" w:rsidRPr="005A22C2">
        <w:t xml:space="preserve"> and providers.</w:t>
      </w:r>
      <w:r w:rsidR="005B1ACE" w:rsidRPr="005A22C2">
        <w:t xml:space="preserve"> </w:t>
      </w:r>
      <w:r w:rsidR="00FB76E9" w:rsidRPr="005A22C2">
        <w:t xml:space="preserve">In particular, the </w:t>
      </w:r>
      <w:r w:rsidR="001A2B66" w:rsidRPr="005A22C2">
        <w:t>T</w:t>
      </w:r>
      <w:r w:rsidR="00430DC8" w:rsidRPr="005A22C2">
        <w:t xml:space="preserve">erms of </w:t>
      </w:r>
      <w:r w:rsidR="001A2B66" w:rsidRPr="005A22C2">
        <w:t>R</w:t>
      </w:r>
      <w:r w:rsidR="00430DC8" w:rsidRPr="005A22C2">
        <w:t>eference</w:t>
      </w:r>
      <w:r w:rsidR="001A2B66" w:rsidRPr="005A22C2">
        <w:t xml:space="preserve"> </w:t>
      </w:r>
      <w:r w:rsidR="00191A32" w:rsidRPr="005A22C2">
        <w:t xml:space="preserve">require the </w:t>
      </w:r>
      <w:r w:rsidR="0036255C" w:rsidRPr="005A22C2">
        <w:t>NDIA</w:t>
      </w:r>
      <w:r w:rsidR="0036255C" w:rsidRPr="005A22C2" w:rsidDel="00191A32">
        <w:t xml:space="preserve"> </w:t>
      </w:r>
      <w:r w:rsidR="0036255C" w:rsidRPr="005A22C2">
        <w:t>to:</w:t>
      </w:r>
    </w:p>
    <w:p w14:paraId="79E2C29E" w14:textId="2B7D2D76" w:rsidR="0036255C" w:rsidRPr="005A22C2" w:rsidRDefault="0036255C" w:rsidP="006720A0">
      <w:pPr>
        <w:pStyle w:val="DotPoint"/>
      </w:pPr>
      <w:r w:rsidRPr="005A22C2">
        <w:t xml:space="preserve">Develop benchmark estimates of the efficient construction cost in a benchmark Region (excluding the cost of land) for each of the 96 allowable combinations of Building Type and Design Category that are funded as SDA by the </w:t>
      </w:r>
      <w:r w:rsidR="001B2067" w:rsidRPr="005A22C2">
        <w:t>NDIS.</w:t>
      </w:r>
    </w:p>
    <w:p w14:paraId="0B510EA7" w14:textId="77777777" w:rsidR="0036255C" w:rsidRPr="005A22C2" w:rsidRDefault="0036255C" w:rsidP="006720A0">
      <w:pPr>
        <w:pStyle w:val="DotPoint"/>
      </w:pPr>
      <w:r w:rsidRPr="005A22C2">
        <w:lastRenderedPageBreak/>
        <w:t>Develop statistical estimates of the cost per square meter of undeveloped and vacant land in each of the 88 SA4 regions, where the land is valued based on its highest and best permitted use.</w:t>
      </w:r>
    </w:p>
    <w:p w14:paraId="3FABDBD5" w14:textId="77777777" w:rsidR="0036255C" w:rsidRPr="005A22C2" w:rsidRDefault="0036255C" w:rsidP="006720A0">
      <w:pPr>
        <w:pStyle w:val="DotPoint"/>
      </w:pPr>
      <w:r w:rsidRPr="005A22C2">
        <w:t>Estimate the future rate of growth in the cost per square meter of undeveloped and vacant land, including the extent to which different future growth rates are likely to apply to different SA4 regions.</w:t>
      </w:r>
    </w:p>
    <w:p w14:paraId="3F1D58F0" w14:textId="77777777" w:rsidR="0036255C" w:rsidRPr="005A22C2" w:rsidRDefault="0036255C" w:rsidP="006720A0">
      <w:pPr>
        <w:pStyle w:val="DotPoint"/>
      </w:pPr>
      <w:r w:rsidRPr="005A22C2">
        <w:t xml:space="preserve">Review the current methodology by which the NDIA accounts for the differences in construction costs between geographic locations and the assumptions in that methodology, including whether it is appropriate to use the same relative construction cost multiplier for all Building Types and Design Categories </w:t>
      </w:r>
      <w:proofErr w:type="gramStart"/>
      <w:r w:rsidRPr="005A22C2">
        <w:t>in a given</w:t>
      </w:r>
      <w:proofErr w:type="gramEnd"/>
      <w:r w:rsidRPr="005A22C2">
        <w:t xml:space="preserve"> region.</w:t>
      </w:r>
    </w:p>
    <w:p w14:paraId="63E9D1DE" w14:textId="77777777" w:rsidR="0036255C" w:rsidRPr="005A22C2" w:rsidRDefault="0036255C" w:rsidP="006720A0">
      <w:pPr>
        <w:pStyle w:val="DotPoint"/>
      </w:pPr>
      <w:r w:rsidRPr="005A22C2">
        <w:t>Review the current methodology by which the NDIA accounts for the presence of sprinklers in estimating the construction cost of a New Build, including whether it is appropriate to use the same adjustment for all Building Types, Design Categories and Regions. The NDIA will also examine whether the pricing arrangements provide an appropriate incentive for the installation of sprinklers given the mobility needs of some participants and test if it might not be more appropriate to require the installation of sprinklers in all New Builds.</w:t>
      </w:r>
    </w:p>
    <w:p w14:paraId="1C2513F5" w14:textId="77777777" w:rsidR="0036255C" w:rsidRPr="005A22C2" w:rsidRDefault="0036255C" w:rsidP="006720A0">
      <w:pPr>
        <w:pStyle w:val="DotPoint"/>
      </w:pPr>
      <w:r w:rsidRPr="005A22C2">
        <w:t>Estimate the loss in value that can be expected to occur on the conversion of SDA to general property at the end of an investment, including the extent to which this varies by Building Type and Size, Design Category and Region.</w:t>
      </w:r>
    </w:p>
    <w:p w14:paraId="557B5D78" w14:textId="77777777" w:rsidR="0036255C" w:rsidRPr="005A22C2" w:rsidRDefault="0036255C" w:rsidP="006720A0">
      <w:pPr>
        <w:pStyle w:val="DotPoint"/>
      </w:pPr>
      <w:r w:rsidRPr="005A22C2">
        <w:t>Estimate the fees that are incurred on the sale of SDA properties, including the extent to which these fees vary by Building Type and Size, Design Category and Region.</w:t>
      </w:r>
    </w:p>
    <w:p w14:paraId="78BD98A9" w14:textId="77777777" w:rsidR="0036255C" w:rsidRPr="005A22C2" w:rsidRDefault="0036255C" w:rsidP="006720A0">
      <w:pPr>
        <w:pStyle w:val="DotPoint"/>
      </w:pPr>
      <w:r w:rsidRPr="005A22C2">
        <w:t>Estimate the vacancy rates that efficient SDA providers can expect to encounter, including the extent to which these rates vary by Building Type and Size, Design Category and Region.</w:t>
      </w:r>
    </w:p>
    <w:p w14:paraId="1C9683F5" w14:textId="77777777" w:rsidR="0036255C" w:rsidRPr="005A22C2" w:rsidRDefault="0036255C" w:rsidP="006720A0">
      <w:pPr>
        <w:pStyle w:val="DotPoint"/>
      </w:pPr>
      <w:r w:rsidRPr="005A22C2">
        <w:t>Estimate the efficient costs of ownership, including maintenance, property management and vacancy management, and examine whether these costs significantly vary by Design Category, Building Type and Size, and Region.</w:t>
      </w:r>
    </w:p>
    <w:p w14:paraId="55510B85" w14:textId="77777777" w:rsidR="0036255C" w:rsidRPr="005A22C2" w:rsidRDefault="0036255C" w:rsidP="006720A0">
      <w:pPr>
        <w:pStyle w:val="DotPoint"/>
      </w:pPr>
      <w:r w:rsidRPr="005A22C2">
        <w:t>Estimate the key parameters of a Capital Assets Pricing Model for SDA investments, including:</w:t>
      </w:r>
      <w:r w:rsidRPr="005A22C2">
        <w:tab/>
      </w:r>
    </w:p>
    <w:p w14:paraId="2133CC07" w14:textId="2FE22193" w:rsidR="0036255C" w:rsidRPr="005A22C2" w:rsidRDefault="0036255C" w:rsidP="00447FF1">
      <w:pPr>
        <w:pStyle w:val="DotPoint"/>
        <w:numPr>
          <w:ilvl w:val="0"/>
          <w:numId w:val="29"/>
        </w:numPr>
      </w:pPr>
      <w:r w:rsidRPr="005A22C2">
        <w:t xml:space="preserve">The Equity Beta for SDA </w:t>
      </w:r>
      <w:r w:rsidR="00CC37D9" w:rsidRPr="005A22C2">
        <w:t>investments</w:t>
      </w:r>
      <w:r w:rsidR="00F15D41" w:rsidRPr="005A22C2">
        <w:t>;</w:t>
      </w:r>
    </w:p>
    <w:p w14:paraId="5B26F2CC" w14:textId="0332E68B" w:rsidR="0036255C" w:rsidRPr="005A22C2" w:rsidRDefault="0036255C" w:rsidP="00447FF1">
      <w:pPr>
        <w:pStyle w:val="DotPoint"/>
        <w:numPr>
          <w:ilvl w:val="0"/>
          <w:numId w:val="29"/>
        </w:numPr>
      </w:pPr>
      <w:r w:rsidRPr="005A22C2">
        <w:t>The efficient Gearing Ratio for SDA investments; and</w:t>
      </w:r>
    </w:p>
    <w:p w14:paraId="003D562D" w14:textId="355BE0EB" w:rsidR="0036255C" w:rsidRPr="005A22C2" w:rsidRDefault="0036255C" w:rsidP="00447FF1">
      <w:pPr>
        <w:pStyle w:val="DotPoint"/>
        <w:numPr>
          <w:ilvl w:val="0"/>
          <w:numId w:val="29"/>
        </w:numPr>
      </w:pPr>
      <w:r w:rsidRPr="005A22C2">
        <w:t>The extent to which the typical equity investor in SDA can use the franking credits attached to its dividends because of the payment of company tax.</w:t>
      </w:r>
    </w:p>
    <w:p w14:paraId="4C1FBC90" w14:textId="77777777" w:rsidR="0036255C" w:rsidRPr="005A22C2" w:rsidRDefault="0036255C" w:rsidP="006720A0">
      <w:pPr>
        <w:pStyle w:val="DotPoint"/>
      </w:pPr>
      <w:r w:rsidRPr="005A22C2">
        <w:t xml:space="preserve">Estimate the typical gross rental yields that can be expected from SDA type properties in the Australian economy, including the extent to which gross rental </w:t>
      </w:r>
      <w:r w:rsidRPr="005A22C2">
        <w:lastRenderedPageBreak/>
        <w:t>yields significantly vary by Design Category, Building Type and Size, and Region.</w:t>
      </w:r>
    </w:p>
    <w:p w14:paraId="7891AD56" w14:textId="77777777" w:rsidR="0036255C" w:rsidRPr="005A22C2" w:rsidRDefault="0036255C" w:rsidP="006720A0">
      <w:pPr>
        <w:pStyle w:val="DotPoint"/>
      </w:pPr>
      <w:r w:rsidRPr="005A22C2">
        <w:t>Examine any other factors that have the potential to impact on the ability of the Scheme to attract the required level of investment over the next twenty years across the range of SDA to meet the reasonable and necessary support needs of participants.</w:t>
      </w:r>
    </w:p>
    <w:p w14:paraId="07B3C058" w14:textId="539363A8" w:rsidR="0036255C" w:rsidRPr="005A22C2" w:rsidRDefault="0036255C" w:rsidP="006720A0">
      <w:r w:rsidRPr="005A22C2">
        <w:t xml:space="preserve">In developing the new SDA Benchmark Prices, the </w:t>
      </w:r>
      <w:r w:rsidR="00E93B2F" w:rsidRPr="005A22C2">
        <w:t>NDIA</w:t>
      </w:r>
      <w:r w:rsidRPr="005A22C2">
        <w:t xml:space="preserve"> </w:t>
      </w:r>
      <w:r w:rsidR="007B6007" w:rsidRPr="005A22C2">
        <w:t>is required to</w:t>
      </w:r>
      <w:r w:rsidRPr="005A22C2">
        <w:t xml:space="preserve"> be </w:t>
      </w:r>
      <w:r w:rsidR="007B6007" w:rsidRPr="005A22C2">
        <w:t>cognisant</w:t>
      </w:r>
      <w:r w:rsidRPr="005A22C2">
        <w:t xml:space="preserve"> of the need to both attract investment to meet current demand and support investment to meet changing demand on a regional basis.</w:t>
      </w:r>
    </w:p>
    <w:p w14:paraId="37469038" w14:textId="3B3717A6" w:rsidR="007B6007" w:rsidRPr="005A22C2" w:rsidRDefault="00E93B2F" w:rsidP="006720A0">
      <w:r w:rsidRPr="005A22C2">
        <w:t>In undertaking the SDA Pricing Review, the NDIA</w:t>
      </w:r>
      <w:r w:rsidR="0036255C" w:rsidRPr="005A22C2">
        <w:t xml:space="preserve"> </w:t>
      </w:r>
      <w:r w:rsidR="007B6007" w:rsidRPr="005A22C2">
        <w:t>is also required to:</w:t>
      </w:r>
    </w:p>
    <w:p w14:paraId="15E6AC70" w14:textId="74FB9C62" w:rsidR="0036255C" w:rsidRPr="005A22C2" w:rsidRDefault="007B6007" w:rsidP="006720A0">
      <w:pPr>
        <w:pStyle w:val="DotPoint"/>
      </w:pPr>
      <w:r w:rsidRPr="005A22C2">
        <w:t>D</w:t>
      </w:r>
      <w:r w:rsidR="0036255C" w:rsidRPr="005A22C2">
        <w:t>evelop supply and demand projections for SDA properties and examine the extent to which the demand mix will change in the medium to long term</w:t>
      </w:r>
      <w:r w:rsidRPr="005A22C2">
        <w:t>; and</w:t>
      </w:r>
    </w:p>
    <w:p w14:paraId="4D720E91" w14:textId="4FD82461" w:rsidR="0036255C" w:rsidRPr="005A22C2" w:rsidRDefault="007B6007" w:rsidP="006720A0">
      <w:pPr>
        <w:pStyle w:val="DotPoint"/>
      </w:pPr>
      <w:r w:rsidRPr="005A22C2">
        <w:t>Ex</w:t>
      </w:r>
      <w:r w:rsidR="0036255C" w:rsidRPr="005A22C2">
        <w:t xml:space="preserve">amine the implications for SDA pricing of the decision on 30 April 2022 by building ministers to include minimum accessibility standards in the 2022 </w:t>
      </w:r>
      <w:r w:rsidR="001B2067" w:rsidRPr="005A22C2">
        <w:t>National Construction Code</w:t>
      </w:r>
      <w:r w:rsidR="0036255C" w:rsidRPr="005A22C2">
        <w:t>. The new standards will come into effect in September 2022.</w:t>
      </w:r>
    </w:p>
    <w:p w14:paraId="44FD3C81" w14:textId="6EB34951" w:rsidR="00A47429" w:rsidRPr="005A22C2" w:rsidRDefault="0036255C" w:rsidP="006720A0">
      <w:r w:rsidRPr="005A22C2">
        <w:t xml:space="preserve">In framing its recommendations, the </w:t>
      </w:r>
      <w:r w:rsidR="00E93B2F" w:rsidRPr="005A22C2">
        <w:t>NDIA</w:t>
      </w:r>
      <w:r w:rsidRPr="005A22C2">
        <w:t xml:space="preserve"> </w:t>
      </w:r>
      <w:r w:rsidR="007B6007" w:rsidRPr="005A22C2">
        <w:t>is required to</w:t>
      </w:r>
      <w:r w:rsidRPr="005A22C2">
        <w:t xml:space="preserve"> be cognisant of the provisions in paragraphs 99</w:t>
      </w:r>
      <w:r w:rsidR="00336371">
        <w:t xml:space="preserve"> to </w:t>
      </w:r>
      <w:r w:rsidRPr="005A22C2">
        <w:t xml:space="preserve">101 of the </w:t>
      </w:r>
      <w:r w:rsidRPr="005A22C2">
        <w:rPr>
          <w:i/>
        </w:rPr>
        <w:t xml:space="preserve">Specialist Disability Accommodation Pricing and Payments Framework, </w:t>
      </w:r>
      <w:r w:rsidRPr="005A22C2">
        <w:t xml:space="preserve">which provide that the NDIA can make other payments in respect of housing or accommodation arrangements that are consistent with the </w:t>
      </w:r>
      <w:r w:rsidR="007E3AF3" w:rsidRPr="005A22C2">
        <w:rPr>
          <w:i/>
          <w:iCs/>
        </w:rPr>
        <w:t>National Disability Insurance Scheme Act 2013</w:t>
      </w:r>
      <w:r w:rsidRPr="005A22C2">
        <w:t>, including funding arrangements to facilitate the supply of SDA where the market is not responding appropriately to the demand for places, and/or where innovative built forms or financing arrangements are needed.</w:t>
      </w:r>
    </w:p>
    <w:p w14:paraId="0E1B1529" w14:textId="1DA45929" w:rsidR="0036255C" w:rsidRPr="005A22C2" w:rsidRDefault="0036255C" w:rsidP="006720A0">
      <w:r w:rsidRPr="005A22C2">
        <w:t xml:space="preserve">In framing its recommendations, the </w:t>
      </w:r>
      <w:r w:rsidR="00E93B2F" w:rsidRPr="005A22C2">
        <w:t>NDIA</w:t>
      </w:r>
      <w:r w:rsidRPr="005A22C2">
        <w:t xml:space="preserve"> </w:t>
      </w:r>
      <w:r w:rsidR="007E3AF3" w:rsidRPr="005A22C2">
        <w:t xml:space="preserve">is </w:t>
      </w:r>
      <w:r w:rsidR="007B6007" w:rsidRPr="005A22C2">
        <w:t>also required to</w:t>
      </w:r>
      <w:r w:rsidRPr="005A22C2">
        <w:t xml:space="preserve"> be cognisant of the objectives and principles of the NDIS, as set out in the </w:t>
      </w:r>
      <w:r w:rsidR="007E3AF3" w:rsidRPr="005A22C2">
        <w:rPr>
          <w:i/>
          <w:iCs/>
        </w:rPr>
        <w:t>National Disability Insurance Scheme</w:t>
      </w:r>
      <w:r w:rsidRPr="005A22C2">
        <w:rPr>
          <w:i/>
          <w:iCs/>
        </w:rPr>
        <w:t xml:space="preserve"> Act</w:t>
      </w:r>
      <w:r w:rsidR="007E3AF3" w:rsidRPr="005A22C2">
        <w:rPr>
          <w:i/>
          <w:iCs/>
        </w:rPr>
        <w:t xml:space="preserve"> 2013</w:t>
      </w:r>
      <w:r w:rsidRPr="005A22C2">
        <w:t>, including that the NDIS should:</w:t>
      </w:r>
    </w:p>
    <w:p w14:paraId="4007910C" w14:textId="77777777" w:rsidR="0036255C" w:rsidRPr="005A22C2" w:rsidRDefault="0036255C" w:rsidP="006720A0">
      <w:pPr>
        <w:pStyle w:val="DotPoint"/>
      </w:pPr>
      <w:r w:rsidRPr="005A22C2">
        <w:t>Support the independence and social and economic participation of people with disability.</w:t>
      </w:r>
    </w:p>
    <w:p w14:paraId="7D545A50" w14:textId="77777777" w:rsidR="0036255C" w:rsidRPr="005A22C2" w:rsidRDefault="0036255C" w:rsidP="006720A0">
      <w:pPr>
        <w:pStyle w:val="DotPoint"/>
      </w:pPr>
      <w:r w:rsidRPr="005A22C2">
        <w:t>Enable people with disability to exercise choice and control in the pursuit of their goals and the planning and delivery of their supports.</w:t>
      </w:r>
    </w:p>
    <w:p w14:paraId="2819B0EA" w14:textId="77777777" w:rsidR="0036255C" w:rsidRPr="005A22C2" w:rsidRDefault="0036255C" w:rsidP="006720A0">
      <w:pPr>
        <w:pStyle w:val="DotPoint"/>
      </w:pPr>
      <w:r w:rsidRPr="005A22C2">
        <w:t>Facilitate the development of a nationally consistent approach to the access to, and the planning and funding of, supports for people with disability.</w:t>
      </w:r>
    </w:p>
    <w:p w14:paraId="7CA4D29A" w14:textId="77777777" w:rsidR="0036255C" w:rsidRPr="005A22C2" w:rsidRDefault="0036255C" w:rsidP="006720A0">
      <w:pPr>
        <w:pStyle w:val="DotPoint"/>
      </w:pPr>
      <w:r w:rsidRPr="005A22C2">
        <w:t>Promote the provision of high quality and innovative supports that enable people with disability to maximise independent lifestyles and full inclusion in the community.</w:t>
      </w:r>
    </w:p>
    <w:p w14:paraId="5A3056BA" w14:textId="77777777" w:rsidR="0036255C" w:rsidRPr="005A22C2" w:rsidRDefault="0036255C" w:rsidP="006720A0">
      <w:pPr>
        <w:pStyle w:val="DotPoint"/>
      </w:pPr>
      <w:r w:rsidRPr="005A22C2">
        <w:t>Adopt an insurance based approach, informed by actuarial analysis, to the provision and funding of supports for people with disability.</w:t>
      </w:r>
    </w:p>
    <w:p w14:paraId="0B7C1649" w14:textId="2FE40675" w:rsidR="0036255C" w:rsidRPr="005A22C2" w:rsidRDefault="0036255C" w:rsidP="006720A0">
      <w:pPr>
        <w:pStyle w:val="DotPoint"/>
      </w:pPr>
      <w:r w:rsidRPr="005A22C2">
        <w:lastRenderedPageBreak/>
        <w:t>Be financially sustainable.</w:t>
      </w:r>
    </w:p>
    <w:p w14:paraId="63C3BF3B" w14:textId="0614BA89" w:rsidR="007B6007" w:rsidRPr="005A22C2" w:rsidRDefault="007B6007" w:rsidP="006720A0">
      <w:pPr>
        <w:pStyle w:val="Heading2"/>
      </w:pPr>
      <w:bookmarkStart w:id="29" w:name="_Toc129783530"/>
      <w:bookmarkStart w:id="30" w:name="_Toc136006851"/>
      <w:r w:rsidRPr="005A22C2">
        <w:t>Consultations</w:t>
      </w:r>
      <w:bookmarkEnd w:id="29"/>
      <w:bookmarkEnd w:id="30"/>
    </w:p>
    <w:p w14:paraId="5C5F1466" w14:textId="722EA3E8" w:rsidR="009737C4" w:rsidRPr="005A22C2" w:rsidRDefault="00394FCB" w:rsidP="006720A0">
      <w:r w:rsidRPr="005A22C2">
        <w:t xml:space="preserve">The </w:t>
      </w:r>
      <w:r w:rsidR="00E93B2F" w:rsidRPr="005A22C2">
        <w:t>NDIA</w:t>
      </w:r>
      <w:r w:rsidR="00D64EBD" w:rsidRPr="005A22C2">
        <w:t xml:space="preserve"> sought the views of stakeholders through three methods: </w:t>
      </w:r>
      <w:r w:rsidR="007E3AF3" w:rsidRPr="005A22C2">
        <w:t xml:space="preserve">submissions </w:t>
      </w:r>
      <w:r w:rsidR="00E93B2F" w:rsidRPr="005A22C2">
        <w:t>i</w:t>
      </w:r>
      <w:r w:rsidR="007E3AF3" w:rsidRPr="005A22C2">
        <w:t xml:space="preserve">n response to a </w:t>
      </w:r>
      <w:r w:rsidR="00457A55" w:rsidRPr="005A22C2">
        <w:t xml:space="preserve">consultation paper </w:t>
      </w:r>
      <w:r w:rsidR="007E3AF3" w:rsidRPr="005A22C2">
        <w:t>that was released by the NDIA</w:t>
      </w:r>
      <w:r w:rsidR="00A714D0" w:rsidRPr="005A22C2">
        <w:t xml:space="preserve">, </w:t>
      </w:r>
      <w:r w:rsidR="007E3AF3" w:rsidRPr="005A22C2">
        <w:t xml:space="preserve">discussions with </w:t>
      </w:r>
      <w:r w:rsidR="00D84C52" w:rsidRPr="005A22C2">
        <w:t>Consultation Group</w:t>
      </w:r>
      <w:r w:rsidR="00E93B2F" w:rsidRPr="005A22C2">
        <w:t>s</w:t>
      </w:r>
      <w:r w:rsidR="00A714D0" w:rsidRPr="005A22C2">
        <w:t xml:space="preserve"> and individual consultations.</w:t>
      </w:r>
      <w:r w:rsidR="00D64EBD" w:rsidRPr="005A22C2">
        <w:t xml:space="preserve"> Each of these methods are explained further below. </w:t>
      </w:r>
      <w:r w:rsidR="009737C4" w:rsidRPr="005A22C2">
        <w:t xml:space="preserve">The NDIA acknowledges the quality of the submissions received and is grateful to all the individuals and organisations who brought their </w:t>
      </w:r>
      <w:r w:rsidR="000E0C5C" w:rsidRPr="005A22C2">
        <w:t>consider</w:t>
      </w:r>
      <w:r w:rsidR="009737C4" w:rsidRPr="005A22C2">
        <w:t>able experience and expertise to the consultations.</w:t>
      </w:r>
    </w:p>
    <w:p w14:paraId="7D7BBE44" w14:textId="78922553" w:rsidR="006F1569" w:rsidRPr="005A22C2" w:rsidRDefault="006F1569" w:rsidP="006720A0">
      <w:pPr>
        <w:pStyle w:val="Heading3"/>
      </w:pPr>
      <w:bookmarkStart w:id="31" w:name="_Toc122612063"/>
      <w:bookmarkStart w:id="32" w:name="_Toc126595088"/>
      <w:bookmarkStart w:id="33" w:name="_Toc129783531"/>
      <w:r w:rsidRPr="005A22C2">
        <w:t xml:space="preserve">Consultation </w:t>
      </w:r>
      <w:r w:rsidR="00E93B2F" w:rsidRPr="005A22C2">
        <w:t>P</w:t>
      </w:r>
      <w:r w:rsidRPr="005A22C2">
        <w:t>aper</w:t>
      </w:r>
      <w:bookmarkEnd w:id="31"/>
      <w:bookmarkEnd w:id="32"/>
      <w:bookmarkEnd w:id="33"/>
    </w:p>
    <w:p w14:paraId="0481589D" w14:textId="16625E5D" w:rsidR="000F134D" w:rsidRPr="005A22C2" w:rsidRDefault="00E2453B" w:rsidP="006720A0">
      <w:r w:rsidRPr="005A22C2">
        <w:t xml:space="preserve">The NDIA published the </w:t>
      </w:r>
      <w:r w:rsidR="00212C3B" w:rsidRPr="005A22C2">
        <w:rPr>
          <w:i/>
          <w:iCs/>
          <w:szCs w:val="22"/>
        </w:rPr>
        <w:t>Specialist</w:t>
      </w:r>
      <w:r w:rsidR="00212C3B" w:rsidRPr="005A22C2">
        <w:rPr>
          <w:i/>
          <w:szCs w:val="22"/>
        </w:rPr>
        <w:t xml:space="preserve"> Disability Accommodation 2022-23 Pricing Review</w:t>
      </w:r>
      <w:r w:rsidR="00212C3B" w:rsidRPr="005A22C2">
        <w:rPr>
          <w:i/>
          <w:iCs/>
        </w:rPr>
        <w:t xml:space="preserve"> </w:t>
      </w:r>
      <w:r w:rsidRPr="005A22C2">
        <w:rPr>
          <w:i/>
          <w:iCs/>
        </w:rPr>
        <w:t>Consultation Paper</w:t>
      </w:r>
      <w:r w:rsidRPr="005A22C2">
        <w:t xml:space="preserve"> (</w:t>
      </w:r>
      <w:r w:rsidR="00E93B2F" w:rsidRPr="005A22C2">
        <w:t xml:space="preserve">“the </w:t>
      </w:r>
      <w:r w:rsidR="006F1569" w:rsidRPr="005A22C2">
        <w:t>Consultation Paper</w:t>
      </w:r>
      <w:r w:rsidR="00E93B2F" w:rsidRPr="005A22C2">
        <w:t>”</w:t>
      </w:r>
      <w:r w:rsidRPr="005A22C2">
        <w:t>)</w:t>
      </w:r>
      <w:r w:rsidR="006F1569" w:rsidRPr="005A22C2">
        <w:t xml:space="preserve"> on 27 October 2022</w:t>
      </w:r>
      <w:r w:rsidRPr="005A22C2">
        <w:t>.</w:t>
      </w:r>
      <w:r w:rsidR="00177997" w:rsidRPr="005A22C2">
        <w:t xml:space="preserve"> </w:t>
      </w:r>
      <w:r w:rsidR="007E3AF3" w:rsidRPr="005A22C2">
        <w:t>In</w:t>
      </w:r>
      <w:r w:rsidR="00212C3B" w:rsidRPr="005A22C2">
        <w:t xml:space="preserve">terested parties including </w:t>
      </w:r>
      <w:r w:rsidR="007E3AF3" w:rsidRPr="005A22C2">
        <w:t xml:space="preserve">participants, </w:t>
      </w:r>
      <w:r w:rsidRPr="005A22C2">
        <w:t>builders and developers of SDA, institutional investors,</w:t>
      </w:r>
      <w:r w:rsidR="00212C3B" w:rsidRPr="005A22C2">
        <w:t xml:space="preserve"> SDA providers, </w:t>
      </w:r>
      <w:r w:rsidR="007E3AF3" w:rsidRPr="005A22C2">
        <w:t xml:space="preserve">and </w:t>
      </w:r>
      <w:r w:rsidR="00212C3B" w:rsidRPr="005A22C2">
        <w:t>government</w:t>
      </w:r>
      <w:r w:rsidR="007E3AF3" w:rsidRPr="005A22C2">
        <w:t xml:space="preserve">s were asked </w:t>
      </w:r>
      <w:r w:rsidR="00A672A4" w:rsidRPr="005A22C2">
        <w:t xml:space="preserve">to </w:t>
      </w:r>
      <w:r w:rsidR="007E3AF3" w:rsidRPr="005A22C2">
        <w:t xml:space="preserve">make submissions in response to </w:t>
      </w:r>
      <w:r w:rsidR="00495FA7" w:rsidRPr="005A22C2">
        <w:t>29</w:t>
      </w:r>
      <w:r w:rsidR="00017DA9" w:rsidRPr="005A22C2">
        <w:t xml:space="preserve"> questions</w:t>
      </w:r>
      <w:r w:rsidR="007E3AF3" w:rsidRPr="005A22C2">
        <w:t xml:space="preserve"> (grouped in 10 themes)</w:t>
      </w:r>
      <w:r w:rsidR="00495FA7" w:rsidRPr="005A22C2">
        <w:t>.</w:t>
      </w:r>
      <w:r w:rsidR="00212C3B" w:rsidRPr="005A22C2">
        <w:t xml:space="preserve"> Submissions were </w:t>
      </w:r>
      <w:r w:rsidR="00177997" w:rsidRPr="005A22C2">
        <w:t>required to be lodged by 9 December 2022</w:t>
      </w:r>
      <w:r w:rsidR="007E3AF3" w:rsidRPr="005A22C2">
        <w:t>. Some</w:t>
      </w:r>
      <w:r w:rsidR="00177997" w:rsidRPr="005A22C2">
        <w:t xml:space="preserve"> </w:t>
      </w:r>
      <w:r w:rsidR="00212C3B" w:rsidRPr="005A22C2">
        <w:t xml:space="preserve">late </w:t>
      </w:r>
      <w:r w:rsidR="00177997" w:rsidRPr="005A22C2">
        <w:t xml:space="preserve">submissions </w:t>
      </w:r>
      <w:r w:rsidR="007E3AF3" w:rsidRPr="005A22C2">
        <w:t xml:space="preserve">were </w:t>
      </w:r>
      <w:r w:rsidR="003218EB" w:rsidRPr="005A22C2">
        <w:t>accepted.</w:t>
      </w:r>
      <w:r w:rsidR="00176A6D" w:rsidRPr="005A22C2">
        <w:t xml:space="preserve"> </w:t>
      </w:r>
      <w:r w:rsidR="00A672A4" w:rsidRPr="005A22C2">
        <w:t>A total of</w:t>
      </w:r>
      <w:r w:rsidR="003218EB" w:rsidRPr="005A22C2">
        <w:t xml:space="preserve"> </w:t>
      </w:r>
      <w:r w:rsidR="00A71176" w:rsidRPr="005A22C2">
        <w:t>4</w:t>
      </w:r>
      <w:r w:rsidR="00EB7E90" w:rsidRPr="005A22C2">
        <w:t>6</w:t>
      </w:r>
      <w:r w:rsidR="00212C3B" w:rsidRPr="005A22C2">
        <w:t xml:space="preserve"> written </w:t>
      </w:r>
      <w:r w:rsidR="003218EB" w:rsidRPr="005A22C2">
        <w:t>submissions were received</w:t>
      </w:r>
      <w:r w:rsidR="000175D0" w:rsidRPr="005A22C2">
        <w:t xml:space="preserve">, of which </w:t>
      </w:r>
      <w:r w:rsidR="00901A63" w:rsidRPr="005A22C2">
        <w:t>six</w:t>
      </w:r>
      <w:r w:rsidR="000175D0" w:rsidRPr="005A22C2">
        <w:t xml:space="preserve"> were confidential submissions</w:t>
      </w:r>
      <w:r w:rsidR="003218EB" w:rsidRPr="005A22C2">
        <w:t xml:space="preserve">. A list of submissions </w:t>
      </w:r>
      <w:r w:rsidR="00763113" w:rsidRPr="005A22C2">
        <w:t xml:space="preserve">is </w:t>
      </w:r>
      <w:r w:rsidR="007E3AF3" w:rsidRPr="005A22C2">
        <w:t xml:space="preserve">at page </w:t>
      </w:r>
      <w:r w:rsidR="007E3AF3" w:rsidRPr="005A22C2">
        <w:fldChar w:fldCharType="begin"/>
      </w:r>
      <w:r w:rsidR="007E3AF3" w:rsidRPr="005A22C2">
        <w:instrText xml:space="preserve"> PAGEREF _Ref129789576 \h </w:instrText>
      </w:r>
      <w:r w:rsidR="007E3AF3" w:rsidRPr="005A22C2">
        <w:fldChar w:fldCharType="separate"/>
      </w:r>
      <w:r w:rsidR="006772C2">
        <w:rPr>
          <w:noProof/>
        </w:rPr>
        <w:t>84</w:t>
      </w:r>
      <w:r w:rsidR="007E3AF3" w:rsidRPr="005A22C2">
        <w:fldChar w:fldCharType="end"/>
      </w:r>
      <w:r w:rsidR="000F134D" w:rsidRPr="005A22C2">
        <w:t>.</w:t>
      </w:r>
    </w:p>
    <w:p w14:paraId="058F2673" w14:textId="7D498043" w:rsidR="006F1569" w:rsidRPr="005A22C2" w:rsidRDefault="006F1569" w:rsidP="006720A0">
      <w:r w:rsidRPr="005A22C2">
        <w:t>Submissions were received from a diverse range of stakeholders, including</w:t>
      </w:r>
      <w:r w:rsidR="007E3AF3" w:rsidRPr="005A22C2" w:rsidDel="00212C3B">
        <w:t xml:space="preserve"> </w:t>
      </w:r>
      <w:r w:rsidR="007E3AF3" w:rsidRPr="005A22C2">
        <w:t>participants (</w:t>
      </w:r>
      <w:r w:rsidR="00EB7E90" w:rsidRPr="005A22C2">
        <w:t>10</w:t>
      </w:r>
      <w:r w:rsidR="007E3AF3" w:rsidRPr="005A22C2">
        <w:t xml:space="preserve">), peak bodies (9), </w:t>
      </w:r>
      <w:r w:rsidR="008D1BC6" w:rsidRPr="005A22C2">
        <w:t xml:space="preserve">builders and developers of SDA </w:t>
      </w:r>
      <w:r w:rsidRPr="005A22C2">
        <w:t>(</w:t>
      </w:r>
      <w:r w:rsidR="00EA2207" w:rsidRPr="005A22C2">
        <w:t>7</w:t>
      </w:r>
      <w:r w:rsidRPr="005A22C2">
        <w:t xml:space="preserve">), </w:t>
      </w:r>
      <w:r w:rsidR="005A7845" w:rsidRPr="005A22C2">
        <w:t>institutional investors, including major bank</w:t>
      </w:r>
      <w:r w:rsidR="0096106D" w:rsidRPr="005A22C2">
        <w:t>s</w:t>
      </w:r>
      <w:r w:rsidR="007E3AF3" w:rsidRPr="005A22C2">
        <w:t xml:space="preserve"> </w:t>
      </w:r>
      <w:r w:rsidR="0096106D" w:rsidRPr="005A22C2">
        <w:t>and social impact investment funds</w:t>
      </w:r>
      <w:r w:rsidR="00BA7374" w:rsidRPr="005A22C2">
        <w:t xml:space="preserve"> (7</w:t>
      </w:r>
      <w:r w:rsidR="005A7845" w:rsidRPr="005A22C2">
        <w:t xml:space="preserve">), SDA </w:t>
      </w:r>
      <w:r w:rsidR="00D70AAC" w:rsidRPr="005A22C2">
        <w:t xml:space="preserve">providers </w:t>
      </w:r>
      <w:r w:rsidR="005A7845" w:rsidRPr="005A22C2">
        <w:t>(</w:t>
      </w:r>
      <w:r w:rsidR="00BA7374" w:rsidRPr="005A22C2">
        <w:t>1</w:t>
      </w:r>
      <w:r w:rsidR="00EB7E90" w:rsidRPr="005A22C2">
        <w:t>1)</w:t>
      </w:r>
      <w:r w:rsidR="00BA7374" w:rsidRPr="005A22C2">
        <w:t xml:space="preserve">, </w:t>
      </w:r>
      <w:r w:rsidR="007E3AF3" w:rsidRPr="005A22C2">
        <w:t xml:space="preserve">and </w:t>
      </w:r>
      <w:r w:rsidR="00212C3B" w:rsidRPr="005A22C2">
        <w:t>g</w:t>
      </w:r>
      <w:r w:rsidR="00BA7374" w:rsidRPr="005A22C2">
        <w:t>overnment</w:t>
      </w:r>
      <w:r w:rsidR="007E3AF3" w:rsidRPr="005A22C2">
        <w:t>s</w:t>
      </w:r>
      <w:r w:rsidR="00BA7374" w:rsidRPr="005A22C2">
        <w:t xml:space="preserve"> (</w:t>
      </w:r>
      <w:r w:rsidR="007E3AF3" w:rsidRPr="005A22C2">
        <w:t>2</w:t>
      </w:r>
      <w:r w:rsidR="00BA7374" w:rsidRPr="005A22C2">
        <w:t>)</w:t>
      </w:r>
      <w:r w:rsidR="007E3AF3" w:rsidRPr="005A22C2">
        <w:t>.</w:t>
      </w:r>
    </w:p>
    <w:p w14:paraId="5F2F2C56" w14:textId="684CAE3B" w:rsidR="00A714D0" w:rsidRPr="005A22C2" w:rsidRDefault="00D84C52" w:rsidP="006720A0">
      <w:pPr>
        <w:pStyle w:val="Heading3"/>
      </w:pPr>
      <w:bookmarkStart w:id="34" w:name="_Toc122612064"/>
      <w:bookmarkStart w:id="35" w:name="_Toc126595089"/>
      <w:bookmarkStart w:id="36" w:name="_Toc129783532"/>
      <w:r w:rsidRPr="005A22C2">
        <w:t>Consultation Group</w:t>
      </w:r>
      <w:r w:rsidR="00A714D0" w:rsidRPr="005A22C2">
        <w:t>s</w:t>
      </w:r>
      <w:bookmarkEnd w:id="34"/>
      <w:bookmarkEnd w:id="35"/>
      <w:bookmarkEnd w:id="36"/>
    </w:p>
    <w:p w14:paraId="2FC4CA2B" w14:textId="7F820A68" w:rsidR="002D3B9A" w:rsidRPr="005A22C2" w:rsidRDefault="008F6006" w:rsidP="006720A0">
      <w:r w:rsidRPr="005A22C2">
        <w:t xml:space="preserve">Eleven </w:t>
      </w:r>
      <w:r w:rsidR="006F1569" w:rsidRPr="005A22C2">
        <w:t>(1</w:t>
      </w:r>
      <w:r w:rsidRPr="005A22C2">
        <w:t>1</w:t>
      </w:r>
      <w:r w:rsidR="006F1569" w:rsidRPr="005A22C2">
        <w:t>)</w:t>
      </w:r>
      <w:r w:rsidR="002D3B9A" w:rsidRPr="005A22C2">
        <w:t xml:space="preserve"> stakeholder </w:t>
      </w:r>
      <w:r w:rsidR="00D84C52" w:rsidRPr="005A22C2">
        <w:t>Consultation Group</w:t>
      </w:r>
      <w:r w:rsidR="002D3B9A" w:rsidRPr="005A22C2">
        <w:t>s were established</w:t>
      </w:r>
      <w:r w:rsidR="00952AD6" w:rsidRPr="005A22C2">
        <w:t xml:space="preserve"> to garner </w:t>
      </w:r>
      <w:r w:rsidR="00B93E2F" w:rsidRPr="005A22C2">
        <w:t xml:space="preserve">feedback from </w:t>
      </w:r>
      <w:r w:rsidR="00094578" w:rsidRPr="005A22C2">
        <w:t xml:space="preserve">a diversity of </w:t>
      </w:r>
      <w:r w:rsidR="00B93E2F" w:rsidRPr="005A22C2">
        <w:t xml:space="preserve">stakeholders on the Consultation Paper. The </w:t>
      </w:r>
      <w:r w:rsidR="00D84C52" w:rsidRPr="005A22C2">
        <w:t>Consultation Group</w:t>
      </w:r>
      <w:r w:rsidR="00B93E2F" w:rsidRPr="005A22C2">
        <w:t>s included:</w:t>
      </w:r>
    </w:p>
    <w:p w14:paraId="238CDD61" w14:textId="77777777" w:rsidR="00A47429" w:rsidRPr="005A22C2" w:rsidRDefault="007E3AF3" w:rsidP="006720A0">
      <w:pPr>
        <w:pStyle w:val="DotPoint"/>
      </w:pPr>
      <w:r w:rsidRPr="005A22C2">
        <w:rPr>
          <w:b/>
        </w:rPr>
        <w:t xml:space="preserve">Consultation Group </w:t>
      </w:r>
      <w:r w:rsidRPr="005A22C2">
        <w:rPr>
          <w:b/>
          <w:bCs/>
        </w:rPr>
        <w:t>1 (Participants and SDA Self</w:t>
      </w:r>
      <w:r w:rsidRPr="005A22C2">
        <w:rPr>
          <w:b/>
        </w:rPr>
        <w:t>-</w:t>
      </w:r>
      <w:r w:rsidRPr="005A22C2">
        <w:rPr>
          <w:b/>
          <w:bCs/>
        </w:rPr>
        <w:t>Providers):</w:t>
      </w:r>
      <w:r w:rsidRPr="005A22C2">
        <w:t xml:space="preserve"> SDA</w:t>
      </w:r>
      <w:r w:rsidRPr="005A22C2" w:rsidDel="003E06C0">
        <w:t xml:space="preserve"> </w:t>
      </w:r>
      <w:r w:rsidRPr="005A22C2">
        <w:t>participants / and or family members who own SDA for their own personal use or for their family.</w:t>
      </w:r>
    </w:p>
    <w:p w14:paraId="4A4FAE6F" w14:textId="42070D0F" w:rsidR="00BD43AF" w:rsidRPr="005A22C2" w:rsidRDefault="00D84C52" w:rsidP="006720A0">
      <w:pPr>
        <w:pStyle w:val="DotPoint"/>
      </w:pPr>
      <w:r w:rsidRPr="005A22C2">
        <w:rPr>
          <w:b/>
        </w:rPr>
        <w:t>Consultation Group</w:t>
      </w:r>
      <w:r w:rsidR="00BD43AF" w:rsidRPr="005A22C2">
        <w:rPr>
          <w:b/>
        </w:rPr>
        <w:t xml:space="preserve"> </w:t>
      </w:r>
      <w:r w:rsidR="007E3AF3" w:rsidRPr="005A22C2">
        <w:rPr>
          <w:b/>
        </w:rPr>
        <w:t>2</w:t>
      </w:r>
      <w:r w:rsidR="00BD43AF" w:rsidRPr="005A22C2">
        <w:rPr>
          <w:b/>
        </w:rPr>
        <w:t xml:space="preserve"> (New South Wales</w:t>
      </w:r>
      <w:r w:rsidR="00BD43AF" w:rsidRPr="005A22C2">
        <w:rPr>
          <w:b/>
          <w:bCs/>
        </w:rPr>
        <w:t xml:space="preserve"> and Australian Capital Territory</w:t>
      </w:r>
      <w:r w:rsidR="00BD43AF" w:rsidRPr="005A22C2">
        <w:rPr>
          <w:b/>
        </w:rPr>
        <w:t>):</w:t>
      </w:r>
      <w:r w:rsidR="00BD43AF" w:rsidRPr="005A22C2">
        <w:t xml:space="preserve"> SDA stakeholders, including developers, investors, owners and providers, with operations and interests predominately based in New South Wales and the </w:t>
      </w:r>
      <w:r w:rsidR="00FE5DF0" w:rsidRPr="005A22C2">
        <w:t>ACT.</w:t>
      </w:r>
    </w:p>
    <w:p w14:paraId="52C6ABF9" w14:textId="6E6366EC" w:rsidR="007C269B" w:rsidRPr="005A22C2" w:rsidRDefault="00D84C52" w:rsidP="006720A0">
      <w:pPr>
        <w:pStyle w:val="DotPoint"/>
      </w:pPr>
      <w:r w:rsidRPr="005A22C2">
        <w:rPr>
          <w:b/>
        </w:rPr>
        <w:t>Consultation Group</w:t>
      </w:r>
      <w:r w:rsidR="007C269B" w:rsidRPr="005A22C2">
        <w:rPr>
          <w:b/>
        </w:rPr>
        <w:t xml:space="preserve"> </w:t>
      </w:r>
      <w:r w:rsidR="007E3AF3" w:rsidRPr="005A22C2">
        <w:rPr>
          <w:b/>
        </w:rPr>
        <w:t>3</w:t>
      </w:r>
      <w:r w:rsidR="007C269B" w:rsidRPr="005A22C2">
        <w:rPr>
          <w:b/>
        </w:rPr>
        <w:t xml:space="preserve"> (Victoria):</w:t>
      </w:r>
      <w:r w:rsidR="007C269B" w:rsidRPr="005A22C2">
        <w:t xml:space="preserve"> SDA stakeholders, including developers, investors, owners and providers, with operations and interests predominately based in Victoria.</w:t>
      </w:r>
    </w:p>
    <w:p w14:paraId="450A22FA" w14:textId="33FB6314" w:rsidR="00FE5DF0" w:rsidRPr="005A22C2" w:rsidRDefault="00FE5DF0" w:rsidP="006720A0">
      <w:pPr>
        <w:pStyle w:val="DotPoint"/>
      </w:pPr>
      <w:r w:rsidRPr="005A22C2">
        <w:rPr>
          <w:b/>
        </w:rPr>
        <w:t xml:space="preserve">Consultation Group </w:t>
      </w:r>
      <w:r w:rsidR="007E3AF3" w:rsidRPr="005A22C2">
        <w:rPr>
          <w:b/>
        </w:rPr>
        <w:t>4</w:t>
      </w:r>
      <w:r w:rsidRPr="005A22C2">
        <w:rPr>
          <w:b/>
        </w:rPr>
        <w:t xml:space="preserve"> (Queensland):</w:t>
      </w:r>
      <w:r w:rsidRPr="005A22C2">
        <w:t xml:space="preserve"> SDA stakeholders, including developers, investors, owners and providers, with operations and interests predominately based in Queensland.</w:t>
      </w:r>
    </w:p>
    <w:p w14:paraId="2AC05031" w14:textId="0688E906" w:rsidR="00A93F0E" w:rsidRPr="005A22C2" w:rsidRDefault="00D84C52" w:rsidP="006720A0">
      <w:pPr>
        <w:pStyle w:val="DotPoint"/>
      </w:pPr>
      <w:r w:rsidRPr="005A22C2">
        <w:rPr>
          <w:b/>
        </w:rPr>
        <w:lastRenderedPageBreak/>
        <w:t>Consultation Group</w:t>
      </w:r>
      <w:r w:rsidR="00A93F0E" w:rsidRPr="005A22C2">
        <w:rPr>
          <w:b/>
        </w:rPr>
        <w:t xml:space="preserve"> </w:t>
      </w:r>
      <w:r w:rsidR="007E3AF3" w:rsidRPr="005A22C2">
        <w:rPr>
          <w:b/>
        </w:rPr>
        <w:t>5</w:t>
      </w:r>
      <w:r w:rsidR="00A93F0E" w:rsidRPr="005A22C2">
        <w:rPr>
          <w:b/>
        </w:rPr>
        <w:t xml:space="preserve"> (South Australia and Northern Territory):</w:t>
      </w:r>
      <w:r w:rsidR="00A93F0E" w:rsidRPr="005A22C2">
        <w:t xml:space="preserve"> SDA stakeholders, including developers, investors, owners and providers, with operations and interests predominately based in South Australia and/or the Northern Territory.</w:t>
      </w:r>
    </w:p>
    <w:p w14:paraId="2ED12E62" w14:textId="2F4A12EC" w:rsidR="006325E4" w:rsidRPr="005A22C2" w:rsidRDefault="00D84C52" w:rsidP="006720A0">
      <w:pPr>
        <w:pStyle w:val="DotPoint"/>
      </w:pPr>
      <w:r w:rsidRPr="005A22C2">
        <w:rPr>
          <w:b/>
        </w:rPr>
        <w:t>Consultation Group</w:t>
      </w:r>
      <w:r w:rsidR="006325E4" w:rsidRPr="005A22C2">
        <w:rPr>
          <w:b/>
        </w:rPr>
        <w:t xml:space="preserve"> </w:t>
      </w:r>
      <w:r w:rsidR="007E3AF3" w:rsidRPr="005A22C2">
        <w:rPr>
          <w:b/>
        </w:rPr>
        <w:t>6</w:t>
      </w:r>
      <w:r w:rsidR="00032510" w:rsidRPr="005A22C2">
        <w:rPr>
          <w:b/>
        </w:rPr>
        <w:t xml:space="preserve"> (Western Australia)</w:t>
      </w:r>
      <w:r w:rsidR="006325E4" w:rsidRPr="005A22C2">
        <w:rPr>
          <w:b/>
        </w:rPr>
        <w:t>:</w:t>
      </w:r>
      <w:r w:rsidR="006325E4" w:rsidRPr="005A22C2">
        <w:t xml:space="preserve"> SDA stakeholders, including developers,</w:t>
      </w:r>
      <w:r w:rsidR="00917B32" w:rsidRPr="005A22C2">
        <w:t xml:space="preserve"> investors, </w:t>
      </w:r>
      <w:r w:rsidR="006325E4" w:rsidRPr="005A22C2">
        <w:t>owners and providers, with operations and interests predominately based in Western Australia.</w:t>
      </w:r>
    </w:p>
    <w:p w14:paraId="29ED437D" w14:textId="7B0E7DD0" w:rsidR="00765ED1" w:rsidRPr="005A22C2" w:rsidRDefault="00D84C52" w:rsidP="006720A0">
      <w:pPr>
        <w:pStyle w:val="DotPoint"/>
      </w:pPr>
      <w:r w:rsidRPr="005A22C2">
        <w:rPr>
          <w:b/>
        </w:rPr>
        <w:t>Consultation Group</w:t>
      </w:r>
      <w:r w:rsidR="008D0E5A" w:rsidRPr="005A22C2">
        <w:rPr>
          <w:b/>
        </w:rPr>
        <w:t xml:space="preserve"> </w:t>
      </w:r>
      <w:r w:rsidR="007E3AF3" w:rsidRPr="005A22C2">
        <w:rPr>
          <w:b/>
        </w:rPr>
        <w:t>7</w:t>
      </w:r>
      <w:r w:rsidR="00032510" w:rsidRPr="005A22C2">
        <w:rPr>
          <w:b/>
        </w:rPr>
        <w:t xml:space="preserve"> (Tasmania)</w:t>
      </w:r>
      <w:r w:rsidR="008D0E5A" w:rsidRPr="005A22C2">
        <w:rPr>
          <w:b/>
        </w:rPr>
        <w:t>:</w:t>
      </w:r>
      <w:r w:rsidR="008D0E5A" w:rsidRPr="005A22C2">
        <w:t xml:space="preserve"> SDA stakeholders, including developers, owners</w:t>
      </w:r>
      <w:r w:rsidR="00917B32" w:rsidRPr="005A22C2">
        <w:t>,</w:t>
      </w:r>
      <w:r w:rsidR="008D0E5A" w:rsidRPr="005A22C2">
        <w:t xml:space="preserve"> </w:t>
      </w:r>
      <w:r w:rsidR="00917B32" w:rsidRPr="005A22C2">
        <w:t xml:space="preserve">investors, </w:t>
      </w:r>
      <w:r w:rsidR="008D0E5A" w:rsidRPr="005A22C2">
        <w:t>and providers, with operations and interests predominately based in Tasmania.</w:t>
      </w:r>
    </w:p>
    <w:p w14:paraId="56E6D76A" w14:textId="3A34FB20" w:rsidR="00FE5DF0" w:rsidRPr="005A22C2" w:rsidRDefault="00FE5DF0" w:rsidP="006720A0">
      <w:pPr>
        <w:pStyle w:val="DotPoint"/>
      </w:pPr>
      <w:r w:rsidRPr="005A22C2">
        <w:rPr>
          <w:b/>
        </w:rPr>
        <w:t xml:space="preserve">Consultation Group </w:t>
      </w:r>
      <w:r w:rsidR="007E3AF3" w:rsidRPr="005A22C2">
        <w:rPr>
          <w:b/>
        </w:rPr>
        <w:t>8</w:t>
      </w:r>
      <w:r w:rsidRPr="005A22C2">
        <w:rPr>
          <w:b/>
        </w:rPr>
        <w:t xml:space="preserve"> (Large SDA Providers):</w:t>
      </w:r>
      <w:r w:rsidRPr="005A22C2">
        <w:t xml:space="preserve"> SDA stakeholders that have </w:t>
      </w:r>
      <w:proofErr w:type="gramStart"/>
      <w:r w:rsidRPr="005A22C2">
        <w:t>a large number of</w:t>
      </w:r>
      <w:proofErr w:type="gramEnd"/>
      <w:r w:rsidRPr="005A22C2">
        <w:t xml:space="preserve"> Existing and/or Legacy assets from state governments, operating across a range</w:t>
      </w:r>
      <w:r w:rsidRPr="005A22C2" w:rsidDel="00B474EE">
        <w:t xml:space="preserve"> </w:t>
      </w:r>
      <w:r w:rsidRPr="005A22C2">
        <w:t>of states.</w:t>
      </w:r>
    </w:p>
    <w:p w14:paraId="0E42DCBE" w14:textId="239DB49E" w:rsidR="00765ED1" w:rsidRPr="005A22C2" w:rsidRDefault="00D84C52" w:rsidP="006720A0">
      <w:pPr>
        <w:pStyle w:val="DotPoint"/>
      </w:pPr>
      <w:r w:rsidRPr="005A22C2">
        <w:rPr>
          <w:b/>
        </w:rPr>
        <w:t>Consultation Group</w:t>
      </w:r>
      <w:r w:rsidR="00765ED1" w:rsidRPr="005A22C2">
        <w:rPr>
          <w:b/>
        </w:rPr>
        <w:t xml:space="preserve"> </w:t>
      </w:r>
      <w:r w:rsidR="007E3AF3" w:rsidRPr="005A22C2">
        <w:rPr>
          <w:b/>
        </w:rPr>
        <w:t>9</w:t>
      </w:r>
      <w:r w:rsidR="00765ED1" w:rsidRPr="005A22C2">
        <w:rPr>
          <w:b/>
        </w:rPr>
        <w:t xml:space="preserve"> (</w:t>
      </w:r>
      <w:r w:rsidR="00E568D8" w:rsidRPr="005A22C2">
        <w:rPr>
          <w:b/>
        </w:rPr>
        <w:t xml:space="preserve">SDA </w:t>
      </w:r>
      <w:r w:rsidR="00765ED1" w:rsidRPr="005A22C2">
        <w:rPr>
          <w:b/>
        </w:rPr>
        <w:t>Builders and Developers):</w:t>
      </w:r>
      <w:r w:rsidR="00765ED1" w:rsidRPr="005A22C2">
        <w:t xml:space="preserve"> Builders and developers of SDA, operating across a range of states.</w:t>
      </w:r>
    </w:p>
    <w:p w14:paraId="4E9182CB" w14:textId="77777777" w:rsidR="00A47429" w:rsidRPr="005A22C2" w:rsidRDefault="00D84C52" w:rsidP="006720A0">
      <w:pPr>
        <w:pStyle w:val="DotPoint"/>
      </w:pPr>
      <w:r w:rsidRPr="005A22C2">
        <w:rPr>
          <w:b/>
        </w:rPr>
        <w:t>Consultation Group</w:t>
      </w:r>
      <w:r w:rsidR="00F65E58" w:rsidRPr="005A22C2">
        <w:rPr>
          <w:b/>
        </w:rPr>
        <w:t xml:space="preserve"> </w:t>
      </w:r>
      <w:r w:rsidR="007E3AF3" w:rsidRPr="005A22C2">
        <w:rPr>
          <w:b/>
        </w:rPr>
        <w:t>10</w:t>
      </w:r>
      <w:r w:rsidR="00961558" w:rsidRPr="005A22C2">
        <w:rPr>
          <w:b/>
        </w:rPr>
        <w:t xml:space="preserve"> (</w:t>
      </w:r>
      <w:r w:rsidR="00E568D8" w:rsidRPr="005A22C2">
        <w:rPr>
          <w:b/>
        </w:rPr>
        <w:t xml:space="preserve">SDA </w:t>
      </w:r>
      <w:r w:rsidR="00961558" w:rsidRPr="005A22C2">
        <w:rPr>
          <w:b/>
        </w:rPr>
        <w:t>Institutional Investors)</w:t>
      </w:r>
      <w:r w:rsidR="00F65E58" w:rsidRPr="005A22C2">
        <w:t xml:space="preserve">: </w:t>
      </w:r>
      <w:r w:rsidR="000B7421" w:rsidRPr="005A22C2">
        <w:t xml:space="preserve">Institutional </w:t>
      </w:r>
      <w:r w:rsidR="00B262A3" w:rsidRPr="005A22C2">
        <w:t xml:space="preserve">investors </w:t>
      </w:r>
      <w:r w:rsidR="00D15DC4" w:rsidRPr="005A22C2">
        <w:t xml:space="preserve">providing </w:t>
      </w:r>
      <w:r w:rsidR="000F1AD6" w:rsidRPr="005A22C2">
        <w:t xml:space="preserve">finance </w:t>
      </w:r>
      <w:r w:rsidR="00AA5E55" w:rsidRPr="005A22C2">
        <w:t>to developers and owners of SDA</w:t>
      </w:r>
      <w:r w:rsidR="00B262A3" w:rsidRPr="005A22C2">
        <w:t>.</w:t>
      </w:r>
    </w:p>
    <w:p w14:paraId="499BABC2" w14:textId="6E159F69" w:rsidR="00D4563A" w:rsidRPr="005A22C2" w:rsidRDefault="00D84C52" w:rsidP="006720A0">
      <w:pPr>
        <w:pStyle w:val="DotPoint"/>
      </w:pPr>
      <w:r w:rsidRPr="005A22C2">
        <w:rPr>
          <w:b/>
        </w:rPr>
        <w:t>Consultation Group</w:t>
      </w:r>
      <w:r w:rsidR="00D4563A" w:rsidRPr="005A22C2">
        <w:rPr>
          <w:b/>
        </w:rPr>
        <w:t xml:space="preserve"> 1</w:t>
      </w:r>
      <w:r w:rsidR="007E3AF3" w:rsidRPr="005A22C2">
        <w:rPr>
          <w:b/>
        </w:rPr>
        <w:t>1</w:t>
      </w:r>
      <w:r w:rsidR="00D4563A" w:rsidRPr="005A22C2">
        <w:rPr>
          <w:b/>
        </w:rPr>
        <w:t xml:space="preserve"> (</w:t>
      </w:r>
      <w:r w:rsidR="00E568D8" w:rsidRPr="005A22C2">
        <w:rPr>
          <w:b/>
        </w:rPr>
        <w:t xml:space="preserve">SDA </w:t>
      </w:r>
      <w:r w:rsidR="00D4563A" w:rsidRPr="005A22C2">
        <w:rPr>
          <w:b/>
        </w:rPr>
        <w:t>Banks and Funds)</w:t>
      </w:r>
      <w:r w:rsidR="00D4563A" w:rsidRPr="005A22C2">
        <w:t>: Banks and funds providing finance to developers and owners of SDA.</w:t>
      </w:r>
    </w:p>
    <w:p w14:paraId="470B9322" w14:textId="3F07A4F3" w:rsidR="007E3AF3" w:rsidRPr="005A22C2" w:rsidRDefault="000B08C5" w:rsidP="006720A0">
      <w:r w:rsidRPr="005A22C2">
        <w:t xml:space="preserve">Meetings with the Consultation Groups were held in November and December 2022. </w:t>
      </w:r>
      <w:r w:rsidR="007E3AF3" w:rsidRPr="005A22C2">
        <w:t xml:space="preserve">A list of </w:t>
      </w:r>
      <w:r w:rsidR="00E93B2F" w:rsidRPr="005A22C2">
        <w:t xml:space="preserve">the members of </w:t>
      </w:r>
      <w:r w:rsidR="007E3AF3" w:rsidRPr="005A22C2">
        <w:t xml:space="preserve">the Consultation Groups can be found at page </w:t>
      </w:r>
      <w:r w:rsidR="007E3AF3" w:rsidRPr="005A22C2">
        <w:fldChar w:fldCharType="begin"/>
      </w:r>
      <w:r w:rsidR="007E3AF3" w:rsidRPr="005A22C2">
        <w:instrText xml:space="preserve"> PAGEREF _Ref129789789 \h </w:instrText>
      </w:r>
      <w:r w:rsidR="007E3AF3" w:rsidRPr="005A22C2">
        <w:fldChar w:fldCharType="separate"/>
      </w:r>
      <w:r w:rsidR="006772C2">
        <w:rPr>
          <w:noProof/>
        </w:rPr>
        <w:t>85</w:t>
      </w:r>
      <w:r w:rsidR="007E3AF3" w:rsidRPr="005A22C2">
        <w:fldChar w:fldCharType="end"/>
      </w:r>
      <w:r w:rsidR="007E3AF3" w:rsidRPr="005A22C2">
        <w:t>.</w:t>
      </w:r>
    </w:p>
    <w:p w14:paraId="02B3CDA0" w14:textId="5231439E" w:rsidR="009737C4" w:rsidRPr="005A22C2" w:rsidRDefault="009737C4" w:rsidP="006720A0">
      <w:r w:rsidRPr="005A22C2">
        <w:t xml:space="preserve">A state/territory government Consultation Group for SDA </w:t>
      </w:r>
      <w:r w:rsidR="00EB7E90" w:rsidRPr="005A22C2">
        <w:t>was also</w:t>
      </w:r>
      <w:r w:rsidRPr="005A22C2">
        <w:t xml:space="preserve"> established.</w:t>
      </w:r>
      <w:r w:rsidR="00EB7E90" w:rsidRPr="005A22C2">
        <w:t xml:space="preserve"> Consultations were also held with the Department of Social Services and the NDIS Quality and Safeguarding Commission.</w:t>
      </w:r>
    </w:p>
    <w:p w14:paraId="11828FCC" w14:textId="7ACB65D5" w:rsidR="001A78E4" w:rsidRPr="005A22C2" w:rsidRDefault="00C60AC5" w:rsidP="006720A0">
      <w:pPr>
        <w:pStyle w:val="Heading3"/>
      </w:pPr>
      <w:bookmarkStart w:id="37" w:name="_Toc122612065"/>
      <w:bookmarkStart w:id="38" w:name="_Toc126595090"/>
      <w:bookmarkStart w:id="39" w:name="_Toc129783533"/>
      <w:r>
        <w:t>Organisation</w:t>
      </w:r>
      <w:r w:rsidR="001A78E4" w:rsidRPr="005A22C2">
        <w:t xml:space="preserve"> </w:t>
      </w:r>
      <w:r w:rsidR="00563DC2">
        <w:t>C</w:t>
      </w:r>
      <w:r w:rsidR="001A78E4" w:rsidRPr="005A22C2">
        <w:t>onsultations</w:t>
      </w:r>
      <w:bookmarkEnd w:id="37"/>
      <w:bookmarkEnd w:id="38"/>
      <w:bookmarkEnd w:id="39"/>
    </w:p>
    <w:p w14:paraId="02272599" w14:textId="6C93AF90" w:rsidR="00A47429" w:rsidRPr="005A22C2" w:rsidRDefault="00E90C64" w:rsidP="006720A0">
      <w:r w:rsidRPr="005A22C2">
        <w:t>Some 130</w:t>
      </w:r>
      <w:r w:rsidR="00CE0027" w:rsidRPr="005A22C2">
        <w:t xml:space="preserve"> </w:t>
      </w:r>
      <w:r w:rsidR="00BF2531" w:rsidRPr="005A22C2">
        <w:t>stakeholders were engaged t</w:t>
      </w:r>
      <w:r w:rsidR="002724AA" w:rsidRPr="005A22C2">
        <w:t xml:space="preserve">o provide specialised, technical evidence </w:t>
      </w:r>
      <w:r w:rsidR="00E93B2F" w:rsidRPr="005A22C2">
        <w:t xml:space="preserve">to the NDIA as part of the </w:t>
      </w:r>
      <w:r w:rsidR="000B08C5" w:rsidRPr="005A22C2">
        <w:t>SDA</w:t>
      </w:r>
      <w:r w:rsidR="00E93B2F" w:rsidRPr="005A22C2">
        <w:t xml:space="preserve"> Pricing Review</w:t>
      </w:r>
      <w:r w:rsidR="002724AA" w:rsidRPr="005A22C2">
        <w:t>.</w:t>
      </w:r>
      <w:r w:rsidR="000B08C5" w:rsidRPr="005A22C2">
        <w:t xml:space="preserve"> A list of </w:t>
      </w:r>
      <w:r w:rsidRPr="005A22C2">
        <w:t xml:space="preserve">the </w:t>
      </w:r>
      <w:r w:rsidR="00563DC2">
        <w:t xml:space="preserve">organisations </w:t>
      </w:r>
      <w:r w:rsidR="000B08C5" w:rsidRPr="005A22C2">
        <w:t xml:space="preserve">consulted can be found at page </w:t>
      </w:r>
      <w:r w:rsidR="00F63B78">
        <w:t>91</w:t>
      </w:r>
      <w:r w:rsidR="000B08C5" w:rsidRPr="005A22C2">
        <w:t>.</w:t>
      </w:r>
    </w:p>
    <w:p w14:paraId="296F3306" w14:textId="2F256238" w:rsidR="00CE6476" w:rsidRPr="005A22C2" w:rsidRDefault="00CE6476" w:rsidP="006720A0">
      <w:pPr>
        <w:pStyle w:val="Heading2"/>
      </w:pPr>
      <w:bookmarkStart w:id="40" w:name="_Toc122612066"/>
      <w:bookmarkStart w:id="41" w:name="_Toc126595091"/>
      <w:bookmarkStart w:id="42" w:name="_Toc129783534"/>
      <w:bookmarkStart w:id="43" w:name="_Toc136006852"/>
      <w:r w:rsidRPr="005A22C2">
        <w:t>Structure of this report</w:t>
      </w:r>
      <w:bookmarkEnd w:id="40"/>
      <w:bookmarkEnd w:id="41"/>
      <w:bookmarkEnd w:id="42"/>
      <w:bookmarkEnd w:id="43"/>
    </w:p>
    <w:p w14:paraId="12CFC247" w14:textId="0D312DCC" w:rsidR="002526EB" w:rsidRPr="005A22C2" w:rsidRDefault="00C20F95" w:rsidP="006720A0">
      <w:r w:rsidRPr="005A22C2">
        <w:t xml:space="preserve">This report </w:t>
      </w:r>
      <w:r w:rsidR="00736B3B" w:rsidRPr="005A22C2">
        <w:t>is structured around the</w:t>
      </w:r>
      <w:r w:rsidR="00F17404" w:rsidRPr="005A22C2">
        <w:t xml:space="preserve"> </w:t>
      </w:r>
      <w:r w:rsidR="00D10DAC" w:rsidRPr="005A22C2">
        <w:t xml:space="preserve">10 </w:t>
      </w:r>
      <w:r w:rsidR="00317ECC" w:rsidRPr="005A22C2">
        <w:t>themes</w:t>
      </w:r>
      <w:r w:rsidR="00736B3B" w:rsidRPr="005A22C2">
        <w:t xml:space="preserve"> </w:t>
      </w:r>
      <w:r w:rsidR="00F17404" w:rsidRPr="005A22C2">
        <w:t>posed in the Consultation Paper</w:t>
      </w:r>
      <w:r w:rsidR="009737C4" w:rsidRPr="005A22C2">
        <w:t>:</w:t>
      </w:r>
    </w:p>
    <w:p w14:paraId="4F2B51DC" w14:textId="4867FA1C" w:rsidR="002526EB" w:rsidRPr="005A22C2" w:rsidRDefault="002526EB" w:rsidP="006720A0">
      <w:pPr>
        <w:pStyle w:val="DotPoint"/>
      </w:pPr>
      <w:r w:rsidRPr="005A22C2">
        <w:t xml:space="preserve">Build </w:t>
      </w:r>
      <w:proofErr w:type="gramStart"/>
      <w:r w:rsidRPr="005A22C2">
        <w:t>costs</w:t>
      </w:r>
      <w:proofErr w:type="gramEnd"/>
    </w:p>
    <w:p w14:paraId="66A185D9" w14:textId="57F2DC95" w:rsidR="002526EB" w:rsidRPr="005A22C2" w:rsidRDefault="002526EB" w:rsidP="006720A0">
      <w:pPr>
        <w:pStyle w:val="DotPoint"/>
      </w:pPr>
      <w:r w:rsidRPr="005A22C2">
        <w:t>Land</w:t>
      </w:r>
      <w:r w:rsidR="00D10DAC" w:rsidRPr="005A22C2">
        <w:t xml:space="preserve"> costs</w:t>
      </w:r>
    </w:p>
    <w:p w14:paraId="217EC6A2" w14:textId="1B051699" w:rsidR="003E05F6" w:rsidRPr="005A22C2" w:rsidRDefault="003E05F6" w:rsidP="006720A0">
      <w:pPr>
        <w:pStyle w:val="DotPoint"/>
      </w:pPr>
      <w:r w:rsidRPr="005A22C2">
        <w:t>Acquisition costs</w:t>
      </w:r>
    </w:p>
    <w:p w14:paraId="17721A33" w14:textId="2D40B696" w:rsidR="00020638" w:rsidRPr="005A22C2" w:rsidRDefault="00020638" w:rsidP="006720A0">
      <w:pPr>
        <w:pStyle w:val="DotPoint"/>
      </w:pPr>
      <w:r w:rsidRPr="005A22C2">
        <w:t>Sprinklers</w:t>
      </w:r>
    </w:p>
    <w:p w14:paraId="1906D5EC" w14:textId="37CB39FE" w:rsidR="00291CFF" w:rsidRPr="005A22C2" w:rsidRDefault="00291CFF" w:rsidP="006720A0">
      <w:pPr>
        <w:pStyle w:val="DotPoint"/>
      </w:pPr>
      <w:r w:rsidRPr="005A22C2">
        <w:lastRenderedPageBreak/>
        <w:t xml:space="preserve">Exit </w:t>
      </w:r>
      <w:proofErr w:type="gramStart"/>
      <w:r w:rsidRPr="005A22C2">
        <w:t>costs</w:t>
      </w:r>
      <w:proofErr w:type="gramEnd"/>
    </w:p>
    <w:p w14:paraId="689C5F19" w14:textId="26A96B84" w:rsidR="00291CFF" w:rsidRPr="005A22C2" w:rsidRDefault="00291CFF" w:rsidP="006720A0">
      <w:pPr>
        <w:pStyle w:val="DotPoint"/>
      </w:pPr>
      <w:r w:rsidRPr="005A22C2">
        <w:t>Ownership costs</w:t>
      </w:r>
    </w:p>
    <w:p w14:paraId="091AAB9E" w14:textId="4C8E6452" w:rsidR="00291CFF" w:rsidRPr="005A22C2" w:rsidRDefault="00291CFF" w:rsidP="006720A0">
      <w:pPr>
        <w:pStyle w:val="DotPoint"/>
      </w:pPr>
      <w:r w:rsidRPr="005A22C2">
        <w:t>Tax costs</w:t>
      </w:r>
    </w:p>
    <w:p w14:paraId="00B14E9E" w14:textId="0DAB6E91" w:rsidR="00291CFF" w:rsidRPr="005A22C2" w:rsidRDefault="00291CFF" w:rsidP="006720A0">
      <w:pPr>
        <w:pStyle w:val="DotPoint"/>
      </w:pPr>
      <w:r w:rsidRPr="005A22C2">
        <w:t>Financing costs</w:t>
      </w:r>
    </w:p>
    <w:p w14:paraId="506D2506" w14:textId="04BD5CD0" w:rsidR="00291CFF" w:rsidRPr="005A22C2" w:rsidRDefault="00291CFF" w:rsidP="006720A0">
      <w:pPr>
        <w:pStyle w:val="DotPoint"/>
      </w:pPr>
      <w:r w:rsidRPr="005A22C2">
        <w:t>Indexation of Base Prices</w:t>
      </w:r>
    </w:p>
    <w:p w14:paraId="48136BC0" w14:textId="36D8A003" w:rsidR="007F56E2" w:rsidRPr="005A22C2" w:rsidRDefault="00291CFF" w:rsidP="006720A0">
      <w:pPr>
        <w:pStyle w:val="DotPoint"/>
      </w:pPr>
      <w:r w:rsidRPr="005A22C2">
        <w:t>Other issues</w:t>
      </w:r>
      <w:r w:rsidR="004F6172" w:rsidRPr="005A22C2">
        <w:t>.</w:t>
      </w:r>
    </w:p>
    <w:p w14:paraId="0B1290AC" w14:textId="7A52FAAD" w:rsidR="009335DE" w:rsidRPr="005A22C2" w:rsidRDefault="009335DE" w:rsidP="006720A0"/>
    <w:p w14:paraId="234311A5" w14:textId="77777777" w:rsidR="00736B3B" w:rsidRPr="005A22C2" w:rsidRDefault="00736B3B" w:rsidP="006720A0">
      <w:pPr>
        <w:pStyle w:val="Heading1"/>
        <w:sectPr w:rsidR="00736B3B" w:rsidRPr="005A22C2" w:rsidSect="00736B3B">
          <w:pgSz w:w="11906" w:h="16838" w:code="9"/>
          <w:pgMar w:top="1418" w:right="1418" w:bottom="1418" w:left="1418" w:header="709" w:footer="709" w:gutter="0"/>
          <w:cols w:space="708"/>
          <w:titlePg/>
          <w:docGrid w:linePitch="360"/>
        </w:sectPr>
      </w:pPr>
      <w:bookmarkStart w:id="44" w:name="_Ref121989355"/>
      <w:bookmarkStart w:id="45" w:name="_Toc121776141"/>
      <w:bookmarkStart w:id="46" w:name="_Toc126595092"/>
      <w:bookmarkStart w:id="47" w:name="_Toc129783535"/>
    </w:p>
    <w:p w14:paraId="2F59CF71" w14:textId="54D04B81" w:rsidR="007B6FAA" w:rsidRPr="005A22C2" w:rsidRDefault="007B6FAA" w:rsidP="006720A0">
      <w:pPr>
        <w:pStyle w:val="Heading1"/>
      </w:pPr>
      <w:bookmarkStart w:id="48" w:name="_Toc136006853"/>
      <w:r w:rsidRPr="005A22C2">
        <w:lastRenderedPageBreak/>
        <w:t xml:space="preserve">Build </w:t>
      </w:r>
      <w:bookmarkEnd w:id="44"/>
      <w:bookmarkEnd w:id="45"/>
      <w:r w:rsidR="00145D88" w:rsidRPr="005A22C2">
        <w:t>C</w:t>
      </w:r>
      <w:r w:rsidRPr="005A22C2">
        <w:t>osts</w:t>
      </w:r>
      <w:bookmarkEnd w:id="46"/>
      <w:bookmarkEnd w:id="47"/>
      <w:bookmarkEnd w:id="48"/>
    </w:p>
    <w:p w14:paraId="6CE50B33" w14:textId="27133CA4" w:rsidR="003731F1" w:rsidRPr="005A22C2" w:rsidRDefault="003731F1" w:rsidP="006720A0">
      <w:bookmarkStart w:id="49" w:name="_Hlk122269190"/>
      <w:r w:rsidRPr="005A22C2">
        <w:t xml:space="preserve">The </w:t>
      </w:r>
      <w:r w:rsidR="00C140AD" w:rsidRPr="005A22C2">
        <w:t>NDIA</w:t>
      </w:r>
      <w:r w:rsidRPr="005A22C2">
        <w:t xml:space="preserve"> received 30 written submissions </w:t>
      </w:r>
      <w:r w:rsidR="005858B3" w:rsidRPr="005A22C2">
        <w:t xml:space="preserve">that responded </w:t>
      </w:r>
      <w:r w:rsidRPr="005A22C2">
        <w:t xml:space="preserve">to the following questions in the </w:t>
      </w:r>
      <w:r w:rsidRPr="005A22C2">
        <w:rPr>
          <w:i/>
          <w:iCs/>
        </w:rPr>
        <w:t>SDA Pricing Review Consultation Paper</w:t>
      </w:r>
      <w:r w:rsidRPr="005A22C2">
        <w:t>:</w:t>
      </w:r>
    </w:p>
    <w:p w14:paraId="56F93C8B" w14:textId="46207AD4" w:rsidR="00EC7D8D" w:rsidRPr="00224AB9" w:rsidRDefault="00EC7D8D" w:rsidP="00AD5221">
      <w:pPr>
        <w:pStyle w:val="Quote"/>
        <w:numPr>
          <w:ilvl w:val="0"/>
          <w:numId w:val="31"/>
        </w:numPr>
        <w:rPr>
          <w:i w:val="0"/>
          <w:iCs w:val="0"/>
        </w:rPr>
      </w:pPr>
      <w:r w:rsidRPr="00224AB9">
        <w:rPr>
          <w:i w:val="0"/>
          <w:iCs w:val="0"/>
        </w:rPr>
        <w:t>What does it cost to construct an SDA dwelling (excluding the cost of land)?</w:t>
      </w:r>
    </w:p>
    <w:p w14:paraId="732D1889" w14:textId="77777777" w:rsidR="00A47429" w:rsidRPr="00224AB9" w:rsidRDefault="00EC7D8D" w:rsidP="00AD5221">
      <w:pPr>
        <w:pStyle w:val="Quote"/>
        <w:numPr>
          <w:ilvl w:val="0"/>
          <w:numId w:val="31"/>
        </w:numPr>
        <w:rPr>
          <w:i w:val="0"/>
          <w:iCs w:val="0"/>
        </w:rPr>
      </w:pPr>
      <w:r w:rsidRPr="00224AB9">
        <w:rPr>
          <w:i w:val="0"/>
          <w:iCs w:val="0"/>
        </w:rPr>
        <w:t xml:space="preserve">Is the current methodology by which the NDIA accounts for the differences in construction costs between geographic locations appropriate? If not, how can the methodology be improved? Is it appropriate to use the same relative construction cost multiplier for all Building Types and Design Categories </w:t>
      </w:r>
      <w:proofErr w:type="gramStart"/>
      <w:r w:rsidRPr="00224AB9">
        <w:rPr>
          <w:i w:val="0"/>
          <w:iCs w:val="0"/>
        </w:rPr>
        <w:t>in a given</w:t>
      </w:r>
      <w:proofErr w:type="gramEnd"/>
      <w:r w:rsidRPr="00224AB9">
        <w:rPr>
          <w:i w:val="0"/>
          <w:iCs w:val="0"/>
        </w:rPr>
        <w:t xml:space="preserve"> region?</w:t>
      </w:r>
    </w:p>
    <w:p w14:paraId="29EB890F" w14:textId="32DA138F" w:rsidR="003731F1" w:rsidRPr="00224AB9" w:rsidRDefault="00EC7D8D" w:rsidP="00AD5221">
      <w:pPr>
        <w:pStyle w:val="Quote"/>
        <w:numPr>
          <w:ilvl w:val="0"/>
          <w:numId w:val="31"/>
        </w:numPr>
        <w:rPr>
          <w:i w:val="0"/>
          <w:iCs w:val="0"/>
        </w:rPr>
      </w:pPr>
      <w:r w:rsidRPr="00224AB9">
        <w:rPr>
          <w:i w:val="0"/>
          <w:iCs w:val="0"/>
        </w:rPr>
        <w:t>To what extent does the</w:t>
      </w:r>
      <w:r w:rsidR="006E70B1" w:rsidRPr="00224AB9">
        <w:rPr>
          <w:i w:val="0"/>
          <w:iCs w:val="0"/>
        </w:rPr>
        <w:t xml:space="preserve"> </w:t>
      </w:r>
      <w:r w:rsidR="001B2067" w:rsidRPr="00224AB9">
        <w:rPr>
          <w:i w:val="0"/>
          <w:iCs w:val="0"/>
        </w:rPr>
        <w:t>National Construction Code</w:t>
      </w:r>
      <w:r w:rsidRPr="00224AB9">
        <w:rPr>
          <w:i w:val="0"/>
          <w:iCs w:val="0"/>
        </w:rPr>
        <w:t xml:space="preserve"> classification of an SDA dwelling affect its construction costs? Should these differences be </w:t>
      </w:r>
      <w:proofErr w:type="gramStart"/>
      <w:r w:rsidRPr="00224AB9">
        <w:rPr>
          <w:i w:val="0"/>
          <w:iCs w:val="0"/>
        </w:rPr>
        <w:t>taken into account</w:t>
      </w:r>
      <w:proofErr w:type="gramEnd"/>
      <w:r w:rsidRPr="00224AB9">
        <w:rPr>
          <w:i w:val="0"/>
          <w:iCs w:val="0"/>
        </w:rPr>
        <w:t xml:space="preserve"> in determining the pricing arrangements for SDA dwellings.</w:t>
      </w:r>
    </w:p>
    <w:p w14:paraId="4BF5BCB8" w14:textId="52FDB419" w:rsidR="003731F1" w:rsidRPr="005A22C2" w:rsidRDefault="003731F1" w:rsidP="006720A0">
      <w:r w:rsidRPr="005A22C2">
        <w:t xml:space="preserve">Issues about </w:t>
      </w:r>
      <w:r w:rsidR="00EC7D8D" w:rsidRPr="005A22C2">
        <w:t>building</w:t>
      </w:r>
      <w:r w:rsidRPr="005A22C2">
        <w:t xml:space="preserve"> costs were also raised in </w:t>
      </w:r>
      <w:r w:rsidR="00736B3B" w:rsidRPr="005A22C2">
        <w:t xml:space="preserve">almost </w:t>
      </w:r>
      <w:proofErr w:type="gramStart"/>
      <w:r w:rsidR="00EC7D8D" w:rsidRPr="005A22C2">
        <w:t>all</w:t>
      </w:r>
      <w:r w:rsidRPr="005A22C2">
        <w:t xml:space="preserve"> of</w:t>
      </w:r>
      <w:proofErr w:type="gramEnd"/>
      <w:r w:rsidRPr="005A22C2">
        <w:t xml:space="preserve"> the Consultation Groups</w:t>
      </w:r>
      <w:r w:rsidR="00EC7D8D" w:rsidRPr="005A22C2">
        <w:t>.</w:t>
      </w:r>
    </w:p>
    <w:p w14:paraId="65B2A33E" w14:textId="38E0CA70" w:rsidR="00FA70F6" w:rsidRPr="005A22C2" w:rsidRDefault="00324B6D" w:rsidP="006720A0">
      <w:pPr>
        <w:pStyle w:val="Heading2"/>
      </w:pPr>
      <w:bookmarkStart w:id="50" w:name="_Toc122454197"/>
      <w:bookmarkStart w:id="51" w:name="_Toc126595093"/>
      <w:bookmarkStart w:id="52" w:name="_Toc129783536"/>
      <w:bookmarkStart w:id="53" w:name="_Toc136006854"/>
      <w:bookmarkEnd w:id="49"/>
      <w:r w:rsidRPr="005A22C2">
        <w:t>B</w:t>
      </w:r>
      <w:r w:rsidR="00FA70F6" w:rsidRPr="005A22C2">
        <w:t xml:space="preserve">uilding </w:t>
      </w:r>
      <w:r w:rsidR="005361D4" w:rsidRPr="005A22C2">
        <w:t>M</w:t>
      </w:r>
      <w:r w:rsidR="00FA70F6" w:rsidRPr="005A22C2">
        <w:t xml:space="preserve">aterials, </w:t>
      </w:r>
      <w:r w:rsidR="005361D4" w:rsidRPr="005A22C2">
        <w:t>L</w:t>
      </w:r>
      <w:r w:rsidR="00FA70F6" w:rsidRPr="005A22C2">
        <w:t>abour</w:t>
      </w:r>
      <w:r w:rsidR="005B1ACE" w:rsidRPr="005A22C2">
        <w:t>,</w:t>
      </w:r>
      <w:r w:rsidR="00FA70F6" w:rsidRPr="005A22C2">
        <w:t xml:space="preserve"> and </w:t>
      </w:r>
      <w:r w:rsidR="005361D4" w:rsidRPr="005A22C2">
        <w:t>Other I</w:t>
      </w:r>
      <w:r w:rsidR="00FA70F6" w:rsidRPr="005A22C2">
        <w:t>nputs</w:t>
      </w:r>
      <w:bookmarkStart w:id="54" w:name="_Hlk122269152"/>
      <w:bookmarkEnd w:id="50"/>
      <w:bookmarkEnd w:id="51"/>
      <w:bookmarkEnd w:id="52"/>
      <w:bookmarkEnd w:id="53"/>
    </w:p>
    <w:p w14:paraId="005511D4" w14:textId="77777777" w:rsidR="00596248" w:rsidRDefault="00EB002D" w:rsidP="006720A0">
      <w:r w:rsidRPr="005A22C2">
        <w:t>Many</w:t>
      </w:r>
      <w:r w:rsidR="00EC7D8D" w:rsidRPr="005A22C2">
        <w:t xml:space="preserve"> submissions</w:t>
      </w:r>
      <w:r w:rsidR="004C25EB" w:rsidRPr="005A22C2">
        <w:t xml:space="preserve"> </w:t>
      </w:r>
      <w:r w:rsidRPr="005A22C2">
        <w:t>provided evidence</w:t>
      </w:r>
      <w:r w:rsidR="001B32F9" w:rsidRPr="005A22C2">
        <w:t xml:space="preserve"> that the cost of materials and labour have increased significantly </w:t>
      </w:r>
      <w:r w:rsidR="006B2A59" w:rsidRPr="005A22C2">
        <w:t>in recent years</w:t>
      </w:r>
      <w:r w:rsidR="007830B4" w:rsidRPr="005A22C2">
        <w:t xml:space="preserve"> and at a faster rate than the increase in the Consumer Price Index (CPI)</w:t>
      </w:r>
      <w:r w:rsidR="005361D4" w:rsidRPr="005A22C2">
        <w:t xml:space="preserve"> over the same period</w:t>
      </w:r>
      <w:r w:rsidR="007830B4" w:rsidRPr="005A22C2">
        <w:t xml:space="preserve">. </w:t>
      </w:r>
    </w:p>
    <w:p w14:paraId="45DFEAED" w14:textId="77777777" w:rsidR="004C3681" w:rsidRPr="00C344C2" w:rsidRDefault="00DF2C4A" w:rsidP="006720A0">
      <w:r w:rsidRPr="005A22C2">
        <w:t xml:space="preserve">The </w:t>
      </w:r>
      <w:r w:rsidRPr="00C344C2">
        <w:t xml:space="preserve">submissions from </w:t>
      </w:r>
      <w:proofErr w:type="spellStart"/>
      <w:r w:rsidRPr="00C344C2">
        <w:t>PowerHousing</w:t>
      </w:r>
      <w:proofErr w:type="spellEnd"/>
      <w:r w:rsidRPr="00C344C2">
        <w:t xml:space="preserve"> Australia and</w:t>
      </w:r>
      <w:r w:rsidR="005361D4" w:rsidRPr="00C344C2">
        <w:t xml:space="preserve"> the</w:t>
      </w:r>
      <w:r w:rsidRPr="00C344C2">
        <w:t xml:space="preserve"> SDA Alliance reported that the costs of building materials as measured by the Cordell Construction Cost Index (CCCI) </w:t>
      </w:r>
      <w:r w:rsidR="005361D4" w:rsidRPr="00C344C2">
        <w:t>have risen</w:t>
      </w:r>
      <w:r w:rsidRPr="00C344C2">
        <w:t xml:space="preserve"> faster than the </w:t>
      </w:r>
      <w:r w:rsidR="007830B4" w:rsidRPr="00C344C2">
        <w:t>CPI,</w:t>
      </w:r>
      <w:r w:rsidRPr="00C344C2">
        <w:t xml:space="preserve"> with the CCCI increasing by 25.77</w:t>
      </w:r>
      <w:r w:rsidR="00E933D9" w:rsidRPr="00C344C2">
        <w:t>%</w:t>
      </w:r>
      <w:r w:rsidRPr="00C344C2">
        <w:t xml:space="preserve"> in the last seven years compared to a 16.01</w:t>
      </w:r>
      <w:r w:rsidR="00E933D9" w:rsidRPr="00C344C2">
        <w:t>%</w:t>
      </w:r>
      <w:r w:rsidRPr="00C344C2">
        <w:t xml:space="preserve"> increase in the CPI.</w:t>
      </w:r>
      <w:r w:rsidR="007830B4" w:rsidRPr="00C344C2">
        <w:t xml:space="preserve"> </w:t>
      </w:r>
    </w:p>
    <w:p w14:paraId="4473DC2A" w14:textId="3502C22C" w:rsidR="00EB002D" w:rsidRPr="005A22C2" w:rsidRDefault="00DF2C4A" w:rsidP="006720A0">
      <w:r w:rsidRPr="00C344C2">
        <w:t xml:space="preserve">Several stakeholders, including Enliven Housing, Lighthouse, Summer Foundation and </w:t>
      </w:r>
      <w:proofErr w:type="spellStart"/>
      <w:r w:rsidRPr="00C344C2">
        <w:t>BlueCHP</w:t>
      </w:r>
      <w:proofErr w:type="spellEnd"/>
      <w:r w:rsidRPr="00C344C2">
        <w:t>, reported that the Australian Bureau of Statistics recorded a 42</w:t>
      </w:r>
      <w:r w:rsidR="00E933D9" w:rsidRPr="00C344C2">
        <w:t>%</w:t>
      </w:r>
      <w:r w:rsidRPr="00C344C2">
        <w:t xml:space="preserve"> increase in house construction costs from December 2015 to December 2022.</w:t>
      </w:r>
      <w:r w:rsidR="00A47429" w:rsidRPr="00C344C2">
        <w:t xml:space="preserve"> </w:t>
      </w:r>
      <w:r w:rsidR="006F1B36" w:rsidRPr="00C344C2">
        <w:t>Australian Unity</w:t>
      </w:r>
      <w:r w:rsidR="00EC7D8D" w:rsidRPr="00C344C2">
        <w:t xml:space="preserve"> stated</w:t>
      </w:r>
      <w:r w:rsidR="006F1B36" w:rsidRPr="005A22C2">
        <w:t xml:space="preserve"> that </w:t>
      </w:r>
      <w:r w:rsidR="00A52B8D" w:rsidRPr="005A22C2">
        <w:t>building</w:t>
      </w:r>
      <w:r w:rsidR="006F1B36" w:rsidRPr="005A22C2">
        <w:t xml:space="preserve"> costs </w:t>
      </w:r>
      <w:r w:rsidR="007830B4" w:rsidRPr="005A22C2">
        <w:t xml:space="preserve">for SDA developments </w:t>
      </w:r>
      <w:r w:rsidR="006F1B36" w:rsidRPr="005A22C2">
        <w:t>had increased by 30</w:t>
      </w:r>
      <w:r w:rsidR="00E933D9">
        <w:t>%</w:t>
      </w:r>
      <w:r w:rsidR="006F1B36" w:rsidRPr="005A22C2">
        <w:t xml:space="preserve"> </w:t>
      </w:r>
      <w:r w:rsidR="00736B3B" w:rsidRPr="005A22C2">
        <w:t xml:space="preserve">since </w:t>
      </w:r>
      <w:r w:rsidR="006B5F8C" w:rsidRPr="005A22C2">
        <w:t>the current SDA prices were established</w:t>
      </w:r>
      <w:r w:rsidR="00736B3B" w:rsidRPr="005A22C2">
        <w:t xml:space="preserve"> six years ago</w:t>
      </w:r>
      <w:r w:rsidR="00167D6E" w:rsidRPr="005A22C2">
        <w:t>.</w:t>
      </w:r>
      <w:r w:rsidR="00EC7D8D" w:rsidRPr="005A22C2">
        <w:t xml:space="preserve"> A similar increase (25</w:t>
      </w:r>
      <w:r w:rsidR="00E933D9">
        <w:t>%</w:t>
      </w:r>
      <w:r w:rsidR="00EC7D8D" w:rsidRPr="005A22C2">
        <w:t xml:space="preserve">) was reported by stakeholders in the </w:t>
      </w:r>
      <w:r w:rsidR="006F1B36" w:rsidRPr="005A22C2">
        <w:t xml:space="preserve">SDA Builders and Developers </w:t>
      </w:r>
      <w:r w:rsidR="00D84C52" w:rsidRPr="005A22C2">
        <w:t>Consultation Group</w:t>
      </w:r>
      <w:r w:rsidR="00EC7D8D" w:rsidRPr="005A22C2">
        <w:t>.</w:t>
      </w:r>
    </w:p>
    <w:p w14:paraId="3611F2A7" w14:textId="7E6A05A7" w:rsidR="0083723F" w:rsidRPr="005A22C2" w:rsidRDefault="00DF2C4A" w:rsidP="006720A0">
      <w:r w:rsidRPr="005A22C2">
        <w:t>Although there was general agreement that costs had increased significantly there was also some variation by location.</w:t>
      </w:r>
      <w:r w:rsidR="007830B4" w:rsidRPr="005A22C2">
        <w:t xml:space="preserve"> </w:t>
      </w:r>
      <w:r w:rsidR="00EB002D" w:rsidRPr="005A22C2">
        <w:t>M</w:t>
      </w:r>
      <w:r w:rsidR="00EC7D8D" w:rsidRPr="005A22C2">
        <w:t xml:space="preserve">embers of the Queensland Consultation Group indicated that </w:t>
      </w:r>
      <w:r w:rsidR="005361D4" w:rsidRPr="005A22C2">
        <w:t xml:space="preserve">SDA </w:t>
      </w:r>
      <w:r w:rsidR="00EC7D8D" w:rsidRPr="005A22C2">
        <w:t>building costs had increased by approximately 45</w:t>
      </w:r>
      <w:r w:rsidR="00EF34DE">
        <w:t>%</w:t>
      </w:r>
      <w:r w:rsidR="00EC7D8D" w:rsidRPr="005A22C2">
        <w:t xml:space="preserve"> over the</w:t>
      </w:r>
      <w:r w:rsidRPr="005A22C2">
        <w:t xml:space="preserve"> last six years</w:t>
      </w:r>
      <w:r w:rsidR="00EC7D8D" w:rsidRPr="005A22C2">
        <w:t>.</w:t>
      </w:r>
      <w:r w:rsidR="002A687D" w:rsidRPr="005A22C2">
        <w:t xml:space="preserve"> </w:t>
      </w:r>
      <w:r w:rsidR="006F1B36" w:rsidRPr="005A22C2">
        <w:t xml:space="preserve">Inspire Impact </w:t>
      </w:r>
      <w:r w:rsidR="00EC7D8D" w:rsidRPr="005A22C2">
        <w:t>stated</w:t>
      </w:r>
      <w:r w:rsidR="006F1B36" w:rsidRPr="005A22C2">
        <w:t xml:space="preserve"> that </w:t>
      </w:r>
      <w:r w:rsidR="005361D4" w:rsidRPr="005A22C2">
        <w:t xml:space="preserve">SDA </w:t>
      </w:r>
      <w:r w:rsidR="00A11547" w:rsidRPr="005A22C2">
        <w:t>building costs</w:t>
      </w:r>
      <w:r w:rsidR="006F1B36" w:rsidRPr="005A22C2">
        <w:t xml:space="preserve"> had increased by 47</w:t>
      </w:r>
      <w:r w:rsidR="00EF34DE">
        <w:t>%</w:t>
      </w:r>
      <w:r w:rsidR="006F1B36" w:rsidRPr="005A22C2">
        <w:t xml:space="preserve"> on greenfield sites in outer Metropolitan Melbourne</w:t>
      </w:r>
      <w:r w:rsidR="00736B3B" w:rsidRPr="005A22C2">
        <w:t xml:space="preserve"> over the same period</w:t>
      </w:r>
      <w:r w:rsidR="006F1B36" w:rsidRPr="005A22C2">
        <w:t>.</w:t>
      </w:r>
      <w:r w:rsidR="007830B4" w:rsidRPr="005A22C2">
        <w:t xml:space="preserve"> </w:t>
      </w:r>
      <w:r w:rsidR="00EB002D" w:rsidRPr="005A22C2">
        <w:lastRenderedPageBreak/>
        <w:t xml:space="preserve">Members of the </w:t>
      </w:r>
      <w:r w:rsidR="007773E1" w:rsidRPr="005A22C2">
        <w:t>Western Australi</w:t>
      </w:r>
      <w:r w:rsidR="007B6866" w:rsidRPr="005A22C2">
        <w:t>a</w:t>
      </w:r>
      <w:r w:rsidR="007773E1" w:rsidRPr="005A22C2">
        <w:t xml:space="preserve"> </w:t>
      </w:r>
      <w:r w:rsidR="00D84C52" w:rsidRPr="005A22C2">
        <w:t>Consultation Group</w:t>
      </w:r>
      <w:r w:rsidR="006F6322" w:rsidRPr="005A22C2">
        <w:t xml:space="preserve"> </w:t>
      </w:r>
      <w:r w:rsidR="00EB002D" w:rsidRPr="005A22C2">
        <w:t>stated</w:t>
      </w:r>
      <w:r w:rsidR="00104857" w:rsidRPr="005A22C2">
        <w:t xml:space="preserve"> </w:t>
      </w:r>
      <w:r w:rsidR="00D95199" w:rsidRPr="005A22C2">
        <w:t xml:space="preserve">that </w:t>
      </w:r>
      <w:r w:rsidR="005361D4" w:rsidRPr="005A22C2">
        <w:t xml:space="preserve">SDA </w:t>
      </w:r>
      <w:r w:rsidR="003B03DD" w:rsidRPr="005A22C2">
        <w:t xml:space="preserve">building </w:t>
      </w:r>
      <w:r w:rsidR="00D95199" w:rsidRPr="005A22C2">
        <w:t xml:space="preserve">costs </w:t>
      </w:r>
      <w:r w:rsidR="00EB002D" w:rsidRPr="005A22C2">
        <w:t>had</w:t>
      </w:r>
      <w:r w:rsidR="00D95199" w:rsidRPr="005A22C2">
        <w:t xml:space="preserve"> </w:t>
      </w:r>
      <w:r w:rsidR="006F6322" w:rsidRPr="005A22C2">
        <w:t>increased</w:t>
      </w:r>
      <w:r w:rsidR="00D95199" w:rsidRPr="005A22C2">
        <w:t xml:space="preserve"> by </w:t>
      </w:r>
      <w:r w:rsidR="00195C0E" w:rsidRPr="005A22C2">
        <w:t xml:space="preserve">approximately </w:t>
      </w:r>
      <w:r w:rsidR="00D95199" w:rsidRPr="005A22C2">
        <w:t>40</w:t>
      </w:r>
      <w:r w:rsidR="00EF34DE">
        <w:t>%</w:t>
      </w:r>
      <w:r w:rsidR="00736B3B" w:rsidRPr="005A22C2">
        <w:t xml:space="preserve"> over the same period</w:t>
      </w:r>
      <w:r w:rsidR="00EB002D" w:rsidRPr="005A22C2">
        <w:t xml:space="preserve">, </w:t>
      </w:r>
      <w:r w:rsidR="00736B3B" w:rsidRPr="005A22C2">
        <w:t>a</w:t>
      </w:r>
      <w:r w:rsidR="00736B3B" w:rsidRPr="00437F38">
        <w:t>nd</w:t>
      </w:r>
      <w:r w:rsidR="002A687D" w:rsidRPr="00437F38">
        <w:t xml:space="preserve"> </w:t>
      </w:r>
      <w:r w:rsidR="00252C48" w:rsidRPr="00437F38">
        <w:t>WAIGROUP</w:t>
      </w:r>
      <w:r w:rsidR="00894599" w:rsidRPr="005A22C2">
        <w:t xml:space="preserve"> estimat</w:t>
      </w:r>
      <w:r w:rsidR="00736B3B" w:rsidRPr="005A22C2">
        <w:t>ed</w:t>
      </w:r>
      <w:r w:rsidR="00894599" w:rsidRPr="005A22C2">
        <w:t xml:space="preserve"> that </w:t>
      </w:r>
      <w:r w:rsidR="005361D4" w:rsidRPr="005A22C2">
        <w:t xml:space="preserve">SDA </w:t>
      </w:r>
      <w:r w:rsidR="00894599" w:rsidRPr="005A22C2">
        <w:t xml:space="preserve">construction costs in metropolitan Perth </w:t>
      </w:r>
      <w:r w:rsidR="00736B3B" w:rsidRPr="005A22C2">
        <w:t xml:space="preserve">had </w:t>
      </w:r>
      <w:r w:rsidR="00894599" w:rsidRPr="005A22C2">
        <w:t>increased by an average of 25</w:t>
      </w:r>
      <w:r w:rsidR="00EF34DE">
        <w:t>%</w:t>
      </w:r>
      <w:r w:rsidR="00894599" w:rsidRPr="005A22C2">
        <w:t xml:space="preserve"> to 30</w:t>
      </w:r>
      <w:r w:rsidR="00EF34DE">
        <w:t>%</w:t>
      </w:r>
      <w:r w:rsidR="00894599" w:rsidRPr="005A22C2">
        <w:t xml:space="preserve"> between 2019/20 and 2021/22.</w:t>
      </w:r>
      <w:r w:rsidR="007830B4" w:rsidRPr="005A22C2">
        <w:t xml:space="preserve"> </w:t>
      </w:r>
      <w:r w:rsidR="00EB002D" w:rsidRPr="005A22C2">
        <w:t>Member</w:t>
      </w:r>
      <w:r w:rsidR="006B5F8C" w:rsidRPr="005A22C2">
        <w:t xml:space="preserve">s </w:t>
      </w:r>
      <w:r w:rsidR="00EB002D" w:rsidRPr="005A22C2">
        <w:t xml:space="preserve">of the </w:t>
      </w:r>
      <w:r w:rsidR="00EA077E" w:rsidRPr="005A22C2">
        <w:t xml:space="preserve">Tasmania </w:t>
      </w:r>
      <w:r w:rsidR="00D84C52" w:rsidRPr="005A22C2">
        <w:t>Consultation Group</w:t>
      </w:r>
      <w:r w:rsidR="00EA077E" w:rsidRPr="005A22C2">
        <w:t xml:space="preserve"> </w:t>
      </w:r>
      <w:r w:rsidR="005361D4" w:rsidRPr="005A22C2">
        <w:t>stated</w:t>
      </w:r>
      <w:r w:rsidR="00EA077E" w:rsidRPr="005A22C2">
        <w:t xml:space="preserve"> that </w:t>
      </w:r>
      <w:r w:rsidR="005361D4" w:rsidRPr="005A22C2">
        <w:t xml:space="preserve">SDA </w:t>
      </w:r>
      <w:r w:rsidR="00BE52B5" w:rsidRPr="005A22C2">
        <w:t>building costs</w:t>
      </w:r>
      <w:r w:rsidR="00EA077E" w:rsidRPr="005A22C2">
        <w:t xml:space="preserve"> had increased by</w:t>
      </w:r>
      <w:r w:rsidR="00195C0E" w:rsidRPr="005A22C2">
        <w:t xml:space="preserve"> approximately</w:t>
      </w:r>
      <w:r w:rsidR="00EA077E" w:rsidRPr="005A22C2">
        <w:t xml:space="preserve"> 25</w:t>
      </w:r>
      <w:r w:rsidR="00EF34DE">
        <w:t>%</w:t>
      </w:r>
      <w:r w:rsidR="00736B3B" w:rsidRPr="005A22C2">
        <w:t xml:space="preserve"> over the same period</w:t>
      </w:r>
      <w:r w:rsidR="00EA077E" w:rsidRPr="005A22C2">
        <w:t>.</w:t>
      </w:r>
    </w:p>
    <w:p w14:paraId="3D8CE8AC" w14:textId="77777777" w:rsidR="00A47429" w:rsidRPr="005A22C2" w:rsidRDefault="00F86964" w:rsidP="006720A0">
      <w:r w:rsidRPr="005A22C2">
        <w:t>S</w:t>
      </w:r>
      <w:r w:rsidR="0001560C" w:rsidRPr="005A22C2">
        <w:t>takeholder</w:t>
      </w:r>
      <w:r w:rsidR="00EF134D" w:rsidRPr="005A22C2">
        <w:t>s</w:t>
      </w:r>
      <w:r w:rsidR="0001560C" w:rsidRPr="005A22C2">
        <w:t xml:space="preserve"> </w:t>
      </w:r>
      <w:r w:rsidR="006B5F8C" w:rsidRPr="005A22C2">
        <w:t>rep</w:t>
      </w:r>
      <w:r w:rsidR="00736B3B" w:rsidRPr="005A22C2">
        <w:t>or</w:t>
      </w:r>
      <w:r w:rsidR="006B5F8C" w:rsidRPr="005A22C2">
        <w:t>ted</w:t>
      </w:r>
      <w:r w:rsidR="0001560C" w:rsidRPr="005A22C2">
        <w:t xml:space="preserve"> </w:t>
      </w:r>
      <w:r w:rsidR="00EC7D8D" w:rsidRPr="005A22C2">
        <w:t xml:space="preserve">that the </w:t>
      </w:r>
      <w:r w:rsidR="0001560C" w:rsidRPr="005A22C2">
        <w:t xml:space="preserve">cost increases were due to a combination of COVID-19, border closures, </w:t>
      </w:r>
      <w:r w:rsidR="0005046E" w:rsidRPr="005A22C2">
        <w:t xml:space="preserve">supply chain disruptions and delays </w:t>
      </w:r>
      <w:r w:rsidR="00736B3B" w:rsidRPr="005A22C2">
        <w:t>i</w:t>
      </w:r>
      <w:r w:rsidR="0005046E" w:rsidRPr="005A22C2">
        <w:t>n sourcing building materials from overseas</w:t>
      </w:r>
      <w:r w:rsidR="0001560C" w:rsidRPr="005A22C2">
        <w:t xml:space="preserve">, </w:t>
      </w:r>
      <w:r w:rsidR="003B71D1" w:rsidRPr="005A22C2">
        <w:t>i</w:t>
      </w:r>
      <w:r w:rsidR="007E149E" w:rsidRPr="005A22C2">
        <w:t xml:space="preserve">ncreased transport costs </w:t>
      </w:r>
      <w:r w:rsidR="0001560C" w:rsidRPr="005A22C2">
        <w:t xml:space="preserve">and construction price inflation, which collectively has placed upward pressure on the availability of </w:t>
      </w:r>
      <w:r w:rsidR="006A4A34" w:rsidRPr="005A22C2">
        <w:t xml:space="preserve">building </w:t>
      </w:r>
      <w:r w:rsidR="0001560C" w:rsidRPr="005A22C2">
        <w:t>materials.</w:t>
      </w:r>
    </w:p>
    <w:p w14:paraId="02F459CC" w14:textId="3D93F180" w:rsidR="006B5F8C" w:rsidRPr="005A22C2" w:rsidRDefault="006B5F8C" w:rsidP="006720A0">
      <w:r w:rsidRPr="005A22C2">
        <w:t>S</w:t>
      </w:r>
      <w:r w:rsidR="003B54B0" w:rsidRPr="005A22C2">
        <w:t>takeholders</w:t>
      </w:r>
      <w:r w:rsidR="00935D4A" w:rsidRPr="005A22C2">
        <w:t xml:space="preserve"> </w:t>
      </w:r>
      <w:r w:rsidRPr="005A22C2">
        <w:t>did not</w:t>
      </w:r>
      <w:r w:rsidR="003B54B0" w:rsidRPr="005A22C2">
        <w:t xml:space="preserve"> expect the cost of construction to decrease </w:t>
      </w:r>
      <w:proofErr w:type="gramStart"/>
      <w:r w:rsidR="003B54B0" w:rsidRPr="005A22C2">
        <w:t>in the near future</w:t>
      </w:r>
      <w:proofErr w:type="gramEnd"/>
      <w:r w:rsidR="003B54B0" w:rsidRPr="005A22C2">
        <w:t>.</w:t>
      </w:r>
      <w:r w:rsidR="002A687D" w:rsidRPr="005A22C2">
        <w:t xml:space="preserve"> </w:t>
      </w:r>
      <w:proofErr w:type="spellStart"/>
      <w:r w:rsidRPr="00437F38">
        <w:t>Youngcare</w:t>
      </w:r>
      <w:proofErr w:type="spellEnd"/>
      <w:r w:rsidRPr="00437F38">
        <w:t>,</w:t>
      </w:r>
      <w:r w:rsidRPr="005A22C2">
        <w:t xml:space="preserve"> for example, stated that</w:t>
      </w:r>
      <w:r w:rsidR="005B1ACE" w:rsidRPr="005A22C2">
        <w:t xml:space="preserve"> “</w:t>
      </w:r>
      <w:r w:rsidRPr="008C0740">
        <w:t>expected inflationary pressures are forecasted to remain for the next 12 months to three years</w:t>
      </w:r>
      <w:r w:rsidR="005B1ACE" w:rsidRPr="005A22C2">
        <w:t>”</w:t>
      </w:r>
      <w:r w:rsidRPr="005A22C2">
        <w:t>.</w:t>
      </w:r>
    </w:p>
    <w:p w14:paraId="6B38D0C1" w14:textId="0464E44B" w:rsidR="0077546B" w:rsidRPr="005A22C2" w:rsidRDefault="006B5F8C" w:rsidP="006720A0">
      <w:r w:rsidRPr="005A22C2">
        <w:t>S</w:t>
      </w:r>
      <w:r w:rsidR="003B54B0" w:rsidRPr="005A22C2">
        <w:t xml:space="preserve">takeholders </w:t>
      </w:r>
      <w:r w:rsidR="00736B3B" w:rsidRPr="005A22C2">
        <w:t xml:space="preserve">also </w:t>
      </w:r>
      <w:r w:rsidR="001B32F9" w:rsidRPr="005A22C2">
        <w:t>reported</w:t>
      </w:r>
      <w:r w:rsidR="003B54B0" w:rsidRPr="005A22C2">
        <w:t xml:space="preserve"> that they are </w:t>
      </w:r>
      <w:r w:rsidR="00B50FC1" w:rsidRPr="005A22C2">
        <w:t>including higher contingency allow</w:t>
      </w:r>
      <w:r w:rsidR="00962786" w:rsidRPr="005A22C2">
        <w:t>ances in contracts</w:t>
      </w:r>
      <w:r w:rsidR="00B50FC1" w:rsidRPr="005A22C2">
        <w:t xml:space="preserve"> and </w:t>
      </w:r>
      <w:r w:rsidR="000E650B" w:rsidRPr="005A22C2">
        <w:t xml:space="preserve">wider </w:t>
      </w:r>
      <w:r w:rsidR="003B54B0" w:rsidRPr="005A22C2">
        <w:t>development margins to mitigate the risk of further cost increases and ensure project delivery</w:t>
      </w:r>
      <w:r w:rsidR="005C51A2" w:rsidRPr="005A22C2">
        <w:t>.</w:t>
      </w:r>
    </w:p>
    <w:p w14:paraId="2E8D96D6" w14:textId="77777777" w:rsidR="006C15A7" w:rsidRPr="005A22C2" w:rsidRDefault="006C15A7" w:rsidP="00765557">
      <w:pPr>
        <w:pStyle w:val="Heading3"/>
      </w:pPr>
      <w:bookmarkStart w:id="55" w:name="_Toc129783537"/>
      <w:r w:rsidRPr="005A22C2">
        <w:t>Materials</w:t>
      </w:r>
      <w:bookmarkEnd w:id="55"/>
    </w:p>
    <w:p w14:paraId="7FC4E59B" w14:textId="77777777" w:rsidR="006B5F8C" w:rsidRPr="005A22C2" w:rsidRDefault="006B5F8C" w:rsidP="006720A0">
      <w:r w:rsidRPr="005A22C2">
        <w:t>While few submissions included a breakdown of cost increases by material, a submission from</w:t>
      </w:r>
      <w:r w:rsidRPr="005A22C2" w:rsidDel="006561C5">
        <w:t xml:space="preserve"> </w:t>
      </w:r>
      <w:r w:rsidRPr="00437F38">
        <w:t>Perth Design Construct provided</w:t>
      </w:r>
      <w:r w:rsidRPr="005A22C2">
        <w:t xml:space="preserve"> information on specific cost increases for building materials in Western Australia:</w:t>
      </w:r>
    </w:p>
    <w:p w14:paraId="27D11E0F" w14:textId="70A3624B" w:rsidR="00A47429" w:rsidRPr="005A22C2" w:rsidRDefault="006B5F8C" w:rsidP="006720A0">
      <w:pPr>
        <w:pStyle w:val="DotPoint"/>
      </w:pPr>
      <w:r w:rsidRPr="005A22C2">
        <w:t>42.1</w:t>
      </w:r>
      <w:r w:rsidR="00FE7741">
        <w:t>%</w:t>
      </w:r>
      <w:r w:rsidRPr="005A22C2">
        <w:t xml:space="preserve"> increase in the cost of steel</w:t>
      </w:r>
      <w:r w:rsidR="000B08C5" w:rsidRPr="005A22C2">
        <w:t>.</w:t>
      </w:r>
    </w:p>
    <w:p w14:paraId="630F8101" w14:textId="2B07AD35" w:rsidR="006B5F8C" w:rsidRPr="005A22C2" w:rsidRDefault="006B5F8C" w:rsidP="006720A0">
      <w:pPr>
        <w:pStyle w:val="DotPoint"/>
      </w:pPr>
      <w:r w:rsidRPr="005A22C2">
        <w:t>14.1</w:t>
      </w:r>
      <w:r w:rsidR="00FE7741">
        <w:t>%</w:t>
      </w:r>
      <w:r w:rsidRPr="005A22C2">
        <w:t xml:space="preserve"> increase in the cost of glass</w:t>
      </w:r>
      <w:r w:rsidR="000B08C5" w:rsidRPr="005A22C2">
        <w:t>.</w:t>
      </w:r>
    </w:p>
    <w:p w14:paraId="311A1FAD" w14:textId="7D8A102B" w:rsidR="00A47429" w:rsidRPr="005A22C2" w:rsidRDefault="006B5F8C" w:rsidP="006720A0">
      <w:pPr>
        <w:pStyle w:val="DotPoint"/>
      </w:pPr>
      <w:r w:rsidRPr="005A22C2">
        <w:t>20.6</w:t>
      </w:r>
      <w:r w:rsidR="00FE7741">
        <w:t>%</w:t>
      </w:r>
      <w:r w:rsidRPr="005A22C2">
        <w:t xml:space="preserve"> increase in the cost of timber, timber boards and necessary joinery</w:t>
      </w:r>
      <w:r w:rsidR="000B08C5" w:rsidRPr="005A22C2">
        <w:t>.</w:t>
      </w:r>
    </w:p>
    <w:p w14:paraId="59AC1238" w14:textId="049A8B96" w:rsidR="006B5F8C" w:rsidRPr="005A22C2" w:rsidRDefault="006B5F8C" w:rsidP="006720A0">
      <w:pPr>
        <w:pStyle w:val="DotPoint"/>
      </w:pPr>
      <w:r w:rsidRPr="005A22C2">
        <w:t>16.2</w:t>
      </w:r>
      <w:r w:rsidR="00FE7741">
        <w:t>%</w:t>
      </w:r>
      <w:r w:rsidRPr="005A22C2">
        <w:t xml:space="preserve"> increase in the cost of metal products</w:t>
      </w:r>
      <w:r w:rsidR="000B08C5" w:rsidRPr="005A22C2">
        <w:t>.</w:t>
      </w:r>
    </w:p>
    <w:p w14:paraId="3943D54C" w14:textId="1C47C510" w:rsidR="006B5F8C" w:rsidRPr="005A22C2" w:rsidRDefault="006B5F8C" w:rsidP="006720A0">
      <w:pPr>
        <w:pStyle w:val="DotPoint"/>
      </w:pPr>
      <w:r w:rsidRPr="005A22C2">
        <w:t>26</w:t>
      </w:r>
      <w:r w:rsidR="00FE7741">
        <w:t>%</w:t>
      </w:r>
      <w:r w:rsidRPr="005A22C2">
        <w:t xml:space="preserve"> increase in the cost of plastic piping.</w:t>
      </w:r>
    </w:p>
    <w:p w14:paraId="1CA4A4F4" w14:textId="4EE85F8E" w:rsidR="006C15A7" w:rsidRPr="00C344C2" w:rsidRDefault="006C15A7" w:rsidP="006720A0">
      <w:r w:rsidRPr="005A22C2">
        <w:t xml:space="preserve">The </w:t>
      </w:r>
      <w:r w:rsidR="006B5F8C" w:rsidRPr="005A22C2">
        <w:t>submission</w:t>
      </w:r>
      <w:r w:rsidR="000049E9" w:rsidRPr="005A22C2">
        <w:t>s</w:t>
      </w:r>
      <w:r w:rsidR="006B5F8C" w:rsidRPr="005A22C2">
        <w:t xml:space="preserve"> fro</w:t>
      </w:r>
      <w:r w:rsidR="006B5F8C" w:rsidRPr="00E61F2F">
        <w:t xml:space="preserve">m </w:t>
      </w:r>
      <w:proofErr w:type="spellStart"/>
      <w:r w:rsidRPr="00E61F2F">
        <w:t>Youngcare</w:t>
      </w:r>
      <w:proofErr w:type="spellEnd"/>
      <w:r w:rsidRPr="005A22C2">
        <w:t xml:space="preserve"> </w:t>
      </w:r>
      <w:r w:rsidR="000049E9" w:rsidRPr="00C344C2">
        <w:t xml:space="preserve">and </w:t>
      </w:r>
      <w:proofErr w:type="spellStart"/>
      <w:r w:rsidR="000049E9" w:rsidRPr="00C344C2">
        <w:t>BlueCHP</w:t>
      </w:r>
      <w:proofErr w:type="spellEnd"/>
      <w:r w:rsidR="000049E9" w:rsidRPr="00C344C2">
        <w:t xml:space="preserve"> </w:t>
      </w:r>
      <w:r w:rsidRPr="00C344C2">
        <w:t>stated that</w:t>
      </w:r>
      <w:r w:rsidR="00736B3B" w:rsidRPr="00C344C2">
        <w:t xml:space="preserve"> </w:t>
      </w:r>
      <w:r w:rsidRPr="00C344C2">
        <w:t>the cost of materials with high iron content like reinforcement, structural steel, duct</w:t>
      </w:r>
      <w:r w:rsidR="00374AA0" w:rsidRPr="00C344C2">
        <w:t xml:space="preserve"> </w:t>
      </w:r>
      <w:r w:rsidRPr="00C344C2">
        <w:t>work and cables have increased most significantly.</w:t>
      </w:r>
    </w:p>
    <w:p w14:paraId="2CE1C655" w14:textId="77777777" w:rsidR="00A47429" w:rsidRPr="00C344C2" w:rsidRDefault="006C15A7" w:rsidP="006720A0">
      <w:pPr>
        <w:pStyle w:val="DotPoint"/>
      </w:pPr>
      <w:r w:rsidRPr="00C344C2">
        <w:t>Stakeholders indicated that costs vary by location, with building materials generally more expensive in regional and remote environment</w:t>
      </w:r>
      <w:r w:rsidR="000049E9" w:rsidRPr="00C344C2">
        <w:t>.</w:t>
      </w:r>
      <w:r w:rsidR="002A687D" w:rsidRPr="00C344C2">
        <w:t xml:space="preserve"> </w:t>
      </w:r>
      <w:proofErr w:type="spellStart"/>
      <w:r w:rsidRPr="00C344C2">
        <w:t>BlueCHP</w:t>
      </w:r>
      <w:proofErr w:type="spellEnd"/>
      <w:r w:rsidR="000049E9" w:rsidRPr="00C344C2">
        <w:t xml:space="preserve">, for example, stated </w:t>
      </w:r>
      <w:r w:rsidRPr="00C344C2">
        <w:t>that the cost per brick in regional locations had risen from $1.27 to $2.60</w:t>
      </w:r>
      <w:r w:rsidR="000049E9" w:rsidRPr="00C344C2">
        <w:t xml:space="preserve"> since 2020</w:t>
      </w:r>
      <w:r w:rsidRPr="00C344C2">
        <w:t>.</w:t>
      </w:r>
    </w:p>
    <w:p w14:paraId="13C75BA3" w14:textId="0A9AF4DF" w:rsidR="00A47429" w:rsidRPr="005A22C2" w:rsidRDefault="001D76EA" w:rsidP="006720A0">
      <w:pPr>
        <w:pStyle w:val="DotPoint"/>
        <w:rPr>
          <w:iCs/>
        </w:rPr>
      </w:pPr>
      <w:r w:rsidRPr="005A22C2">
        <w:t>Many</w:t>
      </w:r>
      <w:r w:rsidR="006C15A7" w:rsidRPr="005A22C2">
        <w:t xml:space="preserve"> stakeholders </w:t>
      </w:r>
      <w:r w:rsidR="005361D4" w:rsidRPr="005A22C2">
        <w:t>stated</w:t>
      </w:r>
      <w:r w:rsidR="006C15A7" w:rsidRPr="005A22C2">
        <w:t xml:space="preserve"> that they are taking some form of action to mitigate the risk of increasing input costs, with one stakeholder from the South Australia and Northern Territory </w:t>
      </w:r>
      <w:r w:rsidR="00D84C52" w:rsidRPr="005A22C2">
        <w:t>Consultation Group</w:t>
      </w:r>
      <w:r w:rsidR="006C15A7" w:rsidRPr="005A22C2">
        <w:t xml:space="preserve"> noting that</w:t>
      </w:r>
      <w:r w:rsidR="005B1ACE" w:rsidRPr="005A22C2">
        <w:t xml:space="preserve"> “</w:t>
      </w:r>
      <w:r w:rsidR="006C15A7" w:rsidRPr="008C0740">
        <w:t xml:space="preserve">it is very difficult to get fixed prices for many materials, with builders including renegotiation clauses in </w:t>
      </w:r>
      <w:r w:rsidR="006C15A7" w:rsidRPr="008C0740">
        <w:lastRenderedPageBreak/>
        <w:t>contract to manage the risk of increasing cost supplies</w:t>
      </w:r>
      <w:r w:rsidR="005B1ACE" w:rsidRPr="008C0740">
        <w:t>”</w:t>
      </w:r>
      <w:r w:rsidR="006C15A7" w:rsidRPr="008C0740">
        <w:t>.</w:t>
      </w:r>
      <w:r w:rsidR="005B1ACE" w:rsidRPr="005A22C2">
        <w:t xml:space="preserve"> </w:t>
      </w:r>
      <w:r w:rsidR="006C15A7" w:rsidRPr="005A22C2">
        <w:t>To manage rising</w:t>
      </w:r>
      <w:r w:rsidR="006C15A7" w:rsidRPr="005A22C2" w:rsidDel="007228F7">
        <w:t xml:space="preserve"> </w:t>
      </w:r>
      <w:r w:rsidR="006C15A7" w:rsidRPr="005A22C2">
        <w:rPr>
          <w:iCs/>
        </w:rPr>
        <w:t xml:space="preserve">construction costs and </w:t>
      </w:r>
      <w:r w:rsidR="006C15A7" w:rsidRPr="005A22C2">
        <w:t>supply shortages</w:t>
      </w:r>
      <w:r w:rsidR="006C15A7" w:rsidRPr="005A22C2">
        <w:rPr>
          <w:iCs/>
        </w:rPr>
        <w:t>, several stakeholders indicated that they are increasing contingency allowances.</w:t>
      </w:r>
      <w:r w:rsidR="00E03136" w:rsidRPr="005A22C2">
        <w:rPr>
          <w:iCs/>
        </w:rPr>
        <w:t xml:space="preserve"> </w:t>
      </w:r>
      <w:r w:rsidR="006C15A7" w:rsidRPr="005A22C2">
        <w:rPr>
          <w:iCs/>
        </w:rPr>
        <w:t xml:space="preserve">One stakeholder in the Queensland </w:t>
      </w:r>
      <w:r w:rsidR="00D84C52" w:rsidRPr="005A22C2">
        <w:rPr>
          <w:iCs/>
        </w:rPr>
        <w:t>Consultation Group</w:t>
      </w:r>
      <w:r w:rsidR="006C15A7" w:rsidRPr="005A22C2">
        <w:rPr>
          <w:iCs/>
        </w:rPr>
        <w:t xml:space="preserve"> </w:t>
      </w:r>
      <w:r w:rsidR="005361D4" w:rsidRPr="005A22C2">
        <w:rPr>
          <w:iCs/>
        </w:rPr>
        <w:t>stated</w:t>
      </w:r>
      <w:r w:rsidR="006C15A7" w:rsidRPr="005A22C2">
        <w:rPr>
          <w:iCs/>
        </w:rPr>
        <w:t xml:space="preserve"> that they now include a </w:t>
      </w:r>
      <w:r w:rsidR="006C15A7" w:rsidRPr="005A22C2">
        <w:t>10</w:t>
      </w:r>
      <w:r w:rsidR="00FE7741">
        <w:t>%</w:t>
      </w:r>
      <w:r w:rsidR="006C15A7" w:rsidRPr="005A22C2">
        <w:t xml:space="preserve"> contingency in their SDA build budgets, up</w:t>
      </w:r>
      <w:r w:rsidR="006C15A7" w:rsidRPr="005A22C2">
        <w:rPr>
          <w:iCs/>
        </w:rPr>
        <w:t xml:space="preserve"> from the 2.5</w:t>
      </w:r>
      <w:r w:rsidR="00FE7741">
        <w:rPr>
          <w:iCs/>
        </w:rPr>
        <w:t>%</w:t>
      </w:r>
      <w:r w:rsidR="006C15A7" w:rsidRPr="005A22C2">
        <w:rPr>
          <w:iCs/>
        </w:rPr>
        <w:t xml:space="preserve"> </w:t>
      </w:r>
      <w:r w:rsidR="006C15A7" w:rsidRPr="005A22C2">
        <w:t>contingency pre COVID-19.</w:t>
      </w:r>
    </w:p>
    <w:p w14:paraId="3956380D" w14:textId="5D3E0777" w:rsidR="00736B3B" w:rsidRPr="005A22C2" w:rsidRDefault="00736B3B" w:rsidP="006720A0">
      <w:proofErr w:type="spellStart"/>
      <w:r w:rsidRPr="00437F38">
        <w:t>PowerHousing</w:t>
      </w:r>
      <w:proofErr w:type="spellEnd"/>
      <w:r w:rsidRPr="005A22C2">
        <w:t xml:space="preserve"> Australia raised concerns about the impact of rising material costs on the delivery of high-quality and bespoke SDA, stating that</w:t>
      </w:r>
      <w:r w:rsidR="005B1ACE" w:rsidRPr="005A22C2">
        <w:t xml:space="preserve"> </w:t>
      </w:r>
      <w:r w:rsidR="005B1ACE" w:rsidRPr="002E461B">
        <w:t>“</w:t>
      </w:r>
      <w:r w:rsidRPr="002E461B">
        <w:t>many masterplans have had to be scaled down to meet the minimum SDA standards and to be more cost-effective</w:t>
      </w:r>
      <w:r w:rsidR="005B1ACE" w:rsidRPr="002E461B">
        <w:t>”</w:t>
      </w:r>
      <w:r w:rsidRPr="002E461B">
        <w:t>.</w:t>
      </w:r>
      <w:r w:rsidR="005B1ACE" w:rsidRPr="005A22C2">
        <w:t xml:space="preserve"> </w:t>
      </w:r>
      <w:r w:rsidRPr="005A22C2">
        <w:t xml:space="preserve">The submission </w:t>
      </w:r>
      <w:r w:rsidR="005361D4" w:rsidRPr="005A22C2">
        <w:t>stated</w:t>
      </w:r>
      <w:r w:rsidRPr="005A22C2">
        <w:t xml:space="preserve"> that masterplan revisions often impact the size of a bedroom or living space, impact the inclusion of ensuites and was potentially making SDA dwellings less comfortable and well-designed.</w:t>
      </w:r>
    </w:p>
    <w:p w14:paraId="1791CE86" w14:textId="77777777" w:rsidR="00A47429" w:rsidRPr="005A22C2" w:rsidRDefault="001B32F9" w:rsidP="0001662E">
      <w:pPr>
        <w:pStyle w:val="Heading3"/>
      </w:pPr>
      <w:bookmarkStart w:id="56" w:name="_Toc122454199"/>
      <w:bookmarkStart w:id="57" w:name="_Toc122454200"/>
      <w:bookmarkStart w:id="58" w:name="_Toc122527498"/>
      <w:bookmarkStart w:id="59" w:name="_Toc129783538"/>
      <w:bookmarkEnd w:id="56"/>
      <w:r w:rsidRPr="005A22C2">
        <w:t>Cost</w:t>
      </w:r>
      <w:r w:rsidR="00B00CF8" w:rsidRPr="005A22C2">
        <w:t xml:space="preserve">, </w:t>
      </w:r>
      <w:r w:rsidR="005361D4" w:rsidRPr="005A22C2">
        <w:t>C</w:t>
      </w:r>
      <w:r w:rsidR="00B00CF8" w:rsidRPr="005A22C2">
        <w:t>apacity</w:t>
      </w:r>
      <w:r w:rsidR="00DE0CA2" w:rsidRPr="005A22C2">
        <w:t>,</w:t>
      </w:r>
      <w:r w:rsidR="00B00CF8" w:rsidRPr="005A22C2">
        <w:t xml:space="preserve"> and </w:t>
      </w:r>
      <w:r w:rsidR="005361D4" w:rsidRPr="005A22C2">
        <w:t>C</w:t>
      </w:r>
      <w:r w:rsidR="00B00CF8" w:rsidRPr="005A22C2">
        <w:t xml:space="preserve">apability of </w:t>
      </w:r>
      <w:r w:rsidR="005361D4" w:rsidRPr="005A22C2">
        <w:t>L</w:t>
      </w:r>
      <w:r w:rsidRPr="005A22C2">
        <w:t>abour</w:t>
      </w:r>
      <w:bookmarkEnd w:id="57"/>
      <w:bookmarkEnd w:id="58"/>
      <w:bookmarkEnd w:id="59"/>
    </w:p>
    <w:p w14:paraId="64055137" w14:textId="64B5A6CA" w:rsidR="00A47429" w:rsidRPr="005A22C2" w:rsidRDefault="000B58D3" w:rsidP="006720A0">
      <w:pPr>
        <w:rPr>
          <w:rStyle w:val="FootnoteReference"/>
        </w:rPr>
      </w:pPr>
      <w:proofErr w:type="gramStart"/>
      <w:r>
        <w:t>A number of</w:t>
      </w:r>
      <w:proofErr w:type="gramEnd"/>
      <w:r>
        <w:t xml:space="preserve"> s</w:t>
      </w:r>
      <w:r w:rsidR="00FA70F6" w:rsidRPr="005A22C2">
        <w:t xml:space="preserve">takeholders </w:t>
      </w:r>
      <w:r w:rsidR="00615C0D" w:rsidRPr="005A22C2">
        <w:t>across</w:t>
      </w:r>
      <w:r w:rsidR="00BE5660" w:rsidRPr="005A22C2">
        <w:t xml:space="preserve"> </w:t>
      </w:r>
      <w:r w:rsidR="00585318" w:rsidRPr="005A22C2">
        <w:t>New South Wales and Australian Capital Territory</w:t>
      </w:r>
      <w:r w:rsidR="00FA70F6" w:rsidRPr="005A22C2">
        <w:t>, Victoria</w:t>
      </w:r>
      <w:r w:rsidR="00D971ED" w:rsidRPr="005A22C2">
        <w:t>,</w:t>
      </w:r>
      <w:r w:rsidR="00FA70F6" w:rsidRPr="005A22C2">
        <w:t xml:space="preserve"> Queensland </w:t>
      </w:r>
      <w:r w:rsidR="00D971ED" w:rsidRPr="005A22C2">
        <w:t xml:space="preserve">and Western Australia </w:t>
      </w:r>
      <w:r w:rsidR="00D84C52" w:rsidRPr="005A22C2">
        <w:t>Consultation Group</w:t>
      </w:r>
      <w:r w:rsidR="00BE5660" w:rsidRPr="005A22C2">
        <w:t>s</w:t>
      </w:r>
      <w:r w:rsidR="00FA70F6" w:rsidRPr="005A22C2">
        <w:t xml:space="preserve"> </w:t>
      </w:r>
      <w:r w:rsidR="005361D4" w:rsidRPr="005A22C2">
        <w:t>stated</w:t>
      </w:r>
      <w:r w:rsidR="00FA70F6" w:rsidRPr="005A22C2">
        <w:t xml:space="preserve"> that </w:t>
      </w:r>
      <w:r w:rsidR="00C10625" w:rsidRPr="005A22C2">
        <w:t xml:space="preserve">construction of SDA is competing with the pipeline of </w:t>
      </w:r>
      <w:r w:rsidR="001B32F9" w:rsidRPr="005A22C2">
        <w:t>state and federal government</w:t>
      </w:r>
      <w:r w:rsidR="00FA70F6" w:rsidRPr="005A22C2">
        <w:t xml:space="preserve"> funded infrastructure-projects, </w:t>
      </w:r>
      <w:r w:rsidR="0010036F" w:rsidRPr="005A22C2">
        <w:t xml:space="preserve">the mining sector and </w:t>
      </w:r>
      <w:r w:rsidR="00FA70F6" w:rsidRPr="005A22C2">
        <w:t>residential housing development activity</w:t>
      </w:r>
      <w:r w:rsidR="00A6142E" w:rsidRPr="005A22C2">
        <w:t>.</w:t>
      </w:r>
    </w:p>
    <w:p w14:paraId="2E475EAB" w14:textId="6C827667" w:rsidR="00A47429" w:rsidRPr="005A22C2" w:rsidRDefault="00CF66F0" w:rsidP="006720A0">
      <w:r w:rsidRPr="005A22C2">
        <w:t xml:space="preserve">The Queensland </w:t>
      </w:r>
      <w:r w:rsidR="00D84C52" w:rsidRPr="005A22C2">
        <w:t>Consultation Group</w:t>
      </w:r>
      <w:r w:rsidRPr="005A22C2">
        <w:t xml:space="preserve"> </w:t>
      </w:r>
      <w:r w:rsidR="000049E9" w:rsidRPr="005A22C2">
        <w:t>argued</w:t>
      </w:r>
      <w:r w:rsidRPr="005A22C2">
        <w:t xml:space="preserve"> that </w:t>
      </w:r>
      <w:r w:rsidR="000049E9" w:rsidRPr="005A22C2">
        <w:t xml:space="preserve">the </w:t>
      </w:r>
      <w:r w:rsidRPr="005A22C2">
        <w:t>c</w:t>
      </w:r>
      <w:r w:rsidR="00A6142E" w:rsidRPr="005A22C2">
        <w:t>om</w:t>
      </w:r>
      <w:r w:rsidR="00541CF2" w:rsidRPr="005A22C2">
        <w:t xml:space="preserve">petition </w:t>
      </w:r>
      <w:r w:rsidR="000049E9" w:rsidRPr="005A22C2">
        <w:t>from</w:t>
      </w:r>
      <w:r w:rsidR="00541CF2" w:rsidRPr="005A22C2">
        <w:t xml:space="preserve"> infrastructure construction </w:t>
      </w:r>
      <w:r w:rsidR="00C10625" w:rsidRPr="005A22C2">
        <w:t xml:space="preserve">is </w:t>
      </w:r>
      <w:r w:rsidR="00FA70F6" w:rsidRPr="005A22C2">
        <w:t xml:space="preserve">exacerbating </w:t>
      </w:r>
      <w:r w:rsidR="00740024" w:rsidRPr="005A22C2">
        <w:t>material and</w:t>
      </w:r>
      <w:r w:rsidR="00191E6C" w:rsidRPr="005A22C2">
        <w:t xml:space="preserve"> labour market</w:t>
      </w:r>
      <w:r w:rsidR="00740024" w:rsidRPr="005A22C2">
        <w:t xml:space="preserve"> shortages</w:t>
      </w:r>
      <w:r w:rsidR="00592181" w:rsidRPr="005A22C2">
        <w:t>,</w:t>
      </w:r>
      <w:r w:rsidR="00D95E2E" w:rsidRPr="005A22C2">
        <w:t xml:space="preserve"> and</w:t>
      </w:r>
      <w:r w:rsidR="00592181" w:rsidRPr="005A22C2">
        <w:t xml:space="preserve"> further increasing costs</w:t>
      </w:r>
      <w:r w:rsidR="00191E6C" w:rsidRPr="005A22C2">
        <w:t xml:space="preserve">. </w:t>
      </w:r>
      <w:r w:rsidR="00CA3416" w:rsidRPr="005A22C2">
        <w:t>One</w:t>
      </w:r>
      <w:r w:rsidR="00FA70F6" w:rsidRPr="005A22C2">
        <w:t xml:space="preserve"> </w:t>
      </w:r>
      <w:r w:rsidR="000049E9" w:rsidRPr="005A22C2">
        <w:t xml:space="preserve">member of that </w:t>
      </w:r>
      <w:r w:rsidR="00D84C52" w:rsidRPr="005A22C2">
        <w:t>Consultation Group</w:t>
      </w:r>
      <w:r w:rsidR="00FA70F6" w:rsidRPr="005A22C2">
        <w:t xml:space="preserve"> express</w:t>
      </w:r>
      <w:r w:rsidR="00CA3416" w:rsidRPr="005A22C2">
        <w:t>ed</w:t>
      </w:r>
      <w:r w:rsidR="00FA70F6" w:rsidRPr="005A22C2">
        <w:t xml:space="preserve"> concerns about the ability to compete for labour against </w:t>
      </w:r>
      <w:r w:rsidR="00F85752" w:rsidRPr="005A22C2">
        <w:t>g</w:t>
      </w:r>
      <w:r w:rsidR="00FA70F6" w:rsidRPr="005A22C2">
        <w:t>overnment-funded and guaranteed infrastructure projects associated with the 2032 Brisbane Olympic Games.</w:t>
      </w:r>
      <w:r w:rsidR="000049E9" w:rsidRPr="005A22C2">
        <w:t xml:space="preserve"> </w:t>
      </w:r>
      <w:r w:rsidR="009966EB" w:rsidRPr="005A22C2">
        <w:t>Stakeholders in</w:t>
      </w:r>
      <w:r w:rsidR="00372923" w:rsidRPr="005A22C2">
        <w:t xml:space="preserve"> the Western Australia </w:t>
      </w:r>
      <w:r w:rsidR="00D84C52" w:rsidRPr="005A22C2">
        <w:t>Consultation Group</w:t>
      </w:r>
      <w:r w:rsidR="00372923" w:rsidRPr="005A22C2">
        <w:t xml:space="preserve"> </w:t>
      </w:r>
      <w:r w:rsidR="000049E9" w:rsidRPr="005A22C2">
        <w:t>stated that</w:t>
      </w:r>
      <w:r w:rsidR="00372923" w:rsidRPr="005A22C2">
        <w:t xml:space="preserve"> they are </w:t>
      </w:r>
      <w:r w:rsidR="000049E9" w:rsidRPr="005A22C2">
        <w:t xml:space="preserve">similarly </w:t>
      </w:r>
      <w:r w:rsidR="00372923" w:rsidRPr="005A22C2">
        <w:t>competing against the mining sector for appropriate</w:t>
      </w:r>
      <w:r w:rsidR="00F85752" w:rsidRPr="005A22C2">
        <w:t>ly</w:t>
      </w:r>
      <w:r w:rsidR="00372923" w:rsidRPr="005A22C2">
        <w:t xml:space="preserve"> skill</w:t>
      </w:r>
      <w:r w:rsidR="005E7A48" w:rsidRPr="005A22C2">
        <w:t xml:space="preserve">ed labour, particularly due to the </w:t>
      </w:r>
      <w:r w:rsidR="00520D85" w:rsidRPr="005A22C2">
        <w:t>higher</w:t>
      </w:r>
      <w:r w:rsidR="005E7A48" w:rsidRPr="005A22C2">
        <w:t xml:space="preserve"> </w:t>
      </w:r>
      <w:r w:rsidR="00924C77" w:rsidRPr="005A22C2">
        <w:t>salaries</w:t>
      </w:r>
      <w:r w:rsidR="00520D85" w:rsidRPr="005A22C2">
        <w:t xml:space="preserve"> offered in mining in com</w:t>
      </w:r>
      <w:r w:rsidR="000D4C11" w:rsidRPr="005A22C2">
        <w:t xml:space="preserve">parison to </w:t>
      </w:r>
      <w:r w:rsidR="00B12182" w:rsidRPr="005A22C2">
        <w:t xml:space="preserve">housing </w:t>
      </w:r>
      <w:r w:rsidR="000D4C11" w:rsidRPr="005A22C2">
        <w:t>construction.</w:t>
      </w:r>
    </w:p>
    <w:p w14:paraId="53549749" w14:textId="4DE563E5" w:rsidR="00A47429" w:rsidRPr="00437F38" w:rsidRDefault="000049E9" w:rsidP="006720A0">
      <w:r w:rsidRPr="00437F38">
        <w:t xml:space="preserve">Edenbridge Living stated that there were significant differences in the cost of labour across metropolitan Sydney. They </w:t>
      </w:r>
      <w:r w:rsidR="005361D4" w:rsidRPr="00437F38">
        <w:t>stated</w:t>
      </w:r>
      <w:r w:rsidRPr="00437F38">
        <w:t xml:space="preserve"> that it is becoming standard practice for subcontractors to levy additional fees that recognise the time taken and distance travelled to building sites within the Eastern Suburbs, North Sydney and Northern Sydney SA4 regions. Anecdotal evidence cited in the submission indicates that the fee can be an additional 25</w:t>
      </w:r>
      <w:r w:rsidR="006B7828" w:rsidRPr="00437F38">
        <w:t>%</w:t>
      </w:r>
      <w:r w:rsidRPr="00437F38">
        <w:t xml:space="preserve"> to 50</w:t>
      </w:r>
      <w:r w:rsidR="006B7828" w:rsidRPr="00437F38">
        <w:t>%</w:t>
      </w:r>
      <w:r w:rsidRPr="00437F38">
        <w:t xml:space="preserve"> of the total labour cost.</w:t>
      </w:r>
    </w:p>
    <w:p w14:paraId="7A249C55" w14:textId="77777777" w:rsidR="00A47429" w:rsidRPr="005A22C2" w:rsidRDefault="00851D00" w:rsidP="006720A0">
      <w:proofErr w:type="spellStart"/>
      <w:r w:rsidRPr="00437F38">
        <w:t>Power</w:t>
      </w:r>
      <w:r w:rsidR="006235F5" w:rsidRPr="00437F38">
        <w:t>Housing</w:t>
      </w:r>
      <w:proofErr w:type="spellEnd"/>
      <w:r w:rsidR="006235F5" w:rsidRPr="005A22C2">
        <w:t xml:space="preserve"> Australia </w:t>
      </w:r>
      <w:r w:rsidR="000049E9" w:rsidRPr="005A22C2">
        <w:t>stated that there were</w:t>
      </w:r>
      <w:r w:rsidR="006235F5" w:rsidRPr="005A22C2">
        <w:t xml:space="preserve"> </w:t>
      </w:r>
      <w:r w:rsidR="006B0289" w:rsidRPr="005A22C2">
        <w:t>added</w:t>
      </w:r>
      <w:r w:rsidR="006235F5" w:rsidRPr="005A22C2">
        <w:t xml:space="preserve"> difficult</w:t>
      </w:r>
      <w:r w:rsidR="000049E9" w:rsidRPr="005A22C2">
        <w:t>ies in</w:t>
      </w:r>
      <w:r w:rsidR="006235F5" w:rsidRPr="005A22C2">
        <w:t xml:space="preserve"> securing </w:t>
      </w:r>
      <w:r w:rsidR="00CF57B7" w:rsidRPr="005A22C2">
        <w:t>suitable labour in Regional Australia</w:t>
      </w:r>
      <w:r w:rsidR="00FC17AA" w:rsidRPr="005A22C2">
        <w:t>.</w:t>
      </w:r>
      <w:r w:rsidR="00E03136" w:rsidRPr="005A22C2">
        <w:t xml:space="preserve"> </w:t>
      </w:r>
      <w:r w:rsidR="001C6F53" w:rsidRPr="005A22C2">
        <w:t xml:space="preserve">They </w:t>
      </w:r>
      <w:r w:rsidR="000049E9" w:rsidRPr="005A22C2">
        <w:t>stated that v</w:t>
      </w:r>
      <w:r w:rsidR="00CF57B7" w:rsidRPr="005A22C2">
        <w:t>arious regional areas have been affected by local factors including labour shortages</w:t>
      </w:r>
      <w:r w:rsidR="000049E9" w:rsidRPr="005A22C2">
        <w:t xml:space="preserve"> </w:t>
      </w:r>
      <w:r w:rsidR="00FC17AA" w:rsidRPr="005A22C2">
        <w:t xml:space="preserve">and </w:t>
      </w:r>
      <w:r w:rsidR="000049E9" w:rsidRPr="005A22C2">
        <w:t>that regional</w:t>
      </w:r>
      <w:r w:rsidR="00FC17AA" w:rsidRPr="005A22C2">
        <w:t xml:space="preserve"> labour costs were increasing faster than observed in the capital cities.</w:t>
      </w:r>
    </w:p>
    <w:p w14:paraId="04336804" w14:textId="3B09984D" w:rsidR="00A47429" w:rsidRPr="005A22C2" w:rsidRDefault="00A93631" w:rsidP="006720A0">
      <w:r w:rsidRPr="005A22C2">
        <w:t>T</w:t>
      </w:r>
      <w:r w:rsidR="00F85752" w:rsidRPr="005A22C2">
        <w:t xml:space="preserve">he capacity and capability of </w:t>
      </w:r>
      <w:r w:rsidR="00A87B0D" w:rsidRPr="005A22C2">
        <w:t xml:space="preserve">residential builders </w:t>
      </w:r>
      <w:r w:rsidR="00D7214A" w:rsidRPr="005A22C2">
        <w:t>to</w:t>
      </w:r>
      <w:r w:rsidR="00283F5D" w:rsidRPr="005A22C2">
        <w:t xml:space="preserve"> build</w:t>
      </w:r>
      <w:r w:rsidR="00A87B0D" w:rsidRPr="005A22C2">
        <w:t xml:space="preserve"> SDA</w:t>
      </w:r>
      <w:r w:rsidRPr="005A22C2">
        <w:t xml:space="preserve"> was </w:t>
      </w:r>
      <w:r w:rsidR="000049E9" w:rsidRPr="005A22C2">
        <w:t xml:space="preserve">also </w:t>
      </w:r>
      <w:r w:rsidRPr="005A22C2">
        <w:t xml:space="preserve">highlighted as an issue </w:t>
      </w:r>
      <w:r w:rsidR="00813262" w:rsidRPr="005A22C2">
        <w:t xml:space="preserve">across submissions and </w:t>
      </w:r>
      <w:r w:rsidR="00D84C52" w:rsidRPr="005A22C2">
        <w:t>Consultation Group</w:t>
      </w:r>
      <w:r w:rsidR="00813262" w:rsidRPr="005A22C2">
        <w:t>s.</w:t>
      </w:r>
      <w:r w:rsidR="00BE1E4C" w:rsidRPr="005A22C2">
        <w:t xml:space="preserve"> </w:t>
      </w:r>
      <w:r w:rsidR="00DA0718" w:rsidRPr="005A22C2">
        <w:t>S</w:t>
      </w:r>
      <w:r w:rsidR="00D7214A" w:rsidRPr="005A22C2">
        <w:t>takeholders in the</w:t>
      </w:r>
      <w:r w:rsidR="00D7214A" w:rsidRPr="005A22C2" w:rsidDel="00786AEB">
        <w:t xml:space="preserve"> </w:t>
      </w:r>
      <w:r w:rsidR="00D7214A" w:rsidRPr="005A22C2">
        <w:t>SDA Builders</w:t>
      </w:r>
      <w:r w:rsidR="00585318" w:rsidRPr="005A22C2">
        <w:t xml:space="preserve"> and Developers</w:t>
      </w:r>
      <w:r w:rsidR="00D7214A" w:rsidRPr="005A22C2">
        <w:t xml:space="preserve">, </w:t>
      </w:r>
      <w:r w:rsidR="000049E9" w:rsidRPr="005A22C2">
        <w:t xml:space="preserve">and the </w:t>
      </w:r>
      <w:r w:rsidR="00D7214A" w:rsidRPr="005A22C2">
        <w:t>Queensland</w:t>
      </w:r>
      <w:r w:rsidR="00283F5D" w:rsidRPr="005A22C2">
        <w:t xml:space="preserve"> and </w:t>
      </w:r>
      <w:r w:rsidR="000049E9" w:rsidRPr="005A22C2">
        <w:t xml:space="preserve">the </w:t>
      </w:r>
      <w:r w:rsidR="00D7214A" w:rsidRPr="005A22C2">
        <w:t xml:space="preserve">Tasmania </w:t>
      </w:r>
      <w:r w:rsidR="00D84C52" w:rsidRPr="005A22C2">
        <w:t>Consultation Group</w:t>
      </w:r>
      <w:r w:rsidR="00D7214A" w:rsidRPr="005A22C2">
        <w:t>s</w:t>
      </w:r>
      <w:r w:rsidR="00DA0718" w:rsidRPr="005A22C2">
        <w:t xml:space="preserve"> </w:t>
      </w:r>
      <w:r w:rsidR="000049E9" w:rsidRPr="005A22C2">
        <w:t>stated</w:t>
      </w:r>
      <w:r w:rsidR="00DA0718" w:rsidRPr="005A22C2">
        <w:t xml:space="preserve"> </w:t>
      </w:r>
      <w:r w:rsidR="00D7214A" w:rsidRPr="005A22C2">
        <w:t>that few</w:t>
      </w:r>
      <w:r w:rsidR="00330009" w:rsidRPr="005A22C2">
        <w:t xml:space="preserve">er residential builders are choosing to </w:t>
      </w:r>
      <w:r w:rsidR="00786AEB" w:rsidRPr="005A22C2">
        <w:t xml:space="preserve">build SDA </w:t>
      </w:r>
      <w:r w:rsidR="00330009" w:rsidRPr="005A22C2">
        <w:t xml:space="preserve">due to the </w:t>
      </w:r>
      <w:r w:rsidR="00786AEB" w:rsidRPr="005A22C2">
        <w:lastRenderedPageBreak/>
        <w:t xml:space="preserve">perceived </w:t>
      </w:r>
      <w:r w:rsidR="00330009" w:rsidRPr="005A22C2">
        <w:t>complexity</w:t>
      </w:r>
      <w:r w:rsidR="00786AEB" w:rsidRPr="005A22C2">
        <w:t xml:space="preserve"> and risk</w:t>
      </w:r>
      <w:r w:rsidR="00330009" w:rsidRPr="005A22C2">
        <w:t xml:space="preserve"> </w:t>
      </w:r>
      <w:r w:rsidR="00786AEB" w:rsidRPr="005A22C2">
        <w:t>in meeting the SDA Design Standards</w:t>
      </w:r>
      <w:r w:rsidR="008C5AF5" w:rsidRPr="005A22C2">
        <w:t xml:space="preserve"> and </w:t>
      </w:r>
      <w:r w:rsidR="002D718D" w:rsidRPr="005A22C2">
        <w:t xml:space="preserve">potentially </w:t>
      </w:r>
      <w:r w:rsidR="008C5AF5" w:rsidRPr="005A22C2">
        <w:t>lower margins</w:t>
      </w:r>
      <w:r w:rsidR="00330009" w:rsidRPr="005A22C2">
        <w:t>.</w:t>
      </w:r>
      <w:r w:rsidR="002A687D" w:rsidRPr="005A22C2">
        <w:t xml:space="preserve"> </w:t>
      </w:r>
      <w:r w:rsidR="006361D1" w:rsidRPr="00437F38">
        <w:t>Lighthouse</w:t>
      </w:r>
      <w:r w:rsidR="006361D1" w:rsidRPr="005A22C2">
        <w:t xml:space="preserve"> </w:t>
      </w:r>
      <w:r w:rsidR="000049E9" w:rsidRPr="005A22C2">
        <w:t>stated</w:t>
      </w:r>
      <w:r w:rsidR="006361D1" w:rsidRPr="005A22C2">
        <w:t xml:space="preserve"> that </w:t>
      </w:r>
      <w:r w:rsidR="002505CC" w:rsidRPr="005A22C2">
        <w:t xml:space="preserve">decreasing building margins </w:t>
      </w:r>
      <w:r w:rsidR="00853552" w:rsidRPr="005A22C2">
        <w:t>was</w:t>
      </w:r>
      <w:r w:rsidR="008C5AF5" w:rsidRPr="005A22C2">
        <w:t xml:space="preserve"> </w:t>
      </w:r>
      <w:r w:rsidR="000049E9" w:rsidRPr="005A22C2">
        <w:t xml:space="preserve">also </w:t>
      </w:r>
      <w:r w:rsidR="00AA7B8E" w:rsidRPr="005A22C2">
        <w:t>reducing</w:t>
      </w:r>
      <w:r w:rsidR="00D21A34" w:rsidRPr="005A22C2">
        <w:t xml:space="preserve"> </w:t>
      </w:r>
      <w:r w:rsidR="00C06D82" w:rsidRPr="005A22C2">
        <w:t xml:space="preserve">the </w:t>
      </w:r>
      <w:r w:rsidR="00411D8A" w:rsidRPr="005A22C2">
        <w:t xml:space="preserve">number of </w:t>
      </w:r>
      <w:r w:rsidR="00025A60" w:rsidRPr="005A22C2">
        <w:t xml:space="preserve">builders </w:t>
      </w:r>
      <w:r w:rsidR="00411D8A" w:rsidRPr="005A22C2">
        <w:t xml:space="preserve">willing and </w:t>
      </w:r>
      <w:r w:rsidR="00025A60" w:rsidRPr="005A22C2">
        <w:t xml:space="preserve">available </w:t>
      </w:r>
      <w:r w:rsidR="005B779D" w:rsidRPr="005A22C2">
        <w:t xml:space="preserve">to build </w:t>
      </w:r>
      <w:r w:rsidR="00025A60" w:rsidRPr="005A22C2">
        <w:t>SDA</w:t>
      </w:r>
      <w:r w:rsidR="00283F5D" w:rsidRPr="005A22C2">
        <w:t>.</w:t>
      </w:r>
    </w:p>
    <w:p w14:paraId="17B85880" w14:textId="3E2E227C" w:rsidR="00A47429" w:rsidRPr="005A22C2" w:rsidRDefault="006C7673" w:rsidP="006720A0">
      <w:r w:rsidRPr="005A22C2">
        <w:t xml:space="preserve">One </w:t>
      </w:r>
      <w:r w:rsidR="002C6149" w:rsidRPr="005A22C2">
        <w:t>stakeholder in</w:t>
      </w:r>
      <w:r w:rsidRPr="005A22C2">
        <w:t xml:space="preserve"> the Tasmania </w:t>
      </w:r>
      <w:r w:rsidR="00D84C52" w:rsidRPr="005A22C2">
        <w:t>Consultation Group</w:t>
      </w:r>
      <w:r w:rsidRPr="005A22C2">
        <w:t xml:space="preserve"> </w:t>
      </w:r>
      <w:r w:rsidR="000049E9" w:rsidRPr="005A22C2">
        <w:t>stated</w:t>
      </w:r>
      <w:r w:rsidRPr="005A22C2">
        <w:t xml:space="preserve"> that</w:t>
      </w:r>
      <w:r w:rsidR="005B1ACE" w:rsidRPr="005A22C2">
        <w:t xml:space="preserve"> “</w:t>
      </w:r>
      <w:r w:rsidRPr="005A22C2">
        <w:t xml:space="preserve">there’s actually quite a few builders that are interested in SDA, </w:t>
      </w:r>
      <w:r w:rsidR="009B22F7" w:rsidRPr="005A22C2">
        <w:t>however</w:t>
      </w:r>
      <w:r w:rsidRPr="005A22C2">
        <w:t xml:space="preserve"> builders are choosing standard residential building that is an easier volume build with a known margin</w:t>
      </w:r>
      <w:r w:rsidR="005B1ACE" w:rsidRPr="005A22C2">
        <w:t>”</w:t>
      </w:r>
      <w:r w:rsidR="00A466C0" w:rsidRPr="005A22C2">
        <w:t>.</w:t>
      </w:r>
    </w:p>
    <w:p w14:paraId="3162A9A5" w14:textId="5FADB5FD" w:rsidR="00A571E5" w:rsidRPr="005A22C2" w:rsidRDefault="00625FE8" w:rsidP="006720A0">
      <w:r w:rsidRPr="005A22C2">
        <w:t>S</w:t>
      </w:r>
      <w:r w:rsidR="00411E4E" w:rsidRPr="005A22C2">
        <w:t>everal s</w:t>
      </w:r>
      <w:r w:rsidR="00EC270E" w:rsidRPr="005A22C2">
        <w:t xml:space="preserve">takeholders </w:t>
      </w:r>
      <w:r w:rsidR="005361D4" w:rsidRPr="005A22C2">
        <w:t>stated</w:t>
      </w:r>
      <w:r w:rsidR="00EC270E" w:rsidRPr="005A22C2">
        <w:t xml:space="preserve"> that the limited supply of capable </w:t>
      </w:r>
      <w:r w:rsidR="00F92B6A" w:rsidRPr="005A22C2">
        <w:t xml:space="preserve">residential </w:t>
      </w:r>
      <w:r w:rsidR="00EC270E" w:rsidRPr="005A22C2">
        <w:t xml:space="preserve">builders means that developers are engaging </w:t>
      </w:r>
      <w:r w:rsidR="00F47BFC" w:rsidRPr="005A22C2">
        <w:t xml:space="preserve">commercial </w:t>
      </w:r>
      <w:r w:rsidR="00EC270E" w:rsidRPr="005A22C2">
        <w:t xml:space="preserve">builders </w:t>
      </w:r>
      <w:r w:rsidR="00F47BFC" w:rsidRPr="005A22C2">
        <w:t xml:space="preserve">that </w:t>
      </w:r>
      <w:r w:rsidR="00EC270E" w:rsidRPr="005A22C2">
        <w:t>specialise in high-end residential developments</w:t>
      </w:r>
      <w:r w:rsidR="00766122" w:rsidRPr="005A22C2">
        <w:t xml:space="preserve">. </w:t>
      </w:r>
      <w:r w:rsidR="001D62C7" w:rsidRPr="005A22C2">
        <w:t xml:space="preserve">The SDA Builders and Developers </w:t>
      </w:r>
      <w:r w:rsidR="00D84C52" w:rsidRPr="005A22C2">
        <w:t>Consultation Group</w:t>
      </w:r>
      <w:r w:rsidR="001D62C7" w:rsidRPr="005A22C2">
        <w:t xml:space="preserve"> </w:t>
      </w:r>
      <w:r w:rsidR="005361D4" w:rsidRPr="005A22C2">
        <w:t>stated</w:t>
      </w:r>
      <w:r w:rsidR="00D42012" w:rsidRPr="005A22C2">
        <w:t xml:space="preserve"> </w:t>
      </w:r>
      <w:r w:rsidR="001D62C7" w:rsidRPr="005A22C2">
        <w:t>that</w:t>
      </w:r>
      <w:r w:rsidR="00766122" w:rsidRPr="005A22C2">
        <w:t xml:space="preserve"> </w:t>
      </w:r>
      <w:r w:rsidR="00EC270E" w:rsidRPr="005A22C2">
        <w:t>commercial builders</w:t>
      </w:r>
      <w:r w:rsidR="00F92B6A" w:rsidRPr="005A22C2">
        <w:t xml:space="preserve"> are </w:t>
      </w:r>
      <w:r w:rsidR="001D62C7" w:rsidRPr="005A22C2">
        <w:t xml:space="preserve">better equipped to </w:t>
      </w:r>
      <w:r w:rsidR="00F92B6A" w:rsidRPr="005A22C2">
        <w:t>meet a higher standard of build</w:t>
      </w:r>
      <w:r w:rsidR="005B10F0" w:rsidRPr="005A22C2">
        <w:t xml:space="preserve"> </w:t>
      </w:r>
      <w:r w:rsidR="00D42012" w:rsidRPr="005A22C2">
        <w:t>and</w:t>
      </w:r>
      <w:r w:rsidR="005B10F0" w:rsidRPr="005A22C2">
        <w:t xml:space="preserve"> the provisions of the</w:t>
      </w:r>
      <w:r w:rsidR="006E70B1" w:rsidRPr="005A22C2">
        <w:t xml:space="preserve"> National Construction Code</w:t>
      </w:r>
      <w:r w:rsidR="00CF1C11" w:rsidRPr="005A22C2">
        <w:t xml:space="preserve"> </w:t>
      </w:r>
      <w:r w:rsidR="00F92B6A" w:rsidRPr="005A22C2">
        <w:t>Class 3.</w:t>
      </w:r>
      <w:r w:rsidR="00E03136" w:rsidRPr="005A22C2">
        <w:t xml:space="preserve"> </w:t>
      </w:r>
      <w:r w:rsidR="0043267F" w:rsidRPr="005A22C2">
        <w:t xml:space="preserve">Stakeholders </w:t>
      </w:r>
      <w:r w:rsidR="003B41B8" w:rsidRPr="005A22C2">
        <w:t xml:space="preserve">that </w:t>
      </w:r>
      <w:r w:rsidR="00D00E97" w:rsidRPr="005A22C2">
        <w:t xml:space="preserve">engage commercial builders, including one stakeholder in the Tasmania </w:t>
      </w:r>
      <w:r w:rsidR="00D84C52" w:rsidRPr="005A22C2">
        <w:t>Consultation Group</w:t>
      </w:r>
      <w:r w:rsidR="00D00E97" w:rsidRPr="005A22C2">
        <w:t xml:space="preserve">, </w:t>
      </w:r>
      <w:r w:rsidR="008C3386" w:rsidRPr="005A22C2">
        <w:t>stated</w:t>
      </w:r>
      <w:r w:rsidR="00D00E97" w:rsidRPr="005A22C2">
        <w:t xml:space="preserve"> that commercial builders are generally more expensive</w:t>
      </w:r>
      <w:r w:rsidR="0043267F" w:rsidRPr="005A22C2">
        <w:t xml:space="preserve"> than residential builders</w:t>
      </w:r>
      <w:r w:rsidR="008C3386" w:rsidRPr="005A22C2">
        <w:t xml:space="preserve">. They recommended that </w:t>
      </w:r>
      <w:r w:rsidR="002B34E3" w:rsidRPr="005A22C2">
        <w:t xml:space="preserve">this additional cost </w:t>
      </w:r>
      <w:r w:rsidR="0043267F" w:rsidRPr="005A22C2">
        <w:t xml:space="preserve">should be </w:t>
      </w:r>
      <w:r w:rsidR="000E0C5C" w:rsidRPr="005A22C2">
        <w:t>consider</w:t>
      </w:r>
      <w:r w:rsidR="0043267F" w:rsidRPr="005A22C2">
        <w:t xml:space="preserve">ed as part of the </w:t>
      </w:r>
      <w:r w:rsidR="006344D5" w:rsidRPr="005A22C2">
        <w:t>SDA Pricing Review</w:t>
      </w:r>
      <w:r w:rsidR="00D00E97" w:rsidRPr="005A22C2">
        <w:t>.</w:t>
      </w:r>
      <w:r w:rsidR="005B1ACE" w:rsidRPr="005A22C2">
        <w:t xml:space="preserve"> </w:t>
      </w:r>
      <w:r w:rsidR="00C7603C" w:rsidRPr="005A22C2">
        <w:t>The Tasmania</w:t>
      </w:r>
      <w:r w:rsidR="00550362" w:rsidRPr="005A22C2">
        <w:t xml:space="preserve"> </w:t>
      </w:r>
      <w:r w:rsidR="00D84C52" w:rsidRPr="005A22C2">
        <w:t>Consultation Group</w:t>
      </w:r>
      <w:r w:rsidR="00550362" w:rsidRPr="005A22C2">
        <w:t xml:space="preserve"> also recommended the Agency</w:t>
      </w:r>
      <w:r w:rsidR="005654C6" w:rsidRPr="005A22C2">
        <w:t xml:space="preserve"> encourage the Housing Industry Association</w:t>
      </w:r>
      <w:r w:rsidR="00E536E4" w:rsidRPr="005A22C2">
        <w:t xml:space="preserve"> </w:t>
      </w:r>
      <w:r w:rsidR="005654C6" w:rsidRPr="005A22C2">
        <w:t xml:space="preserve">to award </w:t>
      </w:r>
      <w:r w:rsidR="00C7603C" w:rsidRPr="005A22C2">
        <w:t>Continuing Professional Education</w:t>
      </w:r>
      <w:r w:rsidR="005654C6" w:rsidRPr="005A22C2">
        <w:t xml:space="preserve"> </w:t>
      </w:r>
      <w:r w:rsidR="00E536E4" w:rsidRPr="005A22C2">
        <w:t>p</w:t>
      </w:r>
      <w:r w:rsidR="005654C6" w:rsidRPr="005A22C2">
        <w:t>oints to builders that undergo specialist SDA training</w:t>
      </w:r>
      <w:r w:rsidR="00550362" w:rsidRPr="005A22C2">
        <w:t xml:space="preserve"> </w:t>
      </w:r>
      <w:r w:rsidR="00732160" w:rsidRPr="005A22C2">
        <w:t>t</w:t>
      </w:r>
      <w:r w:rsidR="00EC270E" w:rsidRPr="005A22C2">
        <w:t>o</w:t>
      </w:r>
      <w:r w:rsidR="00732160" w:rsidRPr="005A22C2">
        <w:t xml:space="preserve"> help</w:t>
      </w:r>
      <w:r w:rsidR="00EC270E" w:rsidRPr="005A22C2">
        <w:t xml:space="preserve"> </w:t>
      </w:r>
      <w:r w:rsidR="00732160" w:rsidRPr="005A22C2">
        <w:t>build the capa</w:t>
      </w:r>
      <w:r w:rsidR="001E4C40" w:rsidRPr="005A22C2">
        <w:t xml:space="preserve">bility and capacity of the </w:t>
      </w:r>
      <w:r w:rsidR="00355498" w:rsidRPr="005A22C2">
        <w:t xml:space="preserve">SDA </w:t>
      </w:r>
      <w:r w:rsidR="001E4C40" w:rsidRPr="005A22C2">
        <w:t>construction industry.</w:t>
      </w:r>
    </w:p>
    <w:p w14:paraId="3EAD1F82" w14:textId="70B78059" w:rsidR="000F5D9A" w:rsidRPr="005A22C2" w:rsidRDefault="000F5D9A" w:rsidP="0001662E">
      <w:pPr>
        <w:pStyle w:val="Heading3"/>
      </w:pPr>
      <w:bookmarkStart w:id="60" w:name="_Toc122454201"/>
      <w:bookmarkStart w:id="61" w:name="_Toc122527499"/>
      <w:bookmarkStart w:id="62" w:name="_Toc129783539"/>
      <w:r w:rsidRPr="005A22C2">
        <w:t xml:space="preserve">Transporting </w:t>
      </w:r>
      <w:r w:rsidR="005361D4" w:rsidRPr="005A22C2">
        <w:t>M</w:t>
      </w:r>
      <w:r w:rsidRPr="005A22C2">
        <w:t>aterials</w:t>
      </w:r>
      <w:bookmarkEnd w:id="60"/>
      <w:bookmarkEnd w:id="61"/>
      <w:bookmarkEnd w:id="62"/>
    </w:p>
    <w:p w14:paraId="0C504BA4" w14:textId="66CCC3C6" w:rsidR="0079084C" w:rsidRPr="005A22C2" w:rsidRDefault="00FA70F6" w:rsidP="006720A0">
      <w:r w:rsidRPr="005A22C2">
        <w:t xml:space="preserve">Several regionally based stakeholders discussed the additional </w:t>
      </w:r>
      <w:r w:rsidR="00234D1D" w:rsidRPr="005A22C2">
        <w:t>cost of transportation</w:t>
      </w:r>
      <w:r w:rsidR="002C2EBE" w:rsidRPr="005A22C2">
        <w:t xml:space="preserve"> to regional areas of Australia, which </w:t>
      </w:r>
      <w:r w:rsidR="00A37E7B" w:rsidRPr="005A22C2">
        <w:t>they believe</w:t>
      </w:r>
      <w:r w:rsidR="007B6007" w:rsidRPr="005A22C2">
        <w:t>d</w:t>
      </w:r>
      <w:r w:rsidR="00A37E7B" w:rsidRPr="005A22C2">
        <w:t xml:space="preserve"> </w:t>
      </w:r>
      <w:r w:rsidR="007B6007" w:rsidRPr="005A22C2">
        <w:t>was</w:t>
      </w:r>
      <w:r w:rsidR="00A37E7B" w:rsidRPr="005A22C2">
        <w:t xml:space="preserve"> not adequately addressed in the </w:t>
      </w:r>
      <w:r w:rsidR="00A47429" w:rsidRPr="005A22C2">
        <w:t xml:space="preserve">current </w:t>
      </w:r>
      <w:r w:rsidR="00A37E7B" w:rsidRPr="005A22C2">
        <w:t xml:space="preserve">SDA </w:t>
      </w:r>
      <w:r w:rsidR="00A37E7B" w:rsidRPr="00437F38">
        <w:t xml:space="preserve">pricing </w:t>
      </w:r>
      <w:r w:rsidR="00A47429" w:rsidRPr="00437F38">
        <w:t>model</w:t>
      </w:r>
      <w:r w:rsidR="00A37E7B" w:rsidRPr="00437F38">
        <w:t>.</w:t>
      </w:r>
      <w:r w:rsidR="002A687D" w:rsidRPr="00437F38">
        <w:t xml:space="preserve"> </w:t>
      </w:r>
      <w:proofErr w:type="spellStart"/>
      <w:r w:rsidR="00290A07" w:rsidRPr="00437F38">
        <w:t>PowerHousing</w:t>
      </w:r>
      <w:proofErr w:type="spellEnd"/>
      <w:r w:rsidR="00290A07" w:rsidRPr="00437F38">
        <w:t xml:space="preserve"> Australia indicated</w:t>
      </w:r>
      <w:r w:rsidR="00290A07" w:rsidRPr="005A22C2">
        <w:t xml:space="preserve"> that </w:t>
      </w:r>
      <w:r w:rsidR="005F4656" w:rsidRPr="005A22C2">
        <w:t xml:space="preserve">delays </w:t>
      </w:r>
      <w:r w:rsidR="00D42012" w:rsidRPr="005A22C2">
        <w:t>in</w:t>
      </w:r>
      <w:r w:rsidR="005F4656" w:rsidRPr="005A22C2">
        <w:t xml:space="preserve"> transporting materials was </w:t>
      </w:r>
      <w:r w:rsidR="00A47429" w:rsidRPr="005A22C2">
        <w:t xml:space="preserve">also </w:t>
      </w:r>
      <w:r w:rsidR="005F4656" w:rsidRPr="005A22C2">
        <w:t xml:space="preserve">impacting </w:t>
      </w:r>
      <w:r w:rsidR="00706888" w:rsidRPr="005A22C2">
        <w:t xml:space="preserve">timely </w:t>
      </w:r>
      <w:r w:rsidR="005F4656" w:rsidRPr="005A22C2">
        <w:t>project delivery.</w:t>
      </w:r>
      <w:r w:rsidR="00A53FE7" w:rsidRPr="005A22C2">
        <w:t xml:space="preserve"> </w:t>
      </w:r>
      <w:r w:rsidRPr="005A22C2">
        <w:t xml:space="preserve">One SDA-builder located in Cairns </w:t>
      </w:r>
      <w:r w:rsidR="005361D4" w:rsidRPr="005A22C2">
        <w:t>stated</w:t>
      </w:r>
      <w:r w:rsidRPr="005A22C2">
        <w:t xml:space="preserve"> that build costs are compounded by the need to transport materials from Brisbane, which is </w:t>
      </w:r>
      <w:r w:rsidR="003D4E70" w:rsidRPr="005A22C2">
        <w:t>also delaying</w:t>
      </w:r>
      <w:r w:rsidRPr="005A22C2">
        <w:t xml:space="preserve"> completion.</w:t>
      </w:r>
      <w:r w:rsidR="007B6007" w:rsidRPr="005A22C2">
        <w:t xml:space="preserve"> </w:t>
      </w:r>
      <w:r w:rsidR="00345D4F" w:rsidRPr="005A22C2">
        <w:t xml:space="preserve">Stakeholders </w:t>
      </w:r>
      <w:r w:rsidR="00D4593A" w:rsidRPr="005A22C2">
        <w:t>in</w:t>
      </w:r>
      <w:r w:rsidR="0079084C" w:rsidRPr="005A22C2">
        <w:t xml:space="preserve"> the </w:t>
      </w:r>
      <w:r w:rsidR="007B6866" w:rsidRPr="005A22C2">
        <w:t xml:space="preserve">Tasmania </w:t>
      </w:r>
      <w:r w:rsidR="00D84C52" w:rsidRPr="005A22C2">
        <w:t>Consultation Group</w:t>
      </w:r>
      <w:r w:rsidR="007B6866" w:rsidRPr="005A22C2" w:rsidDel="007B6866">
        <w:t xml:space="preserve"> </w:t>
      </w:r>
      <w:r w:rsidR="0079084C" w:rsidRPr="005A22C2">
        <w:t xml:space="preserve">highlighted that </w:t>
      </w:r>
      <w:r w:rsidR="00AE2B59" w:rsidRPr="005A22C2">
        <w:t xml:space="preserve">being an island state meant </w:t>
      </w:r>
      <w:r w:rsidR="007D5F53" w:rsidRPr="005A22C2">
        <w:t xml:space="preserve">they </w:t>
      </w:r>
      <w:r w:rsidR="00AE2B59" w:rsidRPr="005A22C2">
        <w:t xml:space="preserve">that </w:t>
      </w:r>
      <w:r w:rsidR="0079084C" w:rsidRPr="005A22C2">
        <w:t>reli</w:t>
      </w:r>
      <w:r w:rsidR="00245293" w:rsidRPr="005A22C2">
        <w:t>ed</w:t>
      </w:r>
      <w:r w:rsidR="0079084C" w:rsidRPr="005A22C2">
        <w:t xml:space="preserve"> on </w:t>
      </w:r>
      <w:r w:rsidR="003D4E70" w:rsidRPr="005A22C2">
        <w:t>shipping</w:t>
      </w:r>
      <w:r w:rsidR="00245293" w:rsidRPr="005A22C2">
        <w:t xml:space="preserve"> </w:t>
      </w:r>
      <w:r w:rsidR="0079084C" w:rsidRPr="005A22C2">
        <w:t xml:space="preserve">to transport materials </w:t>
      </w:r>
      <w:r w:rsidR="00245293" w:rsidRPr="005A22C2">
        <w:t>from the mainland</w:t>
      </w:r>
      <w:r w:rsidR="004A77BB" w:rsidRPr="005A22C2">
        <w:t xml:space="preserve">, which increases material </w:t>
      </w:r>
      <w:r w:rsidR="0079084C" w:rsidRPr="005A22C2">
        <w:t>costs.</w:t>
      </w:r>
      <w:r w:rsidR="007B6007" w:rsidRPr="005A22C2">
        <w:t xml:space="preserve"> </w:t>
      </w:r>
      <w:r w:rsidR="00E06FA1" w:rsidRPr="005A22C2">
        <w:t>In addition, o</w:t>
      </w:r>
      <w:r w:rsidR="0079084C" w:rsidRPr="005A22C2">
        <w:t>ne</w:t>
      </w:r>
      <w:r w:rsidR="0079084C" w:rsidRPr="005A22C2" w:rsidDel="00E06FA1">
        <w:t xml:space="preserve"> </w:t>
      </w:r>
      <w:r w:rsidR="00E06FA1" w:rsidRPr="005A22C2">
        <w:t>stakeholder</w:t>
      </w:r>
      <w:r w:rsidR="0079084C" w:rsidRPr="005A22C2">
        <w:t xml:space="preserve"> </w:t>
      </w:r>
      <w:r w:rsidR="00D4593A" w:rsidRPr="005A22C2">
        <w:t xml:space="preserve">in </w:t>
      </w:r>
      <w:r w:rsidR="0079084C" w:rsidRPr="005A22C2">
        <w:t xml:space="preserve">the </w:t>
      </w:r>
      <w:r w:rsidR="00D84C52" w:rsidRPr="005A22C2">
        <w:t>Consultation Group</w:t>
      </w:r>
      <w:r w:rsidR="0079084C" w:rsidRPr="005A22C2">
        <w:t xml:space="preserve"> estimated that disruptions to shipping schedules and delay</w:t>
      </w:r>
      <w:r w:rsidR="00E06FA1" w:rsidRPr="005A22C2">
        <w:t>s</w:t>
      </w:r>
      <w:r w:rsidR="0079084C" w:rsidRPr="005A22C2">
        <w:t xml:space="preserve"> </w:t>
      </w:r>
      <w:r w:rsidR="00C60A59" w:rsidRPr="005A22C2">
        <w:t>in</w:t>
      </w:r>
      <w:r w:rsidR="0079084C" w:rsidRPr="005A22C2">
        <w:t xml:space="preserve"> receiving materials had driven construction costs up by</w:t>
      </w:r>
      <w:r w:rsidR="00C60A59" w:rsidRPr="005A22C2">
        <w:t xml:space="preserve"> approximately</w:t>
      </w:r>
      <w:r w:rsidR="0079084C" w:rsidRPr="005A22C2">
        <w:t xml:space="preserve"> 20</w:t>
      </w:r>
      <w:r w:rsidR="006B7828">
        <w:t>%</w:t>
      </w:r>
      <w:r w:rsidR="005F5C04" w:rsidRPr="005A22C2">
        <w:t xml:space="preserve"> to </w:t>
      </w:r>
      <w:r w:rsidR="0079084C" w:rsidRPr="005A22C2">
        <w:t>30</w:t>
      </w:r>
      <w:r w:rsidR="006B7828">
        <w:t>%</w:t>
      </w:r>
      <w:r w:rsidR="0079084C" w:rsidRPr="005A22C2">
        <w:t xml:space="preserve"> since the beginning of 2022.</w:t>
      </w:r>
    </w:p>
    <w:p w14:paraId="3F0F21B0" w14:textId="7A5A3AB1" w:rsidR="001B32F9" w:rsidRPr="005A22C2" w:rsidRDefault="00B61A1C" w:rsidP="006720A0">
      <w:r w:rsidRPr="005A22C2">
        <w:t>A</w:t>
      </w:r>
      <w:r w:rsidR="00C7603C" w:rsidRPr="005A22C2">
        <w:t xml:space="preserve"> stakeholder </w:t>
      </w:r>
      <w:r w:rsidR="00FD6110" w:rsidRPr="005A22C2">
        <w:t xml:space="preserve">in the Victoria </w:t>
      </w:r>
      <w:r w:rsidR="00D84C52" w:rsidRPr="005A22C2">
        <w:t>Consultation Group</w:t>
      </w:r>
      <w:r w:rsidR="00C7603C" w:rsidRPr="005A22C2">
        <w:t xml:space="preserve"> </w:t>
      </w:r>
      <w:r w:rsidR="004B3901" w:rsidRPr="005A22C2">
        <w:t xml:space="preserve">also </w:t>
      </w:r>
      <w:r w:rsidR="005361D4" w:rsidRPr="005A22C2">
        <w:t>stated</w:t>
      </w:r>
      <w:r w:rsidR="001B32F9" w:rsidRPr="005A22C2">
        <w:t xml:space="preserve"> </w:t>
      </w:r>
      <w:r w:rsidR="00F24AFB" w:rsidRPr="005A22C2">
        <w:t xml:space="preserve">that additional </w:t>
      </w:r>
      <w:r w:rsidR="00D37153" w:rsidRPr="005A22C2">
        <w:t xml:space="preserve">costs are incurred </w:t>
      </w:r>
      <w:r w:rsidR="009B5657" w:rsidRPr="005A22C2">
        <w:t xml:space="preserve">in the delivery of </w:t>
      </w:r>
      <w:r w:rsidR="00124163" w:rsidRPr="005A22C2">
        <w:t xml:space="preserve">assistive technology </w:t>
      </w:r>
      <w:r w:rsidR="009B5657" w:rsidRPr="005A22C2">
        <w:t xml:space="preserve">such as </w:t>
      </w:r>
      <w:r w:rsidR="00124163" w:rsidRPr="005A22C2">
        <w:t>hoists and rails</w:t>
      </w:r>
      <w:r w:rsidR="009B5657" w:rsidRPr="005A22C2">
        <w:t xml:space="preserve"> </w:t>
      </w:r>
      <w:r w:rsidR="00C5183F" w:rsidRPr="005A22C2">
        <w:t>with anothe</w:t>
      </w:r>
      <w:r w:rsidR="000E342C" w:rsidRPr="005A22C2">
        <w:t>r</w:t>
      </w:r>
      <w:r w:rsidR="00C5183F" w:rsidRPr="005A22C2">
        <w:t xml:space="preserve"> stakeholder </w:t>
      </w:r>
      <w:r w:rsidR="000E342C" w:rsidRPr="005A22C2">
        <w:t>in the same discussion</w:t>
      </w:r>
      <w:r w:rsidR="00C5183F" w:rsidRPr="005A22C2">
        <w:t xml:space="preserve"> </w:t>
      </w:r>
      <w:r w:rsidR="002E4822" w:rsidRPr="005A22C2">
        <w:t>stating that</w:t>
      </w:r>
      <w:r w:rsidR="005B1ACE" w:rsidRPr="005A22C2">
        <w:t xml:space="preserve"> the “</w:t>
      </w:r>
      <w:r w:rsidR="001B32F9" w:rsidRPr="002E461B">
        <w:t xml:space="preserve">majority of the highly specialised things that need to go into the house, we need to get </w:t>
      </w:r>
      <w:r w:rsidR="005B1ACE" w:rsidRPr="002E461B">
        <w:t>[them]</w:t>
      </w:r>
      <w:r w:rsidR="001B32F9" w:rsidRPr="002E461B">
        <w:t xml:space="preserve"> from metro</w:t>
      </w:r>
      <w:r w:rsidR="005B1ACE" w:rsidRPr="002E461B">
        <w:t>politan</w:t>
      </w:r>
      <w:r w:rsidR="001B32F9" w:rsidRPr="002E461B">
        <w:t xml:space="preserve"> to regional [areas]</w:t>
      </w:r>
      <w:r w:rsidR="007B6007" w:rsidRPr="002E461B">
        <w:t>,</w:t>
      </w:r>
      <w:r w:rsidR="001B32F9" w:rsidRPr="002E461B">
        <w:t xml:space="preserve"> which can be expensive</w:t>
      </w:r>
      <w:r w:rsidR="005B1ACE" w:rsidRPr="002E461B">
        <w:t>”</w:t>
      </w:r>
      <w:r w:rsidR="001B32F9" w:rsidRPr="002E461B">
        <w:t>.</w:t>
      </w:r>
    </w:p>
    <w:p w14:paraId="17076E83" w14:textId="2CE1E2E4" w:rsidR="001B32F9" w:rsidRPr="005A22C2" w:rsidRDefault="001B32F9" w:rsidP="006720A0">
      <w:pPr>
        <w:pStyle w:val="Heading2"/>
      </w:pPr>
      <w:bookmarkStart w:id="63" w:name="_Toc126595094"/>
      <w:bookmarkStart w:id="64" w:name="_Toc129783540"/>
      <w:bookmarkStart w:id="65" w:name="_Toc136006855"/>
      <w:bookmarkStart w:id="66" w:name="_Hlk122264674"/>
      <w:r w:rsidRPr="005A22C2">
        <w:t xml:space="preserve">Building </w:t>
      </w:r>
      <w:r w:rsidR="005361D4" w:rsidRPr="005A22C2">
        <w:t>C</w:t>
      </w:r>
      <w:r w:rsidRPr="005A22C2">
        <w:t>lassification</w:t>
      </w:r>
      <w:bookmarkEnd w:id="63"/>
      <w:bookmarkEnd w:id="64"/>
      <w:bookmarkEnd w:id="65"/>
    </w:p>
    <w:p w14:paraId="119480FD" w14:textId="77777777" w:rsidR="00A47429" w:rsidRPr="005A22C2" w:rsidRDefault="001B32F9" w:rsidP="006720A0">
      <w:r w:rsidRPr="005A22C2">
        <w:t xml:space="preserve">There were mixed views amongst </w:t>
      </w:r>
      <w:r w:rsidR="00044453" w:rsidRPr="005A22C2">
        <w:t xml:space="preserve">written </w:t>
      </w:r>
      <w:r w:rsidR="00D17F66" w:rsidRPr="005A22C2">
        <w:t xml:space="preserve">submissions and the </w:t>
      </w:r>
      <w:r w:rsidR="00D84C52" w:rsidRPr="005A22C2">
        <w:t>Consultation Group</w:t>
      </w:r>
      <w:r w:rsidR="00D17F66" w:rsidRPr="005A22C2">
        <w:t>s</w:t>
      </w:r>
      <w:r w:rsidRPr="005A22C2">
        <w:t xml:space="preserve"> about the classification of SDA </w:t>
      </w:r>
      <w:r w:rsidR="006C7F0A" w:rsidRPr="005A22C2">
        <w:t>as</w:t>
      </w:r>
      <w:r w:rsidR="006E70B1" w:rsidRPr="005A22C2">
        <w:t xml:space="preserve"> National Construction Code</w:t>
      </w:r>
      <w:r w:rsidR="00751866" w:rsidRPr="005A22C2">
        <w:t xml:space="preserve"> Class 3 </w:t>
      </w:r>
      <w:r w:rsidR="008C3386" w:rsidRPr="005A22C2">
        <w:t>building</w:t>
      </w:r>
      <w:r w:rsidR="005361D4" w:rsidRPr="005A22C2">
        <w:t>s</w:t>
      </w:r>
      <w:r w:rsidR="008C3386" w:rsidRPr="005A22C2">
        <w:t xml:space="preserve"> </w:t>
      </w:r>
      <w:r w:rsidR="00751866" w:rsidRPr="005A22C2">
        <w:t>or</w:t>
      </w:r>
      <w:r w:rsidR="005361D4" w:rsidRPr="005A22C2">
        <w:t xml:space="preserve"> as</w:t>
      </w:r>
      <w:r w:rsidR="00751866" w:rsidRPr="005A22C2">
        <w:t xml:space="preserve"> Class 1b</w:t>
      </w:r>
      <w:r w:rsidR="008C3386" w:rsidRPr="005A22C2">
        <w:t xml:space="preserve"> buildings</w:t>
      </w:r>
      <w:r w:rsidR="008C54D6" w:rsidRPr="005A22C2">
        <w:t xml:space="preserve">. </w:t>
      </w:r>
      <w:r w:rsidR="00F665AF" w:rsidRPr="005A22C2">
        <w:t>Several stakeholders expressed concerns about the additional construction and compliance costs incurred with building to the provisions of Class 3</w:t>
      </w:r>
      <w:r w:rsidR="005361D4" w:rsidRPr="005A22C2">
        <w:t>. They also stated</w:t>
      </w:r>
      <w:r w:rsidR="001C7F90" w:rsidRPr="005A22C2">
        <w:t xml:space="preserve"> that these buildings may reduce the participant’s sense of </w:t>
      </w:r>
      <w:r w:rsidR="001C7F90" w:rsidRPr="005A22C2">
        <w:lastRenderedPageBreak/>
        <w:t>homeliness. However, other stakeholder</w:t>
      </w:r>
      <w:r w:rsidR="005361D4" w:rsidRPr="005A22C2">
        <w:t>s</w:t>
      </w:r>
      <w:r w:rsidR="001C7F90" w:rsidRPr="005A22C2">
        <w:t xml:space="preserve"> </w:t>
      </w:r>
      <w:r w:rsidR="005361D4" w:rsidRPr="005A22C2">
        <w:t>reported</w:t>
      </w:r>
      <w:r w:rsidR="001C7F90" w:rsidRPr="005A22C2">
        <w:t xml:space="preserve"> that building to </w:t>
      </w:r>
      <w:r w:rsidR="005361D4" w:rsidRPr="005A22C2">
        <w:t xml:space="preserve">the </w:t>
      </w:r>
      <w:r w:rsidR="001C7F90" w:rsidRPr="005A22C2">
        <w:t>Class 3 standard provides additional protections from fire, injury</w:t>
      </w:r>
      <w:r w:rsidR="00A47429" w:rsidRPr="005A22C2">
        <w:t>,</w:t>
      </w:r>
      <w:r w:rsidR="001C7F90" w:rsidRPr="005A22C2">
        <w:t xml:space="preserve"> or hazards for participants.</w:t>
      </w:r>
    </w:p>
    <w:p w14:paraId="6D98F0CC" w14:textId="787B1385" w:rsidR="009156AA" w:rsidRPr="005A22C2" w:rsidRDefault="00DC5CC7" w:rsidP="006720A0">
      <w:pPr>
        <w:rPr>
          <w:lang w:eastAsia="en-AU"/>
        </w:rPr>
      </w:pPr>
      <w:r w:rsidRPr="005A22C2">
        <w:rPr>
          <w:lang w:eastAsia="en-AU"/>
        </w:rPr>
        <w:t xml:space="preserve">Many stakeholders were concerned about the additional costs incurred in </w:t>
      </w:r>
      <w:r w:rsidRPr="005A22C2">
        <w:t>building to the Class 3 standard</w:t>
      </w:r>
      <w:r w:rsidR="00CB7B57" w:rsidRPr="005A22C2">
        <w:rPr>
          <w:lang w:eastAsia="en-AU"/>
        </w:rPr>
        <w:t xml:space="preserve">, which included additional fire protection and prevention requirements, including sprinklers, site setbacks, vacuum stairwells and (for apartments) backup battery generators on lifts and setbacks. </w:t>
      </w:r>
      <w:r w:rsidR="001B32F9" w:rsidRPr="005A22C2">
        <w:rPr>
          <w:lang w:eastAsia="en-AU"/>
        </w:rPr>
        <w:t xml:space="preserve">A </w:t>
      </w:r>
      <w:r w:rsidR="001B32F9" w:rsidRPr="005A22C2" w:rsidDel="00680A33">
        <w:rPr>
          <w:lang w:eastAsia="en-AU"/>
        </w:rPr>
        <w:t>stakeholder</w:t>
      </w:r>
      <w:r w:rsidR="002C6149" w:rsidRPr="005A22C2">
        <w:rPr>
          <w:lang w:eastAsia="en-AU"/>
        </w:rPr>
        <w:t xml:space="preserve"> in </w:t>
      </w:r>
      <w:r w:rsidR="001B32F9" w:rsidRPr="005A22C2">
        <w:rPr>
          <w:lang w:eastAsia="en-AU"/>
        </w:rPr>
        <w:t xml:space="preserve">the SDA Builders </w:t>
      </w:r>
      <w:r w:rsidR="002C6149" w:rsidRPr="005A22C2">
        <w:rPr>
          <w:lang w:eastAsia="en-AU"/>
        </w:rPr>
        <w:t>and Developers</w:t>
      </w:r>
      <w:r w:rsidR="001B32F9" w:rsidRPr="005A22C2">
        <w:rPr>
          <w:lang w:eastAsia="en-AU"/>
        </w:rPr>
        <w:t xml:space="preserve"> </w:t>
      </w:r>
      <w:r w:rsidR="00D84C52" w:rsidRPr="005A22C2">
        <w:rPr>
          <w:lang w:eastAsia="en-AU"/>
        </w:rPr>
        <w:t>Consultation Group</w:t>
      </w:r>
      <w:r w:rsidR="001B32F9" w:rsidRPr="005A22C2">
        <w:rPr>
          <w:lang w:eastAsia="en-AU"/>
        </w:rPr>
        <w:t xml:space="preserve"> suggested that the cost of building</w:t>
      </w:r>
      <w:r w:rsidR="006E70B1" w:rsidRPr="005A22C2">
        <w:rPr>
          <w:lang w:eastAsia="en-AU"/>
        </w:rPr>
        <w:t xml:space="preserve"> </w:t>
      </w:r>
      <w:r w:rsidR="005361D4" w:rsidRPr="005A22C2">
        <w:rPr>
          <w:lang w:eastAsia="en-AU"/>
        </w:rPr>
        <w:t>SDA to the</w:t>
      </w:r>
      <w:r w:rsidR="006E70B1" w:rsidRPr="005A22C2">
        <w:rPr>
          <w:lang w:eastAsia="en-AU"/>
        </w:rPr>
        <w:t xml:space="preserve"> </w:t>
      </w:r>
      <w:r w:rsidR="001B32F9" w:rsidRPr="005A22C2">
        <w:rPr>
          <w:lang w:eastAsia="en-AU"/>
        </w:rPr>
        <w:t xml:space="preserve">Class 3 </w:t>
      </w:r>
      <w:r w:rsidR="005361D4" w:rsidRPr="005A22C2">
        <w:rPr>
          <w:lang w:eastAsia="en-AU"/>
        </w:rPr>
        <w:t>standard</w:t>
      </w:r>
      <w:r w:rsidR="001B32F9" w:rsidRPr="005A22C2">
        <w:rPr>
          <w:lang w:eastAsia="en-AU"/>
        </w:rPr>
        <w:t xml:space="preserve"> could</w:t>
      </w:r>
      <w:r w:rsidR="005B1ACE" w:rsidRPr="005A22C2">
        <w:rPr>
          <w:lang w:eastAsia="en-AU"/>
        </w:rPr>
        <w:t xml:space="preserve"> “</w:t>
      </w:r>
      <w:r w:rsidR="001B32F9" w:rsidRPr="002E461B">
        <w:rPr>
          <w:lang w:eastAsia="en-AU"/>
        </w:rPr>
        <w:t>be anywhere from 20</w:t>
      </w:r>
      <w:r w:rsidR="006B7828">
        <w:rPr>
          <w:lang w:eastAsia="en-AU"/>
        </w:rPr>
        <w:t>%</w:t>
      </w:r>
      <w:r w:rsidR="005F5C04" w:rsidRPr="002E461B">
        <w:rPr>
          <w:lang w:eastAsia="en-AU"/>
        </w:rPr>
        <w:t xml:space="preserve"> to </w:t>
      </w:r>
      <w:r w:rsidR="001B32F9" w:rsidRPr="002E461B">
        <w:rPr>
          <w:lang w:eastAsia="en-AU"/>
        </w:rPr>
        <w:t>30</w:t>
      </w:r>
      <w:r w:rsidR="006B7828">
        <w:rPr>
          <w:lang w:eastAsia="en-AU"/>
        </w:rPr>
        <w:t>%</w:t>
      </w:r>
      <w:r w:rsidR="001B32F9" w:rsidRPr="002E461B">
        <w:rPr>
          <w:lang w:eastAsia="en-AU"/>
        </w:rPr>
        <w:t xml:space="preserve"> more expensive than the cost of building traditional [Class 1B] SDA</w:t>
      </w:r>
      <w:r w:rsidR="005B1ACE" w:rsidRPr="005A22C2">
        <w:rPr>
          <w:lang w:eastAsia="en-AU"/>
        </w:rPr>
        <w:t>”.</w:t>
      </w:r>
    </w:p>
    <w:p w14:paraId="6F415801" w14:textId="6AD88768" w:rsidR="00A47429" w:rsidRPr="005A22C2" w:rsidRDefault="00A47429" w:rsidP="006720A0">
      <w:pPr>
        <w:rPr>
          <w:lang w:eastAsia="en-AU"/>
        </w:rPr>
      </w:pPr>
      <w:r w:rsidRPr="00B8622F">
        <w:rPr>
          <w:lang w:eastAsia="en-AU"/>
        </w:rPr>
        <w:t>T</w:t>
      </w:r>
      <w:r w:rsidR="00CB7B57" w:rsidRPr="00B8622F">
        <w:rPr>
          <w:lang w:eastAsia="en-AU"/>
        </w:rPr>
        <w:t xml:space="preserve">he </w:t>
      </w:r>
      <w:r w:rsidR="002528D8" w:rsidRPr="00B8622F">
        <w:rPr>
          <w:lang w:eastAsia="en-AU"/>
        </w:rPr>
        <w:t>Summer Foundation</w:t>
      </w:r>
      <w:r w:rsidR="002528D8" w:rsidRPr="005A22C2">
        <w:rPr>
          <w:lang w:eastAsia="en-AU"/>
        </w:rPr>
        <w:t xml:space="preserve"> </w:t>
      </w:r>
      <w:r w:rsidR="00B5234A" w:rsidRPr="005A22C2">
        <w:rPr>
          <w:lang w:eastAsia="en-AU"/>
        </w:rPr>
        <w:t xml:space="preserve">indicated that </w:t>
      </w:r>
      <w:r w:rsidR="00142EE0" w:rsidRPr="005A22C2">
        <w:rPr>
          <w:lang w:eastAsia="en-AU"/>
        </w:rPr>
        <w:t xml:space="preserve">the additional </w:t>
      </w:r>
      <w:r w:rsidR="003D42D3" w:rsidRPr="005A22C2">
        <w:rPr>
          <w:lang w:eastAsia="en-AU"/>
        </w:rPr>
        <w:t xml:space="preserve">safety </w:t>
      </w:r>
      <w:r w:rsidR="00142EE0" w:rsidRPr="005A22C2">
        <w:rPr>
          <w:lang w:eastAsia="en-AU"/>
        </w:rPr>
        <w:t xml:space="preserve">features </w:t>
      </w:r>
      <w:r w:rsidR="00007131" w:rsidRPr="005A22C2">
        <w:rPr>
          <w:lang w:eastAsia="en-AU"/>
        </w:rPr>
        <w:t>associated with</w:t>
      </w:r>
      <w:r w:rsidR="006E70B1" w:rsidRPr="005A22C2">
        <w:rPr>
          <w:lang w:eastAsia="en-AU"/>
        </w:rPr>
        <w:t xml:space="preserve"> </w:t>
      </w:r>
      <w:r w:rsidR="00CB7B57" w:rsidRPr="005A22C2">
        <w:rPr>
          <w:lang w:eastAsia="en-AU"/>
        </w:rPr>
        <w:t>meeting the</w:t>
      </w:r>
      <w:r w:rsidR="00563BD7" w:rsidRPr="005A22C2">
        <w:rPr>
          <w:lang w:eastAsia="en-AU"/>
        </w:rPr>
        <w:t xml:space="preserve"> Class 3 </w:t>
      </w:r>
      <w:r w:rsidR="00CB7B57" w:rsidRPr="005A22C2">
        <w:rPr>
          <w:lang w:eastAsia="en-AU"/>
        </w:rPr>
        <w:t xml:space="preserve">standard </w:t>
      </w:r>
      <w:r w:rsidR="00142EE0" w:rsidRPr="005A22C2">
        <w:rPr>
          <w:lang w:eastAsia="en-AU"/>
        </w:rPr>
        <w:t xml:space="preserve">can </w:t>
      </w:r>
      <w:r w:rsidR="009211CC">
        <w:rPr>
          <w:lang w:eastAsia="en-AU"/>
        </w:rPr>
        <w:t>include</w:t>
      </w:r>
      <w:r w:rsidR="00A026E9">
        <w:rPr>
          <w:lang w:eastAsia="en-AU"/>
        </w:rPr>
        <w:t xml:space="preserve">, among other </w:t>
      </w:r>
      <w:r w:rsidR="00D86B69">
        <w:rPr>
          <w:lang w:eastAsia="en-AU"/>
        </w:rPr>
        <w:t xml:space="preserve">additional </w:t>
      </w:r>
      <w:r w:rsidR="00A026E9">
        <w:rPr>
          <w:lang w:eastAsia="en-AU"/>
        </w:rPr>
        <w:t>costs,</w:t>
      </w:r>
      <w:r w:rsidR="009211CC">
        <w:rPr>
          <w:lang w:eastAsia="en-AU"/>
        </w:rPr>
        <w:t xml:space="preserve"> fire sprinkler costs</w:t>
      </w:r>
      <w:r w:rsidR="00C61EFC">
        <w:rPr>
          <w:lang w:eastAsia="en-AU"/>
        </w:rPr>
        <w:t xml:space="preserve"> of </w:t>
      </w:r>
      <w:r w:rsidR="00DF7C0D" w:rsidRPr="005A22C2">
        <w:rPr>
          <w:lang w:eastAsia="en-AU"/>
        </w:rPr>
        <w:t>between</w:t>
      </w:r>
      <w:r w:rsidR="00142EE0" w:rsidRPr="005A22C2">
        <w:rPr>
          <w:lang w:eastAsia="en-AU"/>
        </w:rPr>
        <w:t xml:space="preserve"> </w:t>
      </w:r>
      <w:r w:rsidR="00DF7C0D" w:rsidRPr="005A22C2">
        <w:rPr>
          <w:lang w:eastAsia="en-AU"/>
        </w:rPr>
        <w:t>$6,000 to</w:t>
      </w:r>
      <w:r w:rsidR="00142EE0" w:rsidRPr="005A22C2">
        <w:rPr>
          <w:lang w:eastAsia="en-AU"/>
        </w:rPr>
        <w:t xml:space="preserve"> $8,000 per </w:t>
      </w:r>
      <w:r w:rsidR="00DF7C0D" w:rsidRPr="005A22C2">
        <w:rPr>
          <w:lang w:eastAsia="en-AU"/>
        </w:rPr>
        <w:t>apartment and</w:t>
      </w:r>
      <w:r w:rsidR="00142EE0" w:rsidRPr="005A22C2">
        <w:rPr>
          <w:lang w:eastAsia="en-AU"/>
        </w:rPr>
        <w:t xml:space="preserve"> must </w:t>
      </w:r>
      <w:r w:rsidR="00EE385B" w:rsidRPr="005A22C2">
        <w:rPr>
          <w:lang w:eastAsia="en-AU"/>
        </w:rPr>
        <w:t>also be</w:t>
      </w:r>
      <w:r w:rsidR="00007131" w:rsidRPr="005A22C2">
        <w:rPr>
          <w:lang w:eastAsia="en-AU"/>
        </w:rPr>
        <w:t xml:space="preserve"> added to each </w:t>
      </w:r>
      <w:r w:rsidR="00EE385B" w:rsidRPr="005A22C2">
        <w:rPr>
          <w:lang w:eastAsia="en-AU"/>
        </w:rPr>
        <w:t xml:space="preserve">(non-SDA) </w:t>
      </w:r>
      <w:r w:rsidR="00007131" w:rsidRPr="005A22C2">
        <w:rPr>
          <w:lang w:eastAsia="en-AU"/>
        </w:rPr>
        <w:t>unit in the developme</w:t>
      </w:r>
      <w:r w:rsidR="00E03136" w:rsidRPr="005A22C2">
        <w:rPr>
          <w:lang w:eastAsia="en-AU"/>
        </w:rPr>
        <w:t>nt.</w:t>
      </w:r>
    </w:p>
    <w:p w14:paraId="7E8C42B1" w14:textId="01212022" w:rsidR="001B32F9" w:rsidRPr="005A22C2" w:rsidRDefault="000C2DEE" w:rsidP="006720A0">
      <w:pPr>
        <w:rPr>
          <w:lang w:eastAsia="en-AU"/>
        </w:rPr>
      </w:pPr>
      <w:r w:rsidRPr="005A22C2">
        <w:rPr>
          <w:lang w:eastAsia="en-AU"/>
        </w:rPr>
        <w:t>A</w:t>
      </w:r>
      <w:r w:rsidR="00C3416A" w:rsidRPr="005A22C2">
        <w:rPr>
          <w:lang w:eastAsia="en-AU"/>
        </w:rPr>
        <w:t xml:space="preserve"> </w:t>
      </w:r>
      <w:r w:rsidR="005C415D" w:rsidRPr="005A22C2">
        <w:rPr>
          <w:lang w:eastAsia="en-AU"/>
        </w:rPr>
        <w:t>stakeholder in</w:t>
      </w:r>
      <w:r w:rsidR="001B32F9" w:rsidRPr="005A22C2">
        <w:rPr>
          <w:lang w:eastAsia="en-AU"/>
        </w:rPr>
        <w:t xml:space="preserve"> the </w:t>
      </w:r>
      <w:r w:rsidR="005C415D" w:rsidRPr="005A22C2">
        <w:rPr>
          <w:lang w:eastAsia="en-AU"/>
        </w:rPr>
        <w:t xml:space="preserve">New South Wales and Australian Capital Territory </w:t>
      </w:r>
      <w:r w:rsidR="00D84C52" w:rsidRPr="005A22C2">
        <w:rPr>
          <w:lang w:eastAsia="en-AU"/>
        </w:rPr>
        <w:t>Consultation Group</w:t>
      </w:r>
      <w:r w:rsidR="001B32F9" w:rsidRPr="005A22C2">
        <w:rPr>
          <w:lang w:eastAsia="en-AU"/>
        </w:rPr>
        <w:t xml:space="preserve"> </w:t>
      </w:r>
      <w:r w:rsidR="005361D4" w:rsidRPr="005A22C2">
        <w:rPr>
          <w:lang w:eastAsia="en-AU"/>
        </w:rPr>
        <w:t>stated</w:t>
      </w:r>
      <w:r w:rsidR="00F41170" w:rsidRPr="005A22C2">
        <w:rPr>
          <w:lang w:eastAsia="en-AU"/>
        </w:rPr>
        <w:t xml:space="preserve"> </w:t>
      </w:r>
      <w:r w:rsidR="00E74877" w:rsidRPr="005A22C2">
        <w:rPr>
          <w:lang w:eastAsia="en-AU"/>
        </w:rPr>
        <w:t>that for a mixed-use apartment block, these fixtures</w:t>
      </w:r>
      <w:r w:rsidR="001B32F9" w:rsidRPr="005A22C2">
        <w:rPr>
          <w:lang w:eastAsia="en-AU"/>
        </w:rPr>
        <w:t xml:space="preserve"> could cost up to $1</w:t>
      </w:r>
      <w:r w:rsidR="008730BB" w:rsidRPr="005A22C2">
        <w:rPr>
          <w:lang w:eastAsia="en-AU"/>
        </w:rPr>
        <w:t xml:space="preserve"> million </w:t>
      </w:r>
      <w:r w:rsidR="001B32F9" w:rsidRPr="005A22C2">
        <w:rPr>
          <w:lang w:eastAsia="en-AU"/>
        </w:rPr>
        <w:t>and that developers would be unlikely to absorb this cost. The stakeholder suggested that</w:t>
      </w:r>
      <w:r w:rsidR="005B1ACE" w:rsidRPr="005A22C2">
        <w:rPr>
          <w:lang w:eastAsia="en-AU"/>
        </w:rPr>
        <w:t xml:space="preserve"> “</w:t>
      </w:r>
      <w:r w:rsidR="001B32F9" w:rsidRPr="002E461B">
        <w:rPr>
          <w:lang w:eastAsia="en-AU"/>
        </w:rPr>
        <w:t>the developer will] be pushing you for the seven square metr</w:t>
      </w:r>
      <w:r w:rsidR="001000D8" w:rsidRPr="002E461B">
        <w:rPr>
          <w:lang w:eastAsia="en-AU"/>
        </w:rPr>
        <w:t>e</w:t>
      </w:r>
      <w:r w:rsidR="001B32F9" w:rsidRPr="002E461B">
        <w:rPr>
          <w:lang w:eastAsia="en-AU"/>
        </w:rPr>
        <w:t>s of battery generator backup space you’ve taken out of his basement… He’ll charge you for the generator. He’ll charge you for the implementation and he’ll charge you for the maintenance</w:t>
      </w:r>
      <w:r w:rsidR="00CB7B57" w:rsidRPr="002E461B">
        <w:rPr>
          <w:lang w:eastAsia="en-AU"/>
        </w:rPr>
        <w:t xml:space="preserve"> … </w:t>
      </w:r>
      <w:r w:rsidR="001B32F9" w:rsidRPr="002E461B">
        <w:rPr>
          <w:lang w:eastAsia="en-AU"/>
        </w:rPr>
        <w:t>it ends up being a very expensive proposition</w:t>
      </w:r>
      <w:r w:rsidR="005B1ACE" w:rsidRPr="005A22C2">
        <w:rPr>
          <w:lang w:eastAsia="en-AU"/>
        </w:rPr>
        <w:t>”.</w:t>
      </w:r>
    </w:p>
    <w:p w14:paraId="23774AFA" w14:textId="77777777" w:rsidR="00A47429" w:rsidRPr="00437F38" w:rsidRDefault="00CB7B57" w:rsidP="006720A0">
      <w:pPr>
        <w:rPr>
          <w:lang w:eastAsia="en-AU"/>
        </w:rPr>
      </w:pPr>
      <w:r w:rsidRPr="005A22C2">
        <w:rPr>
          <w:lang w:eastAsia="en-AU"/>
        </w:rPr>
        <w:t xml:space="preserve">Several submissions observed that National Construction Code Class 3 developments can take longer to deliver due to the specialised materials and skills </w:t>
      </w:r>
      <w:r w:rsidRPr="00437F38">
        <w:rPr>
          <w:lang w:eastAsia="en-AU"/>
        </w:rPr>
        <w:t>required.</w:t>
      </w:r>
      <w:r w:rsidR="002A687D" w:rsidRPr="00437F38">
        <w:rPr>
          <w:lang w:eastAsia="en-AU"/>
        </w:rPr>
        <w:t xml:space="preserve"> </w:t>
      </w:r>
      <w:r w:rsidRPr="00437F38">
        <w:rPr>
          <w:lang w:eastAsia="en-AU"/>
        </w:rPr>
        <w:t>Edenbridge Living observed that mandating the class 3 standard for SDA would increase competition for suitably qualified and capable builders, and further increase the cost of construction.</w:t>
      </w:r>
    </w:p>
    <w:p w14:paraId="04C9A2A1" w14:textId="1FE02485" w:rsidR="00CB7B57" w:rsidRPr="00437F38" w:rsidRDefault="00CB7B57" w:rsidP="006720A0">
      <w:pPr>
        <w:rPr>
          <w:rFonts w:eastAsia="Times New Roman" w:cs="Arial"/>
          <w:szCs w:val="22"/>
          <w:lang w:eastAsia="en-AU"/>
        </w:rPr>
      </w:pPr>
      <w:r w:rsidRPr="00437F38">
        <w:rPr>
          <w:lang w:eastAsia="en-AU"/>
        </w:rPr>
        <w:t xml:space="preserve">In addition to higher costs, stakeholders also raised concerns about creating an institutionalised feeling if SDA is built to National Construction Code Class 3 requirements. They stated that </w:t>
      </w:r>
      <w:r w:rsidRPr="00437F38">
        <w:t xml:space="preserve">National Construction Code </w:t>
      </w:r>
      <w:r w:rsidRPr="00437F38">
        <w:rPr>
          <w:lang w:eastAsia="en-AU"/>
        </w:rPr>
        <w:t>Class 3 buildings are commercial buildings (hotels, schools, hospitals, gaols, hostels</w:t>
      </w:r>
      <w:r w:rsidR="00A47429" w:rsidRPr="00437F38">
        <w:rPr>
          <w:lang w:eastAsia="en-AU"/>
        </w:rPr>
        <w:t>,</w:t>
      </w:r>
      <w:r w:rsidRPr="00437F38">
        <w:rPr>
          <w:lang w:eastAsia="en-AU"/>
        </w:rPr>
        <w:t xml:space="preserve"> and boarding houses) and may reduce the homeliness and</w:t>
      </w:r>
      <w:r w:rsidRPr="00437F38" w:rsidDel="00520677">
        <w:rPr>
          <w:lang w:eastAsia="en-AU"/>
        </w:rPr>
        <w:t xml:space="preserve"> </w:t>
      </w:r>
      <w:r w:rsidRPr="00437F38">
        <w:rPr>
          <w:lang w:eastAsia="en-AU"/>
        </w:rPr>
        <w:t>amenity for participants.</w:t>
      </w:r>
      <w:r w:rsidR="002A687D" w:rsidRPr="00437F38">
        <w:rPr>
          <w:lang w:eastAsia="en-AU"/>
        </w:rPr>
        <w:t xml:space="preserve"> </w:t>
      </w:r>
      <w:r w:rsidRPr="00437F38">
        <w:rPr>
          <w:lang w:eastAsia="en-AU"/>
        </w:rPr>
        <w:t>the NDISP stated that National Construction Code Class 3 is “wholly inappropriate” for SDA as it reduces the participants’ ability to exercise choice and control over their housing solution.</w:t>
      </w:r>
    </w:p>
    <w:p w14:paraId="13D1F7FE" w14:textId="4FD9372E" w:rsidR="00A47429" w:rsidRPr="005A22C2" w:rsidRDefault="001B32F9" w:rsidP="006720A0">
      <w:pPr>
        <w:rPr>
          <w:lang w:eastAsia="en-AU"/>
        </w:rPr>
      </w:pPr>
      <w:r w:rsidRPr="00437F38">
        <w:rPr>
          <w:lang w:eastAsia="en-AU"/>
        </w:rPr>
        <w:t xml:space="preserve">However, </w:t>
      </w:r>
      <w:r w:rsidR="00824A9A" w:rsidRPr="00437F38">
        <w:rPr>
          <w:lang w:eastAsia="en-AU"/>
        </w:rPr>
        <w:t xml:space="preserve">several </w:t>
      </w:r>
      <w:r w:rsidR="00161922" w:rsidRPr="00437F38">
        <w:rPr>
          <w:lang w:eastAsia="en-AU"/>
        </w:rPr>
        <w:t>stakeholders</w:t>
      </w:r>
      <w:r w:rsidR="00824A9A" w:rsidRPr="00437F38">
        <w:rPr>
          <w:lang w:eastAsia="en-AU"/>
        </w:rPr>
        <w:t xml:space="preserve"> </w:t>
      </w:r>
      <w:r w:rsidR="00CB7B57" w:rsidRPr="00437F38">
        <w:rPr>
          <w:lang w:eastAsia="en-AU"/>
        </w:rPr>
        <w:t>did suggest</w:t>
      </w:r>
      <w:r w:rsidR="00C01AAC" w:rsidRPr="00437F38">
        <w:rPr>
          <w:lang w:eastAsia="en-AU"/>
        </w:rPr>
        <w:t xml:space="preserve"> that</w:t>
      </w:r>
      <w:r w:rsidR="006E70B1" w:rsidRPr="00437F38">
        <w:rPr>
          <w:lang w:eastAsia="en-AU"/>
        </w:rPr>
        <w:t xml:space="preserve"> </w:t>
      </w:r>
      <w:r w:rsidR="00C01AAC" w:rsidRPr="00437F38">
        <w:rPr>
          <w:lang w:eastAsia="en-AU"/>
        </w:rPr>
        <w:t>Class 3 buildings should be mandated for SDA</w:t>
      </w:r>
      <w:r w:rsidR="00BE6A42" w:rsidRPr="00437F38">
        <w:rPr>
          <w:lang w:eastAsia="en-AU"/>
        </w:rPr>
        <w:t xml:space="preserve">. Stakeholders </w:t>
      </w:r>
      <w:r w:rsidR="00CA0307" w:rsidRPr="00437F38">
        <w:rPr>
          <w:lang w:eastAsia="en-AU"/>
        </w:rPr>
        <w:t>in</w:t>
      </w:r>
      <w:r w:rsidRPr="00437F38">
        <w:rPr>
          <w:lang w:eastAsia="en-AU"/>
        </w:rPr>
        <w:t xml:space="preserve"> the </w:t>
      </w:r>
      <w:r w:rsidR="0042745A" w:rsidRPr="00437F38">
        <w:rPr>
          <w:lang w:eastAsia="en-AU"/>
        </w:rPr>
        <w:t>SDA Builders and Developers</w:t>
      </w:r>
      <w:r w:rsidRPr="00437F38">
        <w:rPr>
          <w:lang w:eastAsia="en-AU"/>
        </w:rPr>
        <w:t xml:space="preserve"> </w:t>
      </w:r>
      <w:r w:rsidR="00D84C52" w:rsidRPr="00437F38">
        <w:rPr>
          <w:lang w:eastAsia="en-AU"/>
        </w:rPr>
        <w:t>Consultation Group</w:t>
      </w:r>
      <w:r w:rsidRPr="00437F38">
        <w:rPr>
          <w:lang w:eastAsia="en-AU"/>
        </w:rPr>
        <w:t xml:space="preserve"> acknowledged that given the </w:t>
      </w:r>
      <w:r w:rsidR="00A94560" w:rsidRPr="00437F38">
        <w:rPr>
          <w:lang w:eastAsia="en-AU"/>
        </w:rPr>
        <w:t xml:space="preserve">accessibility </w:t>
      </w:r>
      <w:r w:rsidR="00C101C1" w:rsidRPr="00437F38">
        <w:rPr>
          <w:lang w:eastAsia="en-AU"/>
        </w:rPr>
        <w:t>requirements of</w:t>
      </w:r>
      <w:r w:rsidRPr="00437F38">
        <w:rPr>
          <w:lang w:eastAsia="en-AU"/>
        </w:rPr>
        <w:t xml:space="preserve"> </w:t>
      </w:r>
      <w:r w:rsidR="00824A9A" w:rsidRPr="00437F38">
        <w:rPr>
          <w:lang w:eastAsia="en-AU"/>
        </w:rPr>
        <w:t>p</w:t>
      </w:r>
      <w:r w:rsidRPr="00437F38">
        <w:rPr>
          <w:lang w:eastAsia="en-AU"/>
        </w:rPr>
        <w:t>articipants, it was in their interest to develop SDA to the</w:t>
      </w:r>
      <w:r w:rsidR="009656ED" w:rsidRPr="00437F38">
        <w:rPr>
          <w:lang w:eastAsia="en-AU"/>
        </w:rPr>
        <w:t xml:space="preserve"> </w:t>
      </w:r>
      <w:r w:rsidRPr="00437F38">
        <w:rPr>
          <w:lang w:eastAsia="en-AU"/>
        </w:rPr>
        <w:t xml:space="preserve">Class 3 standard so that they are protected from </w:t>
      </w:r>
      <w:r w:rsidR="001C6D60" w:rsidRPr="00437F38">
        <w:rPr>
          <w:lang w:eastAsia="en-AU"/>
        </w:rPr>
        <w:t xml:space="preserve">serious </w:t>
      </w:r>
      <w:r w:rsidR="00BE084B" w:rsidRPr="00437F38">
        <w:rPr>
          <w:lang w:eastAsia="en-AU"/>
        </w:rPr>
        <w:t>injury</w:t>
      </w:r>
      <w:r w:rsidR="001C6D60" w:rsidRPr="00437F38">
        <w:rPr>
          <w:lang w:eastAsia="en-AU"/>
        </w:rPr>
        <w:t xml:space="preserve"> or death</w:t>
      </w:r>
      <w:r w:rsidRPr="00437F38">
        <w:rPr>
          <w:lang w:eastAsia="en-AU"/>
        </w:rPr>
        <w:t>.</w:t>
      </w:r>
      <w:r w:rsidR="002A687D" w:rsidRPr="00437F38">
        <w:rPr>
          <w:lang w:eastAsia="en-AU"/>
        </w:rPr>
        <w:t xml:space="preserve"> </w:t>
      </w:r>
      <w:r w:rsidR="004E68A6" w:rsidRPr="00437F38">
        <w:rPr>
          <w:lang w:eastAsia="en-AU"/>
        </w:rPr>
        <w:t>Liveable Homes Australia</w:t>
      </w:r>
      <w:r w:rsidR="004E68A6" w:rsidRPr="005A22C2">
        <w:rPr>
          <w:lang w:eastAsia="en-AU"/>
        </w:rPr>
        <w:t xml:space="preserve"> </w:t>
      </w:r>
      <w:r w:rsidR="00087264" w:rsidRPr="005A22C2">
        <w:rPr>
          <w:lang w:eastAsia="en-AU"/>
        </w:rPr>
        <w:t>argued that</w:t>
      </w:r>
      <w:r w:rsidR="005B1ACE" w:rsidRPr="005A22C2">
        <w:rPr>
          <w:lang w:eastAsia="en-AU"/>
        </w:rPr>
        <w:t xml:space="preserve"> “</w:t>
      </w:r>
      <w:r w:rsidR="00087264" w:rsidRPr="00FC3823">
        <w:rPr>
          <w:lang w:eastAsia="en-AU"/>
        </w:rPr>
        <w:t>all housing for people with [a] disability should be built to ensure the safety of occupants in the event of a fire</w:t>
      </w:r>
      <w:r w:rsidR="005B1ACE" w:rsidRPr="005A22C2">
        <w:rPr>
          <w:lang w:eastAsia="en-AU"/>
        </w:rPr>
        <w:t xml:space="preserve">”. </w:t>
      </w:r>
      <w:r w:rsidR="002D434A" w:rsidRPr="005A22C2">
        <w:rPr>
          <w:lang w:eastAsia="en-AU"/>
        </w:rPr>
        <w:t xml:space="preserve">They </w:t>
      </w:r>
      <w:r w:rsidR="00B2669C" w:rsidRPr="005A22C2">
        <w:rPr>
          <w:lang w:eastAsia="en-AU"/>
        </w:rPr>
        <w:t xml:space="preserve">were </w:t>
      </w:r>
      <w:r w:rsidR="002D434A" w:rsidRPr="005A22C2">
        <w:rPr>
          <w:lang w:eastAsia="en-AU"/>
        </w:rPr>
        <w:t xml:space="preserve">therefore </w:t>
      </w:r>
      <w:r w:rsidR="00B2669C" w:rsidRPr="005A22C2">
        <w:rPr>
          <w:lang w:eastAsia="en-AU"/>
        </w:rPr>
        <w:t>supportive of future SDA being built to the provisions of</w:t>
      </w:r>
      <w:r w:rsidR="006E70B1" w:rsidRPr="005A22C2">
        <w:rPr>
          <w:lang w:eastAsia="en-AU"/>
        </w:rPr>
        <w:t xml:space="preserve"> </w:t>
      </w:r>
      <w:r w:rsidR="00B2669C" w:rsidRPr="005A22C2">
        <w:rPr>
          <w:lang w:eastAsia="en-AU"/>
        </w:rPr>
        <w:t>Class 3</w:t>
      </w:r>
      <w:r w:rsidR="00087264" w:rsidRPr="005A22C2">
        <w:rPr>
          <w:lang w:eastAsia="en-AU"/>
        </w:rPr>
        <w:t>.</w:t>
      </w:r>
    </w:p>
    <w:p w14:paraId="640FA2E8" w14:textId="2C33373E" w:rsidR="00A47429" w:rsidRPr="005A22C2" w:rsidRDefault="00E146D8" w:rsidP="006720A0">
      <w:pPr>
        <w:rPr>
          <w:lang w:eastAsia="en-AU"/>
        </w:rPr>
      </w:pPr>
      <w:r w:rsidRPr="005A22C2">
        <w:rPr>
          <w:lang w:eastAsia="en-AU"/>
        </w:rPr>
        <w:lastRenderedPageBreak/>
        <w:t>One stakeholder in</w:t>
      </w:r>
      <w:r w:rsidR="00E9166A" w:rsidRPr="005A22C2">
        <w:rPr>
          <w:lang w:eastAsia="en-AU"/>
        </w:rPr>
        <w:t xml:space="preserve"> the</w:t>
      </w:r>
      <w:r w:rsidRPr="005A22C2">
        <w:rPr>
          <w:lang w:eastAsia="en-AU"/>
        </w:rPr>
        <w:t xml:space="preserve"> </w:t>
      </w:r>
      <w:r w:rsidR="00E9166A" w:rsidRPr="005A22C2">
        <w:rPr>
          <w:lang w:eastAsia="en-AU"/>
        </w:rPr>
        <w:t xml:space="preserve">SDA Builders and Developers </w:t>
      </w:r>
      <w:r w:rsidR="00D84C52" w:rsidRPr="005A22C2">
        <w:rPr>
          <w:lang w:eastAsia="en-AU"/>
        </w:rPr>
        <w:t>Consultation Group</w:t>
      </w:r>
      <w:r w:rsidR="00E9166A" w:rsidRPr="005A22C2">
        <w:rPr>
          <w:lang w:eastAsia="en-AU"/>
        </w:rPr>
        <w:t xml:space="preserve"> </w:t>
      </w:r>
      <w:r w:rsidRPr="005A22C2">
        <w:rPr>
          <w:lang w:eastAsia="en-AU"/>
        </w:rPr>
        <w:t>suggested that developing to</w:t>
      </w:r>
      <w:r w:rsidR="006E70B1" w:rsidRPr="005A22C2">
        <w:rPr>
          <w:lang w:eastAsia="en-AU"/>
        </w:rPr>
        <w:t xml:space="preserve"> </w:t>
      </w:r>
      <w:r w:rsidRPr="005A22C2">
        <w:rPr>
          <w:lang w:eastAsia="en-AU"/>
        </w:rPr>
        <w:t xml:space="preserve">Class 3 standard today is a way to </w:t>
      </w:r>
      <w:r w:rsidRPr="005A22C2">
        <w:rPr>
          <w:iCs/>
          <w:lang w:eastAsia="en-AU"/>
        </w:rPr>
        <w:t xml:space="preserve">future proof the building for potential future residents and ensure the greatest chance of </w:t>
      </w:r>
      <w:r w:rsidR="001B6DCB" w:rsidRPr="005A22C2">
        <w:rPr>
          <w:iCs/>
          <w:lang w:eastAsia="en-AU"/>
        </w:rPr>
        <w:t>participant</w:t>
      </w:r>
      <w:r w:rsidR="001B6DCB" w:rsidRPr="005A22C2">
        <w:rPr>
          <w:lang w:eastAsia="en-AU"/>
        </w:rPr>
        <w:t xml:space="preserve"> </w:t>
      </w:r>
      <w:r w:rsidRPr="005A22C2">
        <w:rPr>
          <w:lang w:eastAsia="en-AU"/>
        </w:rPr>
        <w:t>survival in the event of a fire.</w:t>
      </w:r>
    </w:p>
    <w:p w14:paraId="53CAE460" w14:textId="2EEF9F4E" w:rsidR="00846AB2" w:rsidRPr="005A22C2" w:rsidRDefault="00DD1933" w:rsidP="006720A0">
      <w:pPr>
        <w:rPr>
          <w:lang w:eastAsia="en-AU"/>
        </w:rPr>
      </w:pPr>
      <w:r w:rsidRPr="005A22C2">
        <w:rPr>
          <w:lang w:eastAsia="en-AU"/>
        </w:rPr>
        <w:t>S</w:t>
      </w:r>
      <w:r w:rsidR="00161922" w:rsidRPr="005A22C2">
        <w:rPr>
          <w:lang w:eastAsia="en-AU"/>
        </w:rPr>
        <w:t>takeholders in</w:t>
      </w:r>
      <w:r w:rsidR="00C01FE5" w:rsidRPr="005A22C2">
        <w:rPr>
          <w:lang w:eastAsia="en-AU"/>
        </w:rPr>
        <w:t xml:space="preserve"> the</w:t>
      </w:r>
      <w:r w:rsidR="00E146D8" w:rsidRPr="005A22C2">
        <w:rPr>
          <w:lang w:eastAsia="en-AU"/>
        </w:rPr>
        <w:t xml:space="preserve"> Victoria </w:t>
      </w:r>
      <w:r w:rsidR="00D84C52" w:rsidRPr="005A22C2">
        <w:rPr>
          <w:lang w:eastAsia="en-AU"/>
        </w:rPr>
        <w:t>Consultation Group</w:t>
      </w:r>
      <w:r w:rsidR="00E146D8" w:rsidRPr="005A22C2">
        <w:rPr>
          <w:lang w:eastAsia="en-AU"/>
        </w:rPr>
        <w:t xml:space="preserve"> suggested that </w:t>
      </w:r>
      <w:r w:rsidR="0023031A" w:rsidRPr="005A22C2">
        <w:rPr>
          <w:lang w:eastAsia="en-AU"/>
        </w:rPr>
        <w:t xml:space="preserve">building to the provisions of </w:t>
      </w:r>
      <w:r w:rsidR="00C00BED" w:rsidRPr="005A22C2">
        <w:rPr>
          <w:lang w:eastAsia="en-AU"/>
        </w:rPr>
        <w:t>the</w:t>
      </w:r>
      <w:r w:rsidR="006E70B1" w:rsidRPr="005A22C2">
        <w:rPr>
          <w:lang w:eastAsia="en-AU"/>
        </w:rPr>
        <w:t xml:space="preserve"> </w:t>
      </w:r>
      <w:r w:rsidR="00E146D8" w:rsidRPr="005A22C2">
        <w:rPr>
          <w:lang w:eastAsia="en-AU"/>
        </w:rPr>
        <w:t xml:space="preserve">Class 3 would ensure that </w:t>
      </w:r>
      <w:r w:rsidR="0023031A" w:rsidRPr="005A22C2">
        <w:rPr>
          <w:lang w:eastAsia="en-AU"/>
        </w:rPr>
        <w:t xml:space="preserve">the </w:t>
      </w:r>
      <w:r w:rsidR="00D3686F" w:rsidRPr="005A22C2">
        <w:rPr>
          <w:lang w:eastAsia="en-AU"/>
        </w:rPr>
        <w:t xml:space="preserve">additional safeguards required to </w:t>
      </w:r>
      <w:r w:rsidR="0013042A" w:rsidRPr="005A22C2">
        <w:rPr>
          <w:lang w:eastAsia="en-AU"/>
        </w:rPr>
        <w:t>protect and support</w:t>
      </w:r>
      <w:r w:rsidR="00D3686F" w:rsidRPr="005A22C2">
        <w:rPr>
          <w:lang w:eastAsia="en-AU"/>
        </w:rPr>
        <w:t xml:space="preserve"> residents,</w:t>
      </w:r>
      <w:r w:rsidR="0023031A" w:rsidRPr="005A22C2">
        <w:rPr>
          <w:lang w:eastAsia="en-AU"/>
        </w:rPr>
        <w:t xml:space="preserve"> including</w:t>
      </w:r>
      <w:r w:rsidR="00E146D8" w:rsidRPr="005A22C2">
        <w:rPr>
          <w:lang w:eastAsia="en-AU"/>
        </w:rPr>
        <w:t xml:space="preserve"> access provisions</w:t>
      </w:r>
      <w:r w:rsidR="00640EEF" w:rsidRPr="005A22C2">
        <w:rPr>
          <w:lang w:eastAsia="en-AU"/>
        </w:rPr>
        <w:t xml:space="preserve">, </w:t>
      </w:r>
      <w:r w:rsidR="0023031A" w:rsidRPr="005A22C2">
        <w:rPr>
          <w:lang w:eastAsia="en-AU"/>
        </w:rPr>
        <w:t>pathways</w:t>
      </w:r>
      <w:r w:rsidR="00A47429" w:rsidRPr="005A22C2">
        <w:rPr>
          <w:lang w:eastAsia="en-AU"/>
        </w:rPr>
        <w:t>,</w:t>
      </w:r>
      <w:r w:rsidR="0023031A" w:rsidRPr="005A22C2">
        <w:rPr>
          <w:lang w:eastAsia="en-AU"/>
        </w:rPr>
        <w:t xml:space="preserve"> and fittings, are included by defaul</w:t>
      </w:r>
      <w:r w:rsidR="00E03136" w:rsidRPr="005A22C2">
        <w:rPr>
          <w:lang w:eastAsia="en-AU"/>
        </w:rPr>
        <w:t>t.</w:t>
      </w:r>
    </w:p>
    <w:p w14:paraId="0B43CECB" w14:textId="2622C85F" w:rsidR="00A47429" w:rsidRPr="005A22C2" w:rsidRDefault="001478E1" w:rsidP="006720A0">
      <w:pPr>
        <w:rPr>
          <w:lang w:eastAsia="en-AU"/>
        </w:rPr>
      </w:pPr>
      <w:r w:rsidRPr="00437F38">
        <w:rPr>
          <w:lang w:eastAsia="en-AU"/>
        </w:rPr>
        <w:t>While</w:t>
      </w:r>
      <w:r w:rsidR="00B2669C" w:rsidRPr="00437F38">
        <w:rPr>
          <w:lang w:eastAsia="en-AU"/>
        </w:rPr>
        <w:t xml:space="preserve"> supportive of mandatory</w:t>
      </w:r>
      <w:r w:rsidR="006E70B1" w:rsidRPr="00437F38">
        <w:rPr>
          <w:lang w:eastAsia="en-AU"/>
        </w:rPr>
        <w:t xml:space="preserve"> </w:t>
      </w:r>
      <w:r w:rsidR="00B2669C" w:rsidRPr="00437F38">
        <w:rPr>
          <w:lang w:eastAsia="en-AU"/>
        </w:rPr>
        <w:t xml:space="preserve">Class 3 designation for all SDA, Liveable Homes Australia </w:t>
      </w:r>
      <w:r w:rsidR="005361D4" w:rsidRPr="00437F38">
        <w:rPr>
          <w:lang w:eastAsia="en-AU"/>
        </w:rPr>
        <w:t>stated</w:t>
      </w:r>
      <w:r w:rsidR="00B2669C" w:rsidRPr="00437F38">
        <w:rPr>
          <w:lang w:eastAsia="en-AU"/>
        </w:rPr>
        <w:t xml:space="preserve"> that its provisions were designed for larger</w:t>
      </w:r>
      <w:r w:rsidR="006D4506" w:rsidRPr="00437F38">
        <w:rPr>
          <w:lang w:eastAsia="en-AU"/>
        </w:rPr>
        <w:t xml:space="preserve"> institutional</w:t>
      </w:r>
      <w:r w:rsidR="00B2669C" w:rsidRPr="00437F38">
        <w:rPr>
          <w:lang w:eastAsia="en-AU"/>
        </w:rPr>
        <w:t xml:space="preserve"> </w:t>
      </w:r>
      <w:r w:rsidR="006D4506" w:rsidRPr="00437F38">
        <w:rPr>
          <w:lang w:eastAsia="en-AU"/>
        </w:rPr>
        <w:t>facilities and</w:t>
      </w:r>
      <w:r w:rsidR="00B2669C" w:rsidRPr="00437F38">
        <w:rPr>
          <w:lang w:eastAsia="en-AU"/>
        </w:rPr>
        <w:t xml:space="preserve"> recommended that a </w:t>
      </w:r>
      <w:r w:rsidR="00D97681" w:rsidRPr="00437F38">
        <w:rPr>
          <w:lang w:eastAsia="en-AU"/>
        </w:rPr>
        <w:t xml:space="preserve">special </w:t>
      </w:r>
      <w:r w:rsidR="00B96A35" w:rsidRPr="00437F38">
        <w:rPr>
          <w:lang w:eastAsia="en-AU"/>
        </w:rPr>
        <w:t>classification in the</w:t>
      </w:r>
      <w:r w:rsidR="006E70B1" w:rsidRPr="00437F38">
        <w:rPr>
          <w:lang w:eastAsia="en-AU"/>
        </w:rPr>
        <w:t xml:space="preserve"> National Construction Code</w:t>
      </w:r>
      <w:r w:rsidR="00B96A35" w:rsidRPr="00437F38">
        <w:rPr>
          <w:lang w:eastAsia="en-AU"/>
        </w:rPr>
        <w:t xml:space="preserve"> </w:t>
      </w:r>
      <w:r w:rsidR="002D434A" w:rsidRPr="00437F38">
        <w:rPr>
          <w:lang w:eastAsia="en-AU"/>
        </w:rPr>
        <w:t xml:space="preserve">should </w:t>
      </w:r>
      <w:r w:rsidR="00D97681" w:rsidRPr="00437F38">
        <w:rPr>
          <w:lang w:eastAsia="en-AU"/>
        </w:rPr>
        <w:t>be established</w:t>
      </w:r>
      <w:r w:rsidR="00B96A35" w:rsidRPr="005A22C2">
        <w:rPr>
          <w:lang w:eastAsia="en-AU"/>
        </w:rPr>
        <w:t xml:space="preserve"> for SDA</w:t>
      </w:r>
      <w:r w:rsidR="006D4506" w:rsidRPr="005A22C2">
        <w:rPr>
          <w:lang w:eastAsia="en-AU"/>
        </w:rPr>
        <w:t>.</w:t>
      </w:r>
    </w:p>
    <w:p w14:paraId="61FCF1FF" w14:textId="0D0FB93D" w:rsidR="006F2CD8" w:rsidRPr="005A22C2" w:rsidRDefault="00476B4A" w:rsidP="006720A0">
      <w:pPr>
        <w:rPr>
          <w:lang w:eastAsia="en-AU"/>
        </w:rPr>
      </w:pPr>
      <w:r w:rsidRPr="005A22C2">
        <w:rPr>
          <w:lang w:eastAsia="en-AU"/>
        </w:rPr>
        <w:t>Alternatively, s</w:t>
      </w:r>
      <w:r w:rsidR="001B32F9" w:rsidRPr="005A22C2">
        <w:rPr>
          <w:lang w:eastAsia="en-AU"/>
        </w:rPr>
        <w:t xml:space="preserve">everal stakeholders across a range of </w:t>
      </w:r>
      <w:r w:rsidR="00D84C52" w:rsidRPr="005A22C2">
        <w:rPr>
          <w:lang w:eastAsia="en-AU"/>
        </w:rPr>
        <w:t>Consultation Group</w:t>
      </w:r>
      <w:r w:rsidR="0013042A" w:rsidRPr="005A22C2">
        <w:rPr>
          <w:lang w:eastAsia="en-AU"/>
        </w:rPr>
        <w:t>s</w:t>
      </w:r>
      <w:r w:rsidR="001B32F9" w:rsidRPr="005A22C2">
        <w:rPr>
          <w:lang w:eastAsia="en-AU"/>
        </w:rPr>
        <w:t xml:space="preserve"> suggested that the </w:t>
      </w:r>
      <w:r w:rsidR="00A47429" w:rsidRPr="005A22C2">
        <w:rPr>
          <w:lang w:eastAsia="en-AU"/>
        </w:rPr>
        <w:t>NDIA</w:t>
      </w:r>
      <w:r w:rsidR="001B32F9" w:rsidRPr="005A22C2">
        <w:rPr>
          <w:lang w:eastAsia="en-AU"/>
        </w:rPr>
        <w:t xml:space="preserve"> </w:t>
      </w:r>
      <w:r w:rsidR="000E0C5C" w:rsidRPr="005A22C2">
        <w:rPr>
          <w:lang w:eastAsia="en-AU"/>
        </w:rPr>
        <w:t>consider</w:t>
      </w:r>
      <w:r w:rsidR="001B32F9" w:rsidRPr="005A22C2">
        <w:rPr>
          <w:lang w:eastAsia="en-AU"/>
        </w:rPr>
        <w:t xml:space="preserve"> developing a separate price for</w:t>
      </w:r>
      <w:r w:rsidR="006E70B1" w:rsidRPr="005A22C2">
        <w:rPr>
          <w:lang w:eastAsia="en-AU"/>
        </w:rPr>
        <w:t xml:space="preserve"> </w:t>
      </w:r>
      <w:r w:rsidR="002D434A" w:rsidRPr="005A22C2">
        <w:rPr>
          <w:lang w:eastAsia="en-AU"/>
        </w:rPr>
        <w:t>Class</w:t>
      </w:r>
      <w:r w:rsidR="001B32F9" w:rsidRPr="005A22C2">
        <w:rPr>
          <w:lang w:eastAsia="en-AU"/>
        </w:rPr>
        <w:t>1B and</w:t>
      </w:r>
      <w:r w:rsidR="006E70B1" w:rsidRPr="005A22C2">
        <w:rPr>
          <w:lang w:eastAsia="en-AU"/>
        </w:rPr>
        <w:t xml:space="preserve"> </w:t>
      </w:r>
      <w:r w:rsidR="001B32F9" w:rsidRPr="005A22C2">
        <w:rPr>
          <w:lang w:eastAsia="en-AU"/>
        </w:rPr>
        <w:t xml:space="preserve">Class 3 SDA, or </w:t>
      </w:r>
      <w:r w:rsidR="002D434A" w:rsidRPr="005A22C2">
        <w:rPr>
          <w:lang w:eastAsia="en-AU"/>
        </w:rPr>
        <w:t xml:space="preserve">otherwise </w:t>
      </w:r>
      <w:r w:rsidR="001B32F9" w:rsidRPr="005A22C2">
        <w:rPr>
          <w:lang w:eastAsia="en-AU"/>
        </w:rPr>
        <w:t xml:space="preserve">compensating </w:t>
      </w:r>
      <w:r w:rsidR="008C415B" w:rsidRPr="005A22C2">
        <w:rPr>
          <w:lang w:eastAsia="en-AU"/>
        </w:rPr>
        <w:t xml:space="preserve">builders </w:t>
      </w:r>
      <w:r w:rsidR="001B32F9" w:rsidRPr="005A22C2">
        <w:rPr>
          <w:lang w:eastAsia="en-AU"/>
        </w:rPr>
        <w:t>that choose to develop to the</w:t>
      </w:r>
      <w:r w:rsidR="006E70B1" w:rsidRPr="005A22C2">
        <w:rPr>
          <w:lang w:eastAsia="en-AU"/>
        </w:rPr>
        <w:t xml:space="preserve"> </w:t>
      </w:r>
      <w:r w:rsidR="001B32F9" w:rsidRPr="005A22C2">
        <w:rPr>
          <w:lang w:eastAsia="en-AU"/>
        </w:rPr>
        <w:t>Class 3 standard.</w:t>
      </w:r>
      <w:bookmarkEnd w:id="66"/>
    </w:p>
    <w:p w14:paraId="6BBB77F3" w14:textId="77777777" w:rsidR="00E8266F" w:rsidRPr="005A22C2" w:rsidRDefault="004E6CC2" w:rsidP="006720A0">
      <w:pPr>
        <w:pStyle w:val="Heading2"/>
      </w:pPr>
      <w:bookmarkStart w:id="67" w:name="_Toc126595095"/>
      <w:bookmarkStart w:id="68" w:name="_Toc129783541"/>
      <w:bookmarkStart w:id="69" w:name="_Toc136006856"/>
      <w:r w:rsidRPr="005A22C2">
        <w:t>SDA Design Standard</w:t>
      </w:r>
      <w:bookmarkEnd w:id="67"/>
      <w:bookmarkEnd w:id="68"/>
      <w:bookmarkEnd w:id="69"/>
    </w:p>
    <w:p w14:paraId="36947A88" w14:textId="53176D02" w:rsidR="00E8266F" w:rsidRPr="005A22C2" w:rsidRDefault="00E8266F" w:rsidP="006720A0">
      <w:pPr>
        <w:rPr>
          <w:lang w:eastAsia="en-AU"/>
        </w:rPr>
      </w:pPr>
      <w:r w:rsidRPr="005A22C2">
        <w:rPr>
          <w:lang w:eastAsia="en-AU"/>
        </w:rPr>
        <w:t xml:space="preserve">Several stakeholders across the </w:t>
      </w:r>
      <w:r w:rsidR="00D84C52" w:rsidRPr="005A22C2">
        <w:rPr>
          <w:lang w:eastAsia="en-AU"/>
        </w:rPr>
        <w:t>Consultation Group</w:t>
      </w:r>
      <w:r w:rsidRPr="005A22C2">
        <w:rPr>
          <w:lang w:eastAsia="en-AU"/>
        </w:rPr>
        <w:t xml:space="preserve">s </w:t>
      </w:r>
      <w:r w:rsidR="002D434A" w:rsidRPr="005A22C2">
        <w:rPr>
          <w:lang w:eastAsia="en-AU"/>
        </w:rPr>
        <w:t xml:space="preserve">reported that SDA developers were </w:t>
      </w:r>
      <w:r w:rsidRPr="005A22C2">
        <w:rPr>
          <w:lang w:eastAsia="en-AU"/>
        </w:rPr>
        <w:t>building beyond the provisions of the SDA Design Standard to meet market expectations and deliver high-quality SDA properties</w:t>
      </w:r>
      <w:r w:rsidR="00E03136" w:rsidRPr="005A22C2">
        <w:rPr>
          <w:lang w:eastAsia="en-AU"/>
        </w:rPr>
        <w:t>.</w:t>
      </w:r>
      <w:r w:rsidRPr="005A22C2">
        <w:t xml:space="preserve"> </w:t>
      </w:r>
      <w:r w:rsidRPr="005A22C2">
        <w:rPr>
          <w:lang w:eastAsia="en-AU"/>
        </w:rPr>
        <w:t xml:space="preserve">They </w:t>
      </w:r>
      <w:r w:rsidR="002D434A" w:rsidRPr="005A22C2">
        <w:rPr>
          <w:lang w:eastAsia="en-AU"/>
        </w:rPr>
        <w:t>stated</w:t>
      </w:r>
      <w:r w:rsidRPr="005A22C2">
        <w:rPr>
          <w:lang w:eastAsia="en-AU"/>
        </w:rPr>
        <w:t xml:space="preserve"> that improved outcomes for SDA participants are realised when the design and development of properties is matched to participant needs. A stakeholder in the Queensland </w:t>
      </w:r>
      <w:r w:rsidR="00D84C52" w:rsidRPr="005A22C2">
        <w:rPr>
          <w:lang w:eastAsia="en-AU"/>
        </w:rPr>
        <w:t>Consultation Group</w:t>
      </w:r>
      <w:r w:rsidRPr="005A22C2">
        <w:rPr>
          <w:lang w:eastAsia="en-AU"/>
        </w:rPr>
        <w:t xml:space="preserve"> recommended that the Agency require developers to co-design SDA with prospective tenants</w:t>
      </w:r>
      <w:r w:rsidRPr="005A22C2" w:rsidDel="00024502">
        <w:rPr>
          <w:lang w:eastAsia="en-AU"/>
        </w:rPr>
        <w:t xml:space="preserve"> </w:t>
      </w:r>
      <w:r w:rsidRPr="005A22C2">
        <w:rPr>
          <w:lang w:eastAsia="en-AU"/>
        </w:rPr>
        <w:t>to ensure that their needs are reflected in the design.</w:t>
      </w:r>
    </w:p>
    <w:p w14:paraId="6C3D05C0" w14:textId="35F20A7A" w:rsidR="00D17D24" w:rsidRPr="005A22C2" w:rsidRDefault="00E86E32" w:rsidP="006720A0">
      <w:r w:rsidRPr="005A22C2">
        <w:t>S</w:t>
      </w:r>
      <w:r w:rsidR="00111816" w:rsidRPr="005A22C2">
        <w:t xml:space="preserve">takeholders discussed a range of additional features they </w:t>
      </w:r>
      <w:r w:rsidRPr="005A22C2">
        <w:t>typically include</w:t>
      </w:r>
      <w:r w:rsidR="00111816" w:rsidRPr="005A22C2">
        <w:t xml:space="preserve"> in </w:t>
      </w:r>
      <w:r w:rsidR="00114535" w:rsidRPr="005A22C2">
        <w:t>New Build</w:t>
      </w:r>
      <w:r w:rsidR="00111816" w:rsidRPr="005A22C2">
        <w:t xml:space="preserve"> SDA to meet market expectations</w:t>
      </w:r>
      <w:r w:rsidR="004F77F5" w:rsidRPr="005A22C2">
        <w:t xml:space="preserve"> and </w:t>
      </w:r>
      <w:r w:rsidR="00D10EF7" w:rsidRPr="005A22C2">
        <w:t xml:space="preserve">improve the quality of life and independence of their residents. </w:t>
      </w:r>
      <w:r w:rsidR="00D17D24" w:rsidRPr="005A22C2">
        <w:t>These include:</w:t>
      </w:r>
    </w:p>
    <w:p w14:paraId="6E6040CF" w14:textId="6E48E783" w:rsidR="00D05EF5" w:rsidRPr="005A22C2" w:rsidRDefault="002D434A" w:rsidP="006720A0">
      <w:pPr>
        <w:pStyle w:val="DotPoint"/>
        <w:rPr>
          <w:lang w:eastAsia="en-AU"/>
        </w:rPr>
      </w:pPr>
      <w:r w:rsidRPr="005A22C2">
        <w:rPr>
          <w:lang w:eastAsia="en-AU"/>
        </w:rPr>
        <w:t>Onsite Overnight Accommodation</w:t>
      </w:r>
      <w:r w:rsidR="00D05EF5" w:rsidRPr="005A22C2">
        <w:rPr>
          <w:lang w:eastAsia="en-AU"/>
        </w:rPr>
        <w:t xml:space="preserve"> with office and ensuite,</w:t>
      </w:r>
      <w:r w:rsidR="00407CEE" w:rsidRPr="005A22C2">
        <w:t xml:space="preserve"> and</w:t>
      </w:r>
      <w:r w:rsidR="00D05EF5" w:rsidRPr="005A22C2">
        <w:t xml:space="preserve"> </w:t>
      </w:r>
      <w:r w:rsidR="009B4F27" w:rsidRPr="005A22C2">
        <w:t xml:space="preserve">often </w:t>
      </w:r>
      <w:r w:rsidR="00D05EF5" w:rsidRPr="005A22C2">
        <w:rPr>
          <w:lang w:eastAsia="en-AU"/>
        </w:rPr>
        <w:t>including locked medication cabinets, safe filing systems</w:t>
      </w:r>
      <w:r w:rsidR="00B52359" w:rsidRPr="005A22C2">
        <w:rPr>
          <w:lang w:eastAsia="en-AU"/>
        </w:rPr>
        <w:t>,</w:t>
      </w:r>
      <w:r w:rsidR="00D05EF5" w:rsidRPr="005A22C2">
        <w:rPr>
          <w:lang w:eastAsia="en-AU"/>
        </w:rPr>
        <w:t xml:space="preserve"> and a computer</w:t>
      </w:r>
      <w:r w:rsidR="00A47429" w:rsidRPr="005A22C2">
        <w:rPr>
          <w:lang w:eastAsia="en-AU"/>
        </w:rPr>
        <w:t>.</w:t>
      </w:r>
    </w:p>
    <w:p w14:paraId="3F6A9724" w14:textId="263C8442" w:rsidR="00D17D24" w:rsidRPr="005A22C2" w:rsidRDefault="00D17D24" w:rsidP="006720A0">
      <w:pPr>
        <w:pStyle w:val="DotPoint"/>
        <w:rPr>
          <w:lang w:eastAsia="en-AU"/>
        </w:rPr>
      </w:pPr>
      <w:r w:rsidRPr="005A22C2">
        <w:rPr>
          <w:lang w:eastAsia="en-AU"/>
        </w:rPr>
        <w:t>Home automation</w:t>
      </w:r>
      <w:r w:rsidR="004C3A37" w:rsidRPr="005A22C2">
        <w:rPr>
          <w:lang w:eastAsia="en-AU"/>
        </w:rPr>
        <w:t xml:space="preserve"> including automated doors, </w:t>
      </w:r>
      <w:r w:rsidR="003B4E47" w:rsidRPr="005A22C2">
        <w:rPr>
          <w:lang w:eastAsia="en-AU"/>
        </w:rPr>
        <w:t>mechanical blinds</w:t>
      </w:r>
      <w:r w:rsidR="00360ECC" w:rsidRPr="005A22C2">
        <w:rPr>
          <w:lang w:eastAsia="en-AU"/>
        </w:rPr>
        <w:t xml:space="preserve"> and </w:t>
      </w:r>
      <w:r w:rsidR="003F6740" w:rsidRPr="005A22C2">
        <w:rPr>
          <w:lang w:eastAsia="en-AU"/>
        </w:rPr>
        <w:t>lighting controls</w:t>
      </w:r>
      <w:r w:rsidRPr="005A22C2">
        <w:rPr>
          <w:lang w:eastAsia="en-AU"/>
        </w:rPr>
        <w:t xml:space="preserve"> to promote accessibility and enable greater independence for participants</w:t>
      </w:r>
      <w:r w:rsidR="00A47429" w:rsidRPr="005A22C2">
        <w:rPr>
          <w:lang w:eastAsia="en-AU"/>
        </w:rPr>
        <w:t>.</w:t>
      </w:r>
    </w:p>
    <w:p w14:paraId="773510FF" w14:textId="547195C0" w:rsidR="00D17D24" w:rsidRPr="005A22C2" w:rsidRDefault="00D17D24" w:rsidP="006720A0">
      <w:pPr>
        <w:pStyle w:val="DotPoint"/>
        <w:rPr>
          <w:lang w:eastAsia="en-AU"/>
        </w:rPr>
      </w:pPr>
      <w:r w:rsidRPr="005A22C2">
        <w:rPr>
          <w:lang w:eastAsia="en-AU"/>
        </w:rPr>
        <w:t>Extra storage to accommodate multiple wheelchairs</w:t>
      </w:r>
      <w:r w:rsidR="00B140A8" w:rsidRPr="005A22C2">
        <w:rPr>
          <w:lang w:eastAsia="en-AU"/>
        </w:rPr>
        <w:t xml:space="preserve">, </w:t>
      </w:r>
      <w:r w:rsidR="00A516DA" w:rsidRPr="005A22C2">
        <w:t xml:space="preserve">other large </w:t>
      </w:r>
      <w:r w:rsidR="00326463" w:rsidRPr="005A22C2">
        <w:t>equipmen</w:t>
      </w:r>
      <w:r w:rsidR="00B140A8" w:rsidRPr="005A22C2">
        <w:t xml:space="preserve">t, </w:t>
      </w:r>
      <w:r w:rsidRPr="005A22C2">
        <w:rPr>
          <w:lang w:eastAsia="en-AU"/>
        </w:rPr>
        <w:t>and consumables</w:t>
      </w:r>
      <w:r w:rsidR="00A47429" w:rsidRPr="005A22C2">
        <w:rPr>
          <w:lang w:eastAsia="en-AU"/>
        </w:rPr>
        <w:t>.</w:t>
      </w:r>
    </w:p>
    <w:p w14:paraId="5E0606D4" w14:textId="16447023" w:rsidR="00C72073" w:rsidRPr="005A22C2" w:rsidRDefault="009578E5" w:rsidP="006720A0">
      <w:pPr>
        <w:pStyle w:val="DotPoint"/>
        <w:rPr>
          <w:lang w:eastAsia="en-AU"/>
        </w:rPr>
      </w:pPr>
      <w:r w:rsidRPr="005A22C2">
        <w:rPr>
          <w:lang w:eastAsia="en-AU"/>
        </w:rPr>
        <w:t>Elevators</w:t>
      </w:r>
      <w:r w:rsidR="007B1B0C" w:rsidRPr="005A22C2">
        <w:rPr>
          <w:lang w:eastAsia="en-AU"/>
        </w:rPr>
        <w:t xml:space="preserve"> in multi-story SDA</w:t>
      </w:r>
      <w:r w:rsidRPr="005A22C2">
        <w:rPr>
          <w:lang w:eastAsia="en-AU"/>
        </w:rPr>
        <w:t xml:space="preserve"> houses and villas</w:t>
      </w:r>
      <w:r w:rsidR="007B1B0C" w:rsidRPr="005A22C2">
        <w:rPr>
          <w:lang w:eastAsia="en-AU"/>
        </w:rPr>
        <w:t xml:space="preserve"> to </w:t>
      </w:r>
      <w:r w:rsidR="00E40E0B" w:rsidRPr="005A22C2">
        <w:rPr>
          <w:lang w:eastAsia="en-AU"/>
        </w:rPr>
        <w:t>support mobility need</w:t>
      </w:r>
      <w:r w:rsidRPr="005A22C2">
        <w:rPr>
          <w:lang w:eastAsia="en-AU"/>
        </w:rPr>
        <w:t>s</w:t>
      </w:r>
      <w:r w:rsidR="00A47429" w:rsidRPr="005A22C2">
        <w:rPr>
          <w:lang w:eastAsia="en-AU"/>
        </w:rPr>
        <w:t>.</w:t>
      </w:r>
    </w:p>
    <w:p w14:paraId="49DA0D6F" w14:textId="5FD68530" w:rsidR="00D17D24" w:rsidRPr="005A22C2" w:rsidRDefault="00D17D24" w:rsidP="006720A0">
      <w:pPr>
        <w:pStyle w:val="DotPoint"/>
        <w:rPr>
          <w:lang w:eastAsia="en-AU"/>
        </w:rPr>
      </w:pPr>
      <w:r w:rsidRPr="005A22C2">
        <w:rPr>
          <w:lang w:eastAsia="en-AU"/>
        </w:rPr>
        <w:t>Wider door fixtures to accommodate and respond to the increasing prevalence of bariatric participants</w:t>
      </w:r>
      <w:r w:rsidR="00A47429" w:rsidRPr="005A22C2">
        <w:rPr>
          <w:lang w:eastAsia="en-AU"/>
        </w:rPr>
        <w:t>.</w:t>
      </w:r>
    </w:p>
    <w:p w14:paraId="4D422C79" w14:textId="26B2EFDD" w:rsidR="00D17D24" w:rsidRPr="005A22C2" w:rsidRDefault="00D17D24" w:rsidP="006720A0">
      <w:pPr>
        <w:pStyle w:val="DotPoint"/>
        <w:rPr>
          <w:lang w:eastAsia="en-AU"/>
        </w:rPr>
      </w:pPr>
      <w:r w:rsidRPr="005A22C2">
        <w:rPr>
          <w:lang w:eastAsia="en-AU"/>
        </w:rPr>
        <w:lastRenderedPageBreak/>
        <w:t>Additional living spaces to provide greater choice and privacy for participants and facilitate the delivery of therapies in the home</w:t>
      </w:r>
      <w:r w:rsidR="00A47429" w:rsidRPr="005A22C2">
        <w:rPr>
          <w:lang w:eastAsia="en-AU"/>
        </w:rPr>
        <w:t>.</w:t>
      </w:r>
    </w:p>
    <w:p w14:paraId="60119C90" w14:textId="3B7A51C4" w:rsidR="00D03B65" w:rsidRPr="005A22C2" w:rsidRDefault="00D17D24" w:rsidP="006720A0">
      <w:pPr>
        <w:pStyle w:val="DotPoint"/>
        <w:rPr>
          <w:lang w:eastAsia="en-AU"/>
        </w:rPr>
      </w:pPr>
      <w:r w:rsidRPr="005A22C2">
        <w:rPr>
          <w:lang w:eastAsia="en-AU"/>
        </w:rPr>
        <w:t xml:space="preserve">Higher fence lines to reduce the impact of behaviours of concern on neighbours and the </w:t>
      </w:r>
      <w:proofErr w:type="gramStart"/>
      <w:r w:rsidRPr="005A22C2">
        <w:rPr>
          <w:lang w:eastAsia="en-AU"/>
        </w:rPr>
        <w:t>community</w:t>
      </w:r>
      <w:r w:rsidR="00073C07" w:rsidRPr="005A22C2">
        <w:rPr>
          <w:lang w:eastAsia="en-AU"/>
        </w:rPr>
        <w:t>, and</w:t>
      </w:r>
      <w:proofErr w:type="gramEnd"/>
      <w:r w:rsidR="00073C07" w:rsidRPr="005A22C2">
        <w:rPr>
          <w:lang w:eastAsia="en-AU"/>
        </w:rPr>
        <w:t xml:space="preserve"> increase distance to the property boundary</w:t>
      </w:r>
      <w:r w:rsidR="00A47429" w:rsidRPr="005A22C2">
        <w:rPr>
          <w:lang w:eastAsia="en-AU"/>
        </w:rPr>
        <w:t>.</w:t>
      </w:r>
    </w:p>
    <w:p w14:paraId="647E5188" w14:textId="0B05E453" w:rsidR="00D17D24" w:rsidRPr="005A22C2" w:rsidRDefault="00D17D24" w:rsidP="006720A0">
      <w:pPr>
        <w:pStyle w:val="DotPoint"/>
        <w:rPr>
          <w:lang w:eastAsia="en-AU"/>
        </w:rPr>
      </w:pPr>
      <w:r w:rsidRPr="005A22C2">
        <w:rPr>
          <w:lang w:eastAsia="en-AU"/>
        </w:rPr>
        <w:t>Individual outdoor spaces and gardens to allow participants to entertain friends, family and carers</w:t>
      </w:r>
      <w:r w:rsidR="00FE792C" w:rsidRPr="005A22C2">
        <w:rPr>
          <w:lang w:eastAsia="en-AU"/>
        </w:rPr>
        <w:t>,</w:t>
      </w:r>
      <w:r w:rsidRPr="005A22C2">
        <w:rPr>
          <w:lang w:eastAsia="en-AU"/>
        </w:rPr>
        <w:t xml:space="preserve"> and receive </w:t>
      </w:r>
      <w:r w:rsidR="004C3A37" w:rsidRPr="005A22C2">
        <w:rPr>
          <w:lang w:eastAsia="en-AU"/>
        </w:rPr>
        <w:t xml:space="preserve">therapy </w:t>
      </w:r>
      <w:r w:rsidRPr="005A22C2" w:rsidDel="008F1CD6">
        <w:rPr>
          <w:lang w:eastAsia="en-AU"/>
        </w:rPr>
        <w:t>s</w:t>
      </w:r>
      <w:r w:rsidRPr="005A22C2">
        <w:rPr>
          <w:lang w:eastAsia="en-AU"/>
        </w:rPr>
        <w:t>upports</w:t>
      </w:r>
      <w:r w:rsidR="00A47429" w:rsidRPr="005A22C2">
        <w:rPr>
          <w:lang w:eastAsia="en-AU"/>
        </w:rPr>
        <w:t>.</w:t>
      </w:r>
    </w:p>
    <w:p w14:paraId="5D0ABDF9" w14:textId="1E1C20AD" w:rsidR="00D17D24" w:rsidRPr="005A22C2" w:rsidRDefault="00D17D24" w:rsidP="006720A0">
      <w:pPr>
        <w:pStyle w:val="DotPoint"/>
        <w:rPr>
          <w:lang w:eastAsia="en-AU"/>
        </w:rPr>
      </w:pPr>
      <w:r w:rsidRPr="005A22C2">
        <w:rPr>
          <w:lang w:eastAsia="en-AU"/>
        </w:rPr>
        <w:t>Multiple exit pathways for participants, increasing their sense of security and providing adequate fire escape routes</w:t>
      </w:r>
      <w:r w:rsidR="00A47429" w:rsidRPr="005A22C2">
        <w:rPr>
          <w:lang w:eastAsia="en-AU"/>
        </w:rPr>
        <w:t>.</w:t>
      </w:r>
    </w:p>
    <w:p w14:paraId="412C8E9F" w14:textId="69342C30" w:rsidR="00D05EF5" w:rsidRPr="005A22C2" w:rsidRDefault="00D17D24" w:rsidP="006720A0">
      <w:pPr>
        <w:pStyle w:val="DotPoint"/>
        <w:rPr>
          <w:lang w:eastAsia="en-AU"/>
        </w:rPr>
      </w:pPr>
      <w:r w:rsidRPr="005A22C2">
        <w:rPr>
          <w:lang w:eastAsia="en-AU"/>
        </w:rPr>
        <w:t>Media rooms to provide alternative leisure and recreation activities</w:t>
      </w:r>
      <w:r w:rsidR="002D434A" w:rsidRPr="005A22C2">
        <w:rPr>
          <w:lang w:eastAsia="en-AU"/>
        </w:rPr>
        <w:t>.</w:t>
      </w:r>
    </w:p>
    <w:p w14:paraId="1CDA5480" w14:textId="178FD446" w:rsidR="008574E8" w:rsidRPr="005A22C2" w:rsidRDefault="008D4125" w:rsidP="006720A0">
      <w:r w:rsidRPr="005A22C2">
        <w:t>The</w:t>
      </w:r>
      <w:r w:rsidR="00E20251" w:rsidRPr="005A22C2">
        <w:t xml:space="preserve"> </w:t>
      </w:r>
      <w:proofErr w:type="gramStart"/>
      <w:r w:rsidR="00E20251" w:rsidRPr="005A22C2">
        <w:t>most common</w:t>
      </w:r>
      <w:r w:rsidR="0049596F" w:rsidRPr="005A22C2">
        <w:t>ly raised</w:t>
      </w:r>
      <w:proofErr w:type="gramEnd"/>
      <w:r w:rsidR="0049596F" w:rsidRPr="005A22C2">
        <w:t xml:space="preserve"> </w:t>
      </w:r>
      <w:r w:rsidR="00B902FE" w:rsidRPr="005A22C2">
        <w:t>additional features included in SDA</w:t>
      </w:r>
      <w:r w:rsidR="00E20251" w:rsidRPr="005A22C2">
        <w:t xml:space="preserve"> </w:t>
      </w:r>
      <w:r w:rsidR="0049596F" w:rsidRPr="005A22C2">
        <w:t>were</w:t>
      </w:r>
      <w:r w:rsidR="00B902FE" w:rsidRPr="005A22C2">
        <w:t xml:space="preserve"> e</w:t>
      </w:r>
      <w:r w:rsidR="004F77F5" w:rsidRPr="005A22C2">
        <w:t>nsuites</w:t>
      </w:r>
      <w:r w:rsidR="006F1318" w:rsidRPr="005A22C2">
        <w:t>,</w:t>
      </w:r>
      <w:r w:rsidR="00696D29" w:rsidRPr="005A22C2">
        <w:t xml:space="preserve"> </w:t>
      </w:r>
      <w:r w:rsidR="00E41360" w:rsidRPr="005A22C2">
        <w:t xml:space="preserve">additional </w:t>
      </w:r>
      <w:r w:rsidR="004F77F5" w:rsidRPr="005A22C2">
        <w:t>p</w:t>
      </w:r>
      <w:r w:rsidR="00696D29" w:rsidRPr="005A22C2">
        <w:t>arking</w:t>
      </w:r>
      <w:r w:rsidR="00DC3690" w:rsidRPr="005A22C2">
        <w:t>,</w:t>
      </w:r>
      <w:r w:rsidR="00696D29" w:rsidRPr="005A22C2">
        <w:t xml:space="preserve"> </w:t>
      </w:r>
      <w:r w:rsidR="006F1318" w:rsidRPr="005A22C2">
        <w:t xml:space="preserve">and </w:t>
      </w:r>
      <w:r w:rsidR="00B902FE" w:rsidRPr="005A22C2">
        <w:t xml:space="preserve">the </w:t>
      </w:r>
      <w:r w:rsidR="0085057B" w:rsidRPr="005A22C2">
        <w:t xml:space="preserve">design of </w:t>
      </w:r>
      <w:r w:rsidR="002D434A" w:rsidRPr="005A22C2">
        <w:t>Onsite Overnight Accommodation</w:t>
      </w:r>
      <w:r w:rsidR="00C44615" w:rsidRPr="005A22C2">
        <w:t>.</w:t>
      </w:r>
    </w:p>
    <w:p w14:paraId="14358088" w14:textId="03D1A602" w:rsidR="006B653E" w:rsidRPr="005A22C2" w:rsidRDefault="006B653E" w:rsidP="0001662E">
      <w:pPr>
        <w:pStyle w:val="Heading3"/>
      </w:pPr>
      <w:r w:rsidRPr="005A22C2">
        <w:t>Ensuites</w:t>
      </w:r>
    </w:p>
    <w:p w14:paraId="3BB443E4" w14:textId="77777777" w:rsidR="00C22065" w:rsidRPr="005A22C2" w:rsidRDefault="00F15CD0" w:rsidP="006720A0">
      <w:r w:rsidRPr="005A22C2">
        <w:t xml:space="preserve">Attitudes towards </w:t>
      </w:r>
      <w:r w:rsidR="006B653E" w:rsidRPr="005A22C2">
        <w:t xml:space="preserve">the inclusion of ensuites in </w:t>
      </w:r>
      <w:r w:rsidR="00F91395" w:rsidRPr="005A22C2">
        <w:t>new builds</w:t>
      </w:r>
      <w:r w:rsidR="006B653E" w:rsidRPr="005A22C2">
        <w:t xml:space="preserve"> were mixed. </w:t>
      </w:r>
      <w:r w:rsidR="009660DF" w:rsidRPr="005A22C2">
        <w:t>A</w:t>
      </w:r>
      <w:r w:rsidR="006B653E" w:rsidRPr="005A22C2">
        <w:t xml:space="preserve"> stakeholder in the Victoria </w:t>
      </w:r>
      <w:r w:rsidR="00D84C52" w:rsidRPr="005A22C2">
        <w:t>Consultation Group</w:t>
      </w:r>
      <w:r w:rsidR="006B653E" w:rsidRPr="005A22C2">
        <w:t xml:space="preserve"> indicated that inclusion </w:t>
      </w:r>
      <w:r w:rsidR="00657BB6" w:rsidRPr="005A22C2">
        <w:t xml:space="preserve">of ensuites </w:t>
      </w:r>
      <w:r w:rsidR="006B653E" w:rsidRPr="005A22C2">
        <w:t xml:space="preserve">in new SDA is by exception, </w:t>
      </w:r>
      <w:r w:rsidR="00B45701" w:rsidRPr="005A22C2">
        <w:t>while</w:t>
      </w:r>
      <w:r w:rsidR="006B653E" w:rsidRPr="005A22C2">
        <w:t xml:space="preserve"> acknowledg</w:t>
      </w:r>
      <w:r w:rsidR="00B45701" w:rsidRPr="005A22C2">
        <w:t>ing</w:t>
      </w:r>
      <w:r w:rsidR="006B653E" w:rsidRPr="005A22C2">
        <w:t xml:space="preserve"> that participants are generally seeking SDA </w:t>
      </w:r>
      <w:r w:rsidR="001E76E7" w:rsidRPr="005A22C2">
        <w:t xml:space="preserve">properties </w:t>
      </w:r>
      <w:r w:rsidR="006B653E" w:rsidRPr="005A22C2">
        <w:t>with ensuites.</w:t>
      </w:r>
      <w:r w:rsidR="00E03136" w:rsidRPr="005A22C2">
        <w:t xml:space="preserve"> </w:t>
      </w:r>
      <w:r w:rsidR="00B45701" w:rsidRPr="005A22C2">
        <w:t>A</w:t>
      </w:r>
      <w:r w:rsidR="006B653E" w:rsidRPr="005A22C2">
        <w:t xml:space="preserve"> stakeholder in the SDA Institutional Investors </w:t>
      </w:r>
      <w:r w:rsidR="00D84C52" w:rsidRPr="005A22C2">
        <w:t>Consultation Group</w:t>
      </w:r>
      <w:r w:rsidR="006B653E" w:rsidRPr="005A22C2">
        <w:t xml:space="preserve"> reported that they </w:t>
      </w:r>
      <w:r w:rsidR="002143A5" w:rsidRPr="005A22C2">
        <w:t xml:space="preserve">exclusively support SDA developments that </w:t>
      </w:r>
      <w:r w:rsidR="006B653E" w:rsidRPr="005A22C2">
        <w:t xml:space="preserve">include </w:t>
      </w:r>
      <w:r w:rsidR="002143A5" w:rsidRPr="005A22C2">
        <w:t>an ensuite</w:t>
      </w:r>
      <w:r w:rsidR="006B653E" w:rsidRPr="005A22C2">
        <w:t xml:space="preserve"> for each resident.</w:t>
      </w:r>
      <w:r w:rsidR="00E03136" w:rsidRPr="005A22C2">
        <w:t xml:space="preserve"> </w:t>
      </w:r>
    </w:p>
    <w:p w14:paraId="63909F5F" w14:textId="1D8C0260" w:rsidR="006B653E" w:rsidRPr="005A22C2" w:rsidRDefault="00076A3E" w:rsidP="006720A0">
      <w:r w:rsidRPr="005A22C2">
        <w:t>The s</w:t>
      </w:r>
      <w:r w:rsidR="007D5131" w:rsidRPr="005A22C2">
        <w:t xml:space="preserve">ubmissions from the </w:t>
      </w:r>
      <w:r w:rsidR="00252C48" w:rsidRPr="00437F38">
        <w:t>WAIGROUP</w:t>
      </w:r>
      <w:r w:rsidR="007D5131" w:rsidRPr="00437F38">
        <w:t xml:space="preserve">, Excelsior Housing </w:t>
      </w:r>
      <w:r w:rsidR="00E5414E" w:rsidRPr="00437F38">
        <w:t>Services</w:t>
      </w:r>
      <w:r w:rsidR="00E5414E" w:rsidRPr="005A22C2">
        <w:t xml:space="preserve"> </w:t>
      </w:r>
      <w:r w:rsidR="00702F7B" w:rsidRPr="005A22C2">
        <w:t xml:space="preserve">and </w:t>
      </w:r>
      <w:r w:rsidR="000D3849">
        <w:t>a confidential submission</w:t>
      </w:r>
      <w:r w:rsidR="00D04716" w:rsidRPr="005A22C2">
        <w:t xml:space="preserve"> </w:t>
      </w:r>
      <w:r w:rsidR="005361D4" w:rsidRPr="005A22C2">
        <w:t>stated</w:t>
      </w:r>
      <w:r w:rsidR="0042653C" w:rsidRPr="005A22C2">
        <w:t xml:space="preserve"> that</w:t>
      </w:r>
      <w:r w:rsidR="00702F7B" w:rsidRPr="005A22C2">
        <w:t xml:space="preserve"> they are including ensuites</w:t>
      </w:r>
      <w:r w:rsidR="0042653C" w:rsidRPr="005A22C2">
        <w:t xml:space="preserve"> in masterplans.</w:t>
      </w:r>
      <w:r w:rsidR="00E03136" w:rsidRPr="005A22C2">
        <w:t xml:space="preserve"> </w:t>
      </w:r>
      <w:r w:rsidR="006B653E" w:rsidRPr="005A22C2">
        <w:t xml:space="preserve">Additionally, a stakeholder in the South Australia and Northern Territory </w:t>
      </w:r>
      <w:r w:rsidR="00D84C52" w:rsidRPr="005A22C2">
        <w:t>Consultation Group</w:t>
      </w:r>
      <w:r w:rsidR="006B653E" w:rsidRPr="005A22C2">
        <w:t xml:space="preserve"> suggested that ensuites provide privacy and dignity to participants, which is something that also matters to the </w:t>
      </w:r>
      <w:r w:rsidR="002C2D51" w:rsidRPr="005A22C2">
        <w:t>families and carers</w:t>
      </w:r>
      <w:r w:rsidR="006B653E" w:rsidRPr="005A22C2">
        <w:t xml:space="preserve"> of </w:t>
      </w:r>
      <w:r w:rsidR="002C2D51" w:rsidRPr="005A22C2">
        <w:t xml:space="preserve">participants </w:t>
      </w:r>
      <w:r w:rsidR="006B653E" w:rsidRPr="005A22C2">
        <w:t>living in SDA.</w:t>
      </w:r>
    </w:p>
    <w:p w14:paraId="5E8B1FC1" w14:textId="77777777" w:rsidR="00A47429" w:rsidRPr="005A22C2" w:rsidRDefault="006B653E" w:rsidP="006720A0">
      <w:r w:rsidRPr="005A22C2">
        <w:t xml:space="preserve">Stakeholders that do not include ensuites as a standard feature in their SDA suggested that this was because of the additional land required to embed ensuites in the </w:t>
      </w:r>
      <w:r w:rsidR="00D04716" w:rsidRPr="005A22C2">
        <w:t>design and</w:t>
      </w:r>
      <w:r w:rsidRPr="005A22C2">
        <w:t xml:space="preserve"> </w:t>
      </w:r>
      <w:r w:rsidR="001E07B1" w:rsidRPr="005A22C2">
        <w:t>including ensuites</w:t>
      </w:r>
      <w:r w:rsidRPr="005A22C2">
        <w:t xml:space="preserve"> </w:t>
      </w:r>
      <w:r w:rsidR="007D2E42" w:rsidRPr="005A22C2">
        <w:t>reduced</w:t>
      </w:r>
      <w:r w:rsidR="00B90949" w:rsidRPr="005A22C2">
        <w:t xml:space="preserve"> the</w:t>
      </w:r>
      <w:r w:rsidR="002C2D51" w:rsidRPr="005A22C2">
        <w:t xml:space="preserve"> space</w:t>
      </w:r>
      <w:r w:rsidR="00B90949" w:rsidRPr="005A22C2">
        <w:t xml:space="preserve"> available</w:t>
      </w:r>
      <w:r w:rsidRPr="005A22C2">
        <w:t xml:space="preserve"> for shared living areas.</w:t>
      </w:r>
      <w:r w:rsidR="00E03136" w:rsidRPr="005A22C2">
        <w:t xml:space="preserve"> </w:t>
      </w:r>
      <w:r w:rsidR="00E944FA" w:rsidRPr="005A22C2">
        <w:t xml:space="preserve">A stakeholder </w:t>
      </w:r>
      <w:r w:rsidR="007D2102" w:rsidRPr="005A22C2">
        <w:t>in</w:t>
      </w:r>
      <w:r w:rsidR="00E944FA" w:rsidRPr="005A22C2">
        <w:t xml:space="preserve"> the Victoria </w:t>
      </w:r>
      <w:r w:rsidR="00D84C52" w:rsidRPr="005A22C2">
        <w:t>Consultation Group</w:t>
      </w:r>
      <w:r w:rsidR="00E944FA" w:rsidRPr="005A22C2">
        <w:t xml:space="preserve"> </w:t>
      </w:r>
      <w:r w:rsidR="00D25E1D" w:rsidRPr="005A22C2">
        <w:t>suggested</w:t>
      </w:r>
      <w:r w:rsidR="00BF218C" w:rsidRPr="005A22C2">
        <w:t xml:space="preserve"> th</w:t>
      </w:r>
      <w:r w:rsidR="002D434A" w:rsidRPr="005A22C2">
        <w:t>at t</w:t>
      </w:r>
      <w:r w:rsidR="00BF218C" w:rsidRPr="005A22C2">
        <w:t xml:space="preserve">he </w:t>
      </w:r>
      <w:r w:rsidR="002D434A" w:rsidRPr="005A22C2">
        <w:t xml:space="preserve">cost of </w:t>
      </w:r>
      <w:r w:rsidR="00D25E1D" w:rsidRPr="005A22C2">
        <w:t xml:space="preserve">including ensuites in a build </w:t>
      </w:r>
      <w:r w:rsidR="002D434A" w:rsidRPr="005A22C2">
        <w:t>can</w:t>
      </w:r>
      <w:r w:rsidR="00D25E1D" w:rsidRPr="005A22C2">
        <w:t xml:space="preserve"> impact the development margin.</w:t>
      </w:r>
    </w:p>
    <w:p w14:paraId="33FE8038" w14:textId="77777777" w:rsidR="00A47429" w:rsidRPr="005A22C2" w:rsidRDefault="00CE05D3" w:rsidP="006720A0">
      <w:pPr>
        <w:pStyle w:val="Heading3"/>
      </w:pPr>
      <w:r w:rsidRPr="005A22C2">
        <w:t>Parking</w:t>
      </w:r>
    </w:p>
    <w:p w14:paraId="2826EC59" w14:textId="77777777" w:rsidR="00282BEC" w:rsidRPr="005A22C2" w:rsidRDefault="00F15CD0" w:rsidP="006720A0">
      <w:r w:rsidRPr="005A22C2">
        <w:t xml:space="preserve">Stakeholders in the South Australia and Northern Territory </w:t>
      </w:r>
      <w:r w:rsidR="00D84C52" w:rsidRPr="005A22C2">
        <w:t>Consultation Group</w:t>
      </w:r>
      <w:r w:rsidRPr="005A22C2">
        <w:t xml:space="preserve"> discussed the number of parking spaces required on each site. </w:t>
      </w:r>
      <w:r w:rsidR="00DD5D5A" w:rsidRPr="005A22C2">
        <w:t>S</w:t>
      </w:r>
      <w:r w:rsidRPr="005A22C2">
        <w:t>takeholders that include car parking on their site</w:t>
      </w:r>
      <w:r w:rsidR="00307A5A" w:rsidRPr="005A22C2">
        <w:t>s</w:t>
      </w:r>
      <w:r w:rsidRPr="005A22C2">
        <w:t xml:space="preserve"> indicated that these spaces are </w:t>
      </w:r>
      <w:r w:rsidR="00BE4E4A" w:rsidRPr="005A22C2">
        <w:t xml:space="preserve">mostly </w:t>
      </w:r>
      <w:r w:rsidRPr="005A22C2">
        <w:t xml:space="preserve">being used by care support workers and visiting family, with participants in </w:t>
      </w:r>
      <w:r w:rsidR="002D434A" w:rsidRPr="005A22C2">
        <w:t>Fully Accessible</w:t>
      </w:r>
      <w:r w:rsidRPr="005A22C2">
        <w:t xml:space="preserve"> and </w:t>
      </w:r>
      <w:r w:rsidR="002D434A" w:rsidRPr="005A22C2">
        <w:t>High Physical Support</w:t>
      </w:r>
      <w:r w:rsidRPr="005A22C2">
        <w:t xml:space="preserve"> </w:t>
      </w:r>
      <w:r w:rsidR="002D434A" w:rsidRPr="005A22C2">
        <w:t>dwellings</w:t>
      </w:r>
      <w:r w:rsidRPr="005A22C2">
        <w:t xml:space="preserve"> often unable to drive</w:t>
      </w:r>
      <w:r w:rsidR="00E03136" w:rsidRPr="005A22C2">
        <w:t>.</w:t>
      </w:r>
      <w:r w:rsidRPr="005A22C2">
        <w:t xml:space="preserve"> </w:t>
      </w:r>
    </w:p>
    <w:p w14:paraId="51F5BFBC" w14:textId="77777777" w:rsidR="00CB2787" w:rsidRPr="005A22C2" w:rsidRDefault="00F15CD0" w:rsidP="006720A0">
      <w:r w:rsidRPr="005A22C2">
        <w:t xml:space="preserve">During the meeting of the Victoria </w:t>
      </w:r>
      <w:r w:rsidR="00D84C52" w:rsidRPr="005A22C2">
        <w:t>Consultation Group</w:t>
      </w:r>
      <w:r w:rsidRPr="005A22C2">
        <w:t xml:space="preserve">, one stakeholder stated they included 16 onsite car spaces for an eight-villa development to reduce impact on neighbours. Another stakeholder estimated that a four-participant, four-villa property would require approximately eight car spaces. </w:t>
      </w:r>
    </w:p>
    <w:p w14:paraId="4E29FB93" w14:textId="1842B3BB" w:rsidR="00A47429" w:rsidRPr="005A22C2" w:rsidRDefault="00F15CD0" w:rsidP="006720A0">
      <w:r w:rsidRPr="005A22C2">
        <w:lastRenderedPageBreak/>
        <w:t xml:space="preserve">Given the additional cost associated with building underground garages, the same stakeholder expressed a preference for </w:t>
      </w:r>
      <w:r w:rsidR="00C97F6F" w:rsidRPr="005A22C2">
        <w:t>ground-level</w:t>
      </w:r>
      <w:r w:rsidRPr="005A22C2">
        <w:t xml:space="preserve"> car spaces over </w:t>
      </w:r>
      <w:r w:rsidR="00C97F6F" w:rsidRPr="005A22C2">
        <w:t xml:space="preserve">underground </w:t>
      </w:r>
      <w:r w:rsidRPr="005A22C2">
        <w:t xml:space="preserve">garages, which </w:t>
      </w:r>
      <w:r w:rsidR="00890170" w:rsidRPr="005A22C2">
        <w:t xml:space="preserve">may </w:t>
      </w:r>
      <w:r w:rsidRPr="005A22C2">
        <w:t>also facilitate easier access to the vehicle.</w:t>
      </w:r>
    </w:p>
    <w:p w14:paraId="476704A4" w14:textId="1DF3C7EA" w:rsidR="00F15CD0" w:rsidRPr="005A22C2" w:rsidRDefault="00F15CD0" w:rsidP="006720A0">
      <w:r w:rsidRPr="005A22C2">
        <w:t xml:space="preserve">Stakeholders reported that they are having to </w:t>
      </w:r>
      <w:r w:rsidR="000E0C5C" w:rsidRPr="005A22C2">
        <w:t>consider</w:t>
      </w:r>
      <w:r w:rsidRPr="005A22C2">
        <w:t xml:space="preserve"> including car parking onsite due to </w:t>
      </w:r>
      <w:r w:rsidR="00591D12" w:rsidRPr="005A22C2">
        <w:t>concerns raised by</w:t>
      </w:r>
      <w:r w:rsidR="005F5C04" w:rsidRPr="005A22C2">
        <w:t xml:space="preserve"> </w:t>
      </w:r>
      <w:r w:rsidRPr="005A22C2">
        <w:t xml:space="preserve">neighbours, and restrictions on street parking. A stakeholder in the SDA Builders and Developers </w:t>
      </w:r>
      <w:r w:rsidR="00D84C52" w:rsidRPr="005A22C2">
        <w:t>Consultation Group</w:t>
      </w:r>
      <w:r w:rsidRPr="005A22C2">
        <w:t xml:space="preserve"> </w:t>
      </w:r>
      <w:r w:rsidR="00B3458B" w:rsidRPr="005A22C2">
        <w:t>and</w:t>
      </w:r>
      <w:r w:rsidR="002A687D" w:rsidRPr="005A22C2">
        <w:t xml:space="preserve"> </w:t>
      </w:r>
      <w:r w:rsidR="00B3458B" w:rsidRPr="005A22C2">
        <w:t xml:space="preserve">the </w:t>
      </w:r>
      <w:r w:rsidR="00B3458B" w:rsidRPr="00437F38">
        <w:t xml:space="preserve">Endeavour Foundation </w:t>
      </w:r>
      <w:r w:rsidR="005361D4" w:rsidRPr="00437F38">
        <w:t>stated</w:t>
      </w:r>
      <w:r w:rsidRPr="00437F38">
        <w:t xml:space="preserve"> that for one of their current developments, the local council has requested a car</w:t>
      </w:r>
      <w:r w:rsidRPr="005A22C2">
        <w:t>-park demand report to inform the number of street parking spaces needed.</w:t>
      </w:r>
    </w:p>
    <w:p w14:paraId="751E864B" w14:textId="716A38AB" w:rsidR="00240B3E" w:rsidRPr="005A22C2" w:rsidRDefault="00CE05D3" w:rsidP="006720A0">
      <w:pPr>
        <w:pStyle w:val="Heading3"/>
        <w:rPr>
          <w:lang w:eastAsia="en-AU"/>
        </w:rPr>
      </w:pPr>
      <w:r w:rsidRPr="005A22C2">
        <w:rPr>
          <w:lang w:eastAsia="en-AU"/>
        </w:rPr>
        <w:t>O</w:t>
      </w:r>
      <w:r w:rsidR="002C7C7D" w:rsidRPr="005A22C2">
        <w:rPr>
          <w:lang w:eastAsia="en-AU"/>
        </w:rPr>
        <w:t xml:space="preserve">nsite </w:t>
      </w:r>
      <w:r w:rsidRPr="005A22C2">
        <w:rPr>
          <w:lang w:eastAsia="en-AU"/>
        </w:rPr>
        <w:t>O</w:t>
      </w:r>
      <w:r w:rsidR="00F92191" w:rsidRPr="005A22C2">
        <w:rPr>
          <w:lang w:eastAsia="en-AU"/>
        </w:rPr>
        <w:t xml:space="preserve">vernight </w:t>
      </w:r>
      <w:r w:rsidRPr="005A22C2">
        <w:rPr>
          <w:lang w:eastAsia="en-AU"/>
        </w:rPr>
        <w:t>A</w:t>
      </w:r>
      <w:r w:rsidR="002C7C7D" w:rsidRPr="005A22C2">
        <w:rPr>
          <w:lang w:eastAsia="en-AU"/>
        </w:rPr>
        <w:t>ssistance</w:t>
      </w:r>
    </w:p>
    <w:p w14:paraId="69DF85DA" w14:textId="77777777" w:rsidR="004C3681" w:rsidRDefault="002D434A" w:rsidP="006720A0">
      <w:pPr>
        <w:rPr>
          <w:color w:val="000000" w:themeColor="text1"/>
          <w:lang w:eastAsia="en-AU"/>
        </w:rPr>
      </w:pPr>
      <w:r w:rsidRPr="005A22C2">
        <w:rPr>
          <w:lang w:eastAsia="en-AU"/>
        </w:rPr>
        <w:t>A</w:t>
      </w:r>
      <w:r w:rsidR="00F84075" w:rsidRPr="005A22C2">
        <w:rPr>
          <w:lang w:eastAsia="en-AU"/>
        </w:rPr>
        <w:t xml:space="preserve"> stakeholder in the New South Wales and Australian Capital Territory </w:t>
      </w:r>
      <w:r w:rsidR="00D84C52" w:rsidRPr="005A22C2">
        <w:rPr>
          <w:lang w:eastAsia="en-AU"/>
        </w:rPr>
        <w:t>Consultation Group</w:t>
      </w:r>
      <w:r w:rsidR="00F84075" w:rsidRPr="005A22C2">
        <w:rPr>
          <w:lang w:eastAsia="en-AU"/>
        </w:rPr>
        <w:t xml:space="preserve"> </w:t>
      </w:r>
      <w:r w:rsidRPr="005A22C2">
        <w:rPr>
          <w:lang w:eastAsia="en-AU"/>
        </w:rPr>
        <w:t>stated</w:t>
      </w:r>
      <w:r w:rsidR="00F84075" w:rsidRPr="005A22C2">
        <w:rPr>
          <w:lang w:eastAsia="en-AU"/>
        </w:rPr>
        <w:t xml:space="preserve"> that higher quality </w:t>
      </w:r>
      <w:r w:rsidRPr="005A22C2">
        <w:rPr>
          <w:lang w:eastAsia="en-AU"/>
        </w:rPr>
        <w:t>Onsite Overnight Accommodation</w:t>
      </w:r>
      <w:r w:rsidR="00F84075" w:rsidRPr="005A22C2">
        <w:rPr>
          <w:lang w:eastAsia="en-AU"/>
        </w:rPr>
        <w:t xml:space="preserve"> spaces and facilities are critical </w:t>
      </w:r>
      <w:r w:rsidR="00F84075" w:rsidRPr="005A22C2">
        <w:rPr>
          <w:color w:val="000000" w:themeColor="text1"/>
          <w:lang w:eastAsia="en-AU"/>
        </w:rPr>
        <w:t xml:space="preserve">to securing ongoing </w:t>
      </w:r>
      <w:r w:rsidR="006D76ED" w:rsidRPr="005A22C2">
        <w:rPr>
          <w:color w:val="000000" w:themeColor="text1"/>
          <w:lang w:eastAsia="en-AU"/>
        </w:rPr>
        <w:t xml:space="preserve">Supported Independent Living </w:t>
      </w:r>
      <w:r w:rsidR="00F84075" w:rsidRPr="005A22C2">
        <w:rPr>
          <w:color w:val="000000" w:themeColor="text1"/>
          <w:lang w:eastAsia="en-AU"/>
        </w:rPr>
        <w:t>services.</w:t>
      </w:r>
    </w:p>
    <w:p w14:paraId="1354D860" w14:textId="3F1EEC4A" w:rsidR="00F84075" w:rsidRPr="005A22C2" w:rsidRDefault="00221E9D" w:rsidP="006720A0">
      <w:pPr>
        <w:rPr>
          <w:color w:val="000000" w:themeColor="text1"/>
          <w:lang w:eastAsia="en-AU"/>
        </w:rPr>
      </w:pPr>
      <w:r w:rsidRPr="005A22C2">
        <w:rPr>
          <w:color w:val="000000" w:themeColor="text1"/>
          <w:lang w:eastAsia="en-AU"/>
        </w:rPr>
        <w:t>T</w:t>
      </w:r>
      <w:r w:rsidR="008D4125" w:rsidRPr="005A22C2">
        <w:rPr>
          <w:color w:val="000000" w:themeColor="text1"/>
          <w:lang w:eastAsia="en-AU"/>
        </w:rPr>
        <w:t>he</w:t>
      </w:r>
      <w:r w:rsidR="00420682" w:rsidRPr="005A22C2">
        <w:rPr>
          <w:color w:val="000000" w:themeColor="text1"/>
          <w:lang w:eastAsia="en-AU"/>
        </w:rPr>
        <w:t xml:space="preserve"> </w:t>
      </w:r>
      <w:r w:rsidR="00420682" w:rsidRPr="009C5610">
        <w:rPr>
          <w:color w:val="000000" w:themeColor="text1"/>
          <w:lang w:eastAsia="en-AU"/>
        </w:rPr>
        <w:t xml:space="preserve">SDA Alliance </w:t>
      </w:r>
      <w:r w:rsidR="001C36D1" w:rsidRPr="009C5610">
        <w:rPr>
          <w:color w:val="000000" w:themeColor="text1"/>
          <w:lang w:eastAsia="en-AU"/>
        </w:rPr>
        <w:t>recommend</w:t>
      </w:r>
      <w:r w:rsidR="002D434A" w:rsidRPr="009C5610">
        <w:rPr>
          <w:color w:val="000000" w:themeColor="text1"/>
          <w:lang w:eastAsia="en-AU"/>
        </w:rPr>
        <w:t>ed</w:t>
      </w:r>
      <w:r w:rsidR="00D36810" w:rsidRPr="005A22C2">
        <w:rPr>
          <w:color w:val="000000" w:themeColor="text1"/>
          <w:lang w:eastAsia="en-AU"/>
        </w:rPr>
        <w:t xml:space="preserve"> that the </w:t>
      </w:r>
      <w:r w:rsidR="002D434A" w:rsidRPr="005A22C2">
        <w:rPr>
          <w:color w:val="000000" w:themeColor="text1"/>
          <w:lang w:eastAsia="en-AU"/>
        </w:rPr>
        <w:t>NDIA should</w:t>
      </w:r>
      <w:r w:rsidR="00D36810" w:rsidRPr="005A22C2">
        <w:rPr>
          <w:color w:val="000000" w:themeColor="text1"/>
          <w:lang w:eastAsia="en-AU"/>
        </w:rPr>
        <w:t xml:space="preserve"> issue</w:t>
      </w:r>
      <w:r w:rsidR="00420682" w:rsidRPr="005A22C2">
        <w:rPr>
          <w:color w:val="000000" w:themeColor="text1"/>
          <w:lang w:eastAsia="en-AU"/>
        </w:rPr>
        <w:t xml:space="preserve"> a </w:t>
      </w:r>
      <w:r w:rsidR="00340766">
        <w:rPr>
          <w:color w:val="000000" w:themeColor="text1"/>
          <w:lang w:eastAsia="en-AU"/>
        </w:rPr>
        <w:t xml:space="preserve">(design standard) </w:t>
      </w:r>
      <w:r w:rsidR="00420682" w:rsidRPr="005A22C2">
        <w:rPr>
          <w:color w:val="000000" w:themeColor="text1"/>
          <w:lang w:eastAsia="en-AU"/>
        </w:rPr>
        <w:t xml:space="preserve">determination on the provision of </w:t>
      </w:r>
      <w:r w:rsidR="002D434A" w:rsidRPr="005A22C2">
        <w:rPr>
          <w:color w:val="000000" w:themeColor="text1"/>
          <w:lang w:eastAsia="en-AU"/>
        </w:rPr>
        <w:t>Onsite Overnight Accommodation</w:t>
      </w:r>
      <w:r w:rsidR="00420682" w:rsidRPr="005A22C2">
        <w:rPr>
          <w:color w:val="000000" w:themeColor="text1"/>
          <w:lang w:eastAsia="en-AU"/>
        </w:rPr>
        <w:t xml:space="preserve"> in future SDA developments.</w:t>
      </w:r>
    </w:p>
    <w:p w14:paraId="462EE85E" w14:textId="505B7959" w:rsidR="00FB41F6" w:rsidRPr="005A22C2" w:rsidRDefault="00F84075" w:rsidP="006720A0">
      <w:pPr>
        <w:rPr>
          <w:lang w:eastAsia="en-AU"/>
        </w:rPr>
      </w:pPr>
      <w:r w:rsidRPr="005A22C2">
        <w:rPr>
          <w:lang w:eastAsia="en-AU"/>
        </w:rPr>
        <w:t xml:space="preserve">Another stakeholder in the Tasmania </w:t>
      </w:r>
      <w:r w:rsidR="00D84C52" w:rsidRPr="005A22C2">
        <w:rPr>
          <w:lang w:eastAsia="en-AU"/>
        </w:rPr>
        <w:t>Consultation Group</w:t>
      </w:r>
      <w:r w:rsidRPr="005A22C2">
        <w:rPr>
          <w:lang w:eastAsia="en-AU"/>
        </w:rPr>
        <w:t xml:space="preserve"> indicated that strategically placing an </w:t>
      </w:r>
      <w:r w:rsidR="000E0C5C" w:rsidRPr="005A22C2">
        <w:rPr>
          <w:lang w:eastAsia="en-AU"/>
        </w:rPr>
        <w:t>Onsite</w:t>
      </w:r>
      <w:r w:rsidR="002D434A" w:rsidRPr="005A22C2">
        <w:rPr>
          <w:lang w:eastAsia="en-AU"/>
        </w:rPr>
        <w:t xml:space="preserve"> Overnight Accommodation</w:t>
      </w:r>
      <w:r w:rsidRPr="005A22C2">
        <w:rPr>
          <w:lang w:eastAsia="en-AU"/>
        </w:rPr>
        <w:t xml:space="preserve"> within a development with two, one-bedroom self-contained units had allowed for more responsive management of </w:t>
      </w:r>
      <w:r w:rsidR="0039605A" w:rsidRPr="005A22C2">
        <w:rPr>
          <w:lang w:eastAsia="en-AU"/>
        </w:rPr>
        <w:t xml:space="preserve">participants with </w:t>
      </w:r>
      <w:r w:rsidRPr="005A22C2">
        <w:rPr>
          <w:lang w:eastAsia="en-AU"/>
        </w:rPr>
        <w:t>behaviours of concer</w:t>
      </w:r>
      <w:r w:rsidR="003731F1" w:rsidRPr="005A22C2">
        <w:rPr>
          <w:lang w:eastAsia="en-AU"/>
        </w:rPr>
        <w:t>n.</w:t>
      </w:r>
      <w:r w:rsidRPr="005A22C2">
        <w:rPr>
          <w:lang w:eastAsia="en-AU"/>
        </w:rPr>
        <w:t xml:space="preserve"> One stakeholder in the Queensland </w:t>
      </w:r>
      <w:r w:rsidR="00D84C52" w:rsidRPr="005A22C2">
        <w:rPr>
          <w:lang w:eastAsia="en-AU"/>
        </w:rPr>
        <w:t>Consultation Group</w:t>
      </w:r>
      <w:r w:rsidRPr="005A22C2">
        <w:rPr>
          <w:lang w:eastAsia="en-AU"/>
        </w:rPr>
        <w:t xml:space="preserve"> </w:t>
      </w:r>
      <w:r w:rsidR="00FB41F6" w:rsidRPr="005A22C2">
        <w:rPr>
          <w:lang w:eastAsia="en-AU"/>
        </w:rPr>
        <w:t xml:space="preserve">reported that they had built </w:t>
      </w:r>
      <w:r w:rsidR="000E0C5C" w:rsidRPr="005A22C2">
        <w:rPr>
          <w:lang w:eastAsia="en-AU"/>
        </w:rPr>
        <w:t>Onsite</w:t>
      </w:r>
      <w:r w:rsidR="002D434A" w:rsidRPr="005A22C2">
        <w:rPr>
          <w:lang w:eastAsia="en-AU"/>
        </w:rPr>
        <w:t xml:space="preserve"> Overnight Accommodation</w:t>
      </w:r>
      <w:r w:rsidR="00FB41F6" w:rsidRPr="005A22C2">
        <w:rPr>
          <w:lang w:eastAsia="en-AU"/>
        </w:rPr>
        <w:t xml:space="preserve"> facilities </w:t>
      </w:r>
      <w:r w:rsidR="002D434A" w:rsidRPr="005A22C2">
        <w:rPr>
          <w:lang w:eastAsia="en-AU"/>
        </w:rPr>
        <w:t>that</w:t>
      </w:r>
      <w:r w:rsidR="00FB41F6" w:rsidRPr="005A22C2">
        <w:rPr>
          <w:lang w:eastAsia="en-AU"/>
        </w:rPr>
        <w:t xml:space="preserve"> could </w:t>
      </w:r>
      <w:r w:rsidR="00E130AC" w:rsidRPr="005A22C2">
        <w:rPr>
          <w:lang w:eastAsia="en-AU"/>
        </w:rPr>
        <w:t>securely</w:t>
      </w:r>
      <w:r w:rsidR="00FB41F6" w:rsidRPr="005A22C2">
        <w:rPr>
          <w:lang w:eastAsia="en-AU"/>
        </w:rPr>
        <w:t xml:space="preserve"> store </w:t>
      </w:r>
      <w:r w:rsidRPr="005A22C2">
        <w:rPr>
          <w:lang w:eastAsia="en-AU"/>
        </w:rPr>
        <w:t>industrial chemicals (used for washing and cleaning) and medication</w:t>
      </w:r>
      <w:r w:rsidR="00FB41F6" w:rsidRPr="005A22C2">
        <w:rPr>
          <w:lang w:eastAsia="en-AU"/>
        </w:rPr>
        <w:t xml:space="preserve">, </w:t>
      </w:r>
      <w:r w:rsidR="00EE15DC" w:rsidRPr="005A22C2">
        <w:rPr>
          <w:lang w:eastAsia="en-AU"/>
        </w:rPr>
        <w:t>therefore reducing</w:t>
      </w:r>
      <w:r w:rsidR="00FB41F6" w:rsidRPr="005A22C2">
        <w:rPr>
          <w:lang w:eastAsia="en-AU"/>
        </w:rPr>
        <w:t xml:space="preserve"> the number of hazards in participant living spaces and </w:t>
      </w:r>
      <w:r w:rsidR="00EE15DC" w:rsidRPr="005A22C2">
        <w:rPr>
          <w:lang w:eastAsia="en-AU"/>
        </w:rPr>
        <w:t>minimising</w:t>
      </w:r>
      <w:r w:rsidR="00FB41F6" w:rsidRPr="005A22C2">
        <w:rPr>
          <w:lang w:eastAsia="en-AU"/>
        </w:rPr>
        <w:t xml:space="preserve"> the risk of </w:t>
      </w:r>
      <w:r w:rsidR="00E130AC" w:rsidRPr="005A22C2">
        <w:rPr>
          <w:lang w:eastAsia="en-AU"/>
        </w:rPr>
        <w:t>an incident or injury.</w:t>
      </w:r>
    </w:p>
    <w:p w14:paraId="55758FBC" w14:textId="3D1D50F5" w:rsidR="00E90D4E" w:rsidRPr="005A22C2" w:rsidRDefault="00E90D4E" w:rsidP="006720A0">
      <w:pPr>
        <w:rPr>
          <w:lang w:eastAsia="en-AU"/>
        </w:rPr>
      </w:pPr>
      <w:r w:rsidRPr="005A22C2">
        <w:rPr>
          <w:lang w:eastAsia="en-AU"/>
        </w:rPr>
        <w:t xml:space="preserve">The New South Wales and Australian Capital Territory </w:t>
      </w:r>
      <w:r w:rsidR="002D434A" w:rsidRPr="005A22C2">
        <w:rPr>
          <w:lang w:eastAsia="en-AU"/>
        </w:rPr>
        <w:t>Consultation Group</w:t>
      </w:r>
      <w:r w:rsidRPr="005A22C2">
        <w:rPr>
          <w:lang w:eastAsia="en-AU"/>
        </w:rPr>
        <w:t xml:space="preserve"> also discussed the practicality of delivering </w:t>
      </w:r>
      <w:r w:rsidR="002D434A" w:rsidRPr="005A22C2">
        <w:rPr>
          <w:lang w:eastAsia="en-AU"/>
        </w:rPr>
        <w:t>Supported Independent Living</w:t>
      </w:r>
      <w:r w:rsidRPr="005A22C2">
        <w:rPr>
          <w:lang w:eastAsia="en-AU"/>
        </w:rPr>
        <w:t xml:space="preserve"> and </w:t>
      </w:r>
      <w:r w:rsidR="000E0C5C" w:rsidRPr="005A22C2">
        <w:rPr>
          <w:lang w:eastAsia="en-AU"/>
        </w:rPr>
        <w:t>Onsite</w:t>
      </w:r>
      <w:r w:rsidR="002D434A" w:rsidRPr="005A22C2">
        <w:rPr>
          <w:lang w:eastAsia="en-AU"/>
        </w:rPr>
        <w:t xml:space="preserve"> Overnight Accommodation</w:t>
      </w:r>
      <w:r w:rsidRPr="005A22C2">
        <w:rPr>
          <w:lang w:eastAsia="en-AU"/>
        </w:rPr>
        <w:t xml:space="preserve"> in an apartment setting, highlighting the trade-off between maximising land use (and being able to fit more apartments on a block) and the participant experience (losing out on common living areas that participants can share).</w:t>
      </w:r>
    </w:p>
    <w:p w14:paraId="788EE839" w14:textId="5B7988C0" w:rsidR="000E0C5C" w:rsidRPr="005A22C2" w:rsidRDefault="00F84075" w:rsidP="006720A0">
      <w:pPr>
        <w:rPr>
          <w:i/>
          <w:iCs/>
          <w:lang w:eastAsia="en-AU"/>
        </w:rPr>
      </w:pPr>
      <w:r w:rsidRPr="005A22C2">
        <w:rPr>
          <w:lang w:eastAsia="en-AU"/>
        </w:rPr>
        <w:t xml:space="preserve">One </w:t>
      </w:r>
      <w:r w:rsidR="006B790D" w:rsidRPr="005A22C2">
        <w:rPr>
          <w:lang w:eastAsia="en-AU"/>
        </w:rPr>
        <w:t>stakeholder in</w:t>
      </w:r>
      <w:r w:rsidRPr="005A22C2">
        <w:rPr>
          <w:lang w:eastAsia="en-AU"/>
        </w:rPr>
        <w:t xml:space="preserve"> the Tasmania </w:t>
      </w:r>
      <w:r w:rsidR="00D84C52" w:rsidRPr="005A22C2">
        <w:rPr>
          <w:lang w:eastAsia="en-AU"/>
        </w:rPr>
        <w:t>Consultation Group</w:t>
      </w:r>
      <w:r w:rsidRPr="005A22C2">
        <w:rPr>
          <w:lang w:eastAsia="en-AU"/>
        </w:rPr>
        <w:t xml:space="preserve"> provided an example where </w:t>
      </w:r>
      <w:r w:rsidR="000E0C5C" w:rsidRPr="005A22C2">
        <w:rPr>
          <w:lang w:eastAsia="en-AU"/>
        </w:rPr>
        <w:t>Onsite</w:t>
      </w:r>
      <w:r w:rsidR="002D434A" w:rsidRPr="005A22C2">
        <w:rPr>
          <w:lang w:eastAsia="en-AU"/>
        </w:rPr>
        <w:t xml:space="preserve"> Overnight Accommodation</w:t>
      </w:r>
      <w:r w:rsidRPr="005A22C2">
        <w:rPr>
          <w:lang w:eastAsia="en-AU"/>
        </w:rPr>
        <w:t xml:space="preserve"> is shared by multiple units, but enrolled and attached to one of them, warning that</w:t>
      </w:r>
      <w:r w:rsidR="005B1ACE" w:rsidRPr="005A22C2">
        <w:rPr>
          <w:lang w:eastAsia="en-AU"/>
        </w:rPr>
        <w:t xml:space="preserve"> “</w:t>
      </w:r>
      <w:r w:rsidRPr="00FC3823">
        <w:rPr>
          <w:lang w:eastAsia="en-AU"/>
        </w:rPr>
        <w:t xml:space="preserve">you could end up in a situation where you have a vacancy in the unit that has the </w:t>
      </w:r>
      <w:r w:rsidR="002D434A" w:rsidRPr="00FC3823">
        <w:rPr>
          <w:lang w:eastAsia="en-AU"/>
        </w:rPr>
        <w:t>Onsite Overnight Accommodation</w:t>
      </w:r>
      <w:r w:rsidRPr="00FC3823">
        <w:rPr>
          <w:lang w:eastAsia="en-AU"/>
        </w:rPr>
        <w:t xml:space="preserve"> attached, and therefore, even though you’re still providing the service or half that service out of the </w:t>
      </w:r>
      <w:r w:rsidR="002D434A" w:rsidRPr="00FC3823">
        <w:rPr>
          <w:lang w:eastAsia="en-AU"/>
        </w:rPr>
        <w:t>Onsite Overnight Accommodation</w:t>
      </w:r>
      <w:r w:rsidRPr="00FC3823">
        <w:rPr>
          <w:lang w:eastAsia="en-AU"/>
        </w:rPr>
        <w:t xml:space="preserve"> for the other unit, you're not getting recompense for that</w:t>
      </w:r>
      <w:r w:rsidR="005B1ACE" w:rsidRPr="00FC3823">
        <w:rPr>
          <w:lang w:eastAsia="en-AU"/>
        </w:rPr>
        <w:t>”</w:t>
      </w:r>
      <w:r w:rsidR="000E0C5C" w:rsidRPr="00FC3823">
        <w:rPr>
          <w:lang w:eastAsia="en-AU"/>
        </w:rPr>
        <w:t>.</w:t>
      </w:r>
    </w:p>
    <w:p w14:paraId="3F804AFF" w14:textId="77777777" w:rsidR="00A47429" w:rsidRPr="005A22C2" w:rsidRDefault="00AC2A52" w:rsidP="0001662E">
      <w:pPr>
        <w:pStyle w:val="Heading3"/>
      </w:pPr>
      <w:bookmarkStart w:id="70" w:name="_Toc129783543"/>
      <w:r w:rsidRPr="005A22C2">
        <w:t>Mandatory inclusions</w:t>
      </w:r>
      <w:bookmarkEnd w:id="70"/>
    </w:p>
    <w:p w14:paraId="2C0DDC4D" w14:textId="762A606B" w:rsidR="00537758" w:rsidRPr="005A22C2" w:rsidRDefault="00B41A84" w:rsidP="006720A0">
      <w:r w:rsidRPr="00437F38">
        <w:t>JFA Purple Orange</w:t>
      </w:r>
      <w:r w:rsidR="00864D89" w:rsidRPr="00437F38">
        <w:t xml:space="preserve"> </w:t>
      </w:r>
      <w:r w:rsidRPr="00437F38">
        <w:t>discussed</w:t>
      </w:r>
      <w:r w:rsidR="00864D89" w:rsidRPr="00437F38">
        <w:t xml:space="preserve"> the purpose of mandatory inclusions under the SDA Design Standard. </w:t>
      </w:r>
      <w:r w:rsidR="00AC2A52" w:rsidRPr="00437F38">
        <w:t xml:space="preserve">Given the cost of various features, JFA Purple Orange </w:t>
      </w:r>
      <w:r w:rsidR="00ED3043" w:rsidRPr="00437F38">
        <w:t>suggested</w:t>
      </w:r>
      <w:r w:rsidR="00AC2A52" w:rsidRPr="005A22C2">
        <w:t xml:space="preserve"> </w:t>
      </w:r>
      <w:r w:rsidR="00AC2A52" w:rsidRPr="005A22C2">
        <w:lastRenderedPageBreak/>
        <w:t xml:space="preserve">that the list of mandatory inclusions should be reviewed to </w:t>
      </w:r>
      <w:r w:rsidR="00833943" w:rsidRPr="005A22C2">
        <w:t xml:space="preserve">ensure </w:t>
      </w:r>
      <w:r w:rsidR="00DF115A" w:rsidRPr="005A22C2">
        <w:t xml:space="preserve">that they are </w:t>
      </w:r>
      <w:r w:rsidR="00317B9F" w:rsidRPr="005A22C2">
        <w:t>genuinely common requirement</w:t>
      </w:r>
      <w:r w:rsidR="008D4125" w:rsidRPr="005A22C2">
        <w:t>s</w:t>
      </w:r>
      <w:r w:rsidR="00317B9F" w:rsidRPr="005A22C2">
        <w:t xml:space="preserve"> of SDA tenants.</w:t>
      </w:r>
      <w:r w:rsidR="00EE1604" w:rsidRPr="005A22C2">
        <w:t xml:space="preserve"> </w:t>
      </w:r>
      <w:r w:rsidR="008D4125" w:rsidRPr="005A22C2">
        <w:t>They</w:t>
      </w:r>
      <w:r w:rsidR="00AC2A52" w:rsidRPr="005A22C2">
        <w:t xml:space="preserve"> cited the requirement for uninterrupted power-supply units as an example inclu</w:t>
      </w:r>
      <w:r w:rsidR="00ED3043" w:rsidRPr="005A22C2">
        <w:t>sion that is expensive to install</w:t>
      </w:r>
      <w:r w:rsidR="00161F24" w:rsidRPr="005A22C2">
        <w:t xml:space="preserve">, </w:t>
      </w:r>
      <w:r w:rsidR="00ED3043" w:rsidRPr="005A22C2">
        <w:t>difficult to maintain</w:t>
      </w:r>
      <w:r w:rsidR="00143DFD" w:rsidRPr="005A22C2">
        <w:t>,</w:t>
      </w:r>
      <w:r w:rsidR="00ED3043" w:rsidRPr="005A22C2">
        <w:t xml:space="preserve"> </w:t>
      </w:r>
      <w:r w:rsidR="00161F24" w:rsidRPr="005A22C2">
        <w:t xml:space="preserve">and generally </w:t>
      </w:r>
      <w:r w:rsidR="00F4632B" w:rsidRPr="005A22C2">
        <w:t xml:space="preserve">unnecessary </w:t>
      </w:r>
      <w:r w:rsidR="00DF115A" w:rsidRPr="005A22C2">
        <w:t>given reliable power supply</w:t>
      </w:r>
      <w:r w:rsidR="00544B2E" w:rsidRPr="005A22C2">
        <w:t xml:space="preserve"> in metropolitan areas</w:t>
      </w:r>
      <w:r w:rsidR="00ED3043" w:rsidRPr="005A22C2">
        <w:t>. The</w:t>
      </w:r>
      <w:r w:rsidR="008D4125" w:rsidRPr="005A22C2">
        <w:t>y</w:t>
      </w:r>
      <w:r w:rsidR="00ED3043" w:rsidRPr="005A22C2">
        <w:t xml:space="preserve"> argued that the </w:t>
      </w:r>
      <w:proofErr w:type="gramStart"/>
      <w:r w:rsidR="00ED3043" w:rsidRPr="005A22C2">
        <w:t>main focus</w:t>
      </w:r>
      <w:proofErr w:type="gramEnd"/>
      <w:r w:rsidR="00ED3043" w:rsidRPr="005A22C2">
        <w:t xml:space="preserve"> of mandatory standards should be on</w:t>
      </w:r>
      <w:r w:rsidR="00161F24" w:rsidRPr="005A22C2">
        <w:t xml:space="preserve"> adaptability</w:t>
      </w:r>
      <w:r w:rsidR="00EF2533" w:rsidRPr="005A22C2">
        <w:t xml:space="preserve"> and that the list is regularly reviewed to keep pace with improving technology.</w:t>
      </w:r>
    </w:p>
    <w:p w14:paraId="51CE72B4" w14:textId="7B7A893C" w:rsidR="005D5C1B" w:rsidRPr="005A22C2" w:rsidRDefault="005D5C1B" w:rsidP="006720A0">
      <w:pPr>
        <w:pStyle w:val="Heading3"/>
        <w:rPr>
          <w:lang w:eastAsia="en-AU"/>
        </w:rPr>
      </w:pPr>
      <w:bookmarkStart w:id="71" w:name="_Ref126238452"/>
      <w:bookmarkStart w:id="72" w:name="_Toc129783544"/>
      <w:r w:rsidRPr="005A22C2">
        <w:rPr>
          <w:lang w:eastAsia="en-AU"/>
        </w:rPr>
        <w:t xml:space="preserve">Suitability of the SDA </w:t>
      </w:r>
      <w:r w:rsidR="00A47429" w:rsidRPr="005A22C2">
        <w:rPr>
          <w:lang w:eastAsia="en-AU"/>
        </w:rPr>
        <w:t>D</w:t>
      </w:r>
      <w:r w:rsidR="002C1F2F" w:rsidRPr="005A22C2">
        <w:rPr>
          <w:lang w:eastAsia="en-AU"/>
        </w:rPr>
        <w:t xml:space="preserve">esign </w:t>
      </w:r>
      <w:bookmarkEnd w:id="71"/>
      <w:bookmarkEnd w:id="72"/>
      <w:r w:rsidR="00A47429" w:rsidRPr="005A22C2">
        <w:rPr>
          <w:lang w:eastAsia="en-AU"/>
        </w:rPr>
        <w:t>Standards</w:t>
      </w:r>
    </w:p>
    <w:p w14:paraId="2413835F" w14:textId="12500763" w:rsidR="00610D2B" w:rsidRPr="005A22C2" w:rsidRDefault="00A00431" w:rsidP="006720A0">
      <w:pPr>
        <w:rPr>
          <w:rFonts w:eastAsia="Times New Roman" w:cs="Arial"/>
          <w:szCs w:val="22"/>
          <w:lang w:eastAsia="en-AU"/>
        </w:rPr>
      </w:pPr>
      <w:r w:rsidRPr="005A22C2">
        <w:t xml:space="preserve">Several stakeholders </w:t>
      </w:r>
      <w:r w:rsidR="008D4125" w:rsidRPr="005A22C2">
        <w:t>questioned</w:t>
      </w:r>
      <w:r w:rsidRPr="005A22C2">
        <w:t xml:space="preserve"> the suitability of the </w:t>
      </w:r>
      <w:r w:rsidR="008D4125" w:rsidRPr="005A22C2">
        <w:t xml:space="preserve">current </w:t>
      </w:r>
      <w:r w:rsidR="002C1F2F" w:rsidRPr="005A22C2">
        <w:t xml:space="preserve">SDA </w:t>
      </w:r>
      <w:r w:rsidRPr="005A22C2">
        <w:t>design categories</w:t>
      </w:r>
      <w:r w:rsidR="008D4125" w:rsidRPr="005A22C2">
        <w:t>, noting</w:t>
      </w:r>
      <w:r w:rsidR="00E0556C" w:rsidRPr="005A22C2">
        <w:t xml:space="preserve"> </w:t>
      </w:r>
      <w:r w:rsidR="008D4125" w:rsidRPr="005A22C2">
        <w:t>difficulties</w:t>
      </w:r>
      <w:r w:rsidR="00E0556C" w:rsidRPr="005A22C2">
        <w:t xml:space="preserve"> determining which category to build and how to design a masterplan that meets evolving participant demands.</w:t>
      </w:r>
    </w:p>
    <w:p w14:paraId="59794337" w14:textId="05D69FFC" w:rsidR="00A47429" w:rsidRPr="00C344C2" w:rsidRDefault="00A47429" w:rsidP="006720A0">
      <w:r w:rsidRPr="00C344C2">
        <w:t>T</w:t>
      </w:r>
      <w:r w:rsidR="00852C3B" w:rsidRPr="00C344C2">
        <w:t>he Summer Foundation</w:t>
      </w:r>
      <w:r w:rsidR="00F468CE" w:rsidRPr="00C344C2">
        <w:t xml:space="preserve"> suggested that the increased prevalence of HPS SDA</w:t>
      </w:r>
      <w:r w:rsidR="00BC33E9" w:rsidRPr="00C344C2">
        <w:t xml:space="preserve"> apartments</w:t>
      </w:r>
      <w:r w:rsidR="00F468CE" w:rsidRPr="00C344C2">
        <w:t xml:space="preserve"> is indicative of greater flexibility and additional tenanting options</w:t>
      </w:r>
      <w:r w:rsidR="004F552D" w:rsidRPr="00C344C2">
        <w:t xml:space="preserve">. </w:t>
      </w:r>
      <w:r w:rsidR="00D20D95" w:rsidRPr="00C344C2">
        <w:t xml:space="preserve">The submission </w:t>
      </w:r>
      <w:r w:rsidR="005361D4" w:rsidRPr="00C344C2">
        <w:t>stated</w:t>
      </w:r>
      <w:r w:rsidR="00BC33E9" w:rsidRPr="00C344C2">
        <w:t xml:space="preserve"> that</w:t>
      </w:r>
      <w:r w:rsidR="005B1ACE" w:rsidRPr="00C344C2">
        <w:t xml:space="preserve"> “</w:t>
      </w:r>
      <w:r w:rsidRPr="00C344C2">
        <w:t xml:space="preserve">High Physical Support </w:t>
      </w:r>
      <w:r w:rsidR="00BC33E9" w:rsidRPr="00C344C2">
        <w:t>dwellings are often constructed even when a tenant only requires a</w:t>
      </w:r>
      <w:r w:rsidRPr="00C344C2">
        <w:t xml:space="preserve"> Fully Accessible </w:t>
      </w:r>
      <w:r w:rsidR="00BC33E9" w:rsidRPr="00C344C2">
        <w:t>design</w:t>
      </w:r>
      <w:r w:rsidR="005B1ACE" w:rsidRPr="00C344C2">
        <w:t>”</w:t>
      </w:r>
      <w:r w:rsidR="009D1C5E" w:rsidRPr="00C344C2">
        <w:t>.</w:t>
      </w:r>
      <w:r w:rsidR="005B1ACE" w:rsidRPr="00C344C2">
        <w:t xml:space="preserve"> </w:t>
      </w:r>
      <w:r w:rsidR="00471807" w:rsidRPr="00C344C2">
        <w:t>The Summer Foundation</w:t>
      </w:r>
      <w:r w:rsidR="005D5C1B" w:rsidRPr="00C344C2">
        <w:t xml:space="preserve"> </w:t>
      </w:r>
      <w:r w:rsidR="005B1ACE" w:rsidRPr="00C344C2">
        <w:t xml:space="preserve">also </w:t>
      </w:r>
      <w:r w:rsidR="005361D4" w:rsidRPr="00C344C2">
        <w:t>stated</w:t>
      </w:r>
      <w:r w:rsidR="00471807" w:rsidRPr="00C344C2">
        <w:t xml:space="preserve"> </w:t>
      </w:r>
      <w:r w:rsidR="005D5C1B" w:rsidRPr="00C344C2">
        <w:t>that the cost</w:t>
      </w:r>
      <w:r w:rsidRPr="00C344C2">
        <w:t>s</w:t>
      </w:r>
      <w:r w:rsidR="005D5C1B" w:rsidRPr="00C344C2">
        <w:t xml:space="preserve"> of constructing </w:t>
      </w:r>
      <w:r w:rsidRPr="00C344C2">
        <w:t>High Physical Support</w:t>
      </w:r>
      <w:r w:rsidR="005D5C1B" w:rsidRPr="00C344C2">
        <w:t xml:space="preserve"> and </w:t>
      </w:r>
      <w:r w:rsidRPr="00C344C2">
        <w:t>Fully accessible SDA</w:t>
      </w:r>
      <w:r w:rsidR="005D5C1B" w:rsidRPr="00C344C2">
        <w:t xml:space="preserve"> is </w:t>
      </w:r>
      <w:r w:rsidRPr="00C344C2">
        <w:t>closer</w:t>
      </w:r>
      <w:r w:rsidR="005D5C1B" w:rsidRPr="00C344C2">
        <w:t xml:space="preserve"> than assumed </w:t>
      </w:r>
      <w:r w:rsidRPr="00C344C2">
        <w:t>in the current SDA pricing arrangements</w:t>
      </w:r>
      <w:r w:rsidR="005700B5" w:rsidRPr="00C344C2">
        <w:t xml:space="preserve"> and that </w:t>
      </w:r>
      <w:r w:rsidR="005D5C1B" w:rsidRPr="00C344C2">
        <w:t>in practic</w:t>
      </w:r>
      <w:r w:rsidR="005B1ACE" w:rsidRPr="00C344C2">
        <w:t>e “</w:t>
      </w:r>
      <w:r w:rsidR="005D5C1B" w:rsidRPr="00C344C2">
        <w:t xml:space="preserve">the majority of the SDA Guidelines required for </w:t>
      </w:r>
      <w:r w:rsidRPr="00C344C2">
        <w:t>High Physical Support</w:t>
      </w:r>
      <w:r w:rsidR="005D5C1B" w:rsidRPr="00C344C2">
        <w:t xml:space="preserve"> are also required for </w:t>
      </w:r>
      <w:r w:rsidRPr="00C344C2">
        <w:t>Fully Accessible</w:t>
      </w:r>
      <w:r w:rsidR="005D5C1B" w:rsidRPr="00C344C2">
        <w:t xml:space="preserve"> builds</w:t>
      </w:r>
      <w:r w:rsidR="005B1ACE" w:rsidRPr="00C344C2">
        <w:t>”</w:t>
      </w:r>
      <w:r w:rsidR="009D1C5E" w:rsidRPr="00C344C2">
        <w:t>.</w:t>
      </w:r>
      <w:r w:rsidR="005B1ACE" w:rsidRPr="00C344C2">
        <w:t xml:space="preserve"> </w:t>
      </w:r>
      <w:r w:rsidR="005700B5" w:rsidRPr="00C344C2">
        <w:t xml:space="preserve">As such, the Summer Foundation </w:t>
      </w:r>
      <w:r w:rsidR="005361D4" w:rsidRPr="00C344C2">
        <w:t>stated</w:t>
      </w:r>
      <w:r w:rsidR="005700B5" w:rsidRPr="00C344C2">
        <w:t xml:space="preserve"> that</w:t>
      </w:r>
      <w:r w:rsidR="005D5C1B" w:rsidRPr="00C344C2">
        <w:t xml:space="preserve"> the cost</w:t>
      </w:r>
      <w:r w:rsidR="005700B5" w:rsidRPr="00C344C2">
        <w:t xml:space="preserve"> of building </w:t>
      </w:r>
      <w:r w:rsidR="005B1ACE" w:rsidRPr="00C344C2">
        <w:t>High Physical Support</w:t>
      </w:r>
      <w:r w:rsidR="005700B5" w:rsidRPr="00C344C2">
        <w:t xml:space="preserve"> </w:t>
      </w:r>
      <w:r w:rsidR="005B1ACE" w:rsidRPr="00C344C2">
        <w:t xml:space="preserve">dwellings </w:t>
      </w:r>
      <w:r w:rsidR="005700B5" w:rsidRPr="00C344C2">
        <w:t xml:space="preserve">and </w:t>
      </w:r>
      <w:r w:rsidR="005B1ACE" w:rsidRPr="00C344C2">
        <w:t>Fully Accessible dwellings</w:t>
      </w:r>
      <w:r w:rsidR="005D5C1B" w:rsidRPr="00C344C2">
        <w:t xml:space="preserve"> are </w:t>
      </w:r>
      <w:r w:rsidR="00ED56A2" w:rsidRPr="00C344C2">
        <w:t xml:space="preserve">closer than assumed. </w:t>
      </w:r>
    </w:p>
    <w:p w14:paraId="3DCF96C1" w14:textId="45E8C68A" w:rsidR="005D5C1B" w:rsidRPr="00C344C2" w:rsidRDefault="00F87CA8" w:rsidP="006720A0">
      <w:r w:rsidRPr="00C344C2">
        <w:t>A confidential submission</w:t>
      </w:r>
      <w:r w:rsidR="005D5C1B" w:rsidRPr="00C344C2">
        <w:t xml:space="preserve"> </w:t>
      </w:r>
      <w:r w:rsidR="005361D4" w:rsidRPr="00C344C2">
        <w:t>stated</w:t>
      </w:r>
      <w:r w:rsidR="005D5C1B" w:rsidRPr="00C344C2">
        <w:t xml:space="preserve"> that additional construction costs are only incurred when </w:t>
      </w:r>
      <w:r w:rsidR="00BF336C" w:rsidRPr="00C344C2">
        <w:t xml:space="preserve">features </w:t>
      </w:r>
      <w:r w:rsidR="005D5C1B" w:rsidRPr="00C344C2">
        <w:t xml:space="preserve">like ceiling hoists, reinforced structures and additional electricity cabling are included in an HPS masterplan. These costs were cited to range from $30,000 to $50,000 per apartment, which is significantly lower than the assumption of $276,000 </w:t>
      </w:r>
      <w:r w:rsidR="005B1ACE" w:rsidRPr="00C344C2">
        <w:t>that underpins the current SDA pricing methodology.</w:t>
      </w:r>
    </w:p>
    <w:p w14:paraId="7EAEA9AA" w14:textId="6CCF94DF" w:rsidR="005A02D6" w:rsidRPr="00C344C2" w:rsidRDefault="00665D57" w:rsidP="006720A0">
      <w:pPr>
        <w:rPr>
          <w:rFonts w:eastAsia="Times New Roman" w:cs="Arial"/>
          <w:szCs w:val="22"/>
          <w:lang w:eastAsia="en-AU"/>
        </w:rPr>
      </w:pPr>
      <w:r w:rsidRPr="00C344C2">
        <w:rPr>
          <w:lang w:eastAsia="en-AU"/>
        </w:rPr>
        <w:t xml:space="preserve">Submissions from </w:t>
      </w:r>
      <w:proofErr w:type="spellStart"/>
      <w:r w:rsidRPr="00C344C2">
        <w:rPr>
          <w:lang w:eastAsia="en-AU"/>
        </w:rPr>
        <w:t>BlueCHP</w:t>
      </w:r>
      <w:proofErr w:type="spellEnd"/>
      <w:r w:rsidRPr="00C344C2">
        <w:rPr>
          <w:lang w:eastAsia="en-AU"/>
        </w:rPr>
        <w:t xml:space="preserve">, </w:t>
      </w:r>
      <w:r w:rsidR="00252C48" w:rsidRPr="00C344C2">
        <w:rPr>
          <w:lang w:eastAsia="en-AU"/>
        </w:rPr>
        <w:t>WAIGROUP</w:t>
      </w:r>
      <w:r w:rsidRPr="00C344C2">
        <w:rPr>
          <w:lang w:eastAsia="en-AU"/>
        </w:rPr>
        <w:t xml:space="preserve"> and NDISP indicated that</w:t>
      </w:r>
      <w:r w:rsidR="00AB1D56" w:rsidRPr="00C344C2">
        <w:rPr>
          <w:lang w:eastAsia="en-AU"/>
        </w:rPr>
        <w:t xml:space="preserve"> the minimum Robust design standard</w:t>
      </w:r>
      <w:r w:rsidRPr="00C344C2">
        <w:rPr>
          <w:lang w:eastAsia="en-AU"/>
        </w:rPr>
        <w:t xml:space="preserve"> </w:t>
      </w:r>
      <w:r w:rsidR="00AB1D56" w:rsidRPr="00C344C2">
        <w:rPr>
          <w:lang w:eastAsia="en-AU"/>
        </w:rPr>
        <w:t>is not sufficient for</w:t>
      </w:r>
      <w:r w:rsidRPr="00C344C2">
        <w:rPr>
          <w:lang w:eastAsia="en-AU"/>
        </w:rPr>
        <w:t xml:space="preserve"> participants with complex behaviours and Robust housing needs.</w:t>
      </w:r>
      <w:r w:rsidR="00A47429" w:rsidRPr="00C344C2">
        <w:rPr>
          <w:lang w:eastAsia="en-AU"/>
        </w:rPr>
        <w:t xml:space="preserve"> </w:t>
      </w:r>
      <w:r w:rsidR="00A47429" w:rsidRPr="00C344C2">
        <w:t>They</w:t>
      </w:r>
      <w:r w:rsidR="005D5C1B" w:rsidRPr="00C344C2">
        <w:t xml:space="preserve"> indicated that the construction of Robust SDA is generally more complex, </w:t>
      </w:r>
      <w:r w:rsidR="007A70A6" w:rsidRPr="00C344C2">
        <w:t>takes</w:t>
      </w:r>
      <w:r w:rsidR="005D5C1B" w:rsidRPr="00C344C2">
        <w:t xml:space="preserve"> longer </w:t>
      </w:r>
      <w:r w:rsidR="007A70A6" w:rsidRPr="00C344C2">
        <w:t>to build</w:t>
      </w:r>
      <w:r w:rsidR="005D5C1B" w:rsidRPr="00C344C2">
        <w:t xml:space="preserve"> and require</w:t>
      </w:r>
      <w:r w:rsidR="007A70A6" w:rsidRPr="00C344C2">
        <w:t>s</w:t>
      </w:r>
      <w:r w:rsidR="005D5C1B" w:rsidRPr="00C344C2">
        <w:t xml:space="preserve"> specialised materials.</w:t>
      </w:r>
      <w:r w:rsidR="00E03136" w:rsidRPr="00C344C2">
        <w:t xml:space="preserve"> </w:t>
      </w:r>
      <w:r w:rsidR="005D5C1B" w:rsidRPr="00C344C2">
        <w:t>The complexity, risk and additional cost of building Robust SDA was cited by Australian Unity as a reason for its reluctance to acquire Robust stock</w:t>
      </w:r>
      <w:r w:rsidR="009E78EB" w:rsidRPr="00C344C2">
        <w:t>.</w:t>
      </w:r>
    </w:p>
    <w:p w14:paraId="7BAC73EB" w14:textId="63AC6C5C" w:rsidR="00EF402F" w:rsidRPr="00437F38" w:rsidRDefault="005A02D6" w:rsidP="006720A0">
      <w:r w:rsidRPr="00C344C2">
        <w:rPr>
          <w:lang w:eastAsia="en-AU"/>
        </w:rPr>
        <w:t xml:space="preserve">The </w:t>
      </w:r>
      <w:r w:rsidR="005D5C1B" w:rsidRPr="00C344C2">
        <w:rPr>
          <w:lang w:eastAsia="en-AU"/>
        </w:rPr>
        <w:t xml:space="preserve">Summer Foundation </w:t>
      </w:r>
      <w:r w:rsidR="005361D4" w:rsidRPr="00C344C2">
        <w:rPr>
          <w:lang w:eastAsia="en-AU"/>
        </w:rPr>
        <w:t>stated</w:t>
      </w:r>
      <w:r w:rsidR="00A47429" w:rsidRPr="005A22C2">
        <w:rPr>
          <w:lang w:eastAsia="en-AU"/>
        </w:rPr>
        <w:t xml:space="preserve"> that</w:t>
      </w:r>
      <w:r w:rsidR="005B1ACE" w:rsidRPr="005A22C2">
        <w:rPr>
          <w:lang w:eastAsia="en-AU"/>
        </w:rPr>
        <w:t xml:space="preserve"> “</w:t>
      </w:r>
      <w:r w:rsidR="00A47429" w:rsidRPr="00FC3823">
        <w:rPr>
          <w:lang w:eastAsia="en-AU"/>
        </w:rPr>
        <w:t>r</w:t>
      </w:r>
      <w:r w:rsidR="005D5C1B" w:rsidRPr="00FC3823">
        <w:rPr>
          <w:lang w:eastAsia="en-AU"/>
        </w:rPr>
        <w:t>obust housing needs are not being fulfilled to the same extent as other design categories</w:t>
      </w:r>
      <w:r w:rsidR="005B1ACE" w:rsidRPr="00FC3823">
        <w:rPr>
          <w:lang w:eastAsia="en-AU"/>
        </w:rPr>
        <w:t>”</w:t>
      </w:r>
      <w:r w:rsidR="009E78EB" w:rsidRPr="005A22C2">
        <w:rPr>
          <w:lang w:eastAsia="en-AU"/>
        </w:rPr>
        <w:t>.</w:t>
      </w:r>
      <w:r w:rsidR="005B1ACE" w:rsidRPr="005A22C2">
        <w:rPr>
          <w:lang w:eastAsia="en-AU"/>
        </w:rPr>
        <w:t xml:space="preserve"> </w:t>
      </w:r>
      <w:r w:rsidR="00A47429" w:rsidRPr="005A22C2">
        <w:rPr>
          <w:lang w:eastAsia="en-AU"/>
        </w:rPr>
        <w:t>It</w:t>
      </w:r>
      <w:r w:rsidR="005D5C1B" w:rsidRPr="005A22C2">
        <w:rPr>
          <w:lang w:eastAsia="en-AU"/>
        </w:rPr>
        <w:t xml:space="preserve"> reported that different behaviours of concern often require different housing responses, with some participants requiring both Robust and </w:t>
      </w:r>
      <w:r w:rsidR="00D70085" w:rsidRPr="005A22C2">
        <w:rPr>
          <w:lang w:eastAsia="en-AU"/>
        </w:rPr>
        <w:t>High Physical Support</w:t>
      </w:r>
      <w:r w:rsidR="005D5C1B" w:rsidRPr="005A22C2">
        <w:rPr>
          <w:lang w:eastAsia="en-AU"/>
        </w:rPr>
        <w:t xml:space="preserve"> design features</w:t>
      </w:r>
      <w:r w:rsidR="005D5C1B" w:rsidRPr="00437F38">
        <w:rPr>
          <w:lang w:eastAsia="en-AU"/>
        </w:rPr>
        <w:t>.</w:t>
      </w:r>
      <w:r w:rsidR="00E03136" w:rsidRPr="00437F38">
        <w:rPr>
          <w:lang w:eastAsia="en-AU"/>
        </w:rPr>
        <w:t xml:space="preserve"> </w:t>
      </w:r>
      <w:proofErr w:type="spellStart"/>
      <w:r w:rsidR="00820E4C" w:rsidRPr="00437F38">
        <w:rPr>
          <w:lang w:eastAsia="en-AU"/>
        </w:rPr>
        <w:t>PowerHousing</w:t>
      </w:r>
      <w:proofErr w:type="spellEnd"/>
      <w:r w:rsidR="00820E4C" w:rsidRPr="00437F38">
        <w:rPr>
          <w:lang w:eastAsia="en-AU"/>
        </w:rPr>
        <w:t xml:space="preserve"> Australia argued that</w:t>
      </w:r>
      <w:r w:rsidR="00C4421C" w:rsidRPr="00437F38">
        <w:rPr>
          <w:lang w:eastAsia="en-AU"/>
        </w:rPr>
        <w:t xml:space="preserve"> delivering Robust and </w:t>
      </w:r>
      <w:r w:rsidR="00D70085" w:rsidRPr="00437F38">
        <w:rPr>
          <w:lang w:eastAsia="en-AU"/>
        </w:rPr>
        <w:t>High Physical Support</w:t>
      </w:r>
      <w:r w:rsidR="00C4421C" w:rsidRPr="00437F38">
        <w:rPr>
          <w:lang w:eastAsia="en-AU"/>
        </w:rPr>
        <w:t xml:space="preserve"> design features </w:t>
      </w:r>
      <w:r w:rsidR="00C4421C" w:rsidRPr="00437F38">
        <w:t xml:space="preserve">can incur </w:t>
      </w:r>
      <w:r w:rsidR="00D70085" w:rsidRPr="00437F38">
        <w:t>a</w:t>
      </w:r>
      <w:r w:rsidR="00C4421C" w:rsidRPr="00437F38">
        <w:t>dditional costs that are far greater than those seen in conventional builds.</w:t>
      </w:r>
      <w:r w:rsidR="00D70085" w:rsidRPr="00437F38">
        <w:t xml:space="preserve"> </w:t>
      </w:r>
      <w:r w:rsidR="006364B4" w:rsidRPr="00437F38">
        <w:t>Liveable Homes Australia echoed this concern and identified that construction cost overruns typically occur when unfunded Robust features are included in the masterplan for a</w:t>
      </w:r>
      <w:r w:rsidR="00D70085" w:rsidRPr="00437F38">
        <w:t xml:space="preserve"> High Physical Support dwelling</w:t>
      </w:r>
      <w:r w:rsidR="006364B4" w:rsidRPr="00437F38">
        <w:t>.</w:t>
      </w:r>
    </w:p>
    <w:p w14:paraId="68C5E840" w14:textId="415B905E" w:rsidR="005B1ACE" w:rsidRPr="00437F38" w:rsidRDefault="005B1ACE" w:rsidP="006720A0">
      <w:r w:rsidRPr="00437F38">
        <w:lastRenderedPageBreak/>
        <w:t>Prader Willi Syndrome Australia highlighted the fact that investors in the SDA market generally avoid investing in the Robust design category</w:t>
      </w:r>
      <w:r w:rsidRPr="005A22C2">
        <w:t xml:space="preserve">. They suggested that the </w:t>
      </w:r>
      <w:r w:rsidRPr="00437F38">
        <w:t>considerable damage (and corresponding costs) to properties that can be caused by participants can act as a disincentive for investment. Additionally, WAIGROUP suggested that the bespoke nature of Robust SDA, the potential requirement for larger blocks, and the perceived risks of integrating Robust properties within broader SDA developments can contribute to investors being deterred from investing.</w:t>
      </w:r>
    </w:p>
    <w:p w14:paraId="23348E2A" w14:textId="77777777" w:rsidR="005B153C" w:rsidRPr="00437F38" w:rsidRDefault="000121DA" w:rsidP="006720A0">
      <w:r w:rsidRPr="00437F38">
        <w:t xml:space="preserve">Australian Unity </w:t>
      </w:r>
      <w:r w:rsidR="005B1ACE" w:rsidRPr="00437F38">
        <w:t>stated</w:t>
      </w:r>
      <w:r w:rsidRPr="00437F38">
        <w:t xml:space="preserve"> that the Robust Design Category is of critical importance and can </w:t>
      </w:r>
      <w:r w:rsidR="005B1ACE" w:rsidRPr="00437F38">
        <w:t>“</w:t>
      </w:r>
      <w:r w:rsidRPr="00437F38">
        <w:t>deliver significant social and economic benefit if appropriately remunerated</w:t>
      </w:r>
      <w:r w:rsidR="005B1ACE" w:rsidRPr="00437F38">
        <w:t xml:space="preserve">”. They </w:t>
      </w:r>
      <w:r w:rsidRPr="00437F38">
        <w:t>recommended</w:t>
      </w:r>
      <w:r w:rsidR="005B1ACE" w:rsidRPr="00437F38">
        <w:t xml:space="preserve"> that</w:t>
      </w:r>
      <w:r w:rsidRPr="00437F38">
        <w:t xml:space="preserve"> the </w:t>
      </w:r>
      <w:r w:rsidR="006344D5" w:rsidRPr="00437F38">
        <w:t>SDA Pricing Review</w:t>
      </w:r>
      <w:r w:rsidRPr="00437F38">
        <w:t xml:space="preserve"> </w:t>
      </w:r>
      <w:r w:rsidR="000E0C5C" w:rsidRPr="00437F38">
        <w:t>consider</w:t>
      </w:r>
      <w:r w:rsidRPr="00437F38">
        <w:t xml:space="preserve"> underwriting property damage.</w:t>
      </w:r>
      <w:r w:rsidR="00990CD8" w:rsidRPr="00437F38">
        <w:t xml:space="preserve"> </w:t>
      </w:r>
      <w:r w:rsidRPr="00437F38">
        <w:t>Alternatively, or in conjunction, they also recommended materially increasing the return for Robust SDA to meet the level of perceived and actual costs associated with this Design Category.</w:t>
      </w:r>
      <w:r w:rsidR="005B1ACE" w:rsidRPr="00437F38">
        <w:t xml:space="preserve"> </w:t>
      </w:r>
    </w:p>
    <w:p w14:paraId="610FDC2E" w14:textId="01C2A4AF" w:rsidR="000121DA" w:rsidRPr="005A22C2" w:rsidRDefault="000121DA" w:rsidP="006720A0">
      <w:r w:rsidRPr="00437F38">
        <w:t xml:space="preserve">WAIGROUP also highlighted that the risks with investing in Robust SDA (such vacancy risks) can be exacerbated when </w:t>
      </w:r>
      <w:r w:rsidR="000E0C5C" w:rsidRPr="00437F38">
        <w:t>consider</w:t>
      </w:r>
      <w:r w:rsidRPr="00437F38">
        <w:t>ing regional developments, where the demand market is thinner.</w:t>
      </w:r>
      <w:r w:rsidR="00E03136" w:rsidRPr="00437F38">
        <w:t xml:space="preserve"> </w:t>
      </w:r>
      <w:r w:rsidRPr="00437F38">
        <w:t>WAIGROUP suggested</w:t>
      </w:r>
      <w:r w:rsidRPr="005A22C2">
        <w:t xml:space="preserve"> that risk mitigations could be included such as </w:t>
      </w:r>
      <w:r w:rsidR="005B1ACE" w:rsidRPr="005A22C2">
        <w:t>“</w:t>
      </w:r>
      <w:r w:rsidRPr="00FC3823">
        <w:t>special rules for the continuity of SDA payments where a Robust vacancy occurs</w:t>
      </w:r>
      <w:r w:rsidRPr="005A22C2">
        <w:t>” and recommended up to 90 days of vacancy payments in metropolitan regions and up to 180 of continuity payments in regional locations.</w:t>
      </w:r>
    </w:p>
    <w:p w14:paraId="58E62933" w14:textId="77777777" w:rsidR="00A47429" w:rsidRPr="005A22C2" w:rsidRDefault="00CA3939" w:rsidP="006720A0">
      <w:pPr>
        <w:pStyle w:val="Heading3"/>
        <w:rPr>
          <w:lang w:eastAsia="en-AU"/>
        </w:rPr>
      </w:pPr>
      <w:bookmarkStart w:id="73" w:name="_Toc129783546"/>
      <w:r w:rsidRPr="005A22C2">
        <w:rPr>
          <w:lang w:eastAsia="en-AU"/>
        </w:rPr>
        <w:t>Changes to the</w:t>
      </w:r>
      <w:r w:rsidR="00234296" w:rsidRPr="005A22C2">
        <w:rPr>
          <w:lang w:eastAsia="en-AU"/>
        </w:rPr>
        <w:t xml:space="preserve"> SDA Design Standards</w:t>
      </w:r>
      <w:bookmarkEnd w:id="73"/>
    </w:p>
    <w:p w14:paraId="39966761" w14:textId="5FE5936A" w:rsidR="00AE1CFE" w:rsidRPr="00C344C2" w:rsidRDefault="00422380" w:rsidP="006720A0">
      <w:pPr>
        <w:rPr>
          <w:color w:val="000000" w:themeColor="text1"/>
          <w:lang w:eastAsia="en-AU"/>
        </w:rPr>
      </w:pPr>
      <w:r w:rsidRPr="005A22C2">
        <w:rPr>
          <w:lang w:eastAsia="en-AU"/>
        </w:rPr>
        <w:t>T</w:t>
      </w:r>
      <w:r w:rsidR="00CA3939" w:rsidRPr="005A22C2">
        <w:rPr>
          <w:lang w:eastAsia="en-AU"/>
        </w:rPr>
        <w:t xml:space="preserve">he </w:t>
      </w:r>
      <w:r w:rsidR="0097719A" w:rsidRPr="00C344C2">
        <w:rPr>
          <w:lang w:eastAsia="en-AU"/>
        </w:rPr>
        <w:t>SDA Alliance</w:t>
      </w:r>
      <w:r w:rsidR="00024502" w:rsidRPr="00C344C2">
        <w:rPr>
          <w:lang w:eastAsia="en-AU"/>
        </w:rPr>
        <w:t xml:space="preserve"> </w:t>
      </w:r>
      <w:r w:rsidR="00CA3939" w:rsidRPr="00C344C2">
        <w:rPr>
          <w:lang w:eastAsia="en-AU"/>
        </w:rPr>
        <w:t>states</w:t>
      </w:r>
      <w:r w:rsidR="00024502" w:rsidRPr="00C344C2">
        <w:rPr>
          <w:lang w:eastAsia="en-AU"/>
        </w:rPr>
        <w:t xml:space="preserve"> </w:t>
      </w:r>
      <w:r w:rsidR="009B01BF" w:rsidRPr="00C344C2">
        <w:rPr>
          <w:lang w:eastAsia="en-AU"/>
        </w:rPr>
        <w:t xml:space="preserve">that changes to the SDA Design Standard </w:t>
      </w:r>
      <w:r w:rsidR="00CA3939" w:rsidRPr="00C344C2">
        <w:rPr>
          <w:lang w:eastAsia="en-AU"/>
        </w:rPr>
        <w:t>can be</w:t>
      </w:r>
      <w:r w:rsidR="009B01BF" w:rsidRPr="00C344C2">
        <w:rPr>
          <w:lang w:eastAsia="en-AU"/>
        </w:rPr>
        <w:t xml:space="preserve"> onerous to adapt to, and often generate additional costs for</w:t>
      </w:r>
      <w:r w:rsidR="00024502" w:rsidRPr="00C344C2">
        <w:rPr>
          <w:lang w:eastAsia="en-AU"/>
        </w:rPr>
        <w:t xml:space="preserve"> the design and build of SDA</w:t>
      </w:r>
      <w:r w:rsidR="009B01BF" w:rsidRPr="00C344C2">
        <w:rPr>
          <w:lang w:eastAsia="en-AU"/>
        </w:rPr>
        <w:t>.</w:t>
      </w:r>
      <w:r w:rsidR="00CA3939" w:rsidRPr="00C344C2">
        <w:rPr>
          <w:lang w:eastAsia="en-AU"/>
        </w:rPr>
        <w:t xml:space="preserve"> </w:t>
      </w:r>
      <w:r w:rsidR="00024502" w:rsidRPr="00C344C2">
        <w:rPr>
          <w:lang w:eastAsia="en-AU"/>
        </w:rPr>
        <w:t xml:space="preserve">Stakeholders across multiple </w:t>
      </w:r>
      <w:r w:rsidR="00D84C52" w:rsidRPr="00C344C2">
        <w:rPr>
          <w:lang w:eastAsia="en-AU"/>
        </w:rPr>
        <w:t>Consultation Group</w:t>
      </w:r>
      <w:r w:rsidR="00024502" w:rsidRPr="00C344C2">
        <w:rPr>
          <w:lang w:eastAsia="en-AU"/>
        </w:rPr>
        <w:t xml:space="preserve">s recommended </w:t>
      </w:r>
      <w:r w:rsidR="00CA3939" w:rsidRPr="00C344C2">
        <w:rPr>
          <w:lang w:eastAsia="en-AU"/>
        </w:rPr>
        <w:t xml:space="preserve">that </w:t>
      </w:r>
      <w:r w:rsidR="00024502" w:rsidRPr="00C344C2">
        <w:rPr>
          <w:lang w:eastAsia="en-AU"/>
        </w:rPr>
        <w:t>the Agency</w:t>
      </w:r>
      <w:r w:rsidR="00CA3939" w:rsidRPr="00C344C2">
        <w:rPr>
          <w:lang w:eastAsia="en-AU"/>
        </w:rPr>
        <w:t xml:space="preserve"> should </w:t>
      </w:r>
      <w:r w:rsidR="00CA3939" w:rsidRPr="00C344C2">
        <w:rPr>
          <w:color w:val="000000" w:themeColor="text1"/>
          <w:lang w:eastAsia="en-AU"/>
        </w:rPr>
        <w:t>regularly</w:t>
      </w:r>
      <w:r w:rsidR="00024502" w:rsidRPr="00C344C2">
        <w:rPr>
          <w:color w:val="000000" w:themeColor="text1"/>
          <w:lang w:eastAsia="en-AU"/>
        </w:rPr>
        <w:t xml:space="preserve"> review </w:t>
      </w:r>
      <w:r w:rsidR="00CA3939" w:rsidRPr="00C344C2">
        <w:rPr>
          <w:color w:val="000000" w:themeColor="text1"/>
          <w:lang w:eastAsia="en-AU"/>
        </w:rPr>
        <w:t>SDA prices when any</w:t>
      </w:r>
      <w:r w:rsidR="00024502" w:rsidRPr="00C344C2">
        <w:rPr>
          <w:color w:val="000000" w:themeColor="text1"/>
          <w:lang w:eastAsia="en-AU"/>
        </w:rPr>
        <w:t xml:space="preserve"> change</w:t>
      </w:r>
      <w:r w:rsidR="00CA3939" w:rsidRPr="00C344C2">
        <w:rPr>
          <w:color w:val="000000" w:themeColor="text1"/>
          <w:lang w:eastAsia="en-AU"/>
        </w:rPr>
        <w:t xml:space="preserve"> is made</w:t>
      </w:r>
      <w:r w:rsidR="00024502" w:rsidRPr="00C344C2">
        <w:rPr>
          <w:color w:val="000000" w:themeColor="text1"/>
          <w:lang w:eastAsia="en-AU"/>
        </w:rPr>
        <w:t xml:space="preserve"> to the SDA Design Standards to ensure </w:t>
      </w:r>
      <w:r w:rsidR="00CA3939" w:rsidRPr="00C344C2">
        <w:rPr>
          <w:color w:val="000000" w:themeColor="text1"/>
          <w:lang w:eastAsia="en-AU"/>
        </w:rPr>
        <w:t>that</w:t>
      </w:r>
      <w:r w:rsidR="00024502" w:rsidRPr="00C344C2">
        <w:rPr>
          <w:color w:val="000000" w:themeColor="text1"/>
          <w:lang w:eastAsia="en-AU"/>
        </w:rPr>
        <w:t xml:space="preserve"> price</w:t>
      </w:r>
      <w:r w:rsidR="00CA3939" w:rsidRPr="00C344C2">
        <w:rPr>
          <w:color w:val="000000" w:themeColor="text1"/>
          <w:lang w:eastAsia="en-AU"/>
        </w:rPr>
        <w:t>s</w:t>
      </w:r>
      <w:r w:rsidR="00024502" w:rsidRPr="00C344C2">
        <w:rPr>
          <w:color w:val="000000" w:themeColor="text1"/>
          <w:lang w:eastAsia="en-AU"/>
        </w:rPr>
        <w:t xml:space="preserve"> accurately reflect the new design requirements.</w:t>
      </w:r>
    </w:p>
    <w:p w14:paraId="324D499E" w14:textId="77777777" w:rsidR="00D45AA2" w:rsidRDefault="00CA3939" w:rsidP="006720A0">
      <w:pPr>
        <w:rPr>
          <w:rFonts w:eastAsia="Times New Roman" w:cs="Arial"/>
          <w:szCs w:val="22"/>
          <w:lang w:eastAsia="en-AU"/>
        </w:rPr>
      </w:pPr>
      <w:r w:rsidRPr="00C344C2">
        <w:rPr>
          <w:lang w:eastAsia="en-AU"/>
        </w:rPr>
        <w:t xml:space="preserve">Stakeholders also emphasised the need for stability in the </w:t>
      </w:r>
      <w:r w:rsidR="00E46663" w:rsidRPr="00C344C2">
        <w:rPr>
          <w:lang w:eastAsia="en-AU"/>
        </w:rPr>
        <w:t>SDA Design Standard</w:t>
      </w:r>
      <w:r w:rsidRPr="00C344C2">
        <w:rPr>
          <w:lang w:eastAsia="en-AU"/>
        </w:rPr>
        <w:t>.</w:t>
      </w:r>
      <w:r w:rsidR="002A687D" w:rsidRPr="00C344C2">
        <w:rPr>
          <w:lang w:eastAsia="en-AU"/>
        </w:rPr>
        <w:t xml:space="preserve"> </w:t>
      </w:r>
      <w:r w:rsidR="002429AA" w:rsidRPr="00C344C2">
        <w:rPr>
          <w:lang w:eastAsia="en-AU"/>
        </w:rPr>
        <w:t>T</w:t>
      </w:r>
      <w:r w:rsidRPr="00C344C2">
        <w:rPr>
          <w:lang w:eastAsia="en-AU"/>
        </w:rPr>
        <w:t xml:space="preserve">he </w:t>
      </w:r>
      <w:r w:rsidR="00AE1CFE" w:rsidRPr="00C344C2">
        <w:rPr>
          <w:lang w:eastAsia="en-AU"/>
        </w:rPr>
        <w:t xml:space="preserve">SDA Alliance </w:t>
      </w:r>
      <w:r w:rsidRPr="00C344C2">
        <w:rPr>
          <w:lang w:eastAsia="en-AU"/>
        </w:rPr>
        <w:t>reported</w:t>
      </w:r>
      <w:r w:rsidR="00AE1CFE" w:rsidRPr="005A22C2">
        <w:rPr>
          <w:lang w:eastAsia="en-AU"/>
        </w:rPr>
        <w:t xml:space="preserve"> that clarifications to the SDA Design Standard </w:t>
      </w:r>
      <w:r w:rsidR="00816BFA" w:rsidRPr="005A22C2">
        <w:rPr>
          <w:lang w:eastAsia="en-AU"/>
        </w:rPr>
        <w:t>have</w:t>
      </w:r>
      <w:r w:rsidRPr="005A22C2">
        <w:rPr>
          <w:lang w:eastAsia="en-AU"/>
        </w:rPr>
        <w:t xml:space="preserve"> “</w:t>
      </w:r>
      <w:r w:rsidR="006A55DC" w:rsidRPr="00EC1251">
        <w:rPr>
          <w:lang w:eastAsia="en-AU"/>
        </w:rPr>
        <w:t>inadvertently held up SDA development projects (sometimes for many months) resulting in significant holding costs and rework</w:t>
      </w:r>
      <w:r w:rsidRPr="005A22C2">
        <w:rPr>
          <w:i/>
          <w:iCs/>
          <w:lang w:eastAsia="en-AU"/>
        </w:rPr>
        <w:t xml:space="preserve">” and </w:t>
      </w:r>
      <w:r w:rsidR="00816BFA" w:rsidRPr="005A22C2">
        <w:rPr>
          <w:lang w:eastAsia="en-AU"/>
        </w:rPr>
        <w:t xml:space="preserve">this was impacting investor confidence in the SDA </w:t>
      </w:r>
      <w:r w:rsidR="00816BFA" w:rsidRPr="00437F38">
        <w:rPr>
          <w:lang w:eastAsia="en-AU"/>
        </w:rPr>
        <w:t>market</w:t>
      </w:r>
      <w:r w:rsidR="006A55DC" w:rsidRPr="00437F38">
        <w:rPr>
          <w:lang w:eastAsia="en-AU"/>
        </w:rPr>
        <w:t>.</w:t>
      </w:r>
      <w:r w:rsidR="002A687D" w:rsidRPr="00437F38">
        <w:rPr>
          <w:rFonts w:eastAsia="Times New Roman" w:cs="Arial"/>
          <w:szCs w:val="22"/>
          <w:lang w:eastAsia="en-AU"/>
        </w:rPr>
        <w:t xml:space="preserve"> </w:t>
      </w:r>
    </w:p>
    <w:p w14:paraId="3322A1D1" w14:textId="473AB562" w:rsidR="00362004" w:rsidRPr="005A22C2" w:rsidRDefault="00AC49F4" w:rsidP="006720A0">
      <w:pPr>
        <w:rPr>
          <w:lang w:eastAsia="en-AU"/>
        </w:rPr>
      </w:pPr>
      <w:r w:rsidRPr="00437F38">
        <w:rPr>
          <w:lang w:eastAsia="en-AU"/>
        </w:rPr>
        <w:t>Liveable Homes Australia</w:t>
      </w:r>
      <w:r w:rsidRPr="005A22C2">
        <w:rPr>
          <w:lang w:eastAsia="en-AU"/>
        </w:rPr>
        <w:t xml:space="preserve"> </w:t>
      </w:r>
      <w:r w:rsidR="00BD3E8E" w:rsidRPr="005A22C2">
        <w:rPr>
          <w:lang w:eastAsia="en-AU"/>
        </w:rPr>
        <w:t>echoed the concern</w:t>
      </w:r>
      <w:r w:rsidR="00CA3939" w:rsidRPr="005A22C2">
        <w:rPr>
          <w:lang w:eastAsia="en-AU"/>
        </w:rPr>
        <w:t xml:space="preserve"> </w:t>
      </w:r>
      <w:r w:rsidR="00BD3E8E" w:rsidRPr="005A22C2">
        <w:rPr>
          <w:lang w:eastAsia="en-AU"/>
        </w:rPr>
        <w:t xml:space="preserve">and </w:t>
      </w:r>
      <w:r w:rsidRPr="005A22C2">
        <w:rPr>
          <w:lang w:eastAsia="en-AU"/>
        </w:rPr>
        <w:t>argued against any changes to the SDA Design Standard</w:t>
      </w:r>
      <w:r w:rsidR="00BD3E8E" w:rsidRPr="005A22C2">
        <w:rPr>
          <w:lang w:eastAsia="en-AU"/>
        </w:rPr>
        <w:t xml:space="preserve"> during a pricing cycle.</w:t>
      </w:r>
      <w:r w:rsidR="002A687D" w:rsidRPr="005A22C2">
        <w:rPr>
          <w:rFonts w:eastAsia="Times New Roman" w:cs="Arial"/>
          <w:szCs w:val="22"/>
          <w:lang w:eastAsia="en-AU"/>
        </w:rPr>
        <w:t xml:space="preserve"> </w:t>
      </w:r>
      <w:r w:rsidR="00362004" w:rsidRPr="005A22C2">
        <w:rPr>
          <w:lang w:eastAsia="en-AU"/>
        </w:rPr>
        <w:t xml:space="preserve">NDISP </w:t>
      </w:r>
      <w:r w:rsidR="005B25CF" w:rsidRPr="005A22C2">
        <w:rPr>
          <w:lang w:eastAsia="en-AU"/>
        </w:rPr>
        <w:t>provided an alternative recommendation</w:t>
      </w:r>
      <w:r w:rsidR="00F82E2E" w:rsidRPr="005A22C2">
        <w:rPr>
          <w:lang w:eastAsia="en-AU"/>
        </w:rPr>
        <w:t xml:space="preserve"> that </w:t>
      </w:r>
      <w:r w:rsidR="006632ED" w:rsidRPr="005A22C2">
        <w:rPr>
          <w:lang w:eastAsia="en-AU"/>
        </w:rPr>
        <w:t xml:space="preserve">the Agency provide </w:t>
      </w:r>
      <w:r w:rsidR="008A1F5E" w:rsidRPr="005A22C2">
        <w:rPr>
          <w:lang w:eastAsia="en-AU"/>
        </w:rPr>
        <w:t>six</w:t>
      </w:r>
      <w:r w:rsidR="006632ED" w:rsidRPr="005A22C2">
        <w:rPr>
          <w:lang w:eastAsia="en-AU"/>
        </w:rPr>
        <w:t xml:space="preserve"> </w:t>
      </w:r>
      <w:r w:rsidR="00D56C32" w:rsidRPr="005A22C2">
        <w:rPr>
          <w:lang w:eastAsia="en-AU"/>
        </w:rPr>
        <w:t>months’ notice</w:t>
      </w:r>
      <w:r w:rsidR="006632ED" w:rsidRPr="005A22C2">
        <w:rPr>
          <w:lang w:eastAsia="en-AU"/>
        </w:rPr>
        <w:t xml:space="preserve"> before any changes to the SDA Design Standard.</w:t>
      </w:r>
    </w:p>
    <w:p w14:paraId="13BCDAB2" w14:textId="4CFB2D67" w:rsidR="001B32F9" w:rsidRPr="005A22C2" w:rsidRDefault="00BC3133" w:rsidP="0001662E">
      <w:pPr>
        <w:pStyle w:val="Heading2"/>
      </w:pPr>
      <w:bookmarkStart w:id="74" w:name="_Toc126595096"/>
      <w:bookmarkStart w:id="75" w:name="_Toc129783547"/>
      <w:bookmarkStart w:id="76" w:name="_Toc136006857"/>
      <w:r w:rsidRPr="005A22C2">
        <w:t>Other</w:t>
      </w:r>
      <w:r w:rsidR="001B32F9" w:rsidRPr="005A22C2">
        <w:t xml:space="preserve"> </w:t>
      </w:r>
      <w:bookmarkEnd w:id="74"/>
      <w:bookmarkEnd w:id="75"/>
      <w:r w:rsidRPr="005A22C2">
        <w:t>Costs</w:t>
      </w:r>
      <w:bookmarkEnd w:id="76"/>
    </w:p>
    <w:p w14:paraId="5B09A70D" w14:textId="5DED54B9" w:rsidR="00BC3133" w:rsidRPr="005A22C2" w:rsidRDefault="00BC3133" w:rsidP="006720A0">
      <w:pPr>
        <w:pStyle w:val="Heading3"/>
      </w:pPr>
      <w:r w:rsidRPr="005A22C2">
        <w:t>Floods, Fires and Cyclones</w:t>
      </w:r>
    </w:p>
    <w:p w14:paraId="54BA4A66" w14:textId="05553B67" w:rsidR="00556912" w:rsidRPr="005A22C2" w:rsidRDefault="001B32F9" w:rsidP="006720A0">
      <w:pPr>
        <w:rPr>
          <w:lang w:eastAsia="en-AU"/>
        </w:rPr>
      </w:pPr>
      <w:r w:rsidRPr="005A22C2">
        <w:rPr>
          <w:lang w:eastAsia="en-AU"/>
        </w:rPr>
        <w:t>S</w:t>
      </w:r>
      <w:r w:rsidR="00BC3133" w:rsidRPr="005A22C2">
        <w:rPr>
          <w:lang w:eastAsia="en-AU"/>
        </w:rPr>
        <w:t>everal s</w:t>
      </w:r>
      <w:r w:rsidRPr="005A22C2">
        <w:rPr>
          <w:lang w:eastAsia="en-AU"/>
        </w:rPr>
        <w:t xml:space="preserve">takeholders </w:t>
      </w:r>
      <w:r w:rsidR="00BC3133" w:rsidRPr="005A22C2">
        <w:rPr>
          <w:lang w:eastAsia="en-AU"/>
        </w:rPr>
        <w:t>reported</w:t>
      </w:r>
      <w:r w:rsidRPr="005A22C2">
        <w:rPr>
          <w:lang w:eastAsia="en-AU"/>
        </w:rPr>
        <w:t xml:space="preserve"> that external factors </w:t>
      </w:r>
      <w:r w:rsidR="00C0374F" w:rsidRPr="005A22C2">
        <w:rPr>
          <w:lang w:eastAsia="en-AU"/>
        </w:rPr>
        <w:t xml:space="preserve">such as floods, </w:t>
      </w:r>
      <w:r w:rsidR="002D7FBA" w:rsidRPr="005A22C2">
        <w:rPr>
          <w:lang w:eastAsia="en-AU"/>
        </w:rPr>
        <w:t>cyclones</w:t>
      </w:r>
      <w:r w:rsidR="00BC3133" w:rsidRPr="005A22C2">
        <w:rPr>
          <w:lang w:eastAsia="en-AU"/>
        </w:rPr>
        <w:t>,</w:t>
      </w:r>
      <w:r w:rsidR="002D7FBA" w:rsidRPr="005A22C2">
        <w:rPr>
          <w:lang w:eastAsia="en-AU"/>
        </w:rPr>
        <w:t xml:space="preserve"> and </w:t>
      </w:r>
      <w:r w:rsidR="00C0374F" w:rsidRPr="005A22C2">
        <w:rPr>
          <w:lang w:eastAsia="en-AU"/>
        </w:rPr>
        <w:t xml:space="preserve">bushfires </w:t>
      </w:r>
      <w:r w:rsidRPr="005A22C2">
        <w:rPr>
          <w:lang w:eastAsia="en-AU"/>
        </w:rPr>
        <w:t xml:space="preserve">are influencing </w:t>
      </w:r>
      <w:r w:rsidR="00866AB6" w:rsidRPr="005A22C2">
        <w:rPr>
          <w:lang w:eastAsia="en-AU"/>
        </w:rPr>
        <w:t>the design and build</w:t>
      </w:r>
      <w:r w:rsidRPr="005A22C2">
        <w:rPr>
          <w:lang w:eastAsia="en-AU"/>
        </w:rPr>
        <w:t xml:space="preserve"> of </w:t>
      </w:r>
      <w:r w:rsidR="00866AB6" w:rsidRPr="005A22C2">
        <w:rPr>
          <w:lang w:eastAsia="en-AU"/>
        </w:rPr>
        <w:t>SDA</w:t>
      </w:r>
      <w:r w:rsidRPr="005A22C2">
        <w:rPr>
          <w:lang w:eastAsia="en-AU"/>
        </w:rPr>
        <w:t>.</w:t>
      </w:r>
      <w:r w:rsidR="00BC3133" w:rsidRPr="005A22C2">
        <w:rPr>
          <w:lang w:eastAsia="en-AU"/>
        </w:rPr>
        <w:t xml:space="preserve"> For example, the r</w:t>
      </w:r>
      <w:r w:rsidR="00CD4FB9" w:rsidRPr="005A22C2">
        <w:rPr>
          <w:lang w:eastAsia="en-AU"/>
        </w:rPr>
        <w:t>isks associated with</w:t>
      </w:r>
      <w:r w:rsidRPr="005A22C2">
        <w:rPr>
          <w:lang w:eastAsia="en-AU"/>
        </w:rPr>
        <w:t xml:space="preserve"> developing </w:t>
      </w:r>
      <w:r w:rsidR="00CD4FB9" w:rsidRPr="005A22C2">
        <w:rPr>
          <w:lang w:eastAsia="en-AU"/>
        </w:rPr>
        <w:t>SDA</w:t>
      </w:r>
      <w:r w:rsidRPr="005A22C2">
        <w:rPr>
          <w:lang w:eastAsia="en-AU"/>
        </w:rPr>
        <w:t xml:space="preserve"> </w:t>
      </w:r>
      <w:r w:rsidR="00F00585" w:rsidRPr="005A22C2">
        <w:rPr>
          <w:lang w:eastAsia="en-AU"/>
        </w:rPr>
        <w:t xml:space="preserve">on a flood plain was </w:t>
      </w:r>
      <w:r w:rsidR="001E520E" w:rsidRPr="005A22C2">
        <w:rPr>
          <w:lang w:eastAsia="en-AU"/>
        </w:rPr>
        <w:t>discussed</w:t>
      </w:r>
      <w:r w:rsidRPr="005A22C2">
        <w:rPr>
          <w:lang w:eastAsia="en-AU"/>
        </w:rPr>
        <w:t xml:space="preserve"> </w:t>
      </w:r>
      <w:r w:rsidR="00F00585" w:rsidRPr="005A22C2">
        <w:rPr>
          <w:lang w:eastAsia="en-AU"/>
        </w:rPr>
        <w:t>by the</w:t>
      </w:r>
      <w:r w:rsidRPr="005A22C2">
        <w:rPr>
          <w:lang w:eastAsia="en-AU"/>
        </w:rPr>
        <w:t xml:space="preserve"> Queensland </w:t>
      </w:r>
      <w:r w:rsidR="00D84C52" w:rsidRPr="005A22C2">
        <w:rPr>
          <w:lang w:eastAsia="en-AU"/>
        </w:rPr>
        <w:lastRenderedPageBreak/>
        <w:t>Consultation Group</w:t>
      </w:r>
      <w:r w:rsidRPr="005A22C2">
        <w:rPr>
          <w:lang w:eastAsia="en-AU"/>
        </w:rPr>
        <w:t>. One</w:t>
      </w:r>
      <w:r w:rsidRPr="005A22C2" w:rsidDel="00161922">
        <w:rPr>
          <w:lang w:eastAsia="en-AU"/>
        </w:rPr>
        <w:t xml:space="preserve"> </w:t>
      </w:r>
      <w:r w:rsidR="00161922" w:rsidRPr="005A22C2">
        <w:rPr>
          <w:lang w:eastAsia="en-AU"/>
        </w:rPr>
        <w:t>stakeholder</w:t>
      </w:r>
      <w:r w:rsidRPr="005A22C2">
        <w:rPr>
          <w:lang w:eastAsia="en-AU"/>
        </w:rPr>
        <w:t xml:space="preserve"> highlighted that any development in Cairns</w:t>
      </w:r>
      <w:r w:rsidR="00BC3133" w:rsidRPr="005A22C2">
        <w:rPr>
          <w:lang w:eastAsia="en-AU"/>
        </w:rPr>
        <w:t xml:space="preserve">, for example, is </w:t>
      </w:r>
      <w:r w:rsidRPr="005A22C2">
        <w:rPr>
          <w:lang w:eastAsia="en-AU"/>
        </w:rPr>
        <w:t>occurring within a flood zone</w:t>
      </w:r>
      <w:r w:rsidR="00BC3133" w:rsidRPr="005A22C2">
        <w:rPr>
          <w:lang w:eastAsia="en-AU"/>
        </w:rPr>
        <w:t>,</w:t>
      </w:r>
      <w:r w:rsidRPr="005A22C2">
        <w:rPr>
          <w:lang w:eastAsia="en-AU"/>
        </w:rPr>
        <w:t xml:space="preserve"> and therefore is built to the Q100 Flood Standard, requiring the </w:t>
      </w:r>
      <w:r w:rsidR="00024502" w:rsidRPr="005A22C2">
        <w:rPr>
          <w:lang w:eastAsia="en-AU"/>
        </w:rPr>
        <w:t xml:space="preserve">SDA </w:t>
      </w:r>
      <w:r w:rsidRPr="005A22C2">
        <w:rPr>
          <w:lang w:eastAsia="en-AU"/>
        </w:rPr>
        <w:t>to be raised on stilts</w:t>
      </w:r>
      <w:r w:rsidR="00C351B7" w:rsidRPr="005A22C2">
        <w:rPr>
          <w:lang w:eastAsia="en-AU"/>
        </w:rPr>
        <w:t>.</w:t>
      </w:r>
    </w:p>
    <w:p w14:paraId="5B61B338" w14:textId="015B5469" w:rsidR="00A47429" w:rsidRPr="005A22C2" w:rsidRDefault="00BC3133" w:rsidP="006720A0">
      <w:pPr>
        <w:rPr>
          <w:lang w:eastAsia="en-AU"/>
        </w:rPr>
      </w:pPr>
      <w:r w:rsidRPr="00437F38">
        <w:rPr>
          <w:lang w:eastAsia="en-AU"/>
        </w:rPr>
        <w:t>T</w:t>
      </w:r>
      <w:r w:rsidR="00723E9C" w:rsidRPr="00437F38">
        <w:rPr>
          <w:lang w:eastAsia="en-AU"/>
        </w:rPr>
        <w:t>he Endeavour Foundation</w:t>
      </w:r>
      <w:r w:rsidR="004F1D98" w:rsidRPr="00437F38">
        <w:rPr>
          <w:lang w:eastAsia="en-AU"/>
        </w:rPr>
        <w:t xml:space="preserve"> </w:t>
      </w:r>
      <w:r w:rsidR="005361D4" w:rsidRPr="00437F38">
        <w:rPr>
          <w:lang w:eastAsia="en-AU"/>
        </w:rPr>
        <w:t>stated</w:t>
      </w:r>
      <w:r w:rsidR="004F1D98" w:rsidRPr="005A22C2">
        <w:rPr>
          <w:lang w:eastAsia="en-AU"/>
        </w:rPr>
        <w:t xml:space="preserve"> that </w:t>
      </w:r>
      <w:r w:rsidR="00EB7CA9" w:rsidRPr="005A22C2">
        <w:rPr>
          <w:lang w:eastAsia="en-AU"/>
        </w:rPr>
        <w:t xml:space="preserve">developments on </w:t>
      </w:r>
      <w:r w:rsidR="00EB0BE5" w:rsidRPr="005A22C2">
        <w:rPr>
          <w:lang w:eastAsia="en-AU"/>
        </w:rPr>
        <w:t>a flood</w:t>
      </w:r>
      <w:r w:rsidR="004360A3" w:rsidRPr="005A22C2">
        <w:rPr>
          <w:lang w:eastAsia="en-AU"/>
        </w:rPr>
        <w:t xml:space="preserve"> </w:t>
      </w:r>
      <w:r w:rsidR="00EB0BE5" w:rsidRPr="005A22C2">
        <w:rPr>
          <w:lang w:eastAsia="en-AU"/>
        </w:rPr>
        <w:t>plai</w:t>
      </w:r>
      <w:r w:rsidR="004360A3" w:rsidRPr="005A22C2">
        <w:rPr>
          <w:lang w:eastAsia="en-AU"/>
        </w:rPr>
        <w:t>n</w:t>
      </w:r>
      <w:r w:rsidR="002627D3" w:rsidRPr="005A22C2">
        <w:rPr>
          <w:lang w:eastAsia="en-AU"/>
        </w:rPr>
        <w:t xml:space="preserve"> </w:t>
      </w:r>
      <w:r w:rsidR="003B1727" w:rsidRPr="005A22C2">
        <w:rPr>
          <w:lang w:eastAsia="en-AU"/>
        </w:rPr>
        <w:t>also require</w:t>
      </w:r>
      <w:r w:rsidR="00EB0BE5" w:rsidRPr="005A22C2">
        <w:rPr>
          <w:lang w:eastAsia="en-AU"/>
        </w:rPr>
        <w:t xml:space="preserve"> an open foundation, which</w:t>
      </w:r>
      <w:r w:rsidR="00EB7CA9" w:rsidRPr="005A22C2">
        <w:rPr>
          <w:lang w:eastAsia="en-AU"/>
        </w:rPr>
        <w:t xml:space="preserve"> are generally more expensive </w:t>
      </w:r>
      <w:r w:rsidR="00EB0BE5" w:rsidRPr="005A22C2">
        <w:rPr>
          <w:lang w:eastAsia="en-AU"/>
        </w:rPr>
        <w:t xml:space="preserve">to build </w:t>
      </w:r>
      <w:r w:rsidR="00633447" w:rsidRPr="005A22C2">
        <w:rPr>
          <w:lang w:eastAsia="en-AU"/>
        </w:rPr>
        <w:t xml:space="preserve">than </w:t>
      </w:r>
      <w:r w:rsidR="00EB0BE5" w:rsidRPr="005A22C2">
        <w:rPr>
          <w:lang w:eastAsia="en-AU"/>
        </w:rPr>
        <w:t>a concrete slab</w:t>
      </w:r>
      <w:r w:rsidR="00524E09" w:rsidRPr="005A22C2">
        <w:rPr>
          <w:lang w:eastAsia="en-AU"/>
        </w:rPr>
        <w:t>.</w:t>
      </w:r>
      <w:r w:rsidR="00623725" w:rsidRPr="005A22C2">
        <w:rPr>
          <w:lang w:eastAsia="en-AU"/>
        </w:rPr>
        <w:t xml:space="preserve"> </w:t>
      </w:r>
      <w:r w:rsidR="001B32F9" w:rsidRPr="005A22C2">
        <w:rPr>
          <w:lang w:eastAsia="en-AU"/>
        </w:rPr>
        <w:t xml:space="preserve">Stakeholders located in </w:t>
      </w:r>
      <w:r w:rsidR="00024502" w:rsidRPr="005A22C2">
        <w:rPr>
          <w:lang w:eastAsia="en-AU"/>
        </w:rPr>
        <w:t xml:space="preserve">far north Queensland </w:t>
      </w:r>
      <w:r w:rsidR="005361D4" w:rsidRPr="005A22C2">
        <w:rPr>
          <w:lang w:eastAsia="en-AU"/>
        </w:rPr>
        <w:t>stated</w:t>
      </w:r>
      <w:r w:rsidR="001B32F9" w:rsidRPr="005A22C2">
        <w:rPr>
          <w:lang w:eastAsia="en-AU"/>
        </w:rPr>
        <w:t xml:space="preserve"> that they are required to build to a standard that can withstand cyclones</w:t>
      </w:r>
      <w:r w:rsidR="00024502" w:rsidRPr="005A22C2">
        <w:rPr>
          <w:lang w:eastAsia="en-AU"/>
        </w:rPr>
        <w:t xml:space="preserve"> (S</w:t>
      </w:r>
      <w:r w:rsidR="001B32F9" w:rsidRPr="005A22C2">
        <w:rPr>
          <w:lang w:eastAsia="en-AU"/>
        </w:rPr>
        <w:t>tandard</w:t>
      </w:r>
      <w:r w:rsidR="001B32F9" w:rsidRPr="005A22C2" w:rsidDel="00024502">
        <w:rPr>
          <w:lang w:eastAsia="en-AU"/>
        </w:rPr>
        <w:t xml:space="preserve"> </w:t>
      </w:r>
      <w:r w:rsidR="001B32F9" w:rsidRPr="005A22C2">
        <w:rPr>
          <w:lang w:eastAsia="en-AU"/>
        </w:rPr>
        <w:t>AS1170.2</w:t>
      </w:r>
      <w:r w:rsidR="00024502" w:rsidRPr="005A22C2">
        <w:rPr>
          <w:lang w:eastAsia="en-AU"/>
        </w:rPr>
        <w:t>)</w:t>
      </w:r>
      <w:r w:rsidR="001B32F9" w:rsidRPr="005A22C2">
        <w:rPr>
          <w:lang w:eastAsia="en-AU"/>
        </w:rPr>
        <w:t>.</w:t>
      </w:r>
      <w:r w:rsidRPr="005A22C2">
        <w:rPr>
          <w:lang w:eastAsia="en-AU"/>
        </w:rPr>
        <w:t xml:space="preserve"> One stakeholder in the Queensland Consultation Group estimated that climate-related enhancements, including the use of steel and stilts to elevate the property, had seen the cost of construction increase by about 45</w:t>
      </w:r>
      <w:r w:rsidR="00574303">
        <w:rPr>
          <w:lang w:eastAsia="en-AU"/>
        </w:rPr>
        <w:t>%</w:t>
      </w:r>
      <w:r w:rsidRPr="005A22C2">
        <w:rPr>
          <w:lang w:eastAsia="en-AU"/>
        </w:rPr>
        <w:t>. As such, it was recommended that the Location Factor for developments in cyclone and flood-prone regions be reviewed and upgraded to reflect the additional cost of construction.</w:t>
      </w:r>
    </w:p>
    <w:bookmarkEnd w:id="54"/>
    <w:p w14:paraId="58A93AEA" w14:textId="660AE81C" w:rsidR="00A47429" w:rsidRPr="005A22C2" w:rsidRDefault="000E4020" w:rsidP="006720A0">
      <w:r w:rsidRPr="005A22C2">
        <w:t xml:space="preserve">Difficulties developing in bushfire-prone regions were </w:t>
      </w:r>
      <w:r w:rsidR="009A0184" w:rsidRPr="005A22C2">
        <w:t>raised</w:t>
      </w:r>
      <w:r w:rsidRPr="005A22C2">
        <w:t xml:space="preserve"> in the Western Australia </w:t>
      </w:r>
      <w:r w:rsidR="00D84C52" w:rsidRPr="005A22C2">
        <w:t>Consultation Group</w:t>
      </w:r>
      <w:r w:rsidRPr="005A22C2">
        <w:t>, with one stakeholder noting that developers are required to embed a driveway capable of accepting a fire truck</w:t>
      </w:r>
      <w:r w:rsidR="00ED06E6" w:rsidRPr="005A22C2">
        <w:t xml:space="preserve"> and access pathways around the house</w:t>
      </w:r>
      <w:r w:rsidRPr="005A22C2" w:rsidDel="00ED06E6">
        <w:t>.</w:t>
      </w:r>
      <w:r w:rsidRPr="005A22C2">
        <w:t xml:space="preserve"> A stakeholder cited an example development where approximately 5</w:t>
      </w:r>
      <w:r w:rsidR="00574303">
        <w:t>%</w:t>
      </w:r>
      <w:r w:rsidRPr="005A22C2">
        <w:t xml:space="preserve"> of the land was in a designated bushfire zone, requiring the inclusion of a </w:t>
      </w:r>
      <w:r w:rsidR="006121E2" w:rsidRPr="005A22C2">
        <w:t xml:space="preserve">compliant </w:t>
      </w:r>
      <w:r w:rsidR="00665D49" w:rsidRPr="005A22C2">
        <w:t>driveway that was</w:t>
      </w:r>
      <w:r w:rsidR="006121E2" w:rsidRPr="005A22C2">
        <w:t xml:space="preserve"> expensive</w:t>
      </w:r>
      <w:r w:rsidR="00AB4944" w:rsidRPr="005A22C2">
        <w:t>,</w:t>
      </w:r>
      <w:r w:rsidR="006121E2" w:rsidRPr="005A22C2">
        <w:t xml:space="preserve"> ultimately</w:t>
      </w:r>
      <w:r w:rsidRPr="005A22C2">
        <w:t xml:space="preserve"> challenging the viability of the development.</w:t>
      </w:r>
    </w:p>
    <w:p w14:paraId="18EFC3F7" w14:textId="046959DE" w:rsidR="007229A1" w:rsidRPr="005A22C2" w:rsidRDefault="007229A1" w:rsidP="006720A0">
      <w:pPr>
        <w:pStyle w:val="Heading3"/>
      </w:pPr>
      <w:bookmarkStart w:id="77" w:name="_Toc122454210"/>
      <w:bookmarkStart w:id="78" w:name="_Toc122527505"/>
      <w:bookmarkStart w:id="79" w:name="_Toc129783549"/>
      <w:r w:rsidRPr="005A22C2">
        <w:t xml:space="preserve">Sustainable </w:t>
      </w:r>
      <w:r w:rsidR="000E0C5C" w:rsidRPr="005A22C2">
        <w:t>D</w:t>
      </w:r>
      <w:r w:rsidRPr="005A22C2">
        <w:t>evel</w:t>
      </w:r>
      <w:r w:rsidRPr="009E67C6">
        <w:t>opm</w:t>
      </w:r>
      <w:r w:rsidRPr="005A22C2">
        <w:t>ent</w:t>
      </w:r>
      <w:bookmarkEnd w:id="77"/>
      <w:r w:rsidR="00870349" w:rsidRPr="005A22C2">
        <w:t xml:space="preserve"> </w:t>
      </w:r>
      <w:r w:rsidR="000E0C5C" w:rsidRPr="005A22C2">
        <w:t>P</w:t>
      </w:r>
      <w:r w:rsidR="00870349" w:rsidRPr="005A22C2">
        <w:t>ractices</w:t>
      </w:r>
      <w:bookmarkEnd w:id="78"/>
      <w:bookmarkEnd w:id="79"/>
    </w:p>
    <w:p w14:paraId="60125122" w14:textId="77777777" w:rsidR="009F2A36" w:rsidRPr="005A22C2" w:rsidRDefault="00B2414D" w:rsidP="006720A0">
      <w:pPr>
        <w:rPr>
          <w:lang w:eastAsia="en-AU"/>
        </w:rPr>
      </w:pPr>
      <w:r w:rsidRPr="005A22C2">
        <w:rPr>
          <w:lang w:eastAsia="en-AU"/>
        </w:rPr>
        <w:t>Stakeholders indicated that the design</w:t>
      </w:r>
      <w:r w:rsidR="00272DAB" w:rsidRPr="005A22C2">
        <w:rPr>
          <w:lang w:eastAsia="en-AU"/>
        </w:rPr>
        <w:t xml:space="preserve"> and build decisions are being increasingly influenced by climactic and environmental factors</w:t>
      </w:r>
      <w:r w:rsidR="003D7465" w:rsidRPr="005A22C2">
        <w:rPr>
          <w:lang w:eastAsia="en-AU"/>
        </w:rPr>
        <w:t xml:space="preserve">, with </w:t>
      </w:r>
      <w:r w:rsidR="00CC0469" w:rsidRPr="005A22C2">
        <w:rPr>
          <w:lang w:eastAsia="en-AU"/>
        </w:rPr>
        <w:t>inclusions often going beyond the SDA Design Standard.</w:t>
      </w:r>
      <w:r w:rsidR="00BC3133" w:rsidRPr="005A22C2">
        <w:rPr>
          <w:lang w:eastAsia="en-AU"/>
        </w:rPr>
        <w:t xml:space="preserve"> </w:t>
      </w:r>
    </w:p>
    <w:p w14:paraId="58569397" w14:textId="77777777" w:rsidR="002627D3" w:rsidRPr="005A22C2" w:rsidRDefault="00CC0469" w:rsidP="006720A0">
      <w:pPr>
        <w:rPr>
          <w:lang w:eastAsia="en-AU"/>
        </w:rPr>
      </w:pPr>
      <w:r w:rsidRPr="005A22C2">
        <w:rPr>
          <w:lang w:eastAsia="en-AU"/>
        </w:rPr>
        <w:t>Stakeholders</w:t>
      </w:r>
      <w:r w:rsidR="00272DAB" w:rsidRPr="005A22C2">
        <w:rPr>
          <w:lang w:eastAsia="en-AU"/>
        </w:rPr>
        <w:t xml:space="preserve"> in the Queensland </w:t>
      </w:r>
      <w:r w:rsidR="00D84C52" w:rsidRPr="005A22C2">
        <w:rPr>
          <w:lang w:eastAsia="en-AU"/>
        </w:rPr>
        <w:t>Consultation Group</w:t>
      </w:r>
      <w:r w:rsidR="00272DAB" w:rsidRPr="005A22C2">
        <w:rPr>
          <w:lang w:eastAsia="en-AU"/>
        </w:rPr>
        <w:t xml:space="preserve"> </w:t>
      </w:r>
      <w:r w:rsidR="002627D3" w:rsidRPr="005A22C2">
        <w:rPr>
          <w:lang w:eastAsia="en-AU"/>
        </w:rPr>
        <w:t>reported</w:t>
      </w:r>
      <w:r w:rsidR="00272DAB" w:rsidRPr="005A22C2">
        <w:rPr>
          <w:lang w:eastAsia="en-AU"/>
        </w:rPr>
        <w:t xml:space="preserve"> that </w:t>
      </w:r>
      <w:r w:rsidR="00E66ACC" w:rsidRPr="005A22C2">
        <w:rPr>
          <w:lang w:eastAsia="en-AU"/>
        </w:rPr>
        <w:t>increasing temperature</w:t>
      </w:r>
      <w:r w:rsidR="00024502" w:rsidRPr="005A22C2">
        <w:rPr>
          <w:lang w:eastAsia="en-AU"/>
        </w:rPr>
        <w:t>s</w:t>
      </w:r>
      <w:r w:rsidR="00E66ACC" w:rsidRPr="005A22C2">
        <w:rPr>
          <w:lang w:eastAsia="en-AU"/>
        </w:rPr>
        <w:t xml:space="preserve"> (and number of warmer days)</w:t>
      </w:r>
      <w:r w:rsidR="00024502" w:rsidRPr="005A22C2">
        <w:rPr>
          <w:lang w:eastAsia="en-AU"/>
        </w:rPr>
        <w:t xml:space="preserve"> and higher energy prices</w:t>
      </w:r>
      <w:r w:rsidR="00E66ACC" w:rsidRPr="005A22C2">
        <w:rPr>
          <w:lang w:eastAsia="en-AU"/>
        </w:rPr>
        <w:t xml:space="preserve"> </w:t>
      </w:r>
      <w:r w:rsidR="00024502" w:rsidRPr="005A22C2">
        <w:rPr>
          <w:lang w:eastAsia="en-AU"/>
        </w:rPr>
        <w:t>are</w:t>
      </w:r>
      <w:r w:rsidR="00E66ACC" w:rsidRPr="005A22C2">
        <w:rPr>
          <w:lang w:eastAsia="en-AU"/>
        </w:rPr>
        <w:t xml:space="preserve"> adding additional strain on energy consumption</w:t>
      </w:r>
      <w:r w:rsidR="00E66ACC" w:rsidRPr="005A22C2" w:rsidDel="00024502">
        <w:rPr>
          <w:lang w:eastAsia="en-AU"/>
        </w:rPr>
        <w:t xml:space="preserve"> </w:t>
      </w:r>
      <w:r w:rsidR="00024502" w:rsidRPr="005A22C2">
        <w:rPr>
          <w:lang w:eastAsia="en-AU"/>
        </w:rPr>
        <w:t>and affordability for participants</w:t>
      </w:r>
      <w:r w:rsidR="00E66ACC" w:rsidRPr="005A22C2">
        <w:rPr>
          <w:lang w:eastAsia="en-AU"/>
        </w:rPr>
        <w:t xml:space="preserve">. </w:t>
      </w:r>
      <w:r w:rsidR="00C42216" w:rsidRPr="005A22C2">
        <w:rPr>
          <w:lang w:eastAsia="en-AU"/>
        </w:rPr>
        <w:t xml:space="preserve">For </w:t>
      </w:r>
      <w:r w:rsidR="00024502" w:rsidRPr="005A22C2">
        <w:rPr>
          <w:lang w:eastAsia="en-AU"/>
        </w:rPr>
        <w:t>example</w:t>
      </w:r>
      <w:r w:rsidR="00C42216" w:rsidRPr="005A22C2">
        <w:rPr>
          <w:lang w:eastAsia="en-AU"/>
        </w:rPr>
        <w:t xml:space="preserve">, one stakeholder </w:t>
      </w:r>
      <w:r w:rsidR="005361D4" w:rsidRPr="005A22C2">
        <w:rPr>
          <w:lang w:eastAsia="en-AU"/>
        </w:rPr>
        <w:t>stated</w:t>
      </w:r>
      <w:r w:rsidR="00C42216" w:rsidRPr="005A22C2">
        <w:rPr>
          <w:lang w:eastAsia="en-AU"/>
        </w:rPr>
        <w:t xml:space="preserve"> that they had installed additional solar panels to meet demand for energy arising from more frequent use of air conditioning systems, and reliance on electronic dryers given </w:t>
      </w:r>
      <w:r w:rsidR="00530D78" w:rsidRPr="005A22C2">
        <w:rPr>
          <w:lang w:eastAsia="en-AU"/>
        </w:rPr>
        <w:t xml:space="preserve">the inability to air-dry </w:t>
      </w:r>
      <w:r w:rsidR="0060067F" w:rsidRPr="005A22C2">
        <w:rPr>
          <w:lang w:eastAsia="en-AU"/>
        </w:rPr>
        <w:t>laundry</w:t>
      </w:r>
      <w:r w:rsidR="00530D78" w:rsidRPr="005A22C2">
        <w:rPr>
          <w:lang w:eastAsia="en-AU"/>
        </w:rPr>
        <w:t xml:space="preserve"> due to humid conditions.</w:t>
      </w:r>
      <w:r w:rsidR="002627D3" w:rsidRPr="005A22C2">
        <w:rPr>
          <w:lang w:eastAsia="en-AU"/>
        </w:rPr>
        <w:t xml:space="preserve"> </w:t>
      </w:r>
      <w:r w:rsidR="009B1199" w:rsidRPr="005A22C2">
        <w:rPr>
          <w:lang w:eastAsia="en-AU"/>
        </w:rPr>
        <w:t>S</w:t>
      </w:r>
      <w:r w:rsidR="00161922" w:rsidRPr="005A22C2">
        <w:rPr>
          <w:lang w:eastAsia="en-AU"/>
        </w:rPr>
        <w:t>takeholders in</w:t>
      </w:r>
      <w:r w:rsidR="0060067F" w:rsidRPr="005A22C2">
        <w:rPr>
          <w:lang w:eastAsia="en-AU"/>
        </w:rPr>
        <w:t xml:space="preserve"> the Queensland </w:t>
      </w:r>
      <w:r w:rsidR="00D84C52" w:rsidRPr="005A22C2">
        <w:rPr>
          <w:lang w:eastAsia="en-AU"/>
        </w:rPr>
        <w:t>Consultation Group</w:t>
      </w:r>
      <w:r w:rsidR="0060067F" w:rsidRPr="005A22C2">
        <w:rPr>
          <w:lang w:eastAsia="en-AU"/>
        </w:rPr>
        <w:t xml:space="preserve"> </w:t>
      </w:r>
      <w:r w:rsidR="002627D3" w:rsidRPr="005A22C2">
        <w:rPr>
          <w:lang w:eastAsia="en-AU"/>
        </w:rPr>
        <w:t>expressed concern</w:t>
      </w:r>
      <w:r w:rsidR="00EF0C2E" w:rsidRPr="005A22C2">
        <w:rPr>
          <w:lang w:eastAsia="en-AU"/>
        </w:rPr>
        <w:t xml:space="preserve"> that </w:t>
      </w:r>
      <w:r w:rsidR="001478E1" w:rsidRPr="005A22C2">
        <w:rPr>
          <w:lang w:eastAsia="en-AU"/>
        </w:rPr>
        <w:t>while</w:t>
      </w:r>
      <w:r w:rsidR="0060067F" w:rsidRPr="005A22C2">
        <w:rPr>
          <w:lang w:eastAsia="en-AU"/>
        </w:rPr>
        <w:t xml:space="preserve"> </w:t>
      </w:r>
      <w:r w:rsidR="00B22FAC" w:rsidRPr="005A22C2">
        <w:rPr>
          <w:lang w:eastAsia="en-AU"/>
        </w:rPr>
        <w:t xml:space="preserve">solar </w:t>
      </w:r>
      <w:r w:rsidR="00EF0C2E" w:rsidRPr="005A22C2">
        <w:rPr>
          <w:lang w:eastAsia="en-AU"/>
        </w:rPr>
        <w:t xml:space="preserve">energy </w:t>
      </w:r>
      <w:r w:rsidR="0060067F" w:rsidRPr="005A22C2">
        <w:rPr>
          <w:lang w:eastAsia="en-AU"/>
        </w:rPr>
        <w:t>may reduce</w:t>
      </w:r>
      <w:r w:rsidR="00B22FAC" w:rsidRPr="005A22C2">
        <w:rPr>
          <w:lang w:eastAsia="en-AU"/>
        </w:rPr>
        <w:t xml:space="preserve"> the cost of energy</w:t>
      </w:r>
      <w:r w:rsidR="00EF0C2E" w:rsidRPr="005A22C2">
        <w:rPr>
          <w:lang w:eastAsia="en-AU"/>
        </w:rPr>
        <w:t xml:space="preserve"> for participants</w:t>
      </w:r>
      <w:r w:rsidR="00B22FAC" w:rsidRPr="005A22C2">
        <w:rPr>
          <w:lang w:eastAsia="en-AU"/>
        </w:rPr>
        <w:t xml:space="preserve">, </w:t>
      </w:r>
      <w:r w:rsidR="0060067F" w:rsidRPr="005A22C2">
        <w:rPr>
          <w:lang w:eastAsia="en-AU"/>
        </w:rPr>
        <w:t>the cost of installing solar panels and batteries</w:t>
      </w:r>
      <w:r w:rsidR="00EF0C2E" w:rsidRPr="005A22C2">
        <w:rPr>
          <w:lang w:eastAsia="en-AU"/>
        </w:rPr>
        <w:t xml:space="preserve"> </w:t>
      </w:r>
      <w:r w:rsidR="00313CC7" w:rsidRPr="005A22C2">
        <w:rPr>
          <w:lang w:eastAsia="en-AU"/>
        </w:rPr>
        <w:t>is</w:t>
      </w:r>
      <w:r w:rsidR="00EF0C2E" w:rsidRPr="005A22C2">
        <w:rPr>
          <w:lang w:eastAsia="en-AU"/>
        </w:rPr>
        <w:t xml:space="preserve"> being incurred </w:t>
      </w:r>
      <w:r w:rsidR="00313CC7" w:rsidRPr="005A22C2">
        <w:rPr>
          <w:lang w:eastAsia="en-AU"/>
        </w:rPr>
        <w:t>during</w:t>
      </w:r>
      <w:r w:rsidR="00EF0C2E" w:rsidRPr="005A22C2">
        <w:rPr>
          <w:lang w:eastAsia="en-AU"/>
        </w:rPr>
        <w:t xml:space="preserve"> </w:t>
      </w:r>
      <w:proofErr w:type="gramStart"/>
      <w:r w:rsidR="00EF0C2E" w:rsidRPr="005A22C2">
        <w:rPr>
          <w:lang w:eastAsia="en-AU"/>
        </w:rPr>
        <w:t>construction</w:t>
      </w:r>
      <w:r w:rsidR="002627D3" w:rsidRPr="005A22C2">
        <w:rPr>
          <w:lang w:eastAsia="en-AU"/>
        </w:rPr>
        <w:t>, and</w:t>
      </w:r>
      <w:proofErr w:type="gramEnd"/>
      <w:r w:rsidR="002627D3" w:rsidRPr="005A22C2">
        <w:rPr>
          <w:lang w:eastAsia="en-AU"/>
        </w:rPr>
        <w:t xml:space="preserve"> is not recognised in the current SA prices</w:t>
      </w:r>
      <w:r w:rsidR="00EF0C2E" w:rsidRPr="005A22C2">
        <w:rPr>
          <w:lang w:eastAsia="en-AU"/>
        </w:rPr>
        <w:t>.</w:t>
      </w:r>
      <w:r w:rsidR="003E5E38" w:rsidRPr="005A22C2">
        <w:rPr>
          <w:lang w:eastAsia="en-AU"/>
        </w:rPr>
        <w:t xml:space="preserve"> </w:t>
      </w:r>
    </w:p>
    <w:p w14:paraId="7B2E4814" w14:textId="30D60848" w:rsidR="000D0233" w:rsidRPr="005A22C2" w:rsidRDefault="003E5E38" w:rsidP="006720A0">
      <w:pPr>
        <w:rPr>
          <w:lang w:eastAsia="en-AU"/>
        </w:rPr>
      </w:pPr>
      <w:r w:rsidRPr="005A22C2">
        <w:rPr>
          <w:lang w:eastAsia="en-AU"/>
        </w:rPr>
        <w:t>Additionally</w:t>
      </w:r>
      <w:r w:rsidRPr="00437F38">
        <w:rPr>
          <w:lang w:eastAsia="en-AU"/>
        </w:rPr>
        <w:t xml:space="preserve">, </w:t>
      </w:r>
      <w:proofErr w:type="spellStart"/>
      <w:r w:rsidRPr="00437F38">
        <w:rPr>
          <w:lang w:eastAsia="en-AU"/>
        </w:rPr>
        <w:t>PowerHousing</w:t>
      </w:r>
      <w:proofErr w:type="spellEnd"/>
      <w:r w:rsidRPr="00437F38">
        <w:rPr>
          <w:lang w:eastAsia="en-AU"/>
        </w:rPr>
        <w:t xml:space="preserve"> Australia</w:t>
      </w:r>
      <w:r w:rsidRPr="005A22C2">
        <w:rPr>
          <w:lang w:eastAsia="en-AU"/>
        </w:rPr>
        <w:t xml:space="preserve"> </w:t>
      </w:r>
      <w:r w:rsidR="00BC3133" w:rsidRPr="005A22C2">
        <w:rPr>
          <w:lang w:eastAsia="en-AU"/>
        </w:rPr>
        <w:t>stated</w:t>
      </w:r>
      <w:r w:rsidRPr="005A22C2">
        <w:rPr>
          <w:lang w:eastAsia="en-AU"/>
        </w:rPr>
        <w:t xml:space="preserve"> that recent updates to the </w:t>
      </w:r>
      <w:r w:rsidR="00BC3133" w:rsidRPr="005A22C2">
        <w:rPr>
          <w:lang w:eastAsia="en-AU"/>
        </w:rPr>
        <w:t>National Construction Code</w:t>
      </w:r>
      <w:r w:rsidRPr="005A22C2">
        <w:rPr>
          <w:lang w:eastAsia="en-AU"/>
        </w:rPr>
        <w:t xml:space="preserve"> </w:t>
      </w:r>
      <w:r w:rsidR="0059065E" w:rsidRPr="005A22C2">
        <w:rPr>
          <w:lang w:eastAsia="en-AU"/>
        </w:rPr>
        <w:t>requires</w:t>
      </w:r>
      <w:r w:rsidRPr="005A22C2">
        <w:rPr>
          <w:lang w:eastAsia="en-AU"/>
        </w:rPr>
        <w:t xml:space="preserve"> that all newly built </w:t>
      </w:r>
      <w:r w:rsidR="00576CB5" w:rsidRPr="005A22C2">
        <w:rPr>
          <w:lang w:eastAsia="en-AU"/>
        </w:rPr>
        <w:t>r</w:t>
      </w:r>
      <w:r w:rsidRPr="005A22C2">
        <w:rPr>
          <w:lang w:eastAsia="en-AU"/>
        </w:rPr>
        <w:t xml:space="preserve">esidential dwellings meet </w:t>
      </w:r>
      <w:r w:rsidR="000D0233" w:rsidRPr="005A22C2">
        <w:rPr>
          <w:lang w:eastAsia="en-AU"/>
        </w:rPr>
        <w:t>a</w:t>
      </w:r>
      <w:r w:rsidRPr="005A22C2">
        <w:rPr>
          <w:lang w:eastAsia="en-AU"/>
        </w:rPr>
        <w:t xml:space="preserve"> minimum energy efficiency rating of </w:t>
      </w:r>
      <w:r w:rsidR="0059065E" w:rsidRPr="005A22C2">
        <w:rPr>
          <w:lang w:eastAsia="en-AU"/>
        </w:rPr>
        <w:t>seven</w:t>
      </w:r>
      <w:r w:rsidRPr="005A22C2">
        <w:rPr>
          <w:lang w:eastAsia="en-AU"/>
        </w:rPr>
        <w:t xml:space="preserve"> stars</w:t>
      </w:r>
      <w:r w:rsidR="00E77C67" w:rsidRPr="005A22C2">
        <w:rPr>
          <w:lang w:eastAsia="en-AU"/>
        </w:rPr>
        <w:t xml:space="preserve"> under the Nationwide House Energy Rating Scheme</w:t>
      </w:r>
      <w:r w:rsidRPr="005A22C2">
        <w:rPr>
          <w:lang w:eastAsia="en-AU"/>
        </w:rPr>
        <w:t>.</w:t>
      </w:r>
      <w:r w:rsidR="00CA3939" w:rsidRPr="005A22C2">
        <w:rPr>
          <w:lang w:eastAsia="en-AU"/>
        </w:rPr>
        <w:t xml:space="preserve"> </w:t>
      </w:r>
      <w:r w:rsidR="00F87CA8">
        <w:rPr>
          <w:lang w:eastAsia="en-AU"/>
        </w:rPr>
        <w:t xml:space="preserve">A confidential submission </w:t>
      </w:r>
      <w:r w:rsidR="005361D4" w:rsidRPr="005A22C2">
        <w:rPr>
          <w:lang w:eastAsia="en-AU"/>
        </w:rPr>
        <w:t>stated</w:t>
      </w:r>
      <w:r w:rsidR="003B7179" w:rsidRPr="005A22C2">
        <w:rPr>
          <w:lang w:eastAsia="en-AU"/>
        </w:rPr>
        <w:t xml:space="preserve"> that </w:t>
      </w:r>
      <w:r w:rsidR="000D0233" w:rsidRPr="005A22C2">
        <w:rPr>
          <w:lang w:eastAsia="en-AU"/>
        </w:rPr>
        <w:t>the introduction of minimum energy efficiency standards in 2022 generated additional costs that is not captured by historical data. The submission indicated that the cost of meeting these new requirements was approximately $30,000 per dwelling.</w:t>
      </w:r>
    </w:p>
    <w:p w14:paraId="44207DC3" w14:textId="7F3F008B" w:rsidR="00C42216" w:rsidRPr="005A22C2" w:rsidRDefault="00E77C67" w:rsidP="006720A0">
      <w:pPr>
        <w:rPr>
          <w:vertAlign w:val="superscript"/>
          <w:lang w:eastAsia="en-AU"/>
        </w:rPr>
      </w:pPr>
      <w:r w:rsidRPr="005A22C2">
        <w:rPr>
          <w:lang w:eastAsia="en-AU"/>
        </w:rPr>
        <w:t xml:space="preserve">Several stakeholders in the SDA Builders and Developers </w:t>
      </w:r>
      <w:r w:rsidR="00D84C52" w:rsidRPr="005A22C2">
        <w:rPr>
          <w:lang w:eastAsia="en-AU"/>
        </w:rPr>
        <w:t>Consultation Group</w:t>
      </w:r>
      <w:r w:rsidRPr="005A22C2">
        <w:rPr>
          <w:lang w:eastAsia="en-AU"/>
        </w:rPr>
        <w:t xml:space="preserve"> </w:t>
      </w:r>
      <w:r w:rsidR="005361D4" w:rsidRPr="005A22C2">
        <w:rPr>
          <w:lang w:eastAsia="en-AU"/>
        </w:rPr>
        <w:t>stated</w:t>
      </w:r>
      <w:r w:rsidRPr="005A22C2">
        <w:rPr>
          <w:lang w:eastAsia="en-AU"/>
        </w:rPr>
        <w:t xml:space="preserve"> that they are adopting more sustainable, carbon-neutral build materials during </w:t>
      </w:r>
      <w:r w:rsidRPr="005A22C2">
        <w:rPr>
          <w:lang w:eastAsia="en-AU"/>
        </w:rPr>
        <w:lastRenderedPageBreak/>
        <w:t>construction; with some materials (including sustainable concrete and timber) often charged at a premium.</w:t>
      </w:r>
      <w:r w:rsidR="00934AD0" w:rsidRPr="005A22C2">
        <w:rPr>
          <w:lang w:eastAsia="en-AU"/>
        </w:rPr>
        <w:t xml:space="preserve"> </w:t>
      </w:r>
      <w:r w:rsidRPr="005A22C2">
        <w:rPr>
          <w:lang w:eastAsia="en-AU"/>
        </w:rPr>
        <w:t>Both the</w:t>
      </w:r>
      <w:r w:rsidR="0060067F" w:rsidRPr="005A22C2">
        <w:rPr>
          <w:lang w:eastAsia="en-AU"/>
        </w:rPr>
        <w:t xml:space="preserve"> </w:t>
      </w:r>
      <w:r w:rsidR="0059065E" w:rsidRPr="005A22C2">
        <w:rPr>
          <w:lang w:eastAsia="en-AU"/>
        </w:rPr>
        <w:t xml:space="preserve">Queensland </w:t>
      </w:r>
      <w:r w:rsidR="00D84C52" w:rsidRPr="005A22C2">
        <w:rPr>
          <w:lang w:eastAsia="en-AU"/>
        </w:rPr>
        <w:t>Consultation Group</w:t>
      </w:r>
      <w:r w:rsidR="0060067F" w:rsidRPr="005A22C2">
        <w:rPr>
          <w:lang w:eastAsia="en-AU"/>
        </w:rPr>
        <w:t xml:space="preserve"> </w:t>
      </w:r>
      <w:r w:rsidR="003E5E38" w:rsidRPr="00437F38">
        <w:rPr>
          <w:lang w:eastAsia="en-AU"/>
        </w:rPr>
        <w:t xml:space="preserve">and </w:t>
      </w:r>
      <w:proofErr w:type="spellStart"/>
      <w:r w:rsidR="003E5E38" w:rsidRPr="00437F38">
        <w:rPr>
          <w:lang w:eastAsia="en-AU"/>
        </w:rPr>
        <w:t>PowerHousing</w:t>
      </w:r>
      <w:proofErr w:type="spellEnd"/>
      <w:r w:rsidR="003E5E38" w:rsidRPr="005A22C2">
        <w:rPr>
          <w:lang w:eastAsia="en-AU"/>
        </w:rPr>
        <w:t xml:space="preserve"> </w:t>
      </w:r>
      <w:r w:rsidRPr="005A22C2">
        <w:rPr>
          <w:lang w:eastAsia="en-AU"/>
        </w:rPr>
        <w:t xml:space="preserve">Australia </w:t>
      </w:r>
      <w:r w:rsidR="00530D78" w:rsidRPr="005A22C2">
        <w:rPr>
          <w:lang w:eastAsia="en-AU"/>
        </w:rPr>
        <w:t xml:space="preserve">recommended that </w:t>
      </w:r>
      <w:r w:rsidRPr="005A22C2">
        <w:rPr>
          <w:lang w:eastAsia="en-AU"/>
        </w:rPr>
        <w:t>the</w:t>
      </w:r>
      <w:r w:rsidR="00BC3133" w:rsidRPr="005A22C2">
        <w:rPr>
          <w:lang w:eastAsia="en-AU"/>
        </w:rPr>
        <w:t xml:space="preserve"> pricing arrangements for SDA should be </w:t>
      </w:r>
      <w:r w:rsidRPr="005A22C2">
        <w:rPr>
          <w:lang w:eastAsia="en-AU"/>
        </w:rPr>
        <w:t xml:space="preserve">revised to </w:t>
      </w:r>
      <w:r w:rsidR="000E0C5C" w:rsidRPr="005A22C2">
        <w:rPr>
          <w:lang w:eastAsia="en-AU"/>
        </w:rPr>
        <w:t>consider</w:t>
      </w:r>
      <w:r w:rsidR="00530D78" w:rsidRPr="005A22C2">
        <w:rPr>
          <w:lang w:eastAsia="en-AU"/>
        </w:rPr>
        <w:t xml:space="preserve"> the additional cost</w:t>
      </w:r>
      <w:r w:rsidR="00C42216" w:rsidRPr="005A22C2">
        <w:rPr>
          <w:lang w:eastAsia="en-AU"/>
        </w:rPr>
        <w:t xml:space="preserve"> </w:t>
      </w:r>
      <w:r w:rsidR="00B22FAC" w:rsidRPr="005A22C2">
        <w:rPr>
          <w:lang w:eastAsia="en-AU"/>
        </w:rPr>
        <w:t>associated wit</w:t>
      </w:r>
      <w:r w:rsidR="008D638A" w:rsidRPr="005A22C2">
        <w:rPr>
          <w:lang w:eastAsia="en-AU"/>
        </w:rPr>
        <w:t>h</w:t>
      </w:r>
      <w:r w:rsidR="00B22FAC" w:rsidRPr="005A22C2">
        <w:rPr>
          <w:lang w:eastAsia="en-AU"/>
        </w:rPr>
        <w:t xml:space="preserve"> </w:t>
      </w:r>
      <w:r w:rsidR="0059065E" w:rsidRPr="005A22C2">
        <w:rPr>
          <w:lang w:eastAsia="en-AU"/>
        </w:rPr>
        <w:t xml:space="preserve">adopting more sustainable </w:t>
      </w:r>
      <w:r w:rsidR="002627D3" w:rsidRPr="005A22C2">
        <w:t>building materials</w:t>
      </w:r>
      <w:r w:rsidR="0059065E" w:rsidRPr="005A22C2">
        <w:rPr>
          <w:lang w:eastAsia="en-AU"/>
        </w:rPr>
        <w:t>,</w:t>
      </w:r>
      <w:r w:rsidR="00B22FAC" w:rsidRPr="005A22C2">
        <w:rPr>
          <w:lang w:eastAsia="en-AU"/>
        </w:rPr>
        <w:t xml:space="preserve"> solar panels and batteries.</w:t>
      </w:r>
    </w:p>
    <w:p w14:paraId="60F67EAC" w14:textId="77777777" w:rsidR="00A46B38" w:rsidRPr="005A22C2" w:rsidRDefault="00A46B38" w:rsidP="006720A0">
      <w:pPr>
        <w:pStyle w:val="Heading1"/>
        <w:sectPr w:rsidR="00A46B38" w:rsidRPr="005A22C2" w:rsidSect="00736B3B">
          <w:pgSz w:w="11906" w:h="16838" w:code="9"/>
          <w:pgMar w:top="1418" w:right="1418" w:bottom="1418" w:left="1418" w:header="709" w:footer="709" w:gutter="0"/>
          <w:cols w:space="708"/>
          <w:titlePg/>
          <w:docGrid w:linePitch="360"/>
        </w:sectPr>
      </w:pPr>
      <w:bookmarkStart w:id="80" w:name="_Ref122421767"/>
      <w:bookmarkStart w:id="81" w:name="_Toc126595097"/>
      <w:bookmarkStart w:id="82" w:name="_Toc129783550"/>
    </w:p>
    <w:p w14:paraId="5BBF68FE" w14:textId="7264E74C" w:rsidR="001F49F8" w:rsidRPr="009E67C6" w:rsidRDefault="001F49F8" w:rsidP="003B7CB6">
      <w:pPr>
        <w:pStyle w:val="Heading1"/>
        <w:rPr>
          <w:color w:val="6B2976"/>
        </w:rPr>
      </w:pPr>
      <w:bookmarkStart w:id="83" w:name="_Toc136006858"/>
      <w:r w:rsidRPr="009E67C6">
        <w:rPr>
          <w:color w:val="6B2976"/>
        </w:rPr>
        <w:lastRenderedPageBreak/>
        <w:t xml:space="preserve">Land </w:t>
      </w:r>
      <w:bookmarkEnd w:id="80"/>
      <w:r w:rsidR="00C87E1B" w:rsidRPr="009E67C6">
        <w:rPr>
          <w:color w:val="6B2976"/>
        </w:rPr>
        <w:t>C</w:t>
      </w:r>
      <w:r w:rsidRPr="009E67C6">
        <w:rPr>
          <w:color w:val="6B2976"/>
        </w:rPr>
        <w:t>osts</w:t>
      </w:r>
      <w:bookmarkEnd w:id="81"/>
      <w:bookmarkEnd w:id="82"/>
      <w:bookmarkEnd w:id="83"/>
    </w:p>
    <w:p w14:paraId="47E5B181" w14:textId="1E751D80" w:rsidR="00764536" w:rsidRPr="005A22C2" w:rsidRDefault="00764536" w:rsidP="006720A0">
      <w:r w:rsidRPr="005A22C2">
        <w:t xml:space="preserve">The </w:t>
      </w:r>
      <w:r w:rsidR="00C140AD" w:rsidRPr="005A22C2">
        <w:t>NDIA</w:t>
      </w:r>
      <w:r w:rsidRPr="005A22C2">
        <w:t xml:space="preserve"> received 19 written submissions </w:t>
      </w:r>
      <w:r w:rsidR="005858B3" w:rsidRPr="005A22C2">
        <w:t>that responded</w:t>
      </w:r>
      <w:r w:rsidRPr="005A22C2">
        <w:t xml:space="preserve"> to the following question</w:t>
      </w:r>
      <w:r w:rsidR="00F82B52" w:rsidRPr="005A22C2">
        <w:t>s</w:t>
      </w:r>
      <w:r w:rsidRPr="005A22C2">
        <w:t xml:space="preserve"> in the </w:t>
      </w:r>
      <w:r w:rsidRPr="005A22C2">
        <w:rPr>
          <w:i/>
          <w:iCs/>
        </w:rPr>
        <w:t>SDA Pricing Review Consultation Paper</w:t>
      </w:r>
      <w:r w:rsidRPr="005A22C2">
        <w:t>:</w:t>
      </w:r>
    </w:p>
    <w:p w14:paraId="43D08ACC" w14:textId="438AD46D" w:rsidR="00F82B52" w:rsidRPr="00AD5221" w:rsidRDefault="00F82B52" w:rsidP="00AD5221">
      <w:pPr>
        <w:pStyle w:val="Quote"/>
        <w:numPr>
          <w:ilvl w:val="0"/>
          <w:numId w:val="30"/>
        </w:numPr>
        <w:rPr>
          <w:i w:val="0"/>
          <w:iCs w:val="0"/>
        </w:rPr>
      </w:pPr>
      <w:r w:rsidRPr="00AD5221">
        <w:rPr>
          <w:i w:val="0"/>
          <w:iCs w:val="0"/>
        </w:rPr>
        <w:t>What land size and frontage are practically required to build SDA, in particular given SDA requirements around circulation spaces, minimum distances and other spatial requirements, or associated building implications, such as categorisation as a class 3 building requiring larger setbacks?</w:t>
      </w:r>
    </w:p>
    <w:p w14:paraId="32699478" w14:textId="7978C0E9" w:rsidR="00F82B52" w:rsidRPr="00AD5221" w:rsidRDefault="00F82B52" w:rsidP="00AD5221">
      <w:pPr>
        <w:pStyle w:val="Quote"/>
        <w:numPr>
          <w:ilvl w:val="0"/>
          <w:numId w:val="30"/>
        </w:numPr>
        <w:rPr>
          <w:i w:val="0"/>
          <w:iCs w:val="0"/>
        </w:rPr>
      </w:pPr>
      <w:r w:rsidRPr="00AD5221">
        <w:rPr>
          <w:i w:val="0"/>
          <w:iCs w:val="0"/>
        </w:rPr>
        <w:t>What does it cost to purchase undeveloped and vacant land in each of the 87 SA4 regions, where the land is valued based on its highest and best permitted use?</w:t>
      </w:r>
    </w:p>
    <w:p w14:paraId="177189B3" w14:textId="4C31FA5C" w:rsidR="00F82B52" w:rsidRPr="00AD5221" w:rsidRDefault="00F82B52" w:rsidP="00AD5221">
      <w:pPr>
        <w:pStyle w:val="Quote"/>
        <w:numPr>
          <w:ilvl w:val="0"/>
          <w:numId w:val="30"/>
        </w:numPr>
        <w:rPr>
          <w:i w:val="0"/>
          <w:iCs w:val="0"/>
        </w:rPr>
      </w:pPr>
      <w:r w:rsidRPr="00AD5221">
        <w:rPr>
          <w:i w:val="0"/>
          <w:iCs w:val="0"/>
        </w:rPr>
        <w:t>What is the expected future rate of growth in the cost per square metre of undeveloped and vacant land?</w:t>
      </w:r>
      <w:r w:rsidR="00A53FE7" w:rsidRPr="00AD5221">
        <w:rPr>
          <w:i w:val="0"/>
          <w:iCs w:val="0"/>
        </w:rPr>
        <w:t xml:space="preserve"> </w:t>
      </w:r>
      <w:r w:rsidRPr="00AD5221">
        <w:rPr>
          <w:i w:val="0"/>
          <w:iCs w:val="0"/>
        </w:rPr>
        <w:t>To what extent are different future growth rates likely to apply to different SA4 regions</w:t>
      </w:r>
      <w:r w:rsidR="009550B9" w:rsidRPr="00AD5221">
        <w:rPr>
          <w:i w:val="0"/>
          <w:iCs w:val="0"/>
        </w:rPr>
        <w:t>?</w:t>
      </w:r>
    </w:p>
    <w:p w14:paraId="79BC6427" w14:textId="43955E41" w:rsidR="00F82B52" w:rsidRPr="00AD5221" w:rsidRDefault="00F82B52" w:rsidP="00AD5221">
      <w:pPr>
        <w:pStyle w:val="Quote"/>
        <w:numPr>
          <w:ilvl w:val="0"/>
          <w:numId w:val="30"/>
        </w:numPr>
        <w:rPr>
          <w:i w:val="0"/>
          <w:iCs w:val="0"/>
        </w:rPr>
      </w:pPr>
      <w:r w:rsidRPr="00AD5221">
        <w:rPr>
          <w:i w:val="0"/>
          <w:iCs w:val="0"/>
        </w:rPr>
        <w:t>Is undeveloped/vacant land generally available in all locations, and if not in which locations is undeveloped/vacant land not generally available?</w:t>
      </w:r>
    </w:p>
    <w:p w14:paraId="51D78644" w14:textId="140B9772" w:rsidR="00764536" w:rsidRPr="00AD5221" w:rsidRDefault="00F82B52" w:rsidP="00AD5221">
      <w:pPr>
        <w:pStyle w:val="Quote"/>
        <w:numPr>
          <w:ilvl w:val="0"/>
          <w:numId w:val="30"/>
        </w:numPr>
        <w:rPr>
          <w:i w:val="0"/>
          <w:iCs w:val="0"/>
        </w:rPr>
      </w:pPr>
      <w:r w:rsidRPr="00AD5221">
        <w:rPr>
          <w:i w:val="0"/>
          <w:iCs w:val="0"/>
        </w:rPr>
        <w:t xml:space="preserve">What additional costs are incurred when land that is not undeveloped and vacant is purchased </w:t>
      </w:r>
      <w:proofErr w:type="gramStart"/>
      <w:r w:rsidRPr="00AD5221">
        <w:rPr>
          <w:i w:val="0"/>
          <w:iCs w:val="0"/>
        </w:rPr>
        <w:t>in order to</w:t>
      </w:r>
      <w:proofErr w:type="gramEnd"/>
      <w:r w:rsidRPr="00AD5221">
        <w:rPr>
          <w:i w:val="0"/>
          <w:iCs w:val="0"/>
        </w:rPr>
        <w:t xml:space="preserve"> build an SDA dwelling? How do these costs vary by SA4 region?</w:t>
      </w:r>
    </w:p>
    <w:p w14:paraId="09ED76FA" w14:textId="77777777" w:rsidR="00A47429" w:rsidRPr="005A22C2" w:rsidRDefault="00764536" w:rsidP="006720A0">
      <w:r w:rsidRPr="005A22C2">
        <w:t xml:space="preserve">Issues about </w:t>
      </w:r>
      <w:r w:rsidR="00F82B52" w:rsidRPr="005A22C2">
        <w:t>land</w:t>
      </w:r>
      <w:r w:rsidRPr="005A22C2">
        <w:t xml:space="preserve"> costs were also raised in most of the Consultation Groups, including at the New South Wales and Australian Capital Territory Consultation Group; the Victoria Consultation Group; the Queensland Consultation Group;</w:t>
      </w:r>
      <w:r w:rsidR="006452E4" w:rsidRPr="005A22C2">
        <w:t xml:space="preserve"> the South Australia and Northern Territory Consultation Group, the Western Australia Consultation Group;</w:t>
      </w:r>
      <w:r w:rsidRPr="005A22C2">
        <w:t xml:space="preserve"> the Tasmania Consultation Group; and the SDA Builders and Developers Consultation Group.</w:t>
      </w:r>
    </w:p>
    <w:p w14:paraId="5938556F" w14:textId="45AC9C1A" w:rsidR="00934AD0" w:rsidRPr="005A22C2" w:rsidRDefault="00934AD0" w:rsidP="006720A0">
      <w:pPr>
        <w:pStyle w:val="Heading2"/>
      </w:pPr>
      <w:bookmarkStart w:id="84" w:name="_Toc129783551"/>
      <w:bookmarkStart w:id="85" w:name="_Toc136006859"/>
      <w:bookmarkStart w:id="86" w:name="_Toc126595098"/>
      <w:r w:rsidRPr="005A22C2">
        <w:t xml:space="preserve">Land </w:t>
      </w:r>
      <w:r w:rsidR="009550B9" w:rsidRPr="005A22C2">
        <w:t>S</w:t>
      </w:r>
      <w:r w:rsidRPr="005A22C2">
        <w:t xml:space="preserve">ize and </w:t>
      </w:r>
      <w:r w:rsidR="009550B9" w:rsidRPr="005A22C2">
        <w:t>F</w:t>
      </w:r>
      <w:r w:rsidRPr="005A22C2">
        <w:t>rontage</w:t>
      </w:r>
      <w:bookmarkEnd w:id="84"/>
      <w:bookmarkEnd w:id="85"/>
    </w:p>
    <w:p w14:paraId="14D23523" w14:textId="77777777" w:rsidR="00A47429" w:rsidRPr="005A22C2" w:rsidRDefault="00934AD0" w:rsidP="006720A0">
      <w:r w:rsidRPr="005A22C2">
        <w:t>Stakeholders identified varying land size requirements and discussed the impact of increasing land costs on the way land is used.</w:t>
      </w:r>
    </w:p>
    <w:p w14:paraId="52E45093" w14:textId="75FA0D03" w:rsidR="009E78C7" w:rsidRPr="005A22C2" w:rsidRDefault="009E78C7" w:rsidP="006720A0">
      <w:pPr>
        <w:pStyle w:val="Heading3"/>
      </w:pPr>
      <w:bookmarkStart w:id="87" w:name="_Toc129783552"/>
      <w:r w:rsidRPr="005A22C2">
        <w:t>Land Size</w:t>
      </w:r>
      <w:bookmarkEnd w:id="87"/>
    </w:p>
    <w:p w14:paraId="0945A2EB" w14:textId="6943392C" w:rsidR="00A47429" w:rsidRPr="005A22C2" w:rsidRDefault="00934AD0" w:rsidP="006720A0">
      <w:pPr>
        <w:rPr>
          <w:i/>
        </w:rPr>
      </w:pPr>
      <w:r w:rsidRPr="005A22C2">
        <w:t xml:space="preserve">In its </w:t>
      </w:r>
      <w:r w:rsidRPr="00437F38">
        <w:t>submission, Bayley House stated</w:t>
      </w:r>
      <w:r w:rsidRPr="005A22C2">
        <w:t xml:space="preserve"> that it seeks land of 700</w:t>
      </w:r>
      <w:r w:rsidR="006554CD">
        <w:t xml:space="preserve"> metres squared (700</w:t>
      </w:r>
      <w:r w:rsidRPr="005A22C2">
        <w:t>m</w:t>
      </w:r>
      <w:r w:rsidRPr="005A22C2">
        <w:rPr>
          <w:vertAlign w:val="superscript"/>
        </w:rPr>
        <w:t>2</w:t>
      </w:r>
      <w:r w:rsidR="00190169">
        <w:t xml:space="preserve">) </w:t>
      </w:r>
      <w:r w:rsidR="006554CD">
        <w:t>t</w:t>
      </w:r>
      <w:r w:rsidRPr="005A22C2">
        <w:t xml:space="preserve">o develop two three-bedroom Improved </w:t>
      </w:r>
      <w:r w:rsidR="00200E98" w:rsidRPr="005A22C2">
        <w:t>Liveability</w:t>
      </w:r>
      <w:r w:rsidRPr="005A22C2">
        <w:t xml:space="preserve"> villas. A</w:t>
      </w:r>
      <w:r w:rsidRPr="005A22C2" w:rsidDel="00161922">
        <w:t xml:space="preserve"> </w:t>
      </w:r>
      <w:r w:rsidRPr="005A22C2">
        <w:t xml:space="preserve">stakeholder in the Queensland Consultation Group stated that the constrained supply of land in amenable, inner-urban locations had caused them to develop two two-bedroom villas </w:t>
      </w:r>
      <w:r w:rsidRPr="005A22C2">
        <w:lastRenderedPageBreak/>
        <w:t>on a 400m</w:t>
      </w:r>
      <w:r w:rsidRPr="005A22C2">
        <w:rPr>
          <w:vertAlign w:val="superscript"/>
        </w:rPr>
        <w:t>2</w:t>
      </w:r>
      <w:r w:rsidRPr="005A22C2">
        <w:t xml:space="preserve"> block. Members of the South Australian and Northern Territory Consultation Group cited 400m</w:t>
      </w:r>
      <w:r w:rsidRPr="005A22C2">
        <w:rPr>
          <w:vertAlign w:val="superscript"/>
        </w:rPr>
        <w:t>2</w:t>
      </w:r>
      <w:r w:rsidRPr="005A22C2">
        <w:t xml:space="preserve"> as the minimum land size required to build a three-bedroom house.</w:t>
      </w:r>
      <w:r w:rsidRPr="005A22C2" w:rsidDel="00867E2B">
        <w:t xml:space="preserve"> </w:t>
      </w:r>
      <w:r w:rsidRPr="005A22C2">
        <w:t>One member of that Consultation Group stated that they had successfully developed a four-bedroom Improved Liveability house on a 450m</w:t>
      </w:r>
      <w:r w:rsidRPr="005A22C2">
        <w:rPr>
          <w:vertAlign w:val="superscript"/>
        </w:rPr>
        <w:t xml:space="preserve">2 </w:t>
      </w:r>
      <w:r w:rsidRPr="005A22C2">
        <w:t>block. The stated that the house was consistent with the SDA Design Standard, and contained ensuites, adequate outdoor space and personal living quarters.</w:t>
      </w:r>
    </w:p>
    <w:p w14:paraId="19BEE384" w14:textId="77777777" w:rsidR="00AE2C3B" w:rsidRDefault="00934AD0" w:rsidP="006720A0">
      <w:pPr>
        <w:rPr>
          <w:color w:val="000000" w:themeColor="text1"/>
        </w:rPr>
      </w:pPr>
      <w:proofErr w:type="spellStart"/>
      <w:r w:rsidRPr="00C344C2">
        <w:t>BlueCHP</w:t>
      </w:r>
      <w:proofErr w:type="spellEnd"/>
      <w:r w:rsidRPr="00C344C2">
        <w:t xml:space="preserve"> suggested</w:t>
      </w:r>
      <w:r w:rsidRPr="005A22C2">
        <w:t xml:space="preserve"> that a two-bedroom </w:t>
      </w:r>
      <w:r w:rsidR="009E78C7" w:rsidRPr="005A22C2">
        <w:t>Fully Acc</w:t>
      </w:r>
      <w:r w:rsidR="00A46B38" w:rsidRPr="005A22C2">
        <w:t>e</w:t>
      </w:r>
      <w:r w:rsidR="009E78C7" w:rsidRPr="005A22C2">
        <w:t>ssible</w:t>
      </w:r>
      <w:r w:rsidRPr="005A22C2">
        <w:t xml:space="preserve"> house inclusive of </w:t>
      </w:r>
      <w:r w:rsidR="002D434A" w:rsidRPr="005A22C2">
        <w:t>Onsite Overnight Accommodation</w:t>
      </w:r>
      <w:r w:rsidRPr="005A22C2">
        <w:t xml:space="preserve"> requires 560m</w:t>
      </w:r>
      <w:r w:rsidRPr="005A22C2">
        <w:rPr>
          <w:vertAlign w:val="superscript"/>
        </w:rPr>
        <w:t>2</w:t>
      </w:r>
      <w:r w:rsidRPr="005A22C2">
        <w:t xml:space="preserve"> and </w:t>
      </w:r>
      <w:r w:rsidR="005361D4" w:rsidRPr="005A22C2">
        <w:t>stated</w:t>
      </w:r>
      <w:r w:rsidRPr="005A22C2">
        <w:t xml:space="preserve"> that identifying blocks of this size is challenging across </w:t>
      </w:r>
      <w:r w:rsidR="00AD29BC">
        <w:t xml:space="preserve">Metro (Inner City) </w:t>
      </w:r>
      <w:r w:rsidRPr="005A22C2">
        <w:t>Melbourne.</w:t>
      </w:r>
      <w:r w:rsidR="002A687D" w:rsidRPr="005A22C2">
        <w:t xml:space="preserve"> </w:t>
      </w:r>
      <w:r w:rsidR="0003790C" w:rsidRPr="005A22C2">
        <w:t>T</w:t>
      </w:r>
      <w:r w:rsidRPr="005A22C2">
        <w:t xml:space="preserve">he </w:t>
      </w:r>
      <w:r w:rsidRPr="00437F38">
        <w:rPr>
          <w:color w:val="000000" w:themeColor="text1"/>
        </w:rPr>
        <w:t>Endeavour Foundation indicated that a 650m</w:t>
      </w:r>
      <w:r w:rsidRPr="00437F38">
        <w:rPr>
          <w:color w:val="000000" w:themeColor="text1"/>
          <w:vertAlign w:val="superscript"/>
        </w:rPr>
        <w:t xml:space="preserve">2 </w:t>
      </w:r>
      <w:r w:rsidRPr="00437F38">
        <w:rPr>
          <w:color w:val="000000" w:themeColor="text1"/>
        </w:rPr>
        <w:t xml:space="preserve">block is suitable for a four-bedroom </w:t>
      </w:r>
      <w:r w:rsidR="009E78C7" w:rsidRPr="00437F38">
        <w:rPr>
          <w:color w:val="000000" w:themeColor="text1"/>
        </w:rPr>
        <w:t>Fully Accessible</w:t>
      </w:r>
      <w:r w:rsidRPr="00437F38">
        <w:rPr>
          <w:color w:val="000000" w:themeColor="text1"/>
        </w:rPr>
        <w:t xml:space="preserve"> house with </w:t>
      </w:r>
      <w:r w:rsidR="002D434A" w:rsidRPr="00437F38">
        <w:rPr>
          <w:color w:val="000000" w:themeColor="text1"/>
        </w:rPr>
        <w:t>Onsite Overnight Accommodation</w:t>
      </w:r>
      <w:r w:rsidRPr="00437F38">
        <w:rPr>
          <w:color w:val="000000" w:themeColor="text1"/>
        </w:rPr>
        <w:t xml:space="preserve"> in Southeast Queensland.</w:t>
      </w:r>
      <w:r w:rsidR="002A687D" w:rsidRPr="00437F38">
        <w:rPr>
          <w:color w:val="000000" w:themeColor="text1"/>
        </w:rPr>
        <w:t xml:space="preserve"> </w:t>
      </w:r>
    </w:p>
    <w:p w14:paraId="63791044" w14:textId="4CDA1D2C" w:rsidR="00447FF1" w:rsidRPr="00437F38" w:rsidRDefault="00934AD0" w:rsidP="006720A0">
      <w:pPr>
        <w:rPr>
          <w:color w:val="000000" w:themeColor="text1"/>
        </w:rPr>
      </w:pPr>
      <w:r w:rsidRPr="00437F38">
        <w:rPr>
          <w:color w:val="000000" w:themeColor="text1"/>
        </w:rPr>
        <w:t>NDISP reported that they seek blocks of 450m</w:t>
      </w:r>
      <w:r w:rsidRPr="00437F38">
        <w:rPr>
          <w:color w:val="000000" w:themeColor="text1"/>
          <w:vertAlign w:val="superscript"/>
        </w:rPr>
        <w:t xml:space="preserve">2 </w:t>
      </w:r>
      <w:r w:rsidRPr="00437F38">
        <w:rPr>
          <w:color w:val="000000" w:themeColor="text1"/>
        </w:rPr>
        <w:t xml:space="preserve">for a three-bedroom </w:t>
      </w:r>
      <w:r w:rsidR="009E78C7" w:rsidRPr="00437F38">
        <w:rPr>
          <w:color w:val="000000" w:themeColor="text1"/>
        </w:rPr>
        <w:t>Fully Accessible</w:t>
      </w:r>
      <w:r w:rsidRPr="00437F38">
        <w:rPr>
          <w:color w:val="000000" w:themeColor="text1"/>
        </w:rPr>
        <w:t xml:space="preserve"> house.</w:t>
      </w:r>
      <w:r w:rsidR="009E78C7" w:rsidRPr="00437F38">
        <w:rPr>
          <w:color w:val="000000" w:themeColor="text1"/>
        </w:rPr>
        <w:t xml:space="preserve"> </w:t>
      </w:r>
      <w:r w:rsidRPr="00437F38">
        <w:rPr>
          <w:color w:val="000000" w:themeColor="text1"/>
        </w:rPr>
        <w:t xml:space="preserve">NDISP </w:t>
      </w:r>
      <w:r w:rsidR="009E78C7" w:rsidRPr="00437F38">
        <w:rPr>
          <w:color w:val="000000" w:themeColor="text1"/>
        </w:rPr>
        <w:t xml:space="preserve">also </w:t>
      </w:r>
      <w:r w:rsidRPr="00437F38">
        <w:rPr>
          <w:color w:val="000000" w:themeColor="text1"/>
        </w:rPr>
        <w:t xml:space="preserve">expressed a preference for developing a complex containing four, two-bedroom </w:t>
      </w:r>
      <w:r w:rsidR="009E78C7" w:rsidRPr="00437F38">
        <w:rPr>
          <w:color w:val="000000" w:themeColor="text1"/>
        </w:rPr>
        <w:t>Fully Accessible</w:t>
      </w:r>
      <w:r w:rsidRPr="00437F38">
        <w:rPr>
          <w:color w:val="000000" w:themeColor="text1"/>
        </w:rPr>
        <w:t xml:space="preserve"> apartments on 800m</w:t>
      </w:r>
      <w:r w:rsidRPr="00437F38">
        <w:rPr>
          <w:color w:val="000000" w:themeColor="text1"/>
          <w:vertAlign w:val="superscript"/>
        </w:rPr>
        <w:t xml:space="preserve">2 </w:t>
      </w:r>
      <w:r w:rsidRPr="00437F38">
        <w:rPr>
          <w:color w:val="000000" w:themeColor="text1"/>
        </w:rPr>
        <w:t>blocks.</w:t>
      </w:r>
    </w:p>
    <w:p w14:paraId="02FD66E5" w14:textId="54DF2EC8" w:rsidR="00934AD0" w:rsidRPr="00437F38" w:rsidRDefault="00934AD0" w:rsidP="006720A0">
      <w:r w:rsidRPr="00437F38">
        <w:t>A stakeholder in the Victoria Consultation Group suggested that the most successful four-bedroom Robust SDA houses tend to be built on 1</w:t>
      </w:r>
      <w:r w:rsidR="003868D1" w:rsidRPr="00437F38">
        <w:t>,</w:t>
      </w:r>
      <w:r w:rsidRPr="00437F38">
        <w:t>000m2 blocks, where the impact of behaviours-of-concern on neighbours and provision of amenities can be contained on the site.</w:t>
      </w:r>
      <w:r w:rsidR="003A1B16" w:rsidRPr="00437F38">
        <w:t xml:space="preserve"> </w:t>
      </w:r>
      <w:r w:rsidRPr="00437F38">
        <w:t xml:space="preserve">A stakeholder in the New South Wales and Australian Capital Territory Consultation Group similarly agreed, noting that a Robust villa development on a 1,100m2 is usually comprised of three, one-bedroom </w:t>
      </w:r>
      <w:r w:rsidRPr="00437F38">
        <w:rPr>
          <w:color w:val="000000" w:themeColor="text1"/>
        </w:rPr>
        <w:t>and two, two-bedroom units. The</w:t>
      </w:r>
      <w:r w:rsidRPr="00437F38" w:rsidDel="00161922">
        <w:rPr>
          <w:color w:val="000000" w:themeColor="text1"/>
        </w:rPr>
        <w:t xml:space="preserve"> </w:t>
      </w:r>
      <w:r w:rsidRPr="00437F38">
        <w:rPr>
          <w:color w:val="000000" w:themeColor="text1"/>
        </w:rPr>
        <w:t>stakeholder suggested that this design profile facilitates better coordination of living supports, provides breakout areas and includes adequate parking for participants, visitors, carers and support workers.</w:t>
      </w:r>
      <w:r w:rsidR="002A687D" w:rsidRPr="00437F38">
        <w:rPr>
          <w:color w:val="000000" w:themeColor="text1"/>
        </w:rPr>
        <w:t xml:space="preserve"> </w:t>
      </w:r>
      <w:r w:rsidRPr="00437F38">
        <w:rPr>
          <w:color w:val="000000" w:themeColor="text1"/>
        </w:rPr>
        <w:t xml:space="preserve">Excelsior Housing Services </w:t>
      </w:r>
      <w:r w:rsidR="003A1B16" w:rsidRPr="00437F38">
        <w:rPr>
          <w:color w:val="000000" w:themeColor="text1"/>
        </w:rPr>
        <w:t>stated</w:t>
      </w:r>
      <w:r w:rsidRPr="00437F38">
        <w:rPr>
          <w:color w:val="000000" w:themeColor="text1"/>
        </w:rPr>
        <w:t xml:space="preserve"> that the minimum land size required for a four-bedroom Robust group home in Regional NSW is 640m</w:t>
      </w:r>
      <w:r w:rsidRPr="00437F38">
        <w:rPr>
          <w:color w:val="000000" w:themeColor="text1"/>
          <w:vertAlign w:val="superscript"/>
        </w:rPr>
        <w:t>2</w:t>
      </w:r>
      <w:r w:rsidRPr="00437F38">
        <w:rPr>
          <w:color w:val="000000" w:themeColor="text1"/>
        </w:rPr>
        <w:t>.</w:t>
      </w:r>
    </w:p>
    <w:p w14:paraId="35E9C23B" w14:textId="30DDB9A3" w:rsidR="009E78C7" w:rsidRPr="005A22C2" w:rsidRDefault="009E78C7" w:rsidP="006720A0">
      <w:r w:rsidRPr="00437F38">
        <w:t xml:space="preserve">A stakeholder in the New South Wales and Australian Capital Territory Consultation Group reported that a three-bedroom, </w:t>
      </w:r>
      <w:r w:rsidR="002D434A" w:rsidRPr="00437F38">
        <w:t>Onsite Overnight Accommodation</w:t>
      </w:r>
      <w:r w:rsidRPr="00437F38">
        <w:t xml:space="preserve"> </w:t>
      </w:r>
      <w:proofErr w:type="gramStart"/>
      <w:r w:rsidRPr="00437F38">
        <w:t>inclusive</w:t>
      </w:r>
      <w:proofErr w:type="gramEnd"/>
      <w:r w:rsidRPr="00437F38">
        <w:t xml:space="preserve"> High Physical Support home</w:t>
      </w:r>
      <w:r w:rsidR="00A73493" w:rsidRPr="00437F38">
        <w:t>,</w:t>
      </w:r>
      <w:r w:rsidRPr="00437F38">
        <w:t xml:space="preserve"> requires a minimum land size of 450m</w:t>
      </w:r>
      <w:r w:rsidRPr="00437F38">
        <w:rPr>
          <w:vertAlign w:val="superscript"/>
        </w:rPr>
        <w:t>2</w:t>
      </w:r>
      <w:r w:rsidRPr="00437F38">
        <w:t>.</w:t>
      </w:r>
      <w:r w:rsidR="002A687D" w:rsidRPr="00437F38">
        <w:t xml:space="preserve"> </w:t>
      </w:r>
      <w:r w:rsidRPr="00437F38">
        <w:t>NDISP indicated that a 600m</w:t>
      </w:r>
      <w:r w:rsidRPr="00437F38">
        <w:rPr>
          <w:vertAlign w:val="superscript"/>
        </w:rPr>
        <w:t xml:space="preserve">2 </w:t>
      </w:r>
      <w:r w:rsidRPr="00437F38">
        <w:t>block of land is adequate for a complex containing two two-bedroom High Physical Support villas.</w:t>
      </w:r>
    </w:p>
    <w:p w14:paraId="63CD201B" w14:textId="0E7B8847" w:rsidR="009E78C7" w:rsidRPr="005A22C2" w:rsidRDefault="009E78C7" w:rsidP="006720A0">
      <w:r w:rsidRPr="005A22C2">
        <w:t xml:space="preserve">A member of the Victoria Consultation Group observed that the minimum suitable size for a four-bedroom High Physical Support house with </w:t>
      </w:r>
      <w:r w:rsidR="002D434A" w:rsidRPr="005A22C2">
        <w:t>Onsite Overnight Accommodation</w:t>
      </w:r>
      <w:r w:rsidRPr="005A22C2">
        <w:t xml:space="preserve"> was approximately 650m</w:t>
      </w:r>
      <w:r w:rsidRPr="005A22C2">
        <w:rPr>
          <w:vertAlign w:val="superscript"/>
        </w:rPr>
        <w:t>2</w:t>
      </w:r>
      <w:r w:rsidRPr="005A22C2">
        <w:t>. Members of the Western Australia Consultation Group similarly stated that a 1200m</w:t>
      </w:r>
      <w:r w:rsidRPr="005A22C2">
        <w:rPr>
          <w:vertAlign w:val="superscript"/>
        </w:rPr>
        <w:t xml:space="preserve">2 </w:t>
      </w:r>
      <w:r w:rsidRPr="005A22C2">
        <w:t>block of land was appropriate for two three-bedroom High Physical Support houses, with one stakeholder noting that this configuration provides “</w:t>
      </w:r>
      <w:r w:rsidRPr="00EC1251">
        <w:t xml:space="preserve">efficient scale for </w:t>
      </w:r>
      <w:r w:rsidR="005A22C2" w:rsidRPr="00EC1251">
        <w:t>Supported Independent Living</w:t>
      </w:r>
      <w:r w:rsidRPr="00EC1251">
        <w:t xml:space="preserve"> supports</w:t>
      </w:r>
      <w:r w:rsidRPr="005A22C2">
        <w:t>”. Another stakeholder in the Consultation Group suggested that blocks between 1</w:t>
      </w:r>
      <w:r w:rsidR="003868D1">
        <w:t>,</w:t>
      </w:r>
      <w:r w:rsidRPr="005A22C2">
        <w:t>000</w:t>
      </w:r>
      <w:r w:rsidR="00B00151" w:rsidRPr="005A22C2">
        <w:t>m</w:t>
      </w:r>
      <w:r w:rsidR="00B00151" w:rsidRPr="005A22C2">
        <w:rPr>
          <w:vertAlign w:val="superscript"/>
        </w:rPr>
        <w:t>2</w:t>
      </w:r>
      <w:r w:rsidR="00574A4F">
        <w:t xml:space="preserve"> to </w:t>
      </w:r>
      <w:r w:rsidRPr="005A22C2">
        <w:t>1</w:t>
      </w:r>
      <w:r w:rsidR="003868D1">
        <w:t>,</w:t>
      </w:r>
      <w:r w:rsidRPr="005A22C2">
        <w:t>200m</w:t>
      </w:r>
      <w:r w:rsidRPr="005A22C2">
        <w:rPr>
          <w:vertAlign w:val="superscript"/>
        </w:rPr>
        <w:t xml:space="preserve">2 </w:t>
      </w:r>
      <w:r w:rsidRPr="005A22C2">
        <w:t>are only available in newer suburbs south of the Perth CBD.</w:t>
      </w:r>
    </w:p>
    <w:p w14:paraId="7B331185" w14:textId="7156C6EE" w:rsidR="00934AD0" w:rsidRPr="005A22C2" w:rsidRDefault="00934AD0" w:rsidP="006720A0">
      <w:r w:rsidRPr="005A22C2">
        <w:t>One stakeholder in the Tasmania Consultation Group pointed to the development of nine SDA units on a former 5</w:t>
      </w:r>
      <w:r w:rsidR="003868D1">
        <w:t>,</w:t>
      </w:r>
      <w:r w:rsidRPr="005A22C2">
        <w:t>000m</w:t>
      </w:r>
      <w:r w:rsidRPr="005A22C2">
        <w:rPr>
          <w:vertAlign w:val="superscript"/>
        </w:rPr>
        <w:t xml:space="preserve">2 </w:t>
      </w:r>
      <w:r w:rsidRPr="005A22C2">
        <w:t xml:space="preserve">lawn bowls site in inner-Launceston, highlighting the opportunity to embed new SDA properties within established communities as part </w:t>
      </w:r>
      <w:r w:rsidRPr="005A22C2">
        <w:lastRenderedPageBreak/>
        <w:t xml:space="preserve">of broader urban rejuvenation and precinct renewal programs. This development was also unique in that it contained a mix of categories, with five, two-bedroom units and four, three-bedroom units. Of these, seven were enrolled as HPS and two were </w:t>
      </w:r>
      <w:r w:rsidR="003A1B16" w:rsidRPr="005A22C2">
        <w:t>Improved Liveability</w:t>
      </w:r>
      <w:r w:rsidRPr="005A22C2">
        <w:t xml:space="preserve">. Another stakeholder suggested that they were generally building three Robust units on blocks ranging </w:t>
      </w:r>
      <w:r w:rsidR="00592F54" w:rsidRPr="005A22C2">
        <w:t xml:space="preserve">from </w:t>
      </w:r>
      <w:r w:rsidRPr="005A22C2">
        <w:t>1</w:t>
      </w:r>
      <w:r w:rsidR="003868D1">
        <w:t>,</w:t>
      </w:r>
      <w:r w:rsidRPr="005A22C2">
        <w:t>000</w:t>
      </w:r>
      <w:r w:rsidR="00592F54" w:rsidRPr="005A22C2">
        <w:t xml:space="preserve"> m</w:t>
      </w:r>
      <w:r w:rsidR="00592F54" w:rsidRPr="005A22C2">
        <w:rPr>
          <w:vertAlign w:val="superscript"/>
        </w:rPr>
        <w:t>2</w:t>
      </w:r>
      <w:r w:rsidR="00592F54" w:rsidRPr="005A22C2">
        <w:t xml:space="preserve"> to 1</w:t>
      </w:r>
      <w:r w:rsidR="003868D1">
        <w:t>,</w:t>
      </w:r>
      <w:r w:rsidRPr="005A22C2">
        <w:t>500m</w:t>
      </w:r>
      <w:r w:rsidRPr="005A22C2">
        <w:rPr>
          <w:vertAlign w:val="superscript"/>
        </w:rPr>
        <w:t>2</w:t>
      </w:r>
      <w:r w:rsidRPr="005A22C2">
        <w:t xml:space="preserve">, but </w:t>
      </w:r>
      <w:r w:rsidR="005361D4" w:rsidRPr="005A22C2">
        <w:t>stated</w:t>
      </w:r>
      <w:r w:rsidRPr="005A22C2">
        <w:t xml:space="preserve"> difficulty identifying suitable land in Hobart.</w:t>
      </w:r>
    </w:p>
    <w:p w14:paraId="71340D81" w14:textId="69ACA4C0" w:rsidR="00934AD0" w:rsidRPr="005A22C2" w:rsidRDefault="00934AD0" w:rsidP="006720A0">
      <w:r w:rsidRPr="005A22C2">
        <w:t xml:space="preserve">A stakeholder based in the Northern Territory </w:t>
      </w:r>
      <w:r w:rsidR="005361D4" w:rsidRPr="005A22C2">
        <w:t>stated</w:t>
      </w:r>
      <w:r w:rsidRPr="005A22C2">
        <w:t xml:space="preserve"> the recent emergence of contemporary configurations where living spaces had been transitioned from communal spaces to being embedded in the participant’s room.</w:t>
      </w:r>
    </w:p>
    <w:p w14:paraId="027B38B9" w14:textId="77777777" w:rsidR="00934AD0" w:rsidRPr="005A22C2" w:rsidRDefault="00934AD0" w:rsidP="006720A0">
      <w:pPr>
        <w:pStyle w:val="Heading3"/>
      </w:pPr>
      <w:bookmarkStart w:id="88" w:name="_Toc122454215"/>
      <w:bookmarkStart w:id="89" w:name="_Toc122527510"/>
      <w:bookmarkStart w:id="90" w:name="_Toc129783553"/>
      <w:r w:rsidRPr="005A22C2">
        <w:t>Frontage</w:t>
      </w:r>
      <w:bookmarkEnd w:id="88"/>
      <w:bookmarkEnd w:id="89"/>
      <w:bookmarkEnd w:id="90"/>
    </w:p>
    <w:p w14:paraId="2EF4F460" w14:textId="48B83BA1" w:rsidR="009E78C7" w:rsidRPr="005A22C2" w:rsidRDefault="00934AD0" w:rsidP="006720A0">
      <w:r w:rsidRPr="005A22C2">
        <w:t>Stakeholders across the Consultation Groups and written submissions indicated that the ideal land frontage for SDA ranges between 10m</w:t>
      </w:r>
      <w:r w:rsidRPr="005A22C2">
        <w:rPr>
          <w:vertAlign w:val="superscript"/>
        </w:rPr>
        <w:t xml:space="preserve">2 </w:t>
      </w:r>
      <w:r w:rsidRPr="005A22C2">
        <w:t>and</w:t>
      </w:r>
      <w:r w:rsidRPr="005A22C2">
        <w:rPr>
          <w:vertAlign w:val="superscript"/>
        </w:rPr>
        <w:t xml:space="preserve"> </w:t>
      </w:r>
      <w:proofErr w:type="gramStart"/>
      <w:r w:rsidRPr="005A22C2">
        <w:t>20m</w:t>
      </w:r>
      <w:r w:rsidRPr="005A22C2">
        <w:rPr>
          <w:vertAlign w:val="superscript"/>
        </w:rPr>
        <w:t>2</w:t>
      </w:r>
      <w:r w:rsidRPr="005A22C2">
        <w:t>, but</w:t>
      </w:r>
      <w:proofErr w:type="gramEnd"/>
      <w:r w:rsidRPr="005A22C2">
        <w:t xml:space="preserve"> varied by location and SDA design category.</w:t>
      </w:r>
      <w:r w:rsidR="009E78C7" w:rsidRPr="005A22C2">
        <w:t xml:space="preserve"> </w:t>
      </w:r>
      <w:r w:rsidRPr="005A22C2">
        <w:t>The SDA Builders and Developers Consultation Group suggested that a</w:t>
      </w:r>
      <w:r w:rsidR="00F32F53" w:rsidRPr="005A22C2">
        <w:t xml:space="preserve">n Improved Liveability dwelling that complied with the </w:t>
      </w:r>
      <w:r w:rsidR="006E70B1" w:rsidRPr="005A22C2">
        <w:t>National Construction Code</w:t>
      </w:r>
      <w:r w:rsidRPr="005A22C2">
        <w:t xml:space="preserve"> Class 3 </w:t>
      </w:r>
      <w:r w:rsidR="00F32F53" w:rsidRPr="005A22C2">
        <w:t xml:space="preserve">standard </w:t>
      </w:r>
      <w:r w:rsidRPr="005A22C2">
        <w:t>requires a minimum frontage of 14-metres.</w:t>
      </w:r>
      <w:r w:rsidR="009E78C7" w:rsidRPr="005A22C2">
        <w:t xml:space="preserve"> </w:t>
      </w:r>
      <w:r w:rsidRPr="005A22C2">
        <w:t>The Tasmania Consultation Group suggested that the most optimal frontage for a Robust SDA house was 18 metres, accommodating adequate evacuation pathways and minimising the need for special approvals.</w:t>
      </w:r>
    </w:p>
    <w:p w14:paraId="2433460D" w14:textId="77777777" w:rsidR="00A47429" w:rsidRPr="005A22C2" w:rsidRDefault="00934AD0" w:rsidP="006720A0">
      <w:r w:rsidRPr="005A22C2">
        <w:t>Stakeholders in the New South Wales and Australian Capital Territory</w:t>
      </w:r>
      <w:r w:rsidRPr="005A22C2" w:rsidDel="0091391A">
        <w:t xml:space="preserve"> </w:t>
      </w:r>
      <w:r w:rsidRPr="005A22C2">
        <w:t xml:space="preserve">Consultation Group </w:t>
      </w:r>
      <w:r w:rsidR="009E78C7" w:rsidRPr="005A22C2">
        <w:t>stated that they expected that</w:t>
      </w:r>
      <w:r w:rsidRPr="005A22C2">
        <w:t xml:space="preserve"> the minimum frontage for SDA will increase over time to accommodate the larger footprint of SDA that meets changing participant needs. The</w:t>
      </w:r>
      <w:r w:rsidR="009E78C7" w:rsidRPr="005A22C2">
        <w:t xml:space="preserve">y </w:t>
      </w:r>
      <w:r w:rsidR="005361D4" w:rsidRPr="005A22C2">
        <w:t>stated</w:t>
      </w:r>
      <w:r w:rsidRPr="005A22C2">
        <w:t xml:space="preserve"> that additional features like ensuites, outdoor spaces and adequate garaging facilities are land intensive, and therefore driving developments closer to the boundary of the block.</w:t>
      </w:r>
    </w:p>
    <w:p w14:paraId="5B492736" w14:textId="3B84A0E6" w:rsidR="00934AD0" w:rsidRPr="005A22C2" w:rsidRDefault="00F87CA8" w:rsidP="006720A0">
      <w:r>
        <w:t xml:space="preserve">One confidential submission </w:t>
      </w:r>
      <w:r w:rsidR="009E78C7" w:rsidRPr="005A22C2">
        <w:t xml:space="preserve">expressed concern that providers would be able to meet this demand by participants as </w:t>
      </w:r>
      <w:r w:rsidR="00934AD0" w:rsidRPr="005A22C2">
        <w:t>there is limited land lots with more than 14-metres of frontage in established suburbs.</w:t>
      </w:r>
      <w:r w:rsidR="009E78C7" w:rsidRPr="005A22C2">
        <w:t xml:space="preserve"> </w:t>
      </w:r>
      <w:r w:rsidR="00934AD0" w:rsidRPr="005A22C2">
        <w:t xml:space="preserve">Stakeholders across the Consultation Groups echoed this concern and </w:t>
      </w:r>
      <w:r w:rsidR="005361D4" w:rsidRPr="005A22C2">
        <w:t>stated</w:t>
      </w:r>
      <w:r w:rsidR="00934AD0" w:rsidRPr="005A22C2">
        <w:t xml:space="preserve"> that suitable land is only available on the urban fringe of Sydney, Melbourne, Brisbane, Hobart and Perth.</w:t>
      </w:r>
    </w:p>
    <w:p w14:paraId="06841819" w14:textId="789748BA" w:rsidR="009E78C7" w:rsidRPr="005A22C2" w:rsidRDefault="009E78C7" w:rsidP="006720A0">
      <w:pPr>
        <w:pStyle w:val="Heading3"/>
      </w:pPr>
      <w:bookmarkStart w:id="91" w:name="_Toc129783554"/>
      <w:r w:rsidRPr="005A22C2">
        <w:t xml:space="preserve">Other </w:t>
      </w:r>
      <w:r w:rsidR="009550B9" w:rsidRPr="005A22C2">
        <w:t>C</w:t>
      </w:r>
      <w:r w:rsidR="000E0C5C" w:rsidRPr="005A22C2">
        <w:t>onside</w:t>
      </w:r>
      <w:r w:rsidRPr="005A22C2">
        <w:t>rations</w:t>
      </w:r>
      <w:bookmarkEnd w:id="91"/>
    </w:p>
    <w:p w14:paraId="30F961BB" w14:textId="77777777" w:rsidR="00A47429" w:rsidRPr="005A22C2" w:rsidRDefault="009E78C7" w:rsidP="006720A0">
      <w:r w:rsidRPr="005A22C2">
        <w:t xml:space="preserve">Stakeholders emphasised that the size and shape of land is material to the design and feasibility of future SDA. Stakeholders </w:t>
      </w:r>
      <w:r w:rsidR="005361D4" w:rsidRPr="005A22C2">
        <w:t>stated</w:t>
      </w:r>
      <w:r w:rsidRPr="005A22C2">
        <w:t xml:space="preserve"> that the shape of the land and frontage enables them to construct standardised build-</w:t>
      </w:r>
      <w:proofErr w:type="gramStart"/>
      <w:r w:rsidRPr="005A22C2">
        <w:t>designs, and</w:t>
      </w:r>
      <w:proofErr w:type="gramEnd"/>
      <w:r w:rsidRPr="005A22C2">
        <w:t xml:space="preserve"> reduce the risk of incurring additional costs associated with amending the design of an SDA to fit an irregularly sized block.</w:t>
      </w:r>
    </w:p>
    <w:p w14:paraId="21F9E0A7" w14:textId="5F4D3BBB" w:rsidR="00A47429" w:rsidRPr="005A22C2" w:rsidRDefault="009E78C7" w:rsidP="006720A0">
      <w:pPr>
        <w:rPr>
          <w:iCs/>
        </w:rPr>
      </w:pPr>
      <w:r w:rsidRPr="005A22C2">
        <w:t xml:space="preserve">Stakeholders in the Western Australia Consultation Group expressed a preference for developing on a corner block, as </w:t>
      </w:r>
      <w:r w:rsidRPr="005A22C2">
        <w:rPr>
          <w:i/>
        </w:rPr>
        <w:t>“</w:t>
      </w:r>
      <w:r w:rsidRPr="00EC1251">
        <w:rPr>
          <w:iCs/>
        </w:rPr>
        <w:t>the space can be used well to create two very separate houses</w:t>
      </w:r>
      <w:r w:rsidRPr="005A22C2">
        <w:rPr>
          <w:i/>
        </w:rPr>
        <w:t xml:space="preserve">.” </w:t>
      </w:r>
      <w:r w:rsidRPr="00437F38">
        <w:rPr>
          <w:iCs/>
        </w:rPr>
        <w:t>However,</w:t>
      </w:r>
      <w:r w:rsidR="002A687D" w:rsidRPr="00437F38">
        <w:rPr>
          <w:iCs/>
        </w:rPr>
        <w:t xml:space="preserve"> </w:t>
      </w:r>
      <w:r w:rsidR="00A46B38" w:rsidRPr="00437F38">
        <w:rPr>
          <w:iCs/>
        </w:rPr>
        <w:t xml:space="preserve">the </w:t>
      </w:r>
      <w:r w:rsidRPr="00437F38">
        <w:rPr>
          <w:iCs/>
        </w:rPr>
        <w:t xml:space="preserve">Endeavour Foundation </w:t>
      </w:r>
      <w:r w:rsidR="00A46B38" w:rsidRPr="00437F38">
        <w:rPr>
          <w:iCs/>
        </w:rPr>
        <w:t>raised</w:t>
      </w:r>
      <w:r w:rsidR="00A46B38" w:rsidRPr="005A22C2">
        <w:rPr>
          <w:iCs/>
        </w:rPr>
        <w:t xml:space="preserve"> a concern</w:t>
      </w:r>
      <w:r w:rsidRPr="005A22C2">
        <w:rPr>
          <w:iCs/>
        </w:rPr>
        <w:t xml:space="preserve"> that development on a corner block may impose a second setback on the edge of the block and reduce the envelope to build on.</w:t>
      </w:r>
    </w:p>
    <w:p w14:paraId="6D623704" w14:textId="6955FD97" w:rsidR="009E78C7" w:rsidRPr="005A22C2" w:rsidRDefault="00AE1D2D" w:rsidP="006720A0">
      <w:r>
        <w:lastRenderedPageBreak/>
        <w:t xml:space="preserve">An individual stakeholder </w:t>
      </w:r>
      <w:r w:rsidR="009E78C7" w:rsidRPr="005A22C2">
        <w:t xml:space="preserve">compared land use requirements between standard residential housing and SDA. </w:t>
      </w:r>
      <w:r w:rsidR="00A46B38" w:rsidRPr="005A22C2">
        <w:t>It observed</w:t>
      </w:r>
      <w:r w:rsidR="009E78C7" w:rsidRPr="005A22C2">
        <w:t xml:space="preserve"> that the development of multi-story SDA house and villa types was not possible without the inclusion of a lift, </w:t>
      </w:r>
      <w:r w:rsidR="00A46B38" w:rsidRPr="005A22C2">
        <w:t>and</w:t>
      </w:r>
      <w:r w:rsidR="009E78C7" w:rsidRPr="005A22C2">
        <w:t xml:space="preserve"> that additional bedrooms, ensuite and </w:t>
      </w:r>
      <w:r w:rsidR="002D434A" w:rsidRPr="005A22C2">
        <w:t>Onsite Overnight Accommodation</w:t>
      </w:r>
      <w:r w:rsidR="009E78C7" w:rsidRPr="005A22C2">
        <w:t xml:space="preserve"> space for a </w:t>
      </w:r>
      <w:r w:rsidR="00A46B38" w:rsidRPr="005A22C2">
        <w:t>High Physical Support</w:t>
      </w:r>
      <w:r w:rsidR="009E78C7" w:rsidRPr="005A22C2">
        <w:t xml:space="preserve"> site often requir</w:t>
      </w:r>
      <w:r w:rsidR="00A46B38" w:rsidRPr="005A22C2">
        <w:t>ed</w:t>
      </w:r>
      <w:r w:rsidR="009E78C7" w:rsidRPr="005A22C2">
        <w:t xml:space="preserve"> a block that is approximately 300m</w:t>
      </w:r>
      <w:r w:rsidR="009E78C7" w:rsidRPr="005A22C2">
        <w:rPr>
          <w:vertAlign w:val="superscript"/>
        </w:rPr>
        <w:t xml:space="preserve">2 </w:t>
      </w:r>
      <w:r w:rsidR="009E78C7" w:rsidRPr="005A22C2">
        <w:t>larger than needed for a multi-story traditional house.</w:t>
      </w:r>
    </w:p>
    <w:p w14:paraId="662C9AD5" w14:textId="77777777" w:rsidR="003F0F84" w:rsidRDefault="009E78C7" w:rsidP="006720A0">
      <w:r w:rsidRPr="005A22C2">
        <w:t xml:space="preserve">While stakeholders in the Queensland Consultation Group acknowledged that development of villa-accommodation on comparatively smaller sites may increase the density of the site, </w:t>
      </w:r>
      <w:r w:rsidR="00A46B38" w:rsidRPr="005A22C2">
        <w:t xml:space="preserve">they argued that </w:t>
      </w:r>
      <w:r w:rsidRPr="005A22C2">
        <w:t>villa-developments encourage greater choice for participants and control over who they live with.</w:t>
      </w:r>
      <w:r w:rsidR="00A46B38" w:rsidRPr="005A22C2">
        <w:rPr>
          <w:rFonts w:eastAsia="Times New Roman" w:cs="Arial"/>
          <w:color w:val="FF0000"/>
          <w:szCs w:val="22"/>
          <w:lang w:eastAsia="en-AU"/>
        </w:rPr>
        <w:t xml:space="preserve"> </w:t>
      </w:r>
      <w:r w:rsidRPr="005A22C2">
        <w:t xml:space="preserve">A stakeholder in the Queensland Consultation Group, based in Cairns, cited an example of one developer buying house and land packages to build 15 </w:t>
      </w:r>
      <w:r w:rsidR="00A46B38" w:rsidRPr="005A22C2">
        <w:t>High Physical Support</w:t>
      </w:r>
      <w:r w:rsidRPr="005A22C2">
        <w:t xml:space="preserve"> SDA in the one street, which they believed was not in the interests of the Agency nor participants and would impact on quality of life.</w:t>
      </w:r>
    </w:p>
    <w:p w14:paraId="5A04E2D3" w14:textId="576C05F0" w:rsidR="00A47429" w:rsidRPr="005A22C2" w:rsidRDefault="009E78C7" w:rsidP="006720A0">
      <w:r w:rsidRPr="005A22C2">
        <w:t>Multiple submissions stated that</w:t>
      </w:r>
      <w:r w:rsidR="006E70B1" w:rsidRPr="005A22C2">
        <w:t xml:space="preserve"> National Construction Code</w:t>
      </w:r>
      <w:r w:rsidRPr="005A22C2">
        <w:t xml:space="preserve"> Class 3 requires larger land sizes to meet the additional </w:t>
      </w:r>
      <w:r w:rsidRPr="00702ADE">
        <w:t>requirements.</w:t>
      </w:r>
      <w:r w:rsidR="002A687D" w:rsidRPr="00702ADE">
        <w:t xml:space="preserve"> </w:t>
      </w:r>
      <w:r w:rsidRPr="00702ADE">
        <w:t xml:space="preserve">Barwon Investment Partners </w:t>
      </w:r>
      <w:r w:rsidR="005F707D" w:rsidRPr="00702ADE">
        <w:t>was</w:t>
      </w:r>
      <w:r w:rsidR="005F707D" w:rsidRPr="005A22C2">
        <w:t xml:space="preserve"> concerned that the current SDA pricing arrangements </w:t>
      </w:r>
      <w:r w:rsidRPr="005A22C2">
        <w:t>failed to account for the increased land size provisions for</w:t>
      </w:r>
      <w:r w:rsidR="006E70B1" w:rsidRPr="005A22C2">
        <w:t xml:space="preserve"> National Construction Code</w:t>
      </w:r>
      <w:r w:rsidRPr="005A22C2">
        <w:t xml:space="preserve"> Class 3 </w:t>
      </w:r>
      <w:r w:rsidR="005F707D" w:rsidRPr="005A22C2">
        <w:t xml:space="preserve">Buildings, noting that the Code </w:t>
      </w:r>
      <w:r w:rsidRPr="005A22C2">
        <w:t>requires additional land to enable</w:t>
      </w:r>
      <w:r w:rsidR="005F707D" w:rsidRPr="005A22C2">
        <w:t xml:space="preserve"> </w:t>
      </w:r>
      <w:r w:rsidRPr="005A22C2">
        <w:t>separation in shared residency contexts to reduce the institutional like setting</w:t>
      </w:r>
      <w:r w:rsidR="005F707D" w:rsidRPr="005A22C2">
        <w:t xml:space="preserve"> </w:t>
      </w:r>
      <w:r w:rsidRPr="005A22C2">
        <w:t>and improve the liveability of the property.</w:t>
      </w:r>
    </w:p>
    <w:p w14:paraId="4E695767" w14:textId="273A3CD4" w:rsidR="009E78C7" w:rsidRPr="005A22C2" w:rsidRDefault="00F87CA8" w:rsidP="006720A0">
      <w:r>
        <w:t xml:space="preserve">A confidential submission </w:t>
      </w:r>
      <w:r w:rsidR="005F707D" w:rsidRPr="005A22C2">
        <w:t xml:space="preserve">was also concerned with the </w:t>
      </w:r>
      <w:r w:rsidR="009E78C7" w:rsidRPr="005A22C2">
        <w:t xml:space="preserve">provisions </w:t>
      </w:r>
      <w:r w:rsidR="005F707D" w:rsidRPr="005A22C2">
        <w:t xml:space="preserve">in the National Construction Code </w:t>
      </w:r>
      <w:r w:rsidR="009E78C7" w:rsidRPr="005A22C2">
        <w:t>regarding the width of parking spaces, with land for SDA needing to be adequately sized to enable inclusion of a double garage that complies with the 4.8 metre width specified under Australian Standards for Disability.</w:t>
      </w:r>
    </w:p>
    <w:p w14:paraId="3A4AE60E" w14:textId="03F5B8A0" w:rsidR="009E78C7" w:rsidRPr="005A22C2" w:rsidRDefault="009E78C7" w:rsidP="006720A0">
      <w:r w:rsidRPr="005A22C2">
        <w:t xml:space="preserve">Multiple submissions acknowledged the fire hazards provisions </w:t>
      </w:r>
      <w:r w:rsidR="005F707D" w:rsidRPr="005A22C2">
        <w:t>required in the</w:t>
      </w:r>
      <w:r w:rsidR="006E70B1" w:rsidRPr="005A22C2">
        <w:t xml:space="preserve"> National Construction Code</w:t>
      </w:r>
      <w:r w:rsidRPr="005A22C2">
        <w:t xml:space="preserve"> </w:t>
      </w:r>
      <w:r w:rsidR="005F707D" w:rsidRPr="005A22C2">
        <w:t xml:space="preserve">for </w:t>
      </w:r>
      <w:r w:rsidRPr="005A22C2">
        <w:t xml:space="preserve">Class 3 </w:t>
      </w:r>
      <w:r w:rsidR="005F707D" w:rsidRPr="005A22C2">
        <w:t>buildings would have an</w:t>
      </w:r>
      <w:r w:rsidRPr="005A22C2">
        <w:t xml:space="preserve"> impact on land size and use.</w:t>
      </w:r>
      <w:r w:rsidR="002A687D" w:rsidRPr="005A22C2">
        <w:t xml:space="preserve"> </w:t>
      </w:r>
      <w:r w:rsidR="00F87CA8">
        <w:t xml:space="preserve">A confidential submission </w:t>
      </w:r>
      <w:r w:rsidRPr="005A22C2">
        <w:t>indicated that a</w:t>
      </w:r>
      <w:r w:rsidR="006E70B1" w:rsidRPr="005A22C2">
        <w:t xml:space="preserve"> National Construction Code</w:t>
      </w:r>
      <w:r w:rsidRPr="005A22C2">
        <w:t xml:space="preserve"> Class 3 SDA house or villa requires a 1.5 metres side and rear setback from a fire source featur</w:t>
      </w:r>
      <w:r w:rsidR="00E03136" w:rsidRPr="005A22C2">
        <w:rPr>
          <w:rFonts w:cs="Arial"/>
          <w:szCs w:val="22"/>
        </w:rPr>
        <w:t>e.</w:t>
      </w:r>
      <w:r w:rsidR="002A687D" w:rsidRPr="005A22C2">
        <w:rPr>
          <w:i/>
          <w:iCs/>
        </w:rPr>
        <w:t xml:space="preserve"> </w:t>
      </w:r>
      <w:proofErr w:type="spellStart"/>
      <w:r w:rsidRPr="00C344C2">
        <w:t>BlueCHP</w:t>
      </w:r>
      <w:proofErr w:type="spellEnd"/>
      <w:r w:rsidRPr="00C344C2">
        <w:t xml:space="preserve"> argued</w:t>
      </w:r>
      <w:r w:rsidRPr="005A22C2">
        <w:t xml:space="preserve"> that the site setback is dependent on land cost and boundary length, which in turn reduces the building envelope and increases the land value per square metre.</w:t>
      </w:r>
    </w:p>
    <w:p w14:paraId="2B94B152" w14:textId="33EEAA0F" w:rsidR="001F49F8" w:rsidRPr="005A22C2" w:rsidRDefault="001F49F8" w:rsidP="006720A0">
      <w:pPr>
        <w:pStyle w:val="Heading2"/>
      </w:pPr>
      <w:bookmarkStart w:id="92" w:name="_Toc129783556"/>
      <w:bookmarkStart w:id="93" w:name="_Toc136006860"/>
      <w:r w:rsidRPr="005A22C2">
        <w:t xml:space="preserve">Land </w:t>
      </w:r>
      <w:r w:rsidR="009550B9" w:rsidRPr="005A22C2">
        <w:t>C</w:t>
      </w:r>
      <w:r w:rsidRPr="005A22C2">
        <w:t>osts</w:t>
      </w:r>
      <w:bookmarkEnd w:id="86"/>
      <w:bookmarkEnd w:id="92"/>
      <w:bookmarkEnd w:id="93"/>
    </w:p>
    <w:p w14:paraId="2A22C0CA" w14:textId="575E7059" w:rsidR="00746767" w:rsidRPr="005A22C2" w:rsidRDefault="001F49F8" w:rsidP="006720A0">
      <w:r w:rsidRPr="005A22C2">
        <w:t xml:space="preserve">Stakeholders across the </w:t>
      </w:r>
      <w:r w:rsidR="00D84C52" w:rsidRPr="005A22C2">
        <w:t>Consultation Group</w:t>
      </w:r>
      <w:r w:rsidRPr="005A22C2">
        <w:t>s and written submissions stated that the cost of land has increased over the last three years, with increases observed across both metropolitan and regional areas of Australia as well as for greenfield and brownfield sites.</w:t>
      </w:r>
      <w:r w:rsidR="00B7518D" w:rsidRPr="005A22C2">
        <w:t xml:space="preserve"> </w:t>
      </w:r>
      <w:r w:rsidR="006452E4" w:rsidRPr="005A22C2">
        <w:t xml:space="preserve">They indicated that, </w:t>
      </w:r>
      <w:proofErr w:type="gramStart"/>
      <w:r w:rsidR="006452E4" w:rsidRPr="005A22C2">
        <w:t>as a result of</w:t>
      </w:r>
      <w:proofErr w:type="gramEnd"/>
      <w:r w:rsidR="006452E4" w:rsidRPr="005A22C2">
        <w:t xml:space="preserve"> these increases, the </w:t>
      </w:r>
      <w:r w:rsidRPr="005A22C2">
        <w:t xml:space="preserve">land cost assumptions </w:t>
      </w:r>
      <w:r w:rsidR="006452E4" w:rsidRPr="005A22C2">
        <w:t>that underpin the current pricing arrangements for SDA were</w:t>
      </w:r>
      <w:r w:rsidRPr="005A22C2">
        <w:t xml:space="preserve"> no longer appropriate and need</w:t>
      </w:r>
      <w:r w:rsidR="006452E4" w:rsidRPr="005A22C2">
        <w:t>ed</w:t>
      </w:r>
      <w:r w:rsidRPr="005A22C2">
        <w:t xml:space="preserve"> to be reviewed to better align with the current cost of land.</w:t>
      </w:r>
    </w:p>
    <w:p w14:paraId="7D140277" w14:textId="457119E6" w:rsidR="003F0F84" w:rsidRPr="00702ADE" w:rsidRDefault="00F82B52" w:rsidP="006720A0">
      <w:r w:rsidRPr="005A22C2">
        <w:t>A member of the</w:t>
      </w:r>
      <w:r w:rsidR="00820B7B" w:rsidRPr="005A22C2">
        <w:t xml:space="preserve"> New South Wales and Australian Capital Territory </w:t>
      </w:r>
      <w:r w:rsidR="00D84C52" w:rsidRPr="005A22C2">
        <w:t>Consultation Group</w:t>
      </w:r>
      <w:r w:rsidR="00820B7B" w:rsidRPr="005A22C2">
        <w:t xml:space="preserve"> stated that the price of suitable greenfield land has, on average, increased by </w:t>
      </w:r>
      <w:r w:rsidR="00820B7B" w:rsidRPr="005A22C2">
        <w:lastRenderedPageBreak/>
        <w:t>approximately 40</w:t>
      </w:r>
      <w:r w:rsidR="00574303">
        <w:t>%</w:t>
      </w:r>
      <w:r w:rsidR="00820B7B" w:rsidRPr="005A22C2">
        <w:t>-60</w:t>
      </w:r>
      <w:r w:rsidR="00574303">
        <w:t>%</w:t>
      </w:r>
      <w:r w:rsidR="00820B7B" w:rsidRPr="005A22C2">
        <w:t xml:space="preserve"> since early 2022. </w:t>
      </w:r>
      <w:r w:rsidRPr="005A22C2">
        <w:t xml:space="preserve">Similar </w:t>
      </w:r>
      <w:r w:rsidRPr="00702ADE">
        <w:t xml:space="preserve">statements were made in </w:t>
      </w:r>
      <w:proofErr w:type="gramStart"/>
      <w:r w:rsidRPr="00702ADE">
        <w:t>a number of</w:t>
      </w:r>
      <w:proofErr w:type="gramEnd"/>
      <w:r w:rsidRPr="00702ADE">
        <w:t xml:space="preserve"> submissions</w:t>
      </w:r>
      <w:r w:rsidR="0085281F" w:rsidRPr="00702ADE">
        <w:t xml:space="preserve"> </w:t>
      </w:r>
      <w:r w:rsidR="00B140A8" w:rsidRPr="00702ADE">
        <w:t xml:space="preserve">in response to </w:t>
      </w:r>
      <w:r w:rsidR="0085281F" w:rsidRPr="00702ADE">
        <w:t>the</w:t>
      </w:r>
      <w:r w:rsidR="00B140A8" w:rsidRPr="00702ADE">
        <w:t xml:space="preserve"> </w:t>
      </w:r>
      <w:r w:rsidR="0085281F" w:rsidRPr="00702ADE">
        <w:t>consultation paper.</w:t>
      </w:r>
      <w:r w:rsidR="002A687D" w:rsidRPr="00702ADE">
        <w:t xml:space="preserve"> </w:t>
      </w:r>
      <w:r w:rsidRPr="00702ADE">
        <w:t>Power</w:t>
      </w:r>
      <w:r w:rsidR="00F65C30" w:rsidRPr="00702ADE">
        <w:t xml:space="preserve"> </w:t>
      </w:r>
      <w:r w:rsidRPr="00702ADE">
        <w:t>Housing Australia, for example, state that real land prices per square-metre had increased fivefold</w:t>
      </w:r>
      <w:r w:rsidRPr="00702ADE">
        <w:rPr>
          <w:i/>
          <w:iCs/>
        </w:rPr>
        <w:t xml:space="preserve"> </w:t>
      </w:r>
      <w:r w:rsidRPr="00702ADE">
        <w:t>over the six years between 2016 and 2022.</w:t>
      </w:r>
    </w:p>
    <w:p w14:paraId="77B94FEA" w14:textId="15BFCD7A" w:rsidR="00F82B52" w:rsidRPr="005A22C2" w:rsidRDefault="001478E1" w:rsidP="006720A0">
      <w:r w:rsidRPr="00702ADE">
        <w:t>While</w:t>
      </w:r>
      <w:r w:rsidR="00820B7B" w:rsidRPr="00702ADE">
        <w:t xml:space="preserve"> stakeholders acknowledged that land values in regional communities have a lower base, </w:t>
      </w:r>
      <w:r w:rsidR="00F82B52" w:rsidRPr="00702ADE">
        <w:t xml:space="preserve">they also argued </w:t>
      </w:r>
      <w:r w:rsidR="00820B7B" w:rsidRPr="00702ADE">
        <w:t>that the cost of land in regional areas has increased at a similar rate to metropolitan areas.</w:t>
      </w:r>
      <w:r w:rsidR="00F82B52" w:rsidRPr="00702ADE">
        <w:t xml:space="preserve"> </w:t>
      </w:r>
      <w:r w:rsidR="00CC3953" w:rsidRPr="00702ADE">
        <w:t>Data included in</w:t>
      </w:r>
      <w:r w:rsidR="002A687D" w:rsidRPr="00702ADE">
        <w:t xml:space="preserve"> </w:t>
      </w:r>
      <w:r w:rsidR="00CC3953" w:rsidRPr="00702ADE">
        <w:t>Barwon Investment Partners suggested that</w:t>
      </w:r>
      <w:r w:rsidR="00F65C30" w:rsidRPr="00702ADE">
        <w:t xml:space="preserve"> “</w:t>
      </w:r>
      <w:r w:rsidR="00CC3953" w:rsidRPr="00702ADE">
        <w:t>land rates are at least 3</w:t>
      </w:r>
      <w:r w:rsidR="00591E22" w:rsidRPr="00702ADE">
        <w:t xml:space="preserve"> - </w:t>
      </w:r>
      <w:r w:rsidR="00CC3953" w:rsidRPr="00702ADE">
        <w:t>4</w:t>
      </w:r>
      <w:r w:rsidR="00F82B52" w:rsidRPr="00702ADE">
        <w:t xml:space="preserve"> times</w:t>
      </w:r>
      <w:r w:rsidR="00CC3953" w:rsidRPr="00702ADE">
        <w:t xml:space="preserve"> that being assumed </w:t>
      </w:r>
      <w:r w:rsidR="00431D53" w:rsidRPr="00702ADE">
        <w:t>[</w:t>
      </w:r>
      <w:r w:rsidR="00F82B52" w:rsidRPr="00702ADE">
        <w:t>in the current SDA pricing methodology</w:t>
      </w:r>
      <w:r w:rsidR="00431D53" w:rsidRPr="00702ADE">
        <w:t>]</w:t>
      </w:r>
      <w:r w:rsidR="00CC3953" w:rsidRPr="00702ADE">
        <w:t xml:space="preserve"> in the Central Coast of NSW</w:t>
      </w:r>
      <w:r w:rsidR="00F65C30" w:rsidRPr="00702ADE">
        <w:t>”.</w:t>
      </w:r>
    </w:p>
    <w:p w14:paraId="780C3AAB" w14:textId="77777777" w:rsidR="00A47429" w:rsidRPr="005A22C2" w:rsidRDefault="00CC3953" w:rsidP="006720A0">
      <w:r w:rsidRPr="005A22C2">
        <w:t>A</w:t>
      </w:r>
      <w:r w:rsidR="00820B7B" w:rsidRPr="005A22C2">
        <w:t xml:space="preserve"> stakeholder in the New South Wales and Australian Capital Territory </w:t>
      </w:r>
      <w:r w:rsidR="00D84C52" w:rsidRPr="005A22C2">
        <w:t>Consultation Group</w:t>
      </w:r>
      <w:r w:rsidR="00820B7B" w:rsidRPr="005A22C2">
        <w:t xml:space="preserve"> cited an example of land with development approval</w:t>
      </w:r>
      <w:r w:rsidR="00820B7B" w:rsidRPr="005A22C2" w:rsidDel="00D23524">
        <w:t xml:space="preserve"> </w:t>
      </w:r>
      <w:r w:rsidR="00820B7B" w:rsidRPr="005A22C2">
        <w:t xml:space="preserve">in Coffs Harbour (NSW) </w:t>
      </w:r>
      <w:r w:rsidR="00F65C30" w:rsidRPr="005A22C2">
        <w:t xml:space="preserve">that had been </w:t>
      </w:r>
      <w:r w:rsidR="00820B7B" w:rsidRPr="005A22C2">
        <w:t>sold for</w:t>
      </w:r>
      <w:r w:rsidR="00820B7B" w:rsidRPr="005A22C2" w:rsidDel="009541EC">
        <w:t xml:space="preserve"> </w:t>
      </w:r>
      <w:r w:rsidR="00820B7B" w:rsidRPr="005A22C2">
        <w:t>$560,000 in 2022 after being valued at $280,000 in 2020.</w:t>
      </w:r>
    </w:p>
    <w:p w14:paraId="337C2985" w14:textId="63DCA114" w:rsidR="00A47429" w:rsidRPr="005A22C2" w:rsidRDefault="00F87CA8" w:rsidP="006720A0">
      <w:r>
        <w:t xml:space="preserve">A confidential submission </w:t>
      </w:r>
      <w:r w:rsidR="00F65C30" w:rsidRPr="005A22C2">
        <w:t>stated</w:t>
      </w:r>
      <w:r w:rsidR="0021716C" w:rsidRPr="005A22C2">
        <w:t xml:space="preserve"> </w:t>
      </w:r>
      <w:r w:rsidR="00D12F0C" w:rsidRPr="005A22C2">
        <w:t xml:space="preserve">that the price of land in </w:t>
      </w:r>
      <w:r w:rsidR="008029DF" w:rsidRPr="005A22C2">
        <w:t xml:space="preserve">greenfield master planned communities </w:t>
      </w:r>
      <w:r w:rsidR="00431D53" w:rsidRPr="005A22C2">
        <w:t>in the</w:t>
      </w:r>
      <w:r w:rsidR="00D12F0C" w:rsidRPr="005A22C2">
        <w:t xml:space="preserve"> Melbourne </w:t>
      </w:r>
      <w:r w:rsidR="0023321C" w:rsidRPr="005A22C2">
        <w:t>Southeast</w:t>
      </w:r>
      <w:r w:rsidR="00D12F0C" w:rsidRPr="005A22C2">
        <w:t xml:space="preserve"> S</w:t>
      </w:r>
      <w:r w:rsidR="00185369" w:rsidRPr="005A22C2">
        <w:t xml:space="preserve">tatistical Area Level </w:t>
      </w:r>
      <w:r w:rsidR="00D12F0C" w:rsidRPr="005A22C2">
        <w:t xml:space="preserve">4 </w:t>
      </w:r>
      <w:r w:rsidR="00185369" w:rsidRPr="005A22C2">
        <w:t>(</w:t>
      </w:r>
      <w:r w:rsidR="00D12F0C" w:rsidRPr="005A22C2">
        <w:t>SA4</w:t>
      </w:r>
      <w:r w:rsidR="00185369" w:rsidRPr="005A22C2">
        <w:t>)</w:t>
      </w:r>
      <w:r w:rsidR="00D12F0C" w:rsidRPr="005A22C2">
        <w:t xml:space="preserve"> region had </w:t>
      </w:r>
      <w:r w:rsidR="008029DF" w:rsidRPr="005A22C2">
        <w:t>risen to $1,3</w:t>
      </w:r>
      <w:r w:rsidR="00310D8F" w:rsidRPr="005A22C2">
        <w:t>66.07</w:t>
      </w:r>
      <w:r w:rsidR="00857C4B" w:rsidRPr="005A22C2">
        <w:t>/m</w:t>
      </w:r>
      <w:r w:rsidR="00857C4B" w:rsidRPr="005A22C2">
        <w:rPr>
          <w:vertAlign w:val="superscript"/>
        </w:rPr>
        <w:t>2</w:t>
      </w:r>
      <w:r w:rsidR="00310D8F" w:rsidRPr="005A22C2">
        <w:t xml:space="preserve"> in the six years since 2016. T</w:t>
      </w:r>
      <w:r w:rsidR="00F65C30" w:rsidRPr="005A22C2">
        <w:t>hey argued that this</w:t>
      </w:r>
      <w:r w:rsidR="00310D8F" w:rsidRPr="005A22C2">
        <w:t xml:space="preserve"> </w:t>
      </w:r>
      <w:r w:rsidR="00F65C30" w:rsidRPr="005A22C2">
        <w:t>equates to</w:t>
      </w:r>
      <w:r w:rsidR="00310D8F" w:rsidRPr="005A22C2">
        <w:t xml:space="preserve"> a </w:t>
      </w:r>
      <w:r w:rsidR="00857C4B" w:rsidRPr="005A22C2">
        <w:t>difference of $920.89</w:t>
      </w:r>
      <w:r w:rsidR="00F65C30" w:rsidRPr="005A22C2">
        <w:t>/m</w:t>
      </w:r>
      <w:r w:rsidR="00F65C30" w:rsidRPr="005A22C2">
        <w:rPr>
          <w:vertAlign w:val="superscript"/>
        </w:rPr>
        <w:t>2</w:t>
      </w:r>
      <w:r w:rsidR="00857C4B" w:rsidRPr="005A22C2">
        <w:t xml:space="preserve"> between the true land cost and </w:t>
      </w:r>
      <w:r w:rsidR="00F65C30" w:rsidRPr="005A22C2">
        <w:t xml:space="preserve">the </w:t>
      </w:r>
      <w:r w:rsidR="00857C4B" w:rsidRPr="005A22C2">
        <w:t xml:space="preserve">assumption </w:t>
      </w:r>
      <w:r w:rsidR="00F65C30" w:rsidRPr="005A22C2">
        <w:t>that underlies the current SDA prices for that region.</w:t>
      </w:r>
    </w:p>
    <w:p w14:paraId="0F330198" w14:textId="71AA75F5" w:rsidR="00820B7B" w:rsidRPr="005A22C2" w:rsidRDefault="00A06502" w:rsidP="006720A0">
      <w:proofErr w:type="spellStart"/>
      <w:r w:rsidRPr="00C344C2">
        <w:t>BlueCHP</w:t>
      </w:r>
      <w:proofErr w:type="spellEnd"/>
      <w:r w:rsidRPr="00C344C2">
        <w:t xml:space="preserve"> </w:t>
      </w:r>
      <w:r w:rsidR="00F65C30" w:rsidRPr="00C344C2">
        <w:t>stated</w:t>
      </w:r>
      <w:r w:rsidRPr="005A22C2">
        <w:t xml:space="preserve"> that the</w:t>
      </w:r>
      <w:r w:rsidR="00894491" w:rsidRPr="005A22C2">
        <w:t xml:space="preserve"> current</w:t>
      </w:r>
      <w:r w:rsidRPr="005A22C2">
        <w:t xml:space="preserve"> average cost </w:t>
      </w:r>
      <w:r w:rsidR="00894491" w:rsidRPr="005A22C2">
        <w:t>across</w:t>
      </w:r>
      <w:r w:rsidRPr="005A22C2">
        <w:t xml:space="preserve"> the more established Melbourne Northeast SA4 </w:t>
      </w:r>
      <w:r w:rsidR="00894491" w:rsidRPr="005A22C2">
        <w:t xml:space="preserve">region </w:t>
      </w:r>
      <w:r w:rsidR="00F65C30" w:rsidRPr="005A22C2">
        <w:t>is</w:t>
      </w:r>
      <w:r w:rsidR="00894491" w:rsidRPr="005A22C2">
        <w:t xml:space="preserve"> $879.</w:t>
      </w:r>
      <w:r w:rsidR="00B45822" w:rsidRPr="005A22C2">
        <w:t>46/m</w:t>
      </w:r>
      <w:r w:rsidR="00B45822" w:rsidRPr="005A22C2">
        <w:rPr>
          <w:vertAlign w:val="superscript"/>
        </w:rPr>
        <w:t>2</w:t>
      </w:r>
      <w:r w:rsidR="00955B82" w:rsidRPr="005A22C2">
        <w:t xml:space="preserve">, which is $622.99 higher than the price </w:t>
      </w:r>
      <w:r w:rsidR="00F65C30" w:rsidRPr="005A22C2">
        <w:t>assumption that underlies the current SDA prices for that region.</w:t>
      </w:r>
    </w:p>
    <w:p w14:paraId="03707992" w14:textId="477335F3" w:rsidR="00F65C30" w:rsidRPr="00702ADE" w:rsidRDefault="00134839" w:rsidP="006720A0">
      <w:r w:rsidRPr="005A22C2">
        <w:t>The</w:t>
      </w:r>
      <w:r w:rsidR="00974725" w:rsidRPr="005A22C2">
        <w:t xml:space="preserve"> Queensland </w:t>
      </w:r>
      <w:r w:rsidR="00D84C52" w:rsidRPr="005A22C2">
        <w:t>Consultation Group</w:t>
      </w:r>
      <w:r w:rsidR="00974725" w:rsidRPr="005A22C2">
        <w:t xml:space="preserve"> </w:t>
      </w:r>
      <w:r w:rsidR="0028200E" w:rsidRPr="005A22C2">
        <w:t>observed that land values had increased across Queensland</w:t>
      </w:r>
      <w:r w:rsidR="00431D53" w:rsidRPr="00702ADE">
        <w:t>.</w:t>
      </w:r>
      <w:r w:rsidR="002A687D" w:rsidRPr="00702ADE">
        <w:t xml:space="preserve"> </w:t>
      </w:r>
      <w:proofErr w:type="spellStart"/>
      <w:r w:rsidR="00F65C30" w:rsidRPr="00702ADE">
        <w:t>PowerHousing</w:t>
      </w:r>
      <w:proofErr w:type="spellEnd"/>
      <w:r w:rsidR="008B0584" w:rsidRPr="00702ADE">
        <w:t xml:space="preserve"> </w:t>
      </w:r>
      <w:r w:rsidR="00F65C30" w:rsidRPr="00702ADE">
        <w:t xml:space="preserve">Australia provided information that confirmed there had been significant increases in land costs (per square metre) in Queensland. In particular, the </w:t>
      </w:r>
      <w:proofErr w:type="spellStart"/>
      <w:r w:rsidR="00F65C30" w:rsidRPr="00702ADE">
        <w:t>PowerHousing</w:t>
      </w:r>
      <w:proofErr w:type="spellEnd"/>
      <w:r w:rsidR="00F65C30" w:rsidRPr="00702ADE">
        <w:t xml:space="preserve"> Australia submission indicated that land costs had increased by:</w:t>
      </w:r>
    </w:p>
    <w:p w14:paraId="513EF0CA" w14:textId="2FD8879F" w:rsidR="00F65C30" w:rsidRPr="00702ADE" w:rsidRDefault="00F65C30" w:rsidP="006720A0">
      <w:pPr>
        <w:pStyle w:val="ListParagraph"/>
        <w:numPr>
          <w:ilvl w:val="0"/>
          <w:numId w:val="19"/>
        </w:numPr>
      </w:pPr>
      <w:r w:rsidRPr="00702ADE">
        <w:t>10.6</w:t>
      </w:r>
      <w:r w:rsidR="00574303" w:rsidRPr="00702ADE">
        <w:t>%</w:t>
      </w:r>
      <w:r w:rsidRPr="00702ADE">
        <w:t xml:space="preserve"> in the </w:t>
      </w:r>
      <w:r w:rsidR="00D35AFB" w:rsidRPr="00702ADE">
        <w:t>Sunshine Coast SA4</w:t>
      </w:r>
      <w:r w:rsidR="00506B3F" w:rsidRPr="00702ADE">
        <w:t xml:space="preserve"> region</w:t>
      </w:r>
    </w:p>
    <w:p w14:paraId="562AF52F" w14:textId="74173919" w:rsidR="00F65C30" w:rsidRPr="00702ADE" w:rsidRDefault="00F65C30" w:rsidP="006720A0">
      <w:pPr>
        <w:pStyle w:val="ListParagraph"/>
        <w:numPr>
          <w:ilvl w:val="0"/>
          <w:numId w:val="19"/>
        </w:numPr>
      </w:pPr>
      <w:r w:rsidRPr="00702ADE">
        <w:t>37.2</w:t>
      </w:r>
      <w:r w:rsidR="000B239E" w:rsidRPr="00702ADE">
        <w:t>%</w:t>
      </w:r>
      <w:r w:rsidRPr="00702ADE">
        <w:t xml:space="preserve"> in the </w:t>
      </w:r>
      <w:r w:rsidR="003A5303" w:rsidRPr="00702ADE">
        <w:t xml:space="preserve">Brisbane North </w:t>
      </w:r>
      <w:r w:rsidRPr="00702ADE">
        <w:t>SA4</w:t>
      </w:r>
      <w:r w:rsidR="00506B3F" w:rsidRPr="00702ADE">
        <w:t xml:space="preserve"> region</w:t>
      </w:r>
    </w:p>
    <w:p w14:paraId="68CE1BC4" w14:textId="5E83D0B2" w:rsidR="00F65C30" w:rsidRPr="00702ADE" w:rsidRDefault="00F65C30" w:rsidP="006720A0">
      <w:pPr>
        <w:pStyle w:val="ListParagraph"/>
        <w:numPr>
          <w:ilvl w:val="0"/>
          <w:numId w:val="19"/>
        </w:numPr>
      </w:pPr>
      <w:r w:rsidRPr="00702ADE">
        <w:t>58.2</w:t>
      </w:r>
      <w:r w:rsidR="000B239E" w:rsidRPr="00702ADE">
        <w:t>%</w:t>
      </w:r>
      <w:r w:rsidRPr="00702ADE">
        <w:t xml:space="preserve"> in the</w:t>
      </w:r>
      <w:r w:rsidR="00C34A13" w:rsidRPr="00702ADE">
        <w:t xml:space="preserve"> Gold Coast </w:t>
      </w:r>
      <w:r w:rsidRPr="00702ADE">
        <w:t>SA4</w:t>
      </w:r>
      <w:r w:rsidR="00506B3F" w:rsidRPr="00702ADE">
        <w:t xml:space="preserve"> region</w:t>
      </w:r>
      <w:r w:rsidR="00911650" w:rsidRPr="00702ADE">
        <w:t>,</w:t>
      </w:r>
      <w:r w:rsidRPr="00702ADE">
        <w:t xml:space="preserve"> and</w:t>
      </w:r>
    </w:p>
    <w:p w14:paraId="434420C7" w14:textId="48A707B4" w:rsidR="00A47429" w:rsidRPr="00702ADE" w:rsidRDefault="00F65C30" w:rsidP="006720A0">
      <w:pPr>
        <w:pStyle w:val="ListParagraph"/>
        <w:numPr>
          <w:ilvl w:val="0"/>
          <w:numId w:val="19"/>
        </w:numPr>
      </w:pPr>
      <w:r w:rsidRPr="00702ADE">
        <w:t>66.0</w:t>
      </w:r>
      <w:r w:rsidR="000B239E" w:rsidRPr="00702ADE">
        <w:t>%</w:t>
      </w:r>
      <w:r w:rsidRPr="00702ADE">
        <w:t xml:space="preserve"> in the</w:t>
      </w:r>
      <w:r w:rsidR="00733443" w:rsidRPr="00702ADE">
        <w:t xml:space="preserve"> Brisbane</w:t>
      </w:r>
      <w:r w:rsidR="006D2D0C" w:rsidRPr="00702ADE">
        <w:t xml:space="preserve"> Inner </w:t>
      </w:r>
      <w:r w:rsidRPr="00702ADE">
        <w:t>SA4</w:t>
      </w:r>
      <w:r w:rsidR="00506B3F" w:rsidRPr="00702ADE">
        <w:t xml:space="preserve"> reg</w:t>
      </w:r>
      <w:r w:rsidR="000E0C5C" w:rsidRPr="00702ADE">
        <w:t>i</w:t>
      </w:r>
      <w:r w:rsidR="00506B3F" w:rsidRPr="00702ADE">
        <w:t>on</w:t>
      </w:r>
      <w:r w:rsidRPr="00702ADE">
        <w:t>.</w:t>
      </w:r>
    </w:p>
    <w:p w14:paraId="4AD2EA8D" w14:textId="60F47C3C" w:rsidR="00A47429" w:rsidRPr="00702ADE" w:rsidRDefault="00F65C30" w:rsidP="006720A0">
      <w:r w:rsidRPr="00702ADE">
        <w:rPr>
          <w:color w:val="000000" w:themeColor="text1"/>
        </w:rPr>
        <w:t>The situation was not, however, uniform across Queensland. For example,</w:t>
      </w:r>
      <w:r w:rsidR="002A687D" w:rsidRPr="00702ADE">
        <w:rPr>
          <w:color w:val="000000" w:themeColor="text1"/>
        </w:rPr>
        <w:t xml:space="preserve"> </w:t>
      </w:r>
      <w:proofErr w:type="spellStart"/>
      <w:r w:rsidR="00134839" w:rsidRPr="00702ADE">
        <w:t>PowerHousing</w:t>
      </w:r>
      <w:proofErr w:type="spellEnd"/>
      <w:r w:rsidR="00134839" w:rsidRPr="00702ADE">
        <w:t xml:space="preserve"> Australia </w:t>
      </w:r>
      <w:r w:rsidRPr="00702ADE">
        <w:t xml:space="preserve">also showed that land prices on a square-metre basis had decreased by </w:t>
      </w:r>
      <w:r w:rsidR="00506B3F" w:rsidRPr="00702ADE">
        <w:t>80.0</w:t>
      </w:r>
      <w:r w:rsidR="000B239E" w:rsidRPr="00702ADE">
        <w:t>%</w:t>
      </w:r>
      <w:r w:rsidR="00506B3F" w:rsidRPr="00702ADE">
        <w:t xml:space="preserve"> in the </w:t>
      </w:r>
      <w:r w:rsidR="00134839" w:rsidRPr="00702ADE">
        <w:t xml:space="preserve">Brisbane East SA4 </w:t>
      </w:r>
      <w:r w:rsidR="00506B3F" w:rsidRPr="00702ADE">
        <w:t xml:space="preserve">region </w:t>
      </w:r>
      <w:r w:rsidR="00134839" w:rsidRPr="00702ADE">
        <w:t>since 2016.</w:t>
      </w:r>
    </w:p>
    <w:p w14:paraId="35958B30" w14:textId="55AC845A" w:rsidR="00CB2940" w:rsidRPr="00702ADE" w:rsidRDefault="00257A2B" w:rsidP="006720A0">
      <w:r w:rsidRPr="00702ADE">
        <w:rPr>
          <w:lang w:eastAsia="en-AU"/>
        </w:rPr>
        <w:t>T</w:t>
      </w:r>
      <w:r w:rsidR="00506B3F" w:rsidRPr="00702ADE">
        <w:rPr>
          <w:lang w:eastAsia="en-AU"/>
        </w:rPr>
        <w:t xml:space="preserve">he </w:t>
      </w:r>
      <w:r w:rsidR="00032DBE" w:rsidRPr="00702ADE">
        <w:rPr>
          <w:lang w:eastAsia="en-AU"/>
        </w:rPr>
        <w:t xml:space="preserve">Endeavour Foundation </w:t>
      </w:r>
      <w:r w:rsidR="00506B3F" w:rsidRPr="00702ADE">
        <w:rPr>
          <w:lang w:eastAsia="en-AU"/>
        </w:rPr>
        <w:t>stated</w:t>
      </w:r>
      <w:r w:rsidR="00032DBE" w:rsidRPr="00702ADE">
        <w:rPr>
          <w:lang w:eastAsia="en-AU"/>
        </w:rPr>
        <w:t xml:space="preserve"> that development in regional Queensland is “exceptionally restricted” due to extensive flood zoning.</w:t>
      </w:r>
    </w:p>
    <w:p w14:paraId="78B52F4D" w14:textId="770C17DB" w:rsidR="00820B7B" w:rsidRPr="005A22C2" w:rsidRDefault="001F49F8" w:rsidP="006720A0">
      <w:r w:rsidRPr="00702ADE">
        <w:t xml:space="preserve">The Western Australia </w:t>
      </w:r>
      <w:r w:rsidR="00D84C52" w:rsidRPr="00702ADE">
        <w:t>Consultation Group</w:t>
      </w:r>
      <w:r w:rsidRPr="00702ADE">
        <w:t xml:space="preserve"> quoted data from the Real Estate Institute of Western Australia for September 2022, which indicated that the average price of land in Perth ($624/m</w:t>
      </w:r>
      <w:r w:rsidRPr="00702ADE">
        <w:rPr>
          <w:vertAlign w:val="superscript"/>
        </w:rPr>
        <w:t>2</w:t>
      </w:r>
      <w:r w:rsidRPr="00702ADE">
        <w:t>) was approximately $168/m</w:t>
      </w:r>
      <w:r w:rsidRPr="00702ADE">
        <w:rPr>
          <w:vertAlign w:val="superscript"/>
        </w:rPr>
        <w:t>2</w:t>
      </w:r>
      <w:r w:rsidRPr="00702ADE">
        <w:t xml:space="preserve"> higher than the </w:t>
      </w:r>
      <w:r w:rsidR="00506B3F" w:rsidRPr="00702ADE">
        <w:t xml:space="preserve">land </w:t>
      </w:r>
      <w:r w:rsidRPr="00702ADE">
        <w:t>price</w:t>
      </w:r>
      <w:r w:rsidR="00506B3F" w:rsidRPr="00702ADE">
        <w:t xml:space="preserve"> assumed in the calculations that led to the current SDA prices.</w:t>
      </w:r>
      <w:r w:rsidRPr="00702ADE">
        <w:t xml:space="preserve"> However,</w:t>
      </w:r>
      <w:r w:rsidR="002A687D" w:rsidRPr="00702ADE">
        <w:t xml:space="preserve"> </w:t>
      </w:r>
      <w:proofErr w:type="spellStart"/>
      <w:r w:rsidRPr="00702ADE">
        <w:t>PowerHousing</w:t>
      </w:r>
      <w:proofErr w:type="spellEnd"/>
      <w:r w:rsidRPr="00702ADE">
        <w:t xml:space="preserve"> Australia </w:t>
      </w:r>
      <w:r w:rsidR="005361D4" w:rsidRPr="00702ADE">
        <w:t>stated</w:t>
      </w:r>
      <w:r w:rsidRPr="00702ADE">
        <w:t xml:space="preserve"> a potential softening in the cost of land in WA, with land costs reducing</w:t>
      </w:r>
      <w:r w:rsidRPr="005A22C2">
        <w:t xml:space="preserve"> by 20</w:t>
      </w:r>
      <w:r w:rsidR="000B239E">
        <w:t>%</w:t>
      </w:r>
      <w:r w:rsidRPr="005A22C2">
        <w:t xml:space="preserve"> since </w:t>
      </w:r>
      <w:r w:rsidR="00506B3F" w:rsidRPr="005A22C2">
        <w:t>2016.</w:t>
      </w:r>
    </w:p>
    <w:p w14:paraId="35DF7B05" w14:textId="77D89390" w:rsidR="00506B3F" w:rsidRPr="00702ADE" w:rsidRDefault="00F22ACF" w:rsidP="006720A0">
      <w:r w:rsidRPr="005A22C2">
        <w:lastRenderedPageBreak/>
        <w:t>There was limited</w:t>
      </w:r>
      <w:r w:rsidR="004949BD" w:rsidRPr="005A22C2">
        <w:t xml:space="preserve"> </w:t>
      </w:r>
      <w:r w:rsidRPr="005A22C2">
        <w:t xml:space="preserve">discussion </w:t>
      </w:r>
      <w:r w:rsidR="00606D40" w:rsidRPr="005A22C2">
        <w:t>of</w:t>
      </w:r>
      <w:r w:rsidRPr="005A22C2">
        <w:t xml:space="preserve"> land costs in the South Australia and the Northern Territory </w:t>
      </w:r>
      <w:r w:rsidR="00D84C52" w:rsidRPr="005A22C2">
        <w:t>Consultation Group</w:t>
      </w:r>
      <w:r w:rsidRPr="00702ADE">
        <w:t>.</w:t>
      </w:r>
      <w:r w:rsidR="002A687D" w:rsidRPr="00702ADE">
        <w:t xml:space="preserve"> </w:t>
      </w:r>
      <w:proofErr w:type="spellStart"/>
      <w:r w:rsidRPr="00702ADE">
        <w:t>PowerHousing</w:t>
      </w:r>
      <w:proofErr w:type="spellEnd"/>
      <w:r w:rsidRPr="00702ADE">
        <w:t xml:space="preserve"> Australia </w:t>
      </w:r>
      <w:r w:rsidR="00506B3F" w:rsidRPr="00702ADE">
        <w:t>stated</w:t>
      </w:r>
      <w:r w:rsidRPr="00702ADE">
        <w:t xml:space="preserve"> that land costs </w:t>
      </w:r>
      <w:r w:rsidR="00655934" w:rsidRPr="00702ADE">
        <w:t>have</w:t>
      </w:r>
      <w:r w:rsidRPr="00702ADE">
        <w:t xml:space="preserve"> decreased by</w:t>
      </w:r>
      <w:r w:rsidR="00506B3F" w:rsidRPr="00702ADE">
        <w:t>:</w:t>
      </w:r>
    </w:p>
    <w:p w14:paraId="0C92512C" w14:textId="10EB20EC" w:rsidR="00A47429" w:rsidRPr="00702ADE" w:rsidRDefault="00F22ACF" w:rsidP="006720A0">
      <w:pPr>
        <w:pStyle w:val="DotPoint"/>
      </w:pPr>
      <w:r w:rsidRPr="00702ADE">
        <w:t>2.8</w:t>
      </w:r>
      <w:r w:rsidR="000B239E" w:rsidRPr="00702ADE">
        <w:t>%</w:t>
      </w:r>
      <w:r w:rsidR="00FC22F3" w:rsidRPr="00702ADE">
        <w:t xml:space="preserve"> in the</w:t>
      </w:r>
      <w:r w:rsidR="00506B3F" w:rsidRPr="00702ADE">
        <w:t xml:space="preserve"> </w:t>
      </w:r>
      <w:r w:rsidR="003E6B8B" w:rsidRPr="00702ADE">
        <w:t>Adelaide South SA4 region</w:t>
      </w:r>
    </w:p>
    <w:p w14:paraId="210E42C2" w14:textId="059DE900" w:rsidR="00A47429" w:rsidRPr="00702ADE" w:rsidRDefault="00791828" w:rsidP="006720A0">
      <w:pPr>
        <w:pStyle w:val="DotPoint"/>
      </w:pPr>
      <w:r w:rsidRPr="00702ADE">
        <w:t>13.8</w:t>
      </w:r>
      <w:r w:rsidR="000B239E" w:rsidRPr="00702ADE">
        <w:t>%</w:t>
      </w:r>
      <w:r w:rsidRPr="00702ADE">
        <w:t xml:space="preserve"> in the</w:t>
      </w:r>
      <w:r w:rsidR="00506B3F" w:rsidRPr="00702ADE">
        <w:t xml:space="preserve"> </w:t>
      </w:r>
      <w:r w:rsidRPr="00702ADE">
        <w:t xml:space="preserve">Adelaide Central and Hills </w:t>
      </w:r>
      <w:r w:rsidR="00506B3F" w:rsidRPr="00702ADE">
        <w:t xml:space="preserve">SA4 </w:t>
      </w:r>
      <w:r w:rsidRPr="00702ADE">
        <w:t>region</w:t>
      </w:r>
      <w:r w:rsidR="00AA3771" w:rsidRPr="00702ADE">
        <w:t>,</w:t>
      </w:r>
      <w:r w:rsidRPr="00702ADE">
        <w:t xml:space="preserve"> and</w:t>
      </w:r>
    </w:p>
    <w:p w14:paraId="7FD1AA9E" w14:textId="3E46F737" w:rsidR="00506B3F" w:rsidRPr="00702ADE" w:rsidRDefault="00791828" w:rsidP="006720A0">
      <w:pPr>
        <w:pStyle w:val="DotPoint"/>
      </w:pPr>
      <w:r w:rsidRPr="00702ADE">
        <w:t>31</w:t>
      </w:r>
      <w:r w:rsidR="006363E0" w:rsidRPr="00702ADE">
        <w:t>.</w:t>
      </w:r>
      <w:r w:rsidR="00506B3F" w:rsidRPr="00702ADE">
        <w:t>4</w:t>
      </w:r>
      <w:r w:rsidR="000B239E" w:rsidRPr="00702ADE">
        <w:t>%</w:t>
      </w:r>
      <w:r w:rsidR="006363E0" w:rsidRPr="00702ADE">
        <w:t xml:space="preserve"> in the Adelaide North </w:t>
      </w:r>
      <w:r w:rsidR="00506B3F" w:rsidRPr="00702ADE">
        <w:t xml:space="preserve">SA4 </w:t>
      </w:r>
      <w:r w:rsidR="006363E0" w:rsidRPr="00702ADE">
        <w:t>region.</w:t>
      </w:r>
    </w:p>
    <w:p w14:paraId="2CA2F0DA" w14:textId="62B59B71" w:rsidR="00A47429" w:rsidRPr="00702ADE" w:rsidRDefault="006363E0" w:rsidP="006720A0">
      <w:r w:rsidRPr="00702ADE">
        <w:t>The same submission observed a 131.</w:t>
      </w:r>
      <w:r w:rsidR="00506B3F" w:rsidRPr="00702ADE">
        <w:t>9</w:t>
      </w:r>
      <w:r w:rsidR="000B239E" w:rsidRPr="00702ADE">
        <w:t>%</w:t>
      </w:r>
      <w:r w:rsidR="00BB602A" w:rsidRPr="00702ADE">
        <w:t xml:space="preserve"> increase in the cost of land in the Darwin SA4 region, which was consistent with general feedback provided in </w:t>
      </w:r>
      <w:r w:rsidR="00694046" w:rsidRPr="00702ADE">
        <w:t xml:space="preserve">the </w:t>
      </w:r>
      <w:r w:rsidR="00D84C52" w:rsidRPr="00702ADE">
        <w:t>Consultation Group</w:t>
      </w:r>
      <w:r w:rsidR="00BB602A" w:rsidRPr="00702ADE">
        <w:t>.</w:t>
      </w:r>
    </w:p>
    <w:p w14:paraId="3441F212" w14:textId="71262D35" w:rsidR="00B41A84" w:rsidRPr="005A22C2" w:rsidRDefault="005330EE" w:rsidP="006720A0">
      <w:proofErr w:type="spellStart"/>
      <w:r w:rsidRPr="00702ADE">
        <w:t>PowerHousing</w:t>
      </w:r>
      <w:proofErr w:type="spellEnd"/>
      <w:r w:rsidRPr="00702ADE">
        <w:t xml:space="preserve"> Australia </w:t>
      </w:r>
      <w:r w:rsidR="00506B3F" w:rsidRPr="00702ADE">
        <w:t>provided</w:t>
      </w:r>
      <w:r w:rsidR="00506B3F" w:rsidRPr="005A22C2">
        <w:t xml:space="preserve"> data that indicated</w:t>
      </w:r>
      <w:r w:rsidRPr="005A22C2">
        <w:t xml:space="preserve"> that the cost of land in the two Hobart SA4 regions </w:t>
      </w:r>
      <w:r w:rsidR="00655934" w:rsidRPr="005A22C2">
        <w:t>has</w:t>
      </w:r>
      <w:r w:rsidRPr="005A22C2">
        <w:t xml:space="preserve"> increased</w:t>
      </w:r>
      <w:r w:rsidR="00506B3F" w:rsidRPr="005A22C2">
        <w:t>, with l</w:t>
      </w:r>
      <w:r w:rsidRPr="005A22C2">
        <w:t>and values</w:t>
      </w:r>
      <w:r w:rsidR="00506B3F" w:rsidRPr="005A22C2">
        <w:t xml:space="preserve"> increasing by 63.8</w:t>
      </w:r>
      <w:r w:rsidR="000B239E">
        <w:t>%</w:t>
      </w:r>
      <w:r w:rsidR="00506B3F" w:rsidRPr="005A22C2">
        <w:t xml:space="preserve"> since 2016</w:t>
      </w:r>
      <w:r w:rsidRPr="005A22C2">
        <w:t xml:space="preserve"> in the Hobart SA4 region, and </w:t>
      </w:r>
      <w:r w:rsidR="00677824" w:rsidRPr="005A22C2">
        <w:t>8.67</w:t>
      </w:r>
      <w:r w:rsidR="000B239E">
        <w:t>%</w:t>
      </w:r>
      <w:r w:rsidR="00677824" w:rsidRPr="005A22C2">
        <w:t xml:space="preserve"> in the</w:t>
      </w:r>
      <w:r w:rsidRPr="005A22C2">
        <w:t xml:space="preserve"> </w:t>
      </w:r>
      <w:proofErr w:type="gramStart"/>
      <w:r w:rsidRPr="005A22C2">
        <w:t>South East</w:t>
      </w:r>
      <w:proofErr w:type="gramEnd"/>
      <w:r w:rsidRPr="005A22C2">
        <w:t xml:space="preserve"> SA4</w:t>
      </w:r>
      <w:r w:rsidR="00677824" w:rsidRPr="005A22C2">
        <w:t xml:space="preserve"> region.</w:t>
      </w:r>
    </w:p>
    <w:p w14:paraId="6B50A771" w14:textId="5D0E9C28" w:rsidR="00A46B38" w:rsidRPr="005A22C2" w:rsidRDefault="00A46B38" w:rsidP="006720A0">
      <w:r w:rsidRPr="005A22C2">
        <w:t>Stakeholders observed that the cost and availability of land in regional and remote communities was less of a challenge. However, they also stated that the distance from day-to-day amenities and activities may displace participants from the community.</w:t>
      </w:r>
    </w:p>
    <w:p w14:paraId="18E146E2" w14:textId="49595D5C" w:rsidR="00934AD0" w:rsidRPr="00593B49" w:rsidRDefault="00934AD0" w:rsidP="006720A0">
      <w:pPr>
        <w:pStyle w:val="Heading3"/>
      </w:pPr>
      <w:r w:rsidRPr="00593B49">
        <w:t xml:space="preserve">Brownfield </w:t>
      </w:r>
      <w:r w:rsidR="009550B9" w:rsidRPr="00593B49">
        <w:t>S</w:t>
      </w:r>
      <w:r w:rsidRPr="00593B49">
        <w:t>ites</w:t>
      </w:r>
    </w:p>
    <w:p w14:paraId="777F7E37" w14:textId="049BA987" w:rsidR="009B1E7F" w:rsidRPr="005A22C2" w:rsidRDefault="009B1E7F" w:rsidP="006720A0">
      <w:r w:rsidRPr="005A22C2">
        <w:t xml:space="preserve">In general, stakeholders indicated that participants preferred to live in brownfield locations where they have long-established relationships with the service-providers, specialists and supports. A member of the SDA Builders and Developers Consultation Group </w:t>
      </w:r>
      <w:r w:rsidR="005361D4" w:rsidRPr="005A22C2">
        <w:t>stated</w:t>
      </w:r>
      <w:r w:rsidRPr="005A22C2">
        <w:t xml:space="preserve"> that participants often require a taxi to fulfil their daily activities, and as such are very conscious of needed to be close to their day-to-day activities so that their travel costs are as small as possible. They argued that moving participants to greenfield locations further from amenities can disrupt their care, quality of life and independence. However, given the challenges associated with acquiring and developing land in inner-metropolitan areas, stakeholders reported that new SDA is occurring on the urban fringe where land is cheaper and investment returns are more attractive.</w:t>
      </w:r>
    </w:p>
    <w:p w14:paraId="684245E2" w14:textId="14E948A1" w:rsidR="00A47429" w:rsidRPr="00C344C2" w:rsidRDefault="005F707D" w:rsidP="006720A0">
      <w:proofErr w:type="gramStart"/>
      <w:r w:rsidRPr="005A22C2">
        <w:t>A number of</w:t>
      </w:r>
      <w:proofErr w:type="gramEnd"/>
      <w:r w:rsidRPr="005A22C2">
        <w:t xml:space="preserve"> submissions</w:t>
      </w:r>
      <w:r w:rsidR="00934AD0" w:rsidRPr="005A22C2">
        <w:t xml:space="preserve"> observed that vacant land is generally unavailable in established areas across Melbourne and Sydney, and </w:t>
      </w:r>
      <w:r w:rsidRPr="005A22C2">
        <w:t xml:space="preserve">that providers therefore faced a </w:t>
      </w:r>
      <w:r w:rsidR="00934AD0" w:rsidRPr="005A22C2">
        <w:t xml:space="preserve">higher cost of land than </w:t>
      </w:r>
      <w:r w:rsidRPr="005A22C2">
        <w:t xml:space="preserve">was </w:t>
      </w:r>
      <w:r w:rsidR="00934AD0" w:rsidRPr="005A22C2">
        <w:t xml:space="preserve">assumed </w:t>
      </w:r>
      <w:r w:rsidRPr="005A22C2">
        <w:t>in the current SDA pricing methodology</w:t>
      </w:r>
      <w:r w:rsidR="00CF560D" w:rsidRPr="005A22C2">
        <w:t>.</w:t>
      </w:r>
      <w:r w:rsidRPr="005A22C2">
        <w:t xml:space="preserve"> They argued that this </w:t>
      </w:r>
      <w:r w:rsidR="00934AD0" w:rsidRPr="005A22C2">
        <w:t xml:space="preserve">makes many locations in those cities commercially </w:t>
      </w:r>
      <w:r w:rsidR="00F32F53" w:rsidRPr="005A22C2">
        <w:t>u</w:t>
      </w:r>
      <w:r w:rsidR="00934AD0" w:rsidRPr="005A22C2">
        <w:t>nfeasible.</w:t>
      </w:r>
      <w:r w:rsidR="002A687D" w:rsidRPr="005A22C2">
        <w:t xml:space="preserve"> </w:t>
      </w:r>
      <w:proofErr w:type="spellStart"/>
      <w:r w:rsidRPr="00C344C2">
        <w:t>BlueCHP</w:t>
      </w:r>
      <w:proofErr w:type="spellEnd"/>
      <w:r w:rsidRPr="00C344C2">
        <w:t xml:space="preserve">, for example, stated that the land cost estimates that were currently used in setting SDA prices greatly underestimated the cost of land as they were based on vacant land values, which do not account for the cost of purchasing land </w:t>
      </w:r>
      <w:r w:rsidR="00C551E3" w:rsidRPr="00C344C2">
        <w:t xml:space="preserve">and demolition costs </w:t>
      </w:r>
      <w:r w:rsidRPr="00C344C2">
        <w:t>with an existing house.</w:t>
      </w:r>
    </w:p>
    <w:p w14:paraId="3362BCA4" w14:textId="77777777" w:rsidR="00A47429" w:rsidRPr="005A22C2" w:rsidRDefault="00934AD0" w:rsidP="006720A0">
      <w:r w:rsidRPr="00C344C2">
        <w:t xml:space="preserve">Noting the constrained supply of suitable brownfield land in urban SA4 region, </w:t>
      </w:r>
      <w:r w:rsidR="005F707D" w:rsidRPr="00C344C2">
        <w:t xml:space="preserve">the submissions from </w:t>
      </w:r>
      <w:r w:rsidRPr="00C344C2">
        <w:t xml:space="preserve">Link Wentworth, </w:t>
      </w:r>
      <w:proofErr w:type="spellStart"/>
      <w:r w:rsidRPr="00C344C2">
        <w:t>Synergis</w:t>
      </w:r>
      <w:proofErr w:type="spellEnd"/>
      <w:r w:rsidRPr="00C344C2">
        <w:t xml:space="preserve"> and the Summer Foundation all</w:t>
      </w:r>
      <w:r w:rsidRPr="005A22C2">
        <w:t xml:space="preserve"> advocated for the use of established land prices in </w:t>
      </w:r>
      <w:r w:rsidR="005F707D" w:rsidRPr="005A22C2">
        <w:t>the SDA pricing methodology.</w:t>
      </w:r>
    </w:p>
    <w:p w14:paraId="09B6EEC7" w14:textId="77777777" w:rsidR="00B80D6E" w:rsidRPr="005A22C2" w:rsidRDefault="009B1E7F" w:rsidP="006720A0">
      <w:r w:rsidRPr="005A22C2">
        <w:lastRenderedPageBreak/>
        <w:t>Members of</w:t>
      </w:r>
      <w:r w:rsidR="001F49F8" w:rsidRPr="005A22C2">
        <w:t xml:space="preserve"> the New South Wales and Australian Capital Territory </w:t>
      </w:r>
      <w:r w:rsidR="00D84C52" w:rsidRPr="005A22C2">
        <w:t>Consultation Group</w:t>
      </w:r>
      <w:r w:rsidR="001F49F8" w:rsidRPr="005A22C2">
        <w:t xml:space="preserve"> </w:t>
      </w:r>
      <w:r w:rsidRPr="005A22C2">
        <w:t xml:space="preserve">similarly </w:t>
      </w:r>
      <w:r w:rsidR="001F49F8" w:rsidRPr="005A22C2">
        <w:t xml:space="preserve">recommended that the </w:t>
      </w:r>
      <w:r w:rsidR="00AB4782" w:rsidRPr="005A22C2">
        <w:t xml:space="preserve">pricing </w:t>
      </w:r>
      <w:r w:rsidR="001F49F8" w:rsidRPr="005A22C2">
        <w:t xml:space="preserve">assumptions </w:t>
      </w:r>
      <w:r w:rsidR="00AB4782" w:rsidRPr="005A22C2">
        <w:t>for land in</w:t>
      </w:r>
      <w:r w:rsidR="001F49F8" w:rsidRPr="005A22C2">
        <w:t xml:space="preserve"> the </w:t>
      </w:r>
      <w:r w:rsidRPr="005A22C2">
        <w:t>SDA pricing model should</w:t>
      </w:r>
      <w:r w:rsidR="001F49F8" w:rsidRPr="005A22C2">
        <w:t xml:space="preserve"> be updated to reflect the fact that brownfield </w:t>
      </w:r>
      <w:r w:rsidRPr="005A22C2">
        <w:t xml:space="preserve">development requires providers to pay for </w:t>
      </w:r>
      <w:r w:rsidR="001F49F8" w:rsidRPr="005A22C2">
        <w:t>both the land and existing building on the site.</w:t>
      </w:r>
      <w:r w:rsidR="00352449" w:rsidRPr="005A22C2">
        <w:t xml:space="preserve"> </w:t>
      </w:r>
      <w:r w:rsidRPr="005A22C2">
        <w:t xml:space="preserve">As </w:t>
      </w:r>
      <w:r w:rsidR="001F49F8" w:rsidRPr="005A22C2">
        <w:t xml:space="preserve">one stakeholder in the SDA Institutional Investors </w:t>
      </w:r>
      <w:r w:rsidR="00D84C52" w:rsidRPr="005A22C2">
        <w:t>Consultation Group</w:t>
      </w:r>
      <w:r w:rsidR="001F49F8" w:rsidRPr="005A22C2">
        <w:t xml:space="preserve"> </w:t>
      </w:r>
      <w:r w:rsidRPr="005A22C2">
        <w:t xml:space="preserve">pointed out, SDA developers of brownfield sites are in competition </w:t>
      </w:r>
      <w:r w:rsidR="001F49F8" w:rsidRPr="005A22C2">
        <w:t xml:space="preserve">with </w:t>
      </w:r>
      <w:r w:rsidRPr="005A22C2">
        <w:t>owner occupiers w</w:t>
      </w:r>
      <w:r w:rsidR="001F49F8" w:rsidRPr="005A22C2">
        <w:t>ho would like to live in the current house on the block of land.</w:t>
      </w:r>
      <w:r w:rsidRPr="005A22C2">
        <w:t xml:space="preserve"> </w:t>
      </w:r>
    </w:p>
    <w:p w14:paraId="2C91843A" w14:textId="49D84AB5" w:rsidR="00F87E44" w:rsidRPr="005A22C2" w:rsidRDefault="009B1E7F" w:rsidP="006720A0">
      <w:r w:rsidRPr="005A22C2">
        <w:t>For this reason, s</w:t>
      </w:r>
      <w:r w:rsidR="001F49F8" w:rsidRPr="005A22C2">
        <w:t xml:space="preserve">takeholders in the New South Wales and Australian Capital Territory </w:t>
      </w:r>
      <w:r w:rsidR="00D84C52" w:rsidRPr="005A22C2">
        <w:t>Consultation Group</w:t>
      </w:r>
      <w:r w:rsidR="001F49F8" w:rsidRPr="005A22C2">
        <w:t xml:space="preserve"> identified the potential cost of demolition and site remediation as a key barrier to purchasing land</w:t>
      </w:r>
      <w:r w:rsidRPr="005A22C2">
        <w:t xml:space="preserve"> and a cost that needed to be recognised in the SDA pricing model if construction was to happen in developed locations close to amenities.</w:t>
      </w:r>
    </w:p>
    <w:p w14:paraId="6ED8EE6B" w14:textId="77777777" w:rsidR="001F49F8" w:rsidRPr="005A22C2" w:rsidRDefault="001F49F8" w:rsidP="006720A0">
      <w:pPr>
        <w:pStyle w:val="Heading2"/>
      </w:pPr>
      <w:bookmarkStart w:id="94" w:name="_Toc126595099"/>
      <w:bookmarkStart w:id="95" w:name="_Toc129783564"/>
      <w:bookmarkStart w:id="96" w:name="_Toc136006861"/>
      <w:r w:rsidRPr="005A22C2">
        <w:t>Location Factors</w:t>
      </w:r>
      <w:bookmarkEnd w:id="94"/>
      <w:bookmarkEnd w:id="95"/>
      <w:bookmarkEnd w:id="96"/>
    </w:p>
    <w:p w14:paraId="202F80F3" w14:textId="569C656D" w:rsidR="00607DC9" w:rsidRPr="005A22C2" w:rsidRDefault="00607DC9" w:rsidP="006720A0">
      <w:pPr>
        <w:rPr>
          <w:vertAlign w:val="superscript"/>
        </w:rPr>
      </w:pPr>
      <w:r w:rsidRPr="005A22C2">
        <w:t xml:space="preserve">In general, stakeholders across the </w:t>
      </w:r>
      <w:r w:rsidR="00D84C52" w:rsidRPr="005A22C2">
        <w:t>Consultation Group</w:t>
      </w:r>
      <w:r w:rsidRPr="005A22C2">
        <w:t xml:space="preserve">s and </w:t>
      </w:r>
      <w:r w:rsidR="00E66A35" w:rsidRPr="005A22C2">
        <w:t xml:space="preserve">written </w:t>
      </w:r>
      <w:r w:rsidRPr="005A22C2">
        <w:t xml:space="preserve">submissions suggested that the Location Factors </w:t>
      </w:r>
      <w:r w:rsidR="00A53FE7" w:rsidRPr="005A22C2">
        <w:t>that are currently used to adjust SDA prices do</w:t>
      </w:r>
      <w:r w:rsidRPr="005A22C2">
        <w:t xml:space="preserve"> not accurately</w:t>
      </w:r>
      <w:r w:rsidR="00C56B93" w:rsidRPr="005A22C2">
        <w:t xml:space="preserve"> </w:t>
      </w:r>
      <w:r w:rsidRPr="005A22C2">
        <w:t>reflect the true cost of land in many locations nationally, particularly in inner metropolitan locations.</w:t>
      </w:r>
    </w:p>
    <w:p w14:paraId="201E325A" w14:textId="3A6028FF" w:rsidR="00A47429" w:rsidRPr="00702ADE" w:rsidRDefault="00607DC9" w:rsidP="006720A0">
      <w:pPr>
        <w:rPr>
          <w:color w:val="000000" w:themeColor="text1"/>
        </w:rPr>
      </w:pPr>
      <w:r w:rsidRPr="005A22C2">
        <w:t xml:space="preserve">Stakeholders in the New South Wales and Australian Capital Territory </w:t>
      </w:r>
      <w:r w:rsidR="00D84C52" w:rsidRPr="005A22C2">
        <w:t>Consultation Group</w:t>
      </w:r>
      <w:r w:rsidRPr="005A22C2">
        <w:t xml:space="preserve"> </w:t>
      </w:r>
      <w:r w:rsidR="000E0C5C" w:rsidRPr="005A22C2">
        <w:t>consider</w:t>
      </w:r>
      <w:r w:rsidRPr="005A22C2">
        <w:t xml:space="preserve">ed the current Location Factors for metropolitan Sydney problematic, with the calculations failing to </w:t>
      </w:r>
      <w:r w:rsidR="000E0C5C" w:rsidRPr="005A22C2">
        <w:t>consider</w:t>
      </w:r>
      <w:r w:rsidRPr="005A22C2">
        <w:t xml:space="preserve"> substantial variations in the cost of land. </w:t>
      </w:r>
      <w:r w:rsidR="00A53FE7" w:rsidRPr="005A22C2">
        <w:t>In t</w:t>
      </w:r>
      <w:r w:rsidRPr="005A22C2">
        <w:t xml:space="preserve">he North Sydney and Hornsby SA4 region, </w:t>
      </w:r>
      <w:r w:rsidR="00A53FE7" w:rsidRPr="005A22C2">
        <w:t xml:space="preserve">for example, </w:t>
      </w:r>
      <w:r w:rsidRPr="005A22C2">
        <w:t>there are vast variations in wealth and socio-</w:t>
      </w:r>
      <w:r w:rsidRPr="005A22C2">
        <w:rPr>
          <w:color w:val="000000" w:themeColor="text1"/>
        </w:rPr>
        <w:t>economic status</w:t>
      </w:r>
      <w:r w:rsidR="00A53FE7" w:rsidRPr="005A22C2">
        <w:rPr>
          <w:color w:val="000000" w:themeColor="text1"/>
        </w:rPr>
        <w:t>. A single</w:t>
      </w:r>
      <w:r w:rsidRPr="005A22C2">
        <w:rPr>
          <w:color w:val="000000" w:themeColor="text1"/>
        </w:rPr>
        <w:t xml:space="preserve"> Location Factor </w:t>
      </w:r>
      <w:r w:rsidR="00A53FE7" w:rsidRPr="005A22C2">
        <w:rPr>
          <w:color w:val="000000" w:themeColor="text1"/>
        </w:rPr>
        <w:t>for the SA4 cannot therefore</w:t>
      </w:r>
      <w:r w:rsidRPr="005A22C2">
        <w:rPr>
          <w:color w:val="000000" w:themeColor="text1"/>
        </w:rPr>
        <w:t xml:space="preserve"> accurately </w:t>
      </w:r>
      <w:r w:rsidRPr="00702ADE">
        <w:rPr>
          <w:color w:val="000000" w:themeColor="text1"/>
        </w:rPr>
        <w:t>reflect the market conditions nor the variability in land prices of the area.</w:t>
      </w:r>
      <w:r w:rsidR="00A53FE7" w:rsidRPr="00702ADE">
        <w:rPr>
          <w:color w:val="000000" w:themeColor="text1"/>
        </w:rPr>
        <w:t xml:space="preserve"> </w:t>
      </w:r>
      <w:r w:rsidRPr="00702ADE">
        <w:rPr>
          <w:color w:val="000000" w:themeColor="text1"/>
        </w:rPr>
        <w:t xml:space="preserve">In its submission, Edenbridge Living </w:t>
      </w:r>
      <w:r w:rsidR="005361D4" w:rsidRPr="00702ADE">
        <w:rPr>
          <w:color w:val="000000" w:themeColor="text1"/>
        </w:rPr>
        <w:t>stated</w:t>
      </w:r>
      <w:r w:rsidRPr="00702ADE">
        <w:rPr>
          <w:color w:val="000000" w:themeColor="text1"/>
        </w:rPr>
        <w:t xml:space="preserve"> that the Location Factor for the Sydney</w:t>
      </w:r>
      <w:r w:rsidR="00F01B1D" w:rsidRPr="00702ADE">
        <w:rPr>
          <w:color w:val="000000" w:themeColor="text1"/>
        </w:rPr>
        <w:t>,</w:t>
      </w:r>
      <w:r w:rsidR="00592F54" w:rsidRPr="00702ADE">
        <w:rPr>
          <w:color w:val="000000" w:themeColor="text1"/>
        </w:rPr>
        <w:t xml:space="preserve"> </w:t>
      </w:r>
      <w:r w:rsidRPr="00702ADE">
        <w:rPr>
          <w:color w:val="000000" w:themeColor="text1"/>
        </w:rPr>
        <w:t>Eastern Suburbs SA4</w:t>
      </w:r>
      <w:r w:rsidR="00F01B1D" w:rsidRPr="00702ADE">
        <w:rPr>
          <w:color w:val="000000" w:themeColor="text1"/>
        </w:rPr>
        <w:t>,</w:t>
      </w:r>
      <w:r w:rsidRPr="00702ADE">
        <w:rPr>
          <w:color w:val="000000" w:themeColor="text1"/>
        </w:rPr>
        <w:t xml:space="preserve"> failed to reflect real land values. The submission cited two examples where the actual cost of land (per square metre) was six-times higher than the cost</w:t>
      </w:r>
      <w:r w:rsidR="00B53B34" w:rsidRPr="00702ADE">
        <w:rPr>
          <w:color w:val="000000" w:themeColor="text1"/>
        </w:rPr>
        <w:t xml:space="preserve"> </w:t>
      </w:r>
      <w:r w:rsidR="00A53FE7" w:rsidRPr="00702ADE">
        <w:rPr>
          <w:color w:val="000000" w:themeColor="text1"/>
        </w:rPr>
        <w:t xml:space="preserve">that had been assumed in setting the current </w:t>
      </w:r>
      <w:r w:rsidR="00D54221" w:rsidRPr="00702ADE">
        <w:rPr>
          <w:color w:val="000000" w:themeColor="text1"/>
        </w:rPr>
        <w:t>L</w:t>
      </w:r>
      <w:r w:rsidR="00A53FE7" w:rsidRPr="00702ADE">
        <w:rPr>
          <w:color w:val="000000" w:themeColor="text1"/>
        </w:rPr>
        <w:t xml:space="preserve">ocation </w:t>
      </w:r>
      <w:r w:rsidR="00D54221" w:rsidRPr="00702ADE">
        <w:rPr>
          <w:color w:val="000000" w:themeColor="text1"/>
        </w:rPr>
        <w:t>F</w:t>
      </w:r>
      <w:r w:rsidR="00A53FE7" w:rsidRPr="00702ADE">
        <w:rPr>
          <w:color w:val="000000" w:themeColor="text1"/>
        </w:rPr>
        <w:t>actors.</w:t>
      </w:r>
    </w:p>
    <w:p w14:paraId="2FDBE0D9" w14:textId="3689DD3B" w:rsidR="00644A25" w:rsidRPr="005A22C2" w:rsidRDefault="00607DC9" w:rsidP="006720A0">
      <w:r w:rsidRPr="00702ADE">
        <w:t xml:space="preserve">Bayley House </w:t>
      </w:r>
      <w:r w:rsidR="005361D4" w:rsidRPr="00702ADE">
        <w:t>stated</w:t>
      </w:r>
      <w:r w:rsidR="001226F0" w:rsidRPr="00702ADE">
        <w:t xml:space="preserve"> </w:t>
      </w:r>
      <w:r w:rsidRPr="00702ADE">
        <w:t>that land costs in the Melbourne</w:t>
      </w:r>
      <w:r w:rsidR="00BE08F6" w:rsidRPr="00702ADE">
        <w:t>,</w:t>
      </w:r>
      <w:r w:rsidR="000C3694" w:rsidRPr="00702ADE">
        <w:t xml:space="preserve"> </w:t>
      </w:r>
      <w:r w:rsidRPr="00702ADE">
        <w:t>Inner South SA4 region</w:t>
      </w:r>
      <w:r w:rsidR="00BE08F6" w:rsidRPr="00702ADE">
        <w:t>,</w:t>
      </w:r>
      <w:r w:rsidR="000C3694" w:rsidRPr="00702ADE">
        <w:t xml:space="preserve"> </w:t>
      </w:r>
      <w:r w:rsidRPr="00702ADE">
        <w:t xml:space="preserve">were four-times higher </w:t>
      </w:r>
      <w:r w:rsidR="00A53FE7" w:rsidRPr="00702ADE">
        <w:t xml:space="preserve">than the cost that had been assumed in setting the current </w:t>
      </w:r>
      <w:r w:rsidR="00D54221" w:rsidRPr="00702ADE">
        <w:t>L</w:t>
      </w:r>
      <w:r w:rsidR="00A53FE7" w:rsidRPr="00702ADE">
        <w:t xml:space="preserve">ocation </w:t>
      </w:r>
      <w:r w:rsidR="00D54221" w:rsidRPr="00702ADE">
        <w:t>F</w:t>
      </w:r>
      <w:r w:rsidR="00A53FE7" w:rsidRPr="00702ADE">
        <w:t>actors.</w:t>
      </w:r>
      <w:r w:rsidR="002A687D" w:rsidRPr="00702ADE">
        <w:rPr>
          <w:i/>
          <w:iCs/>
        </w:rPr>
        <w:t xml:space="preserve"> </w:t>
      </w:r>
      <w:r w:rsidRPr="00702ADE">
        <w:t xml:space="preserve">Inspire Impact </w:t>
      </w:r>
      <w:r w:rsidR="00A53FE7" w:rsidRPr="00702ADE">
        <w:t>stated</w:t>
      </w:r>
      <w:r w:rsidRPr="00702ADE">
        <w:t xml:space="preserve"> that land values in the urban-fringe suburbs of Cranbourne and Lyndhurst</w:t>
      </w:r>
      <w:r w:rsidRPr="005A22C2">
        <w:t xml:space="preserve"> had increased by 44</w:t>
      </w:r>
      <w:r w:rsidR="000B239E">
        <w:t>%</w:t>
      </w:r>
      <w:r w:rsidRPr="005A22C2">
        <w:t xml:space="preserve"> in the period since July 2020. </w:t>
      </w:r>
    </w:p>
    <w:p w14:paraId="13016629" w14:textId="4A86C90D" w:rsidR="00607DC9" w:rsidRPr="005A22C2" w:rsidRDefault="00607DC9" w:rsidP="006720A0">
      <w:r w:rsidRPr="005A22C2">
        <w:t>Competition in the residential property market was cited as the reason for increasing land costs, with the submission suggesting that Location Factors for outer metropolitan areas had been outpaced by growth in land values.</w:t>
      </w:r>
    </w:p>
    <w:p w14:paraId="1E0D5405" w14:textId="77777777" w:rsidR="004B4B75" w:rsidRPr="005A22C2" w:rsidRDefault="00607DC9" w:rsidP="006720A0">
      <w:r w:rsidRPr="005A22C2">
        <w:t>Stakeholders in</w:t>
      </w:r>
      <w:r w:rsidRPr="005A22C2" w:rsidDel="00B57023">
        <w:t xml:space="preserve"> </w:t>
      </w:r>
      <w:r w:rsidRPr="005A22C2">
        <w:t xml:space="preserve">the Queensland </w:t>
      </w:r>
      <w:r w:rsidR="00D84C52" w:rsidRPr="005A22C2">
        <w:t>Consultation Group</w:t>
      </w:r>
      <w:r w:rsidRPr="005A22C2">
        <w:t xml:space="preserve"> suggested that the Location Factors for the five SA4 regions covering metropolitan Brisbane (currently ranging between 0.92 and 0.97) </w:t>
      </w:r>
      <w:r w:rsidR="00B53B34" w:rsidRPr="005A22C2">
        <w:t>do not reflect</w:t>
      </w:r>
      <w:r w:rsidRPr="005A22C2">
        <w:t xml:space="preserve"> the</w:t>
      </w:r>
      <w:r w:rsidR="00B53B34" w:rsidRPr="005A22C2">
        <w:t xml:space="preserve"> actual</w:t>
      </w:r>
      <w:r w:rsidRPr="005A22C2">
        <w:t xml:space="preserve"> </w:t>
      </w:r>
      <w:r w:rsidR="00A53FE7" w:rsidRPr="005A22C2">
        <w:t xml:space="preserve">relative </w:t>
      </w:r>
      <w:r w:rsidRPr="005A22C2">
        <w:t>cost of land in metropolitan Brisbane.</w:t>
      </w:r>
      <w:r w:rsidR="00A53FE7" w:rsidRPr="005A22C2">
        <w:t xml:space="preserve"> Interstate migration was cited as a driver of increasing land values in Queensland. </w:t>
      </w:r>
    </w:p>
    <w:p w14:paraId="4DA98251" w14:textId="22983961" w:rsidR="00607DC9" w:rsidRPr="005A22C2" w:rsidRDefault="00A53FE7" w:rsidP="006720A0">
      <w:r w:rsidRPr="005A22C2">
        <w:lastRenderedPageBreak/>
        <w:t xml:space="preserve">The </w:t>
      </w:r>
      <w:r w:rsidRPr="00702ADE">
        <w:t>submission f</w:t>
      </w:r>
      <w:r w:rsidR="00644A25" w:rsidRPr="00702ADE">
        <w:t>ro</w:t>
      </w:r>
      <w:r w:rsidRPr="00702ADE">
        <w:t xml:space="preserve">m </w:t>
      </w:r>
      <w:r w:rsidR="00607DC9" w:rsidRPr="00702ADE">
        <w:t xml:space="preserve">NDISP echoed this concern and </w:t>
      </w:r>
      <w:r w:rsidR="00B53B34" w:rsidRPr="00702ADE">
        <w:t>suggested that incorrect Location Factors</w:t>
      </w:r>
      <w:r w:rsidR="00607DC9" w:rsidRPr="00702ADE">
        <w:t xml:space="preserve"> in Brisbane </w:t>
      </w:r>
      <w:r w:rsidR="00490DA2" w:rsidRPr="00702ADE">
        <w:t>are</w:t>
      </w:r>
      <w:r w:rsidR="00607DC9" w:rsidRPr="00702ADE">
        <w:t xml:space="preserve"> impacting the development pipeline for SDA villas and houses.</w:t>
      </w:r>
      <w:r w:rsidRPr="00702ADE">
        <w:t xml:space="preserve"> </w:t>
      </w:r>
      <w:r w:rsidR="00607DC9" w:rsidRPr="00702ADE">
        <w:t>Given the significant variance in land costs across metropolitan Brisbane, NDISP also recommended that the Location Factors for the respective SA4 regions be reviewed</w:t>
      </w:r>
      <w:r w:rsidR="00607DC9" w:rsidRPr="005A22C2">
        <w:t>.</w:t>
      </w:r>
      <w:r w:rsidRPr="005A22C2">
        <w:t xml:space="preserve"> </w:t>
      </w:r>
      <w:r w:rsidR="00607DC9" w:rsidRPr="005A22C2">
        <w:t xml:space="preserve">Stakeholders in the </w:t>
      </w:r>
      <w:r w:rsidR="0023144C" w:rsidRPr="005A22C2">
        <w:t xml:space="preserve">Queensland </w:t>
      </w:r>
      <w:r w:rsidR="00D84C52" w:rsidRPr="005A22C2">
        <w:t>Consultation Group</w:t>
      </w:r>
      <w:r w:rsidR="0023144C" w:rsidRPr="005A22C2">
        <w:t xml:space="preserve"> </w:t>
      </w:r>
      <w:r w:rsidR="00607DC9" w:rsidRPr="005A22C2">
        <w:t>also expressed concerns about the adequacy of the Location Factors given forecasted growth in land values leading up to the 2032 Brisbane Olympics.</w:t>
      </w:r>
    </w:p>
    <w:p w14:paraId="03555C2A" w14:textId="77777777" w:rsidR="00A47429" w:rsidRPr="005A22C2" w:rsidRDefault="00607DC9" w:rsidP="006720A0">
      <w:r w:rsidRPr="005A22C2">
        <w:t xml:space="preserve">One stakeholder in the Western Australia </w:t>
      </w:r>
      <w:r w:rsidR="00D84C52" w:rsidRPr="005A22C2">
        <w:t>Consultation Group</w:t>
      </w:r>
      <w:r w:rsidRPr="005A22C2">
        <w:t xml:space="preserve"> observed that the mining boom has driven the demand for land in metropolitan Perth, with the cost per square metre rising </w:t>
      </w:r>
      <w:r w:rsidR="000E0C5C" w:rsidRPr="005A22C2">
        <w:t>consider</w:t>
      </w:r>
      <w:r w:rsidRPr="005A22C2">
        <w:t>ably as a result.</w:t>
      </w:r>
    </w:p>
    <w:p w14:paraId="002D443F" w14:textId="6DEB9F90" w:rsidR="00607DC9" w:rsidRPr="005A22C2" w:rsidRDefault="00607DC9" w:rsidP="006720A0">
      <w:r w:rsidRPr="005A22C2">
        <w:t xml:space="preserve">The Tasmania </w:t>
      </w:r>
      <w:r w:rsidR="00D84C52" w:rsidRPr="005A22C2">
        <w:t>Consultation Group</w:t>
      </w:r>
      <w:r w:rsidRPr="005A22C2">
        <w:t xml:space="preserve"> reported that the current Location Factors for the four Tasmanian SA4 regions fail to reflect the true land costs in regional Tasmania. With limited supply of suitable land in metropolitan Hobart, stakeholders indicated that developments are increasingly occurring in non-metropolitan and regional areas, where the cost of building increases due to the undulating topography – this constrains where houses, including SDA can be built </w:t>
      </w:r>
      <w:r w:rsidR="001478E1" w:rsidRPr="005A22C2">
        <w:t>while</w:t>
      </w:r>
      <w:r w:rsidRPr="005A22C2">
        <w:t xml:space="preserve"> meeting feasibility requirements.</w:t>
      </w:r>
    </w:p>
    <w:p w14:paraId="709BA218" w14:textId="77777777" w:rsidR="001F49F8" w:rsidRPr="005A22C2" w:rsidRDefault="001F49F8" w:rsidP="006720A0">
      <w:pPr>
        <w:pStyle w:val="Heading3"/>
      </w:pPr>
      <w:bookmarkStart w:id="97" w:name="_Toc129783565"/>
      <w:r w:rsidRPr="005A22C2">
        <w:t xml:space="preserve">Location </w:t>
      </w:r>
      <w:r w:rsidRPr="00EA7210">
        <w:t>Factor Methodology</w:t>
      </w:r>
      <w:bookmarkEnd w:id="97"/>
    </w:p>
    <w:p w14:paraId="2C77D78F" w14:textId="77777777" w:rsidR="00A47429" w:rsidRPr="005A22C2" w:rsidRDefault="00217259" w:rsidP="006720A0">
      <w:proofErr w:type="gramStart"/>
      <w:r w:rsidRPr="005A22C2">
        <w:t>A number of</w:t>
      </w:r>
      <w:proofErr w:type="gramEnd"/>
      <w:r w:rsidR="001F49F8" w:rsidRPr="005A22C2" w:rsidDel="001A104C">
        <w:t xml:space="preserve"> </w:t>
      </w:r>
      <w:r w:rsidR="001F49F8" w:rsidRPr="005A22C2">
        <w:t>stakeholder</w:t>
      </w:r>
      <w:r w:rsidRPr="005A22C2">
        <w:t>s suggested that the current approac</w:t>
      </w:r>
      <w:r w:rsidR="009B1E7F" w:rsidRPr="005A22C2">
        <w:t xml:space="preserve">h, which determined </w:t>
      </w:r>
      <w:r w:rsidR="001F49F8" w:rsidRPr="005A22C2">
        <w:t>Location Factor</w:t>
      </w:r>
      <w:r w:rsidR="009B1E7F" w:rsidRPr="005A22C2">
        <w:t>s</w:t>
      </w:r>
      <w:r w:rsidR="001F49F8" w:rsidRPr="005A22C2">
        <w:t xml:space="preserve"> at an SA4 level</w:t>
      </w:r>
      <w:r w:rsidR="009B1E7F" w:rsidRPr="005A22C2">
        <w:t>,</w:t>
      </w:r>
      <w:r w:rsidR="001F49F8" w:rsidRPr="005A22C2">
        <w:t xml:space="preserve"> may be creating a perverse incentive for profit driven developers to seek out cheaper land options where investment returns may be more attractive, but participant outcomes impacted.</w:t>
      </w:r>
      <w:r w:rsidR="00A53FE7" w:rsidRPr="005A22C2">
        <w:t xml:space="preserve"> </w:t>
      </w:r>
      <w:r w:rsidR="001F49F8" w:rsidRPr="005A22C2">
        <w:t>To</w:t>
      </w:r>
      <w:r w:rsidR="00803B1F" w:rsidRPr="005A22C2">
        <w:t xml:space="preserve"> </w:t>
      </w:r>
      <w:r w:rsidR="001F49F8" w:rsidRPr="005A22C2">
        <w:t xml:space="preserve">encourage more equitable distribution of SDA across the community, stakeholders recommended that the Location Factors </w:t>
      </w:r>
      <w:r w:rsidR="009550B9" w:rsidRPr="005A22C2">
        <w:t>should be</w:t>
      </w:r>
      <w:r w:rsidR="001F49F8" w:rsidRPr="005A22C2">
        <w:t xml:space="preserve"> set at the SA3 in some densely populated areas (but not all of Australia) to encourage SDA in inner city, metropolitan areas where many participants want to live.</w:t>
      </w:r>
    </w:p>
    <w:p w14:paraId="5807878E" w14:textId="431AFEB8" w:rsidR="00A47429" w:rsidRPr="005A22C2" w:rsidRDefault="000C3694" w:rsidP="006720A0">
      <w:pPr>
        <w:rPr>
          <w:i/>
          <w:iCs/>
        </w:rPr>
      </w:pPr>
      <w:r w:rsidRPr="005A22C2">
        <w:t xml:space="preserve">One submission </w:t>
      </w:r>
      <w:r w:rsidR="00217259" w:rsidRPr="005A22C2">
        <w:t>suggested</w:t>
      </w:r>
      <w:r w:rsidR="001F49F8" w:rsidRPr="005A22C2">
        <w:t xml:space="preserve"> that the current</w:t>
      </w:r>
      <w:r w:rsidR="008D28E3" w:rsidRPr="005A22C2">
        <w:t xml:space="preserve"> Location Factor</w:t>
      </w:r>
      <w:r w:rsidR="001F49F8" w:rsidRPr="005A22C2">
        <w:t xml:space="preserve"> methodology fails to accurately reflect the requirements and costs of regional and remote locations across Queensland</w:t>
      </w:r>
      <w:r w:rsidR="001F49F8" w:rsidRPr="00702ADE">
        <w:t>.</w:t>
      </w:r>
      <w:r w:rsidR="002A687D" w:rsidRPr="00702ADE">
        <w:t xml:space="preserve"> </w:t>
      </w:r>
      <w:r w:rsidR="00916735" w:rsidRPr="00702ADE">
        <w:t>Excelsior Housing Services</w:t>
      </w:r>
      <w:r w:rsidR="00916735" w:rsidRPr="00702ADE" w:rsidDel="00916735">
        <w:t xml:space="preserve"> </w:t>
      </w:r>
      <w:r w:rsidR="001F49F8" w:rsidRPr="00702ADE">
        <w:t xml:space="preserve">suggested that a separate Regional and Remote factor </w:t>
      </w:r>
      <w:r w:rsidR="00217259" w:rsidRPr="00702ADE">
        <w:t xml:space="preserve">should </w:t>
      </w:r>
      <w:r w:rsidR="001F49F8" w:rsidRPr="00702ADE">
        <w:t>be established</w:t>
      </w:r>
      <w:r w:rsidR="001F49F8" w:rsidRPr="005A22C2">
        <w:t xml:space="preserve"> to encourage development in regional and thin markets.</w:t>
      </w:r>
      <w:r w:rsidR="00990CD8" w:rsidRPr="005A22C2">
        <w:t xml:space="preserve"> </w:t>
      </w:r>
      <w:r w:rsidR="007A4862" w:rsidRPr="005A22C2">
        <w:t>They</w:t>
      </w:r>
      <w:r w:rsidR="001F49F8" w:rsidRPr="005A22C2">
        <w:t xml:space="preserve"> observed that the supply </w:t>
      </w:r>
      <w:r w:rsidR="00217259" w:rsidRPr="005A22C2">
        <w:t xml:space="preserve">of </w:t>
      </w:r>
      <w:r w:rsidR="001F49F8" w:rsidRPr="005A22C2">
        <w:t xml:space="preserve">suitable land in the Central West and Far West and Orana SA4 regions </w:t>
      </w:r>
      <w:r w:rsidR="00217259" w:rsidRPr="005A22C2">
        <w:t xml:space="preserve">of New South Wales </w:t>
      </w:r>
      <w:r w:rsidR="001F49F8" w:rsidRPr="005A22C2">
        <w:t>is limited, with competition driving the actual cost of land between 250</w:t>
      </w:r>
      <w:r w:rsidR="000B239E">
        <w:t>%</w:t>
      </w:r>
      <w:r w:rsidR="001F49F8" w:rsidRPr="005A22C2">
        <w:t xml:space="preserve"> and 440</w:t>
      </w:r>
      <w:r w:rsidR="000B239E">
        <w:t>%</w:t>
      </w:r>
      <w:r w:rsidR="001F49F8" w:rsidRPr="005A22C2">
        <w:t xml:space="preserve"> higher than</w:t>
      </w:r>
      <w:r w:rsidR="00217259" w:rsidRPr="005A22C2">
        <w:t xml:space="preserve"> is</w:t>
      </w:r>
      <w:r w:rsidR="001F49F8" w:rsidRPr="005A22C2">
        <w:t xml:space="preserve"> assumed in the </w:t>
      </w:r>
      <w:r w:rsidR="00217259" w:rsidRPr="005A22C2">
        <w:t>current SDA pricing model.</w:t>
      </w:r>
    </w:p>
    <w:p w14:paraId="129F6701" w14:textId="6BD57229" w:rsidR="00C443B0" w:rsidRPr="005A22C2" w:rsidRDefault="00167264" w:rsidP="006720A0">
      <w:r>
        <w:t xml:space="preserve">A confidential submission </w:t>
      </w:r>
      <w:r w:rsidR="00181C33" w:rsidRPr="005A22C2">
        <w:t xml:space="preserve">opposed changing the </w:t>
      </w:r>
      <w:r w:rsidR="00217259" w:rsidRPr="005A22C2">
        <w:t xml:space="preserve">method by which </w:t>
      </w:r>
      <w:r w:rsidR="00181C33" w:rsidRPr="005A22C2">
        <w:t>Location Factors</w:t>
      </w:r>
      <w:r w:rsidR="00217259" w:rsidRPr="005A22C2">
        <w:t xml:space="preserve"> were determined</w:t>
      </w:r>
      <w:r w:rsidR="00181C33" w:rsidRPr="005A22C2">
        <w:t xml:space="preserve"> and </w:t>
      </w:r>
      <w:r w:rsidR="001F49F8" w:rsidRPr="005A22C2">
        <w:t xml:space="preserve">argued that </w:t>
      </w:r>
      <w:r w:rsidR="00D16F3F" w:rsidRPr="005A22C2">
        <w:t>setting Location Factors at an SA4 region allows for</w:t>
      </w:r>
      <w:r w:rsidR="001F49F8" w:rsidRPr="005A22C2">
        <w:t xml:space="preserve"> </w:t>
      </w:r>
      <w:r w:rsidR="00D16F3F" w:rsidRPr="005A22C2">
        <w:t>“</w:t>
      </w:r>
      <w:r w:rsidR="001F49F8" w:rsidRPr="00227419">
        <w:t>adequate choice of locations proximate to amenity in metropolitan areas</w:t>
      </w:r>
      <w:r w:rsidR="001F49F8" w:rsidRPr="005A22C2">
        <w:t>”</w:t>
      </w:r>
      <w:r w:rsidR="000C3694" w:rsidRPr="005A22C2">
        <w:t>.</w:t>
      </w:r>
    </w:p>
    <w:p w14:paraId="70E57643" w14:textId="6122E45B" w:rsidR="00A47429" w:rsidRPr="005A22C2" w:rsidRDefault="001F49F8" w:rsidP="006720A0">
      <w:r w:rsidRPr="005A22C2">
        <w:t xml:space="preserve">One stakeholder in the SDA Institutional Investors </w:t>
      </w:r>
      <w:r w:rsidR="00D84C52" w:rsidRPr="005A22C2">
        <w:t>Consultation Group</w:t>
      </w:r>
      <w:r w:rsidRPr="005A22C2">
        <w:t xml:space="preserve"> also urged caution about changing the current approach to determining Location Factors, noting that financial models and investment decisions have been informed by the current classifications set out in NDIS Pricing Arrangements for SDA.</w:t>
      </w:r>
    </w:p>
    <w:p w14:paraId="166692E2" w14:textId="139CD37D" w:rsidR="001F49F8" w:rsidRPr="005A22C2" w:rsidRDefault="001F49F8" w:rsidP="006720A0">
      <w:proofErr w:type="spellStart"/>
      <w:r w:rsidRPr="00702ADE">
        <w:lastRenderedPageBreak/>
        <w:t>PowerHousing</w:t>
      </w:r>
      <w:proofErr w:type="spellEnd"/>
      <w:r w:rsidRPr="00702ADE">
        <w:t xml:space="preserve"> Australia, however, acknowledged that the Location Factors cannot reasonably be expected to account for unforeseeable events.</w:t>
      </w:r>
      <w:r w:rsidR="00990CD8" w:rsidRPr="00702ADE">
        <w:t xml:space="preserve"> </w:t>
      </w:r>
      <w:proofErr w:type="spellStart"/>
      <w:r w:rsidR="00245B10" w:rsidRPr="00702ADE">
        <w:t>PowerHousing</w:t>
      </w:r>
      <w:proofErr w:type="spellEnd"/>
      <w:r w:rsidR="00245B10" w:rsidRPr="00702ADE">
        <w:t xml:space="preserve"> Australia</w:t>
      </w:r>
      <w:r w:rsidRPr="00702ADE">
        <w:t xml:space="preserve"> specifically cited the potential for land prices to decrease in the ACT </w:t>
      </w:r>
      <w:proofErr w:type="gramStart"/>
      <w:r w:rsidRPr="00702ADE">
        <w:t>as a result of</w:t>
      </w:r>
      <w:proofErr w:type="gramEnd"/>
      <w:r w:rsidRPr="00702ADE">
        <w:t xml:space="preserve"> changes to land release and use policy. To encourage greater flexibility in the Location Factors methodology</w:t>
      </w:r>
      <w:r w:rsidRPr="005A22C2">
        <w:t xml:space="preserve">, the submission recommended that the </w:t>
      </w:r>
      <w:r w:rsidR="00E43224" w:rsidRPr="005A22C2">
        <w:t xml:space="preserve">NDIA </w:t>
      </w:r>
      <w:r w:rsidRPr="005A22C2">
        <w:t>review pricing assumptions as significant events occur.</w:t>
      </w:r>
    </w:p>
    <w:p w14:paraId="4CFD4225" w14:textId="77777777" w:rsidR="00002585" w:rsidRPr="005A22C2" w:rsidRDefault="00002585" w:rsidP="006720A0">
      <w:pPr>
        <w:pStyle w:val="Heading1"/>
        <w:sectPr w:rsidR="00002585" w:rsidRPr="005A22C2" w:rsidSect="00736B3B">
          <w:pgSz w:w="11906" w:h="16838" w:code="9"/>
          <w:pgMar w:top="1418" w:right="1418" w:bottom="1418" w:left="1418" w:header="709" w:footer="709" w:gutter="0"/>
          <w:cols w:space="708"/>
          <w:titlePg/>
          <w:docGrid w:linePitch="360"/>
        </w:sectPr>
      </w:pPr>
      <w:bookmarkStart w:id="98" w:name="_Toc126595100"/>
      <w:bookmarkStart w:id="99" w:name="_Toc129783566"/>
    </w:p>
    <w:p w14:paraId="182B64FB" w14:textId="5719E574" w:rsidR="001249E7" w:rsidRPr="00EA7210" w:rsidRDefault="001249E7" w:rsidP="006720A0">
      <w:pPr>
        <w:pStyle w:val="Heading1"/>
        <w:rPr>
          <w:color w:val="6B2976"/>
        </w:rPr>
      </w:pPr>
      <w:bookmarkStart w:id="100" w:name="_Toc136006862"/>
      <w:bookmarkEnd w:id="98"/>
      <w:bookmarkEnd w:id="99"/>
      <w:r w:rsidRPr="00EA7210">
        <w:rPr>
          <w:color w:val="6B2976"/>
        </w:rPr>
        <w:lastRenderedPageBreak/>
        <w:t>Sprinkler Costs</w:t>
      </w:r>
      <w:bookmarkEnd w:id="100"/>
    </w:p>
    <w:p w14:paraId="51AD720E" w14:textId="2FCC632C" w:rsidR="005F51D6" w:rsidRPr="005A22C2" w:rsidRDefault="005F51D6" w:rsidP="006720A0">
      <w:r w:rsidRPr="005A22C2">
        <w:t xml:space="preserve">The </w:t>
      </w:r>
      <w:r w:rsidR="000F49BB" w:rsidRPr="005A22C2">
        <w:t>NDIA</w:t>
      </w:r>
      <w:r w:rsidRPr="005A22C2">
        <w:t xml:space="preserve"> received 16 written submissions </w:t>
      </w:r>
      <w:r w:rsidR="00F32F53" w:rsidRPr="005A22C2">
        <w:t xml:space="preserve">that responded </w:t>
      </w:r>
      <w:r w:rsidRPr="005A22C2">
        <w:t xml:space="preserve">to the following questions in the </w:t>
      </w:r>
      <w:r w:rsidRPr="005A22C2">
        <w:rPr>
          <w:i/>
          <w:iCs/>
        </w:rPr>
        <w:t>SDA Pricing Review Consultation Paper</w:t>
      </w:r>
      <w:r w:rsidRPr="005A22C2">
        <w:t>:</w:t>
      </w:r>
    </w:p>
    <w:p w14:paraId="09FF3C9D" w14:textId="77777777" w:rsidR="00A47429" w:rsidRPr="00132E0C" w:rsidRDefault="005F51D6" w:rsidP="00132E0C">
      <w:pPr>
        <w:pStyle w:val="Quote"/>
        <w:numPr>
          <w:ilvl w:val="0"/>
          <w:numId w:val="32"/>
        </w:numPr>
        <w:rPr>
          <w:i w:val="0"/>
          <w:iCs w:val="0"/>
        </w:rPr>
      </w:pPr>
      <w:r w:rsidRPr="00132E0C">
        <w:rPr>
          <w:i w:val="0"/>
          <w:iCs w:val="0"/>
        </w:rPr>
        <w:t>Is the current methodology by which the NDIA accounts for sprinklers in estimating the construction cost of a New Build appropriate?</w:t>
      </w:r>
    </w:p>
    <w:p w14:paraId="636CAEB6" w14:textId="77777777" w:rsidR="00A47429" w:rsidRPr="00132E0C" w:rsidRDefault="005F51D6" w:rsidP="00132E0C">
      <w:pPr>
        <w:pStyle w:val="Quote"/>
        <w:numPr>
          <w:ilvl w:val="0"/>
          <w:numId w:val="32"/>
        </w:numPr>
        <w:rPr>
          <w:i w:val="0"/>
          <w:iCs w:val="0"/>
        </w:rPr>
      </w:pPr>
      <w:r w:rsidRPr="00132E0C">
        <w:rPr>
          <w:i w:val="0"/>
          <w:iCs w:val="0"/>
        </w:rPr>
        <w:t>Is it appropriate to use the same adjustment for sprinklers for all Building Types, Design Categories and Regions?</w:t>
      </w:r>
    </w:p>
    <w:p w14:paraId="05FD5237" w14:textId="1FC4FEB8" w:rsidR="005F51D6" w:rsidRPr="00132E0C" w:rsidRDefault="005F51D6" w:rsidP="00132E0C">
      <w:pPr>
        <w:pStyle w:val="Quote"/>
        <w:numPr>
          <w:ilvl w:val="0"/>
          <w:numId w:val="32"/>
        </w:numPr>
        <w:rPr>
          <w:i w:val="0"/>
          <w:iCs w:val="0"/>
        </w:rPr>
      </w:pPr>
      <w:r w:rsidRPr="00132E0C">
        <w:rPr>
          <w:i w:val="0"/>
          <w:iCs w:val="0"/>
        </w:rPr>
        <w:t>Do the current sprinkler pricing arrangements provide an appropriate incentive for the installation of sprinklers given the mobility needs of some participants? Would it be more appropriate to require the installation of sprinklers in all New Builds?</w:t>
      </w:r>
    </w:p>
    <w:p w14:paraId="6247B443" w14:textId="2E2A1D49" w:rsidR="005F51D6" w:rsidRPr="005A22C2" w:rsidRDefault="005F51D6" w:rsidP="006720A0">
      <w:r w:rsidRPr="005A22C2">
        <w:t xml:space="preserve">Issues about </w:t>
      </w:r>
      <w:r w:rsidR="000F49BB" w:rsidRPr="005A22C2">
        <w:t xml:space="preserve">the capital and recurrent costs of </w:t>
      </w:r>
      <w:r w:rsidRPr="005A22C2">
        <w:t>sprinkler</w:t>
      </w:r>
      <w:r w:rsidR="00BC3133" w:rsidRPr="005A22C2">
        <w:t>s</w:t>
      </w:r>
      <w:r w:rsidR="000F49BB" w:rsidRPr="005A22C2">
        <w:t xml:space="preserve"> </w:t>
      </w:r>
      <w:r w:rsidRPr="005A22C2">
        <w:t xml:space="preserve">were also raised in </w:t>
      </w:r>
      <w:r w:rsidR="00F32F53" w:rsidRPr="005A22C2">
        <w:t>many</w:t>
      </w:r>
      <w:r w:rsidR="00015873" w:rsidRPr="005A22C2">
        <w:t xml:space="preserve"> </w:t>
      </w:r>
      <w:r w:rsidRPr="005A22C2">
        <w:t>of the Consultation Groups.</w:t>
      </w:r>
    </w:p>
    <w:p w14:paraId="17BCBC80" w14:textId="575F07C5" w:rsidR="00711013" w:rsidRPr="005A22C2" w:rsidRDefault="008469FC" w:rsidP="006720A0">
      <w:pPr>
        <w:pStyle w:val="Heading2"/>
      </w:pPr>
      <w:bookmarkStart w:id="101" w:name="_Toc126595101"/>
      <w:bookmarkStart w:id="102" w:name="_Toc129783567"/>
      <w:bookmarkStart w:id="103" w:name="_Toc136006863"/>
      <w:r w:rsidRPr="005A22C2">
        <w:t>Need for</w:t>
      </w:r>
      <w:r w:rsidR="00711013" w:rsidRPr="005A22C2">
        <w:t xml:space="preserve"> </w:t>
      </w:r>
      <w:r w:rsidR="005F51D6" w:rsidRPr="005A22C2">
        <w:t>S</w:t>
      </w:r>
      <w:r w:rsidR="00711013" w:rsidRPr="005A22C2">
        <w:t>prinklers</w:t>
      </w:r>
      <w:bookmarkEnd w:id="101"/>
      <w:bookmarkEnd w:id="102"/>
      <w:bookmarkEnd w:id="103"/>
    </w:p>
    <w:p w14:paraId="3994FD45" w14:textId="03A8F749" w:rsidR="000F49BB" w:rsidRPr="005A22C2" w:rsidRDefault="00860F67" w:rsidP="006720A0">
      <w:r w:rsidRPr="005A22C2">
        <w:t>Stakeholders</w:t>
      </w:r>
      <w:r w:rsidR="00937517" w:rsidRPr="005A22C2">
        <w:t xml:space="preserve"> </w:t>
      </w:r>
      <w:r w:rsidRPr="005A22C2">
        <w:t>expressed</w:t>
      </w:r>
      <w:r w:rsidR="00711013" w:rsidRPr="005A22C2">
        <w:t xml:space="preserve"> </w:t>
      </w:r>
      <w:r w:rsidR="008469FC" w:rsidRPr="005A22C2">
        <w:t>varying views</w:t>
      </w:r>
      <w:r w:rsidR="00711013" w:rsidRPr="005A22C2">
        <w:t xml:space="preserve"> about the </w:t>
      </w:r>
      <w:r w:rsidR="002C42E5" w:rsidRPr="005A22C2">
        <w:t xml:space="preserve">need for </w:t>
      </w:r>
      <w:r w:rsidR="00711013" w:rsidRPr="005A22C2">
        <w:t xml:space="preserve">installing sprinklers in </w:t>
      </w:r>
      <w:r w:rsidRPr="005A22C2">
        <w:t xml:space="preserve">SDA, with </w:t>
      </w:r>
      <w:r w:rsidR="00711013" w:rsidRPr="005A22C2">
        <w:t>strong views both for and against sprinkler</w:t>
      </w:r>
      <w:r w:rsidRPr="005A22C2">
        <w:t>s</w:t>
      </w:r>
      <w:r w:rsidR="005F51D6" w:rsidRPr="005A22C2">
        <w:t xml:space="preserve">. </w:t>
      </w:r>
      <w:r w:rsidR="00711013" w:rsidRPr="005A22C2">
        <w:t xml:space="preserve">One stakeholder from the </w:t>
      </w:r>
      <w:r w:rsidR="00D4593A" w:rsidRPr="005A22C2">
        <w:t xml:space="preserve">New South Wales and Australian Capital Territory </w:t>
      </w:r>
      <w:r w:rsidR="00D84C52" w:rsidRPr="005A22C2">
        <w:t>Consultation Group</w:t>
      </w:r>
      <w:r w:rsidR="00711013" w:rsidRPr="005A22C2">
        <w:t xml:space="preserve"> </w:t>
      </w:r>
      <w:r w:rsidR="005361D4" w:rsidRPr="005A22C2">
        <w:t>stated</w:t>
      </w:r>
      <w:r w:rsidR="00711013" w:rsidRPr="005A22C2">
        <w:t xml:space="preserve"> that while they </w:t>
      </w:r>
      <w:r w:rsidR="00EB3212" w:rsidRPr="005A22C2">
        <w:t xml:space="preserve">do not build to </w:t>
      </w:r>
      <w:r w:rsidR="00002585" w:rsidRPr="005A22C2">
        <w:t xml:space="preserve">the </w:t>
      </w:r>
      <w:r w:rsidR="00EB3212" w:rsidRPr="005A22C2">
        <w:t xml:space="preserve">full provisions of </w:t>
      </w:r>
      <w:r w:rsidR="005F51D6" w:rsidRPr="005A22C2">
        <w:t>Building</w:t>
      </w:r>
      <w:r w:rsidR="00013C4B" w:rsidRPr="005A22C2">
        <w:t xml:space="preserve"> </w:t>
      </w:r>
      <w:r w:rsidR="00EB3212" w:rsidRPr="005A22C2">
        <w:t>Class 3,</w:t>
      </w:r>
      <w:r w:rsidR="00711013" w:rsidRPr="005A22C2">
        <w:t xml:space="preserve"> t</w:t>
      </w:r>
      <w:r w:rsidR="00EB3212" w:rsidRPr="005A22C2">
        <w:t xml:space="preserve">heir </w:t>
      </w:r>
      <w:r w:rsidR="00711013" w:rsidRPr="005A22C2">
        <w:t xml:space="preserve">organisation would not operate </w:t>
      </w:r>
      <w:r w:rsidR="00002585" w:rsidRPr="005A22C2">
        <w:t xml:space="preserve">SDA </w:t>
      </w:r>
      <w:r w:rsidR="00711013" w:rsidRPr="005A22C2">
        <w:t>propert</w:t>
      </w:r>
      <w:r w:rsidR="00002585" w:rsidRPr="005A22C2">
        <w:t>ies</w:t>
      </w:r>
      <w:r w:rsidR="00711013" w:rsidRPr="005A22C2">
        <w:t xml:space="preserve"> without sprinklers</w:t>
      </w:r>
      <w:r w:rsidR="00002585" w:rsidRPr="005A22C2">
        <w:t xml:space="preserve"> as</w:t>
      </w:r>
      <w:r w:rsidR="00F51B3F" w:rsidRPr="005A22C2">
        <w:t xml:space="preserve"> </w:t>
      </w:r>
      <w:r w:rsidR="0015167C" w:rsidRPr="005A22C2">
        <w:t>this enabled them</w:t>
      </w:r>
      <w:r w:rsidR="00BC3133" w:rsidRPr="005A22C2">
        <w:t xml:space="preserve"> “</w:t>
      </w:r>
      <w:r w:rsidR="000F49BB" w:rsidRPr="00227419">
        <w:t xml:space="preserve">to </w:t>
      </w:r>
      <w:r w:rsidR="00711013" w:rsidRPr="00227419">
        <w:t>sleep soundly at night knowing that service provision has been delivered in a property that is suitable for a person living with disability</w:t>
      </w:r>
      <w:r w:rsidR="00BC3133" w:rsidRPr="005A22C2">
        <w:t>”</w:t>
      </w:r>
      <w:r w:rsidR="000F49BB" w:rsidRPr="005A22C2">
        <w:t>.</w:t>
      </w:r>
    </w:p>
    <w:p w14:paraId="71E3F3CA" w14:textId="790D5A7E" w:rsidR="00C02045" w:rsidRPr="005A22C2" w:rsidRDefault="00711013" w:rsidP="006720A0">
      <w:pPr>
        <w:rPr>
          <w:color w:val="000000" w:themeColor="text1"/>
        </w:rPr>
      </w:pPr>
      <w:r w:rsidRPr="005A22C2">
        <w:t xml:space="preserve">Another stakeholder, from the Victoria </w:t>
      </w:r>
      <w:r w:rsidR="00D84C52" w:rsidRPr="005A22C2">
        <w:t>Consultation Group</w:t>
      </w:r>
      <w:r w:rsidRPr="005A22C2">
        <w:t xml:space="preserve">, cited </w:t>
      </w:r>
      <w:proofErr w:type="gramStart"/>
      <w:r w:rsidRPr="005A22C2">
        <w:t>a number of</w:t>
      </w:r>
      <w:proofErr w:type="gramEnd"/>
      <w:r w:rsidRPr="005A22C2">
        <w:t xml:space="preserve"> serious, fire-related incidents </w:t>
      </w:r>
      <w:r w:rsidR="00EB3212" w:rsidRPr="005A22C2">
        <w:t>across the sector</w:t>
      </w:r>
      <w:r w:rsidRPr="005A22C2">
        <w:t xml:space="preserve"> </w:t>
      </w:r>
      <w:r w:rsidR="00EB3212" w:rsidRPr="005A22C2">
        <w:t>as justification for the inclusion of sprinklers</w:t>
      </w:r>
      <w:r w:rsidRPr="005A22C2">
        <w:t xml:space="preserve"> in SDA</w:t>
      </w:r>
      <w:r w:rsidR="00002585" w:rsidRPr="005A22C2">
        <w:t xml:space="preserve"> </w:t>
      </w:r>
      <w:r w:rsidR="00002585" w:rsidRPr="00702ADE">
        <w:t>dwellings.</w:t>
      </w:r>
      <w:r w:rsidR="002A687D" w:rsidRPr="00702ADE">
        <w:t xml:space="preserve"> </w:t>
      </w:r>
      <w:r w:rsidR="009D431C" w:rsidRPr="00702ADE">
        <w:rPr>
          <w:color w:val="000000" w:themeColor="text1"/>
        </w:rPr>
        <w:t xml:space="preserve">Home Fire Sprinkler Coalition Australia emphasised </w:t>
      </w:r>
      <w:r w:rsidR="00EC0F42" w:rsidRPr="00702ADE">
        <w:rPr>
          <w:color w:val="000000" w:themeColor="text1"/>
        </w:rPr>
        <w:t xml:space="preserve">that </w:t>
      </w:r>
      <w:r w:rsidR="00C0142F" w:rsidRPr="00702ADE">
        <w:rPr>
          <w:color w:val="000000" w:themeColor="text1"/>
        </w:rPr>
        <w:t xml:space="preserve">sprinklers are effective in reducing the risks posed by typical modern home fires </w:t>
      </w:r>
      <w:r w:rsidR="00EC0F42" w:rsidRPr="00702ADE">
        <w:rPr>
          <w:color w:val="000000" w:themeColor="text1"/>
        </w:rPr>
        <w:t xml:space="preserve">and </w:t>
      </w:r>
      <w:r w:rsidR="00FB0370" w:rsidRPr="00702ADE">
        <w:rPr>
          <w:color w:val="000000" w:themeColor="text1"/>
        </w:rPr>
        <w:t>suggested that</w:t>
      </w:r>
      <w:r w:rsidR="00EC0F42" w:rsidRPr="00702ADE">
        <w:rPr>
          <w:color w:val="000000" w:themeColor="text1"/>
        </w:rPr>
        <w:t xml:space="preserve"> Australian and international</w:t>
      </w:r>
      <w:r w:rsidR="00EC0F42" w:rsidRPr="005A22C2">
        <w:rPr>
          <w:color w:val="000000" w:themeColor="text1"/>
        </w:rPr>
        <w:t xml:space="preserve"> studies </w:t>
      </w:r>
      <w:r w:rsidR="00AA38A1" w:rsidRPr="005A22C2">
        <w:rPr>
          <w:color w:val="000000" w:themeColor="text1"/>
        </w:rPr>
        <w:t xml:space="preserve">indicated </w:t>
      </w:r>
      <w:r w:rsidR="00E02B32" w:rsidRPr="005A22C2">
        <w:rPr>
          <w:color w:val="000000" w:themeColor="text1"/>
        </w:rPr>
        <w:t>there is a</w:t>
      </w:r>
      <w:r w:rsidR="00AA38A1" w:rsidRPr="005A22C2">
        <w:rPr>
          <w:color w:val="000000" w:themeColor="text1"/>
        </w:rPr>
        <w:t xml:space="preserve"> </w:t>
      </w:r>
      <w:r w:rsidR="00EC0F42" w:rsidRPr="005A22C2">
        <w:rPr>
          <w:color w:val="000000" w:themeColor="text1"/>
        </w:rPr>
        <w:t>90</w:t>
      </w:r>
      <w:r w:rsidR="000B239E">
        <w:rPr>
          <w:color w:val="000000" w:themeColor="text1"/>
        </w:rPr>
        <w:t>%</w:t>
      </w:r>
      <w:r w:rsidR="00EC0F42" w:rsidRPr="005A22C2">
        <w:rPr>
          <w:color w:val="000000" w:themeColor="text1"/>
        </w:rPr>
        <w:t xml:space="preserve"> improvement in occupant survivability for sprinklered buildings</w:t>
      </w:r>
      <w:r w:rsidR="00FC25D5" w:rsidRPr="005A22C2">
        <w:rPr>
          <w:color w:val="000000" w:themeColor="text1"/>
        </w:rPr>
        <w:t>.</w:t>
      </w:r>
    </w:p>
    <w:p w14:paraId="0AB05634" w14:textId="77777777" w:rsidR="006B600F" w:rsidRPr="005A22C2" w:rsidRDefault="000F49BB" w:rsidP="006720A0">
      <w:r w:rsidRPr="005A22C2">
        <w:t>Written submissions from several stakeholders recommended that sprinklers should be mandated in all new SDA builds because of the importance of sprinklers for participant safety.</w:t>
      </w:r>
      <w:r w:rsidR="00BC3133" w:rsidRPr="005A22C2">
        <w:t xml:space="preserve"> </w:t>
      </w:r>
      <w:r w:rsidR="00AA38A1" w:rsidRPr="005A22C2">
        <w:rPr>
          <w:iCs/>
        </w:rPr>
        <w:t>However, some</w:t>
      </w:r>
      <w:r w:rsidR="00593150" w:rsidRPr="005A22C2">
        <w:t xml:space="preserve"> s</w:t>
      </w:r>
      <w:r w:rsidR="00860B86" w:rsidRPr="005A22C2">
        <w:t xml:space="preserve">takeholders </w:t>
      </w:r>
      <w:r w:rsidR="001928AC" w:rsidRPr="005A22C2">
        <w:rPr>
          <w:iCs/>
        </w:rPr>
        <w:t>disputed</w:t>
      </w:r>
      <w:r w:rsidR="00860B86" w:rsidRPr="005A22C2">
        <w:t xml:space="preserve"> the </w:t>
      </w:r>
      <w:r w:rsidR="003668C8" w:rsidRPr="005A22C2">
        <w:rPr>
          <w:iCs/>
        </w:rPr>
        <w:t>necessity</w:t>
      </w:r>
      <w:r w:rsidR="00860B86" w:rsidRPr="005A22C2">
        <w:t xml:space="preserve"> of sprinklers in SDA</w:t>
      </w:r>
      <w:r w:rsidR="00711013" w:rsidRPr="005A22C2">
        <w:t>, especially when their additional cost</w:t>
      </w:r>
      <w:r w:rsidR="008016AD" w:rsidRPr="005A22C2">
        <w:t xml:space="preserve"> and</w:t>
      </w:r>
      <w:r w:rsidRPr="005A22C2">
        <w:t xml:space="preserve"> their</w:t>
      </w:r>
      <w:r w:rsidR="008016AD" w:rsidRPr="005A22C2">
        <w:t xml:space="preserve"> </w:t>
      </w:r>
      <w:r w:rsidR="003668C8" w:rsidRPr="005A22C2">
        <w:t xml:space="preserve">impact on a </w:t>
      </w:r>
      <w:r w:rsidR="003668C8" w:rsidRPr="005A22C2">
        <w:rPr>
          <w:iCs/>
        </w:rPr>
        <w:t>building</w:t>
      </w:r>
      <w:r w:rsidR="00034174" w:rsidRPr="005A22C2">
        <w:rPr>
          <w:iCs/>
        </w:rPr>
        <w:t>’s amenity</w:t>
      </w:r>
      <w:r w:rsidRPr="005A22C2">
        <w:rPr>
          <w:iCs/>
        </w:rPr>
        <w:t xml:space="preserve"> were </w:t>
      </w:r>
      <w:proofErr w:type="gramStart"/>
      <w:r w:rsidRPr="005A22C2">
        <w:rPr>
          <w:iCs/>
        </w:rPr>
        <w:t>taken into account</w:t>
      </w:r>
      <w:proofErr w:type="gramEnd"/>
      <w:r w:rsidR="00711013" w:rsidRPr="005A22C2">
        <w:t xml:space="preserve">. </w:t>
      </w:r>
      <w:r w:rsidR="00A97FA6" w:rsidRPr="005A22C2">
        <w:t xml:space="preserve">For example, a </w:t>
      </w:r>
      <w:r w:rsidR="00BD1273" w:rsidRPr="005A22C2">
        <w:t xml:space="preserve">stakeholder in the Victoria </w:t>
      </w:r>
      <w:r w:rsidR="00D84C52" w:rsidRPr="005A22C2">
        <w:t>Consultation Group</w:t>
      </w:r>
      <w:r w:rsidR="00BD1273" w:rsidRPr="005A22C2">
        <w:t xml:space="preserve"> suggested that</w:t>
      </w:r>
      <w:r w:rsidR="004D198E" w:rsidRPr="005A22C2">
        <w:t xml:space="preserve"> </w:t>
      </w:r>
      <w:r w:rsidR="00711013" w:rsidRPr="005A22C2">
        <w:t>the requirement for Class 3 features in SDA</w:t>
      </w:r>
      <w:r w:rsidR="00BC3133" w:rsidRPr="005A22C2">
        <w:t xml:space="preserve"> “</w:t>
      </w:r>
      <w:r w:rsidR="001316ED" w:rsidRPr="00227419">
        <w:t>can</w:t>
      </w:r>
      <w:r w:rsidR="00711013" w:rsidRPr="00227419">
        <w:t xml:space="preserve"> create a more institutional feel to the home – which is what SDA is designed not to do</w:t>
      </w:r>
      <w:r w:rsidR="00BC3133" w:rsidRPr="005A22C2">
        <w:t>”</w:t>
      </w:r>
      <w:r w:rsidR="001316ED" w:rsidRPr="005A22C2">
        <w:t>.</w:t>
      </w:r>
      <w:r w:rsidR="00BC3133" w:rsidRPr="005A22C2">
        <w:t xml:space="preserve"> </w:t>
      </w:r>
    </w:p>
    <w:p w14:paraId="0E88E6B3" w14:textId="78AFC89E" w:rsidR="00711013" w:rsidRPr="005A22C2" w:rsidRDefault="006E7519" w:rsidP="006720A0">
      <w:r w:rsidRPr="005A22C2">
        <w:lastRenderedPageBreak/>
        <w:t xml:space="preserve">This concern was echoed in </w:t>
      </w:r>
      <w:r w:rsidR="005F51D6" w:rsidRPr="005A22C2">
        <w:t xml:space="preserve">the submission </w:t>
      </w:r>
      <w:r w:rsidR="003D380F" w:rsidRPr="005A22C2">
        <w:t>b</w:t>
      </w:r>
      <w:r w:rsidR="003D380F" w:rsidRPr="00702ADE">
        <w:t>y</w:t>
      </w:r>
      <w:r w:rsidRPr="00702ADE">
        <w:t xml:space="preserve"> NDISP, </w:t>
      </w:r>
      <w:r w:rsidR="0053553C" w:rsidRPr="00702ADE">
        <w:t>which</w:t>
      </w:r>
      <w:r w:rsidR="008029DD" w:rsidRPr="00702ADE">
        <w:t xml:space="preserve"> </w:t>
      </w:r>
      <w:r w:rsidR="005361D4" w:rsidRPr="00702ADE">
        <w:t>stated</w:t>
      </w:r>
      <w:r w:rsidR="008029DD" w:rsidRPr="00702ADE">
        <w:t xml:space="preserve"> </w:t>
      </w:r>
      <w:r w:rsidR="00843A1B" w:rsidRPr="00702ADE">
        <w:t xml:space="preserve">that </w:t>
      </w:r>
      <w:r w:rsidR="00052176" w:rsidRPr="00702ADE">
        <w:t xml:space="preserve">institutional-looking sprinkler systems with fire panels are not </w:t>
      </w:r>
      <w:r w:rsidR="00843A1B" w:rsidRPr="00702ADE">
        <w:t>required</w:t>
      </w:r>
      <w:r w:rsidR="00843A1B" w:rsidRPr="005A22C2">
        <w:t xml:space="preserve"> </w:t>
      </w:r>
      <w:r w:rsidR="00002585" w:rsidRPr="005A22C2">
        <w:t>for</w:t>
      </w:r>
      <w:r w:rsidR="00843A1B" w:rsidRPr="005A22C2">
        <w:t xml:space="preserve"> other cohorts who may have difficult</w:t>
      </w:r>
      <w:r w:rsidR="00B03C1D" w:rsidRPr="005A22C2">
        <w:t>y</w:t>
      </w:r>
      <w:r w:rsidR="00843A1B" w:rsidRPr="005A22C2">
        <w:t xml:space="preserve"> evacuating</w:t>
      </w:r>
      <w:r w:rsidR="00B03C1D" w:rsidRPr="005A22C2">
        <w:t xml:space="preserve"> on their own</w:t>
      </w:r>
      <w:r w:rsidR="00141A7F" w:rsidRPr="005A22C2">
        <w:t xml:space="preserve">, such as children or elderly persons, and therefore questioned why they </w:t>
      </w:r>
      <w:r w:rsidR="00002585" w:rsidRPr="005A22C2">
        <w:t>should be</w:t>
      </w:r>
      <w:r w:rsidR="00141A7F" w:rsidRPr="005A22C2">
        <w:t xml:space="preserve"> mandated in SDA.</w:t>
      </w:r>
    </w:p>
    <w:p w14:paraId="35071BB2" w14:textId="000BC4AD" w:rsidR="00711013" w:rsidRPr="005A22C2" w:rsidRDefault="00711013" w:rsidP="006720A0">
      <w:r w:rsidRPr="005A22C2">
        <w:t xml:space="preserve">Another stakeholder, from the Western Australia </w:t>
      </w:r>
      <w:r w:rsidR="00D84C52" w:rsidRPr="005A22C2">
        <w:t>Consultation Group</w:t>
      </w:r>
      <w:r w:rsidRPr="005A22C2">
        <w:t xml:space="preserve">, suggested that </w:t>
      </w:r>
      <w:r w:rsidR="002C7950" w:rsidRPr="005A22C2">
        <w:t xml:space="preserve">most operators adopt fire prevention </w:t>
      </w:r>
      <w:r w:rsidR="007A4F51" w:rsidRPr="005A22C2">
        <w:t>approaches, with appliance tagging, electrical system maintenance</w:t>
      </w:r>
      <w:r w:rsidR="005222CB" w:rsidRPr="005A22C2">
        <w:t>,</w:t>
      </w:r>
      <w:r w:rsidR="007A4F51" w:rsidRPr="005A22C2">
        <w:t xml:space="preserve"> </w:t>
      </w:r>
      <w:r w:rsidRPr="005A22C2">
        <w:t>smoke detectors and effective management of candles and decorations by support workers</w:t>
      </w:r>
      <w:r w:rsidR="007A4F51" w:rsidRPr="005A22C2">
        <w:t xml:space="preserve"> reducing the risk of a critical incident</w:t>
      </w:r>
      <w:r w:rsidRPr="005A22C2">
        <w:t xml:space="preserve">. The stakeholder suggested that the risk of flow on problems if something goes wrong with sprinkler system, such as </w:t>
      </w:r>
      <w:r w:rsidR="00DD0ED1" w:rsidRPr="005A22C2">
        <w:t xml:space="preserve">disruption, </w:t>
      </w:r>
      <w:r w:rsidRPr="005A22C2">
        <w:t>damage to electrical equipment, flooring</w:t>
      </w:r>
      <w:r w:rsidR="00A97FA6" w:rsidRPr="005A22C2">
        <w:t>,</w:t>
      </w:r>
      <w:r w:rsidRPr="005A22C2">
        <w:t xml:space="preserve"> and personal belongings, </w:t>
      </w:r>
      <w:r w:rsidR="005F51D6" w:rsidRPr="005A22C2">
        <w:t xml:space="preserve">also </w:t>
      </w:r>
      <w:r w:rsidRPr="005A22C2">
        <w:t>influenced their decision not to include sprinklers.</w:t>
      </w:r>
    </w:p>
    <w:p w14:paraId="46DEC55C" w14:textId="5B32DF5E" w:rsidR="00D16565" w:rsidRPr="00702ADE" w:rsidRDefault="00BA1CE4" w:rsidP="00D16565">
      <w:r>
        <w:t>It should be noted</w:t>
      </w:r>
      <w:r w:rsidR="003B1452">
        <w:t xml:space="preserve"> that t</w:t>
      </w:r>
      <w:r w:rsidR="00711013" w:rsidRPr="005A22C2">
        <w:t xml:space="preserve">he effectiveness of sprinklers in preventing </w:t>
      </w:r>
      <w:r w:rsidR="005A7D74" w:rsidRPr="005A22C2">
        <w:t>serious harm</w:t>
      </w:r>
      <w:r w:rsidR="00F32F53" w:rsidRPr="005A22C2">
        <w:t xml:space="preserve"> to </w:t>
      </w:r>
      <w:r w:rsidR="00711013" w:rsidRPr="005A22C2">
        <w:t xml:space="preserve">SDA residents was </w:t>
      </w:r>
      <w:r w:rsidR="005F51D6" w:rsidRPr="005A22C2">
        <w:t xml:space="preserve">also </w:t>
      </w:r>
      <w:r w:rsidR="00711013" w:rsidRPr="005A22C2">
        <w:t>questioned by some stakeholders.</w:t>
      </w:r>
      <w:r w:rsidR="002A687D" w:rsidRPr="005A22C2">
        <w:t xml:space="preserve"> </w:t>
      </w:r>
    </w:p>
    <w:p w14:paraId="4A0FAC3B" w14:textId="302B45CC" w:rsidR="00D04C6A" w:rsidRPr="00DE5446" w:rsidRDefault="001316ED" w:rsidP="006720A0">
      <w:r w:rsidRPr="00702ADE">
        <w:t>MyLife Housing also</w:t>
      </w:r>
      <w:r w:rsidRPr="005A22C2">
        <w:t xml:space="preserve"> </w:t>
      </w:r>
      <w:r w:rsidR="005361D4" w:rsidRPr="005A22C2">
        <w:t>stated</w:t>
      </w:r>
      <w:r w:rsidRPr="005A22C2">
        <w:t xml:space="preserve"> that sprinklers are only one component of an overall fire engineering brief, and that in some cases, an alternative solution may provide better fire safety. </w:t>
      </w:r>
      <w:r w:rsidR="00D04C6A" w:rsidRPr="005A22C2">
        <w:t xml:space="preserve">One stakeholder from the South Australia and Northern Territory </w:t>
      </w:r>
      <w:r w:rsidR="00D84C52" w:rsidRPr="005A22C2">
        <w:t>Consultation Group</w:t>
      </w:r>
      <w:r w:rsidR="00D04C6A" w:rsidRPr="005A22C2">
        <w:t xml:space="preserve"> suggested that the presence of 24-hour support workers on site reduced the need for sprinklers in their SDA properties</w:t>
      </w:r>
      <w:r w:rsidR="003B1452">
        <w:t xml:space="preserve">. </w:t>
      </w:r>
    </w:p>
    <w:p w14:paraId="144C72D3" w14:textId="43911136" w:rsidR="00624C86" w:rsidRPr="005A22C2" w:rsidRDefault="00711013" w:rsidP="006720A0">
      <w:r w:rsidRPr="005A22C2">
        <w:t xml:space="preserve">There </w:t>
      </w:r>
      <w:r w:rsidR="00257AC6" w:rsidRPr="005A22C2">
        <w:t>are</w:t>
      </w:r>
      <w:r w:rsidRPr="005A22C2">
        <w:t xml:space="preserve"> also state-based difference</w:t>
      </w:r>
      <w:r w:rsidR="00257AC6" w:rsidRPr="005A22C2">
        <w:t>s. O</w:t>
      </w:r>
      <w:r w:rsidRPr="005A22C2">
        <w:t xml:space="preserve">ne stakeholder </w:t>
      </w:r>
      <w:r w:rsidR="005361D4" w:rsidRPr="005A22C2">
        <w:t>stated</w:t>
      </w:r>
      <w:r w:rsidRPr="005A22C2">
        <w:t xml:space="preserve"> that</w:t>
      </w:r>
      <w:r w:rsidR="000F49BB" w:rsidRPr="005A22C2">
        <w:t>,</w:t>
      </w:r>
      <w:r w:rsidRPr="005A22C2">
        <w:t xml:space="preserve"> </w:t>
      </w:r>
      <w:proofErr w:type="gramStart"/>
      <w:r w:rsidR="001B0709" w:rsidRPr="005A22C2">
        <w:t>with the exception of</w:t>
      </w:r>
      <w:proofErr w:type="gramEnd"/>
      <w:r w:rsidR="001B0709" w:rsidRPr="005A22C2">
        <w:t xml:space="preserve"> Victoria</w:t>
      </w:r>
      <w:r w:rsidRPr="005A22C2">
        <w:t xml:space="preserve">, </w:t>
      </w:r>
      <w:r w:rsidR="00E174E7" w:rsidRPr="005A22C2">
        <w:t>local building regulations</w:t>
      </w:r>
      <w:r w:rsidRPr="005A22C2">
        <w:t xml:space="preserve"> required </w:t>
      </w:r>
      <w:r w:rsidR="00091A03" w:rsidRPr="005A22C2">
        <w:t>the bedrooms in</w:t>
      </w:r>
      <w:r w:rsidRPr="005A22C2">
        <w:t xml:space="preserve"> </w:t>
      </w:r>
      <w:r w:rsidR="00861B89" w:rsidRPr="005A22C2">
        <w:t xml:space="preserve">Class 3 buildings </w:t>
      </w:r>
      <w:r w:rsidR="003640DB" w:rsidRPr="005A22C2">
        <w:t>to be</w:t>
      </w:r>
      <w:r w:rsidR="006819E2" w:rsidRPr="005A22C2">
        <w:t xml:space="preserve"> compartmentali</w:t>
      </w:r>
      <w:r w:rsidR="00623D40" w:rsidRPr="005A22C2">
        <w:t>s</w:t>
      </w:r>
      <w:r w:rsidR="006819E2" w:rsidRPr="005A22C2">
        <w:t>ed to contain the spread of fire,</w:t>
      </w:r>
      <w:r w:rsidRPr="005A22C2">
        <w:t xml:space="preserve"> </w:t>
      </w:r>
      <w:r w:rsidR="001B0709" w:rsidRPr="005A22C2">
        <w:t>regardless of the presence of sprinklers</w:t>
      </w:r>
      <w:r w:rsidRPr="005A22C2">
        <w:t xml:space="preserve">. The stakeholder </w:t>
      </w:r>
      <w:r w:rsidR="005361D4" w:rsidRPr="005A22C2">
        <w:t>stated</w:t>
      </w:r>
      <w:r w:rsidRPr="005A22C2">
        <w:t xml:space="preserve"> that </w:t>
      </w:r>
      <w:r w:rsidR="0051061D" w:rsidRPr="005A22C2">
        <w:t>in these cases, sprinklers added</w:t>
      </w:r>
      <w:r w:rsidRPr="005A22C2">
        <w:t xml:space="preserve"> an additional cost</w:t>
      </w:r>
      <w:r w:rsidR="005F51D6" w:rsidRPr="005A22C2">
        <w:t>.</w:t>
      </w:r>
    </w:p>
    <w:p w14:paraId="67A2621A" w14:textId="12AB3E12" w:rsidR="00762A26" w:rsidRPr="005A22C2" w:rsidRDefault="00E07209" w:rsidP="006720A0">
      <w:pPr>
        <w:pStyle w:val="Heading2"/>
      </w:pPr>
      <w:bookmarkStart w:id="104" w:name="_Toc126595102"/>
      <w:bookmarkStart w:id="105" w:name="_Toc129783568"/>
      <w:bookmarkStart w:id="106" w:name="_Toc136006864"/>
      <w:r w:rsidRPr="005A22C2">
        <w:t xml:space="preserve">Cost of </w:t>
      </w:r>
      <w:r w:rsidR="009550B9" w:rsidRPr="005A22C2">
        <w:t>I</w:t>
      </w:r>
      <w:r w:rsidRPr="005A22C2">
        <w:t>nstallation</w:t>
      </w:r>
      <w:bookmarkEnd w:id="104"/>
      <w:bookmarkEnd w:id="105"/>
      <w:bookmarkEnd w:id="106"/>
    </w:p>
    <w:p w14:paraId="1839588B" w14:textId="01C3D6B9" w:rsidR="00BD35D2" w:rsidRPr="005A22C2" w:rsidRDefault="00D750AF" w:rsidP="006720A0">
      <w:r w:rsidRPr="005A22C2">
        <w:t xml:space="preserve">Sprinklers were identified as a </w:t>
      </w:r>
      <w:r w:rsidR="000D53D5" w:rsidRPr="005A22C2">
        <w:t>significant cost</w:t>
      </w:r>
      <w:r w:rsidRPr="005A22C2">
        <w:t xml:space="preserve"> by stakeholders across the </w:t>
      </w:r>
      <w:r w:rsidR="00D84C52" w:rsidRPr="005A22C2">
        <w:t>Consultation Group</w:t>
      </w:r>
      <w:r w:rsidRPr="005A22C2">
        <w:t xml:space="preserve">s. </w:t>
      </w:r>
      <w:r w:rsidR="000D53D5" w:rsidRPr="005A22C2">
        <w:t xml:space="preserve">There was </w:t>
      </w:r>
      <w:r w:rsidR="00182A2B" w:rsidRPr="005A22C2">
        <w:t>broad</w:t>
      </w:r>
      <w:r w:rsidR="000D53D5" w:rsidRPr="005A22C2">
        <w:t xml:space="preserve"> consensus among stakeholders that the</w:t>
      </w:r>
      <w:r w:rsidR="0034241C" w:rsidRPr="005A22C2">
        <w:t xml:space="preserve"> current</w:t>
      </w:r>
      <w:r w:rsidR="000D53D5" w:rsidRPr="005A22C2">
        <w:t xml:space="preserve"> allowance </w:t>
      </w:r>
      <w:r w:rsidR="0034241C" w:rsidRPr="005A22C2">
        <w:t xml:space="preserve">in the pricing arrangements </w:t>
      </w:r>
      <w:r w:rsidR="000D53D5" w:rsidRPr="005A22C2">
        <w:t xml:space="preserve">of </w:t>
      </w:r>
      <w:r w:rsidR="000F49BB" w:rsidRPr="005A22C2">
        <w:t xml:space="preserve">a </w:t>
      </w:r>
      <w:r w:rsidR="00433D0E" w:rsidRPr="005A22C2">
        <w:t>1.2</w:t>
      </w:r>
      <w:r w:rsidR="002367FB">
        <w:t>%</w:t>
      </w:r>
      <w:r w:rsidR="00433D0E" w:rsidRPr="005A22C2">
        <w:t xml:space="preserve"> </w:t>
      </w:r>
      <w:r w:rsidR="000F49BB" w:rsidRPr="005A22C2">
        <w:t>loading on prices</w:t>
      </w:r>
      <w:r w:rsidR="0027292A" w:rsidRPr="005A22C2">
        <w:t xml:space="preserve"> for houses and </w:t>
      </w:r>
      <w:r w:rsidR="000F49BB" w:rsidRPr="005A22C2">
        <w:t>a 1.9</w:t>
      </w:r>
      <w:r w:rsidR="002367FB">
        <w:t>%</w:t>
      </w:r>
      <w:r w:rsidR="000F49BB" w:rsidRPr="005A22C2">
        <w:t xml:space="preserve"> loading on prices for </w:t>
      </w:r>
      <w:r w:rsidR="0027292A" w:rsidRPr="005A22C2">
        <w:t>apartments was insufficient to cover the cost of sprinkler installation</w:t>
      </w:r>
      <w:r w:rsidR="001316ED" w:rsidRPr="005A22C2">
        <w:t xml:space="preserve"> and maintenance</w:t>
      </w:r>
      <w:r w:rsidR="0027292A" w:rsidRPr="005A22C2">
        <w:t>.</w:t>
      </w:r>
      <w:r w:rsidR="009550B9" w:rsidRPr="005A22C2">
        <w:t xml:space="preserve"> </w:t>
      </w:r>
      <w:r w:rsidR="00EA7EDD" w:rsidRPr="005A22C2">
        <w:t xml:space="preserve">Stakeholders </w:t>
      </w:r>
      <w:r w:rsidR="0034241C" w:rsidRPr="005A22C2">
        <w:t xml:space="preserve">provided a variety of examples of the costs incurred in installing sprinklers in SDA dwellings (see </w:t>
      </w:r>
      <w:r w:rsidR="00CE690C">
        <w:t>Table 1 b</w:t>
      </w:r>
      <w:r w:rsidR="00A97FA6" w:rsidRPr="005A22C2">
        <w:t>elow</w:t>
      </w:r>
      <w:r w:rsidR="0034241C" w:rsidRPr="005A22C2">
        <w:t>).</w:t>
      </w:r>
    </w:p>
    <w:p w14:paraId="1A13BCC7" w14:textId="17E05128" w:rsidR="008363A7" w:rsidRPr="00444034" w:rsidRDefault="00F62A8C" w:rsidP="00F62A8C">
      <w:pPr>
        <w:pStyle w:val="Caption"/>
        <w:jc w:val="left"/>
        <w:rPr>
          <w:sz w:val="24"/>
          <w:szCs w:val="24"/>
        </w:rPr>
      </w:pPr>
      <w:bookmarkStart w:id="107" w:name="_Ref125976363"/>
      <w:r w:rsidRPr="00444034">
        <w:rPr>
          <w:sz w:val="24"/>
          <w:szCs w:val="24"/>
        </w:rPr>
        <w:t xml:space="preserve">table </w:t>
      </w:r>
      <w:r w:rsidRPr="00444034">
        <w:rPr>
          <w:sz w:val="24"/>
          <w:szCs w:val="24"/>
        </w:rPr>
        <w:fldChar w:fldCharType="begin"/>
      </w:r>
      <w:r w:rsidRPr="00444034">
        <w:rPr>
          <w:sz w:val="24"/>
          <w:szCs w:val="24"/>
        </w:rPr>
        <w:instrText xml:space="preserve"> SEQ Exhibit \* ARABIC </w:instrText>
      </w:r>
      <w:r w:rsidRPr="00444034">
        <w:rPr>
          <w:sz w:val="24"/>
          <w:szCs w:val="24"/>
        </w:rPr>
        <w:fldChar w:fldCharType="separate"/>
      </w:r>
      <w:r w:rsidR="006772C2" w:rsidRPr="00444034">
        <w:rPr>
          <w:sz w:val="24"/>
          <w:szCs w:val="24"/>
        </w:rPr>
        <w:t>1</w:t>
      </w:r>
      <w:r w:rsidRPr="00444034">
        <w:rPr>
          <w:sz w:val="24"/>
          <w:szCs w:val="24"/>
        </w:rPr>
        <w:fldChar w:fldCharType="end"/>
      </w:r>
      <w:bookmarkEnd w:id="107"/>
      <w:r w:rsidR="008363A7" w:rsidRPr="00444034">
        <w:rPr>
          <w:sz w:val="24"/>
          <w:szCs w:val="24"/>
        </w:rPr>
        <w:t xml:space="preserve">: </w:t>
      </w:r>
      <w:r w:rsidR="00D41439" w:rsidRPr="00444034">
        <w:rPr>
          <w:sz w:val="24"/>
          <w:szCs w:val="24"/>
        </w:rPr>
        <w:t>Sprinkler installation costs</w:t>
      </w: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838"/>
        <w:gridCol w:w="7222"/>
      </w:tblGrid>
      <w:tr w:rsidR="0034241C" w:rsidRPr="005A22C2" w14:paraId="634AF73B" w14:textId="77777777" w:rsidTr="00837D6F">
        <w:trPr>
          <w:cnfStyle w:val="100000000000" w:firstRow="1" w:lastRow="0" w:firstColumn="0" w:lastColumn="0" w:oddVBand="0" w:evenVBand="0" w:oddHBand="0" w:evenHBand="0" w:firstRowFirstColumn="0" w:firstRowLastColumn="0" w:lastRowFirstColumn="0" w:lastRowLastColumn="0"/>
          <w:trHeight w:val="20"/>
          <w:tblHeader/>
        </w:trPr>
        <w:tc>
          <w:tcPr>
            <w:tcW w:w="1838" w:type="dxa"/>
          </w:tcPr>
          <w:p w14:paraId="1FB830CD" w14:textId="57234845" w:rsidR="0034241C" w:rsidRPr="005A22C2" w:rsidRDefault="0034241C" w:rsidP="006720A0">
            <w:r w:rsidRPr="005A22C2">
              <w:t>Dwelling type</w:t>
            </w:r>
          </w:p>
        </w:tc>
        <w:tc>
          <w:tcPr>
            <w:tcW w:w="7222" w:type="dxa"/>
          </w:tcPr>
          <w:p w14:paraId="5DEB8213" w14:textId="366079D5" w:rsidR="0034241C" w:rsidRPr="005A22C2" w:rsidRDefault="0034241C" w:rsidP="006720A0">
            <w:r w:rsidRPr="005A22C2">
              <w:t>Quoted sprinkler installation cost</w:t>
            </w:r>
          </w:p>
        </w:tc>
      </w:tr>
      <w:tr w:rsidR="0034241C" w:rsidRPr="005A22C2" w14:paraId="262DFC30" w14:textId="77777777" w:rsidTr="00837D6F">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auto"/>
            <w:vAlign w:val="center"/>
          </w:tcPr>
          <w:p w14:paraId="27EC342D" w14:textId="4CBE71A4" w:rsidR="0034241C" w:rsidRPr="005A22C2" w:rsidRDefault="0034241C" w:rsidP="006720A0">
            <w:r w:rsidRPr="005A22C2">
              <w:t xml:space="preserve">House </w:t>
            </w:r>
          </w:p>
        </w:tc>
        <w:tc>
          <w:tcPr>
            <w:tcW w:w="7222" w:type="dxa"/>
            <w:shd w:val="clear" w:color="auto" w:fill="auto"/>
            <w:vAlign w:val="center"/>
          </w:tcPr>
          <w:p w14:paraId="38E0E13F" w14:textId="36EE54F2" w:rsidR="0034241C" w:rsidRPr="005A22C2" w:rsidRDefault="0034241C" w:rsidP="006720A0">
            <w:r w:rsidRPr="005A22C2">
              <w:t>$120,000 for two houses; $51,000 for one three-bedroom house</w:t>
            </w:r>
          </w:p>
        </w:tc>
      </w:tr>
      <w:tr w:rsidR="0034241C" w:rsidRPr="005A22C2" w14:paraId="708D749B" w14:textId="77777777" w:rsidTr="00837D6F">
        <w:trPr>
          <w:trHeight w:val="20"/>
        </w:trPr>
        <w:tc>
          <w:tcPr>
            <w:tcW w:w="1838" w:type="dxa"/>
            <w:vAlign w:val="center"/>
          </w:tcPr>
          <w:p w14:paraId="6F95E7B9" w14:textId="0C201095" w:rsidR="0034241C" w:rsidRPr="005A22C2" w:rsidRDefault="0034241C" w:rsidP="006720A0">
            <w:r w:rsidRPr="005A22C2">
              <w:t>House</w:t>
            </w:r>
          </w:p>
        </w:tc>
        <w:tc>
          <w:tcPr>
            <w:tcW w:w="7222" w:type="dxa"/>
            <w:vAlign w:val="center"/>
          </w:tcPr>
          <w:p w14:paraId="1882E4BA" w14:textId="1C515626" w:rsidR="0034241C" w:rsidRPr="005A22C2" w:rsidRDefault="0034241C" w:rsidP="006720A0">
            <w:r w:rsidRPr="005A22C2">
              <w:t>$30,000 for a four-bedroom house</w:t>
            </w:r>
          </w:p>
        </w:tc>
      </w:tr>
      <w:tr w:rsidR="0034241C" w:rsidRPr="005A22C2" w14:paraId="036487AF" w14:textId="77777777" w:rsidTr="00837D6F">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auto"/>
            <w:vAlign w:val="center"/>
          </w:tcPr>
          <w:p w14:paraId="23F6E38B" w14:textId="506E015D" w:rsidR="0034241C" w:rsidRPr="005A22C2" w:rsidRDefault="0034241C" w:rsidP="006720A0">
            <w:r w:rsidRPr="005A22C2">
              <w:t>House</w:t>
            </w:r>
          </w:p>
        </w:tc>
        <w:tc>
          <w:tcPr>
            <w:tcW w:w="7222" w:type="dxa"/>
            <w:shd w:val="clear" w:color="auto" w:fill="auto"/>
            <w:vAlign w:val="center"/>
          </w:tcPr>
          <w:p w14:paraId="15875214" w14:textId="471F89D6" w:rsidR="0034241C" w:rsidRPr="005A22C2" w:rsidRDefault="0034241C" w:rsidP="006720A0">
            <w:r w:rsidRPr="005A22C2">
              <w:t xml:space="preserve">$69,991.63 for a 2-3-bedroom Class 3 House in </w:t>
            </w:r>
            <w:proofErr w:type="spellStart"/>
            <w:r w:rsidRPr="005A22C2">
              <w:t>Widebay</w:t>
            </w:r>
            <w:proofErr w:type="spellEnd"/>
            <w:r w:rsidRPr="005A22C2">
              <w:t xml:space="preserve"> and Fitzroy</w:t>
            </w:r>
          </w:p>
        </w:tc>
      </w:tr>
      <w:tr w:rsidR="0034241C" w:rsidRPr="005A22C2" w14:paraId="5D94101F" w14:textId="77777777" w:rsidTr="00837D6F">
        <w:trPr>
          <w:trHeight w:val="20"/>
        </w:trPr>
        <w:tc>
          <w:tcPr>
            <w:tcW w:w="1838" w:type="dxa"/>
            <w:vAlign w:val="center"/>
          </w:tcPr>
          <w:p w14:paraId="1D41D12D" w14:textId="34200337" w:rsidR="0034241C" w:rsidRPr="005A22C2" w:rsidRDefault="0034241C" w:rsidP="006720A0">
            <w:r w:rsidRPr="005A22C2">
              <w:t>House</w:t>
            </w:r>
          </w:p>
        </w:tc>
        <w:tc>
          <w:tcPr>
            <w:tcW w:w="7222" w:type="dxa"/>
            <w:vAlign w:val="center"/>
          </w:tcPr>
          <w:p w14:paraId="7A7E6275" w14:textId="77777777" w:rsidR="0034241C" w:rsidRPr="005A22C2" w:rsidRDefault="0034241C" w:rsidP="006720A0">
            <w:r w:rsidRPr="005A22C2">
              <w:t>$50,000 for a two-resident house</w:t>
            </w:r>
          </w:p>
        </w:tc>
      </w:tr>
      <w:tr w:rsidR="0034241C" w:rsidRPr="005A22C2" w14:paraId="3B84C57C" w14:textId="77777777" w:rsidTr="00837D6F">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auto"/>
            <w:vAlign w:val="center"/>
          </w:tcPr>
          <w:p w14:paraId="1A183600" w14:textId="45998C99" w:rsidR="0034241C" w:rsidRPr="005A22C2" w:rsidRDefault="0034241C" w:rsidP="006720A0">
            <w:r w:rsidRPr="005A22C2">
              <w:lastRenderedPageBreak/>
              <w:t>House/Villa</w:t>
            </w:r>
          </w:p>
        </w:tc>
        <w:tc>
          <w:tcPr>
            <w:tcW w:w="7222" w:type="dxa"/>
            <w:shd w:val="clear" w:color="auto" w:fill="auto"/>
            <w:vAlign w:val="center"/>
          </w:tcPr>
          <w:p w14:paraId="578F9CF2" w14:textId="77777777" w:rsidR="0034241C" w:rsidRPr="005A22C2" w:rsidRDefault="0034241C" w:rsidP="006720A0">
            <w:r w:rsidRPr="005A22C2">
              <w:t>$70,000 to $100,000 per dwelling for non-apartment dwelling types</w:t>
            </w:r>
          </w:p>
        </w:tc>
      </w:tr>
      <w:tr w:rsidR="0034241C" w:rsidRPr="005A22C2" w14:paraId="04B5440C" w14:textId="77777777" w:rsidTr="00837D6F">
        <w:trPr>
          <w:trHeight w:val="20"/>
        </w:trPr>
        <w:tc>
          <w:tcPr>
            <w:tcW w:w="1838" w:type="dxa"/>
            <w:vAlign w:val="center"/>
          </w:tcPr>
          <w:p w14:paraId="2826B1A9" w14:textId="01BBAF53" w:rsidR="0034241C" w:rsidRPr="005A22C2" w:rsidRDefault="0034241C" w:rsidP="006720A0">
            <w:r w:rsidRPr="005A22C2">
              <w:t>House/Villa</w:t>
            </w:r>
          </w:p>
        </w:tc>
        <w:tc>
          <w:tcPr>
            <w:tcW w:w="7222" w:type="dxa"/>
            <w:vAlign w:val="center"/>
          </w:tcPr>
          <w:p w14:paraId="28E8C409" w14:textId="77777777" w:rsidR="0034241C" w:rsidRPr="005A22C2" w:rsidRDefault="0034241C" w:rsidP="006720A0">
            <w:r w:rsidRPr="005A22C2">
              <w:t>$45,000 to $60,000 for a Part 4 sprinkler system in a house or villa (including $30,000 to $40,000 for mains water connection and $15,000 for uninterruptable power supply batteries)</w:t>
            </w:r>
          </w:p>
        </w:tc>
      </w:tr>
      <w:tr w:rsidR="0034241C" w:rsidRPr="005A22C2" w14:paraId="592C5B5A" w14:textId="77777777" w:rsidTr="00837D6F">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auto"/>
            <w:vAlign w:val="center"/>
          </w:tcPr>
          <w:p w14:paraId="0433DC1F" w14:textId="6FF3940A" w:rsidR="0034241C" w:rsidRPr="005A22C2" w:rsidRDefault="0034241C" w:rsidP="006720A0">
            <w:r w:rsidRPr="005A22C2">
              <w:t>House/Villa</w:t>
            </w:r>
          </w:p>
        </w:tc>
        <w:tc>
          <w:tcPr>
            <w:tcW w:w="7222" w:type="dxa"/>
            <w:shd w:val="clear" w:color="auto" w:fill="auto"/>
            <w:vAlign w:val="center"/>
          </w:tcPr>
          <w:p w14:paraId="5D672612" w14:textId="77777777" w:rsidR="0034241C" w:rsidRPr="005A22C2" w:rsidRDefault="0034241C" w:rsidP="006720A0">
            <w:r w:rsidRPr="005A22C2">
              <w:t>$45,000 to $70,000 per dwelling, depending on water pressure in the area.</w:t>
            </w:r>
          </w:p>
        </w:tc>
      </w:tr>
      <w:tr w:rsidR="0034241C" w:rsidRPr="005A22C2" w14:paraId="0A6BB8C1" w14:textId="77777777" w:rsidTr="00837D6F">
        <w:trPr>
          <w:trHeight w:val="20"/>
        </w:trPr>
        <w:tc>
          <w:tcPr>
            <w:tcW w:w="1838" w:type="dxa"/>
            <w:vAlign w:val="center"/>
          </w:tcPr>
          <w:p w14:paraId="772F0F87" w14:textId="6272C07D" w:rsidR="0034241C" w:rsidRPr="005A22C2" w:rsidRDefault="0034241C" w:rsidP="006720A0">
            <w:r w:rsidRPr="005A22C2">
              <w:t>Villa</w:t>
            </w:r>
          </w:p>
        </w:tc>
        <w:tc>
          <w:tcPr>
            <w:tcW w:w="7222" w:type="dxa"/>
            <w:vAlign w:val="center"/>
          </w:tcPr>
          <w:p w14:paraId="2CF33CAE" w14:textId="77777777" w:rsidR="0034241C" w:rsidRPr="005A22C2" w:rsidRDefault="0034241C" w:rsidP="006720A0">
            <w:r w:rsidRPr="005A22C2">
              <w:t>$40,000 per Villa development</w:t>
            </w:r>
          </w:p>
        </w:tc>
      </w:tr>
      <w:tr w:rsidR="0034241C" w:rsidRPr="005A22C2" w14:paraId="39E3584F" w14:textId="77777777" w:rsidTr="00837D6F">
        <w:trPr>
          <w:cnfStyle w:val="000000100000" w:firstRow="0" w:lastRow="0" w:firstColumn="0" w:lastColumn="0" w:oddVBand="0" w:evenVBand="0" w:oddHBand="1" w:evenHBand="0" w:firstRowFirstColumn="0" w:firstRowLastColumn="0" w:lastRowFirstColumn="0" w:lastRowLastColumn="0"/>
        </w:trPr>
        <w:tc>
          <w:tcPr>
            <w:tcW w:w="1838" w:type="dxa"/>
            <w:shd w:val="clear" w:color="auto" w:fill="auto"/>
            <w:vAlign w:val="center"/>
          </w:tcPr>
          <w:p w14:paraId="736ECD6B" w14:textId="1360786A" w:rsidR="0034241C" w:rsidRPr="005A22C2" w:rsidRDefault="0034241C" w:rsidP="006720A0">
            <w:r w:rsidRPr="005A22C2">
              <w:t>Apartment</w:t>
            </w:r>
          </w:p>
        </w:tc>
        <w:tc>
          <w:tcPr>
            <w:tcW w:w="7222" w:type="dxa"/>
            <w:shd w:val="clear" w:color="auto" w:fill="auto"/>
            <w:vAlign w:val="center"/>
          </w:tcPr>
          <w:p w14:paraId="76CF983F" w14:textId="31574FE1" w:rsidR="0034241C" w:rsidRPr="005A22C2" w:rsidRDefault="0034241C" w:rsidP="006720A0">
            <w:r w:rsidRPr="005A22C2">
              <w:t>$180,000 for a nine-unit development</w:t>
            </w:r>
          </w:p>
        </w:tc>
      </w:tr>
      <w:tr w:rsidR="0034241C" w:rsidRPr="005A22C2" w14:paraId="0F7BD95A" w14:textId="77777777" w:rsidTr="00837D6F">
        <w:trPr>
          <w:trHeight w:val="570"/>
        </w:trPr>
        <w:tc>
          <w:tcPr>
            <w:tcW w:w="1838" w:type="dxa"/>
            <w:vAlign w:val="center"/>
          </w:tcPr>
          <w:p w14:paraId="04C44F23" w14:textId="6AEF434B" w:rsidR="0034241C" w:rsidRPr="005A22C2" w:rsidRDefault="0034241C" w:rsidP="006720A0">
            <w:r w:rsidRPr="005A22C2">
              <w:t>Apartment</w:t>
            </w:r>
          </w:p>
        </w:tc>
        <w:tc>
          <w:tcPr>
            <w:tcW w:w="7222" w:type="dxa"/>
            <w:vAlign w:val="center"/>
          </w:tcPr>
          <w:p w14:paraId="77F8665C" w14:textId="1ADE20DE" w:rsidR="0034241C" w:rsidRPr="005A22C2" w:rsidRDefault="0034241C" w:rsidP="006720A0">
            <w:r w:rsidRPr="005A22C2">
              <w:t xml:space="preserve">$5,000 to $7,500 per apartment, however </w:t>
            </w:r>
            <w:r w:rsidR="005361D4" w:rsidRPr="005A22C2">
              <w:t>stated</w:t>
            </w:r>
            <w:r w:rsidRPr="005A22C2">
              <w:t xml:space="preserve"> that actual cost could be $60,000 to $80,000 per SDA apartment if 10</w:t>
            </w:r>
            <w:r w:rsidR="002367FB">
              <w:t>%</w:t>
            </w:r>
            <w:r w:rsidRPr="005A22C2">
              <w:t xml:space="preserve"> of apartments in a development were SDA. </w:t>
            </w:r>
          </w:p>
        </w:tc>
      </w:tr>
      <w:tr w:rsidR="0034241C" w:rsidRPr="005A22C2" w14:paraId="551C7DFB" w14:textId="77777777" w:rsidTr="00837D6F">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auto"/>
            <w:vAlign w:val="center"/>
          </w:tcPr>
          <w:p w14:paraId="34964754" w14:textId="5EDB41FC" w:rsidR="0034241C" w:rsidRPr="005A22C2" w:rsidRDefault="0034241C" w:rsidP="006720A0">
            <w:r w:rsidRPr="005A22C2">
              <w:t>Apartment</w:t>
            </w:r>
          </w:p>
        </w:tc>
        <w:tc>
          <w:tcPr>
            <w:tcW w:w="7222" w:type="dxa"/>
            <w:shd w:val="clear" w:color="auto" w:fill="auto"/>
            <w:vAlign w:val="center"/>
          </w:tcPr>
          <w:p w14:paraId="103BAD1C" w14:textId="0AF9DC8D" w:rsidR="0034241C" w:rsidRPr="005A22C2" w:rsidRDefault="0034241C" w:rsidP="006720A0">
            <w:r w:rsidRPr="005A22C2">
              <w:t xml:space="preserve">$78,000 to $90,000 </w:t>
            </w:r>
            <w:r w:rsidRPr="005A22C2">
              <w:rPr>
                <w:i/>
              </w:rPr>
              <w:t>additional</w:t>
            </w:r>
            <w:r w:rsidRPr="005A22C2">
              <w:t xml:space="preserve"> for a Class 3 building (as compared with Class 1a or 1b)</w:t>
            </w:r>
          </w:p>
        </w:tc>
      </w:tr>
      <w:tr w:rsidR="0034241C" w:rsidRPr="005A22C2" w14:paraId="249DA248" w14:textId="77777777" w:rsidTr="00837D6F">
        <w:trPr>
          <w:trHeight w:val="20"/>
        </w:trPr>
        <w:tc>
          <w:tcPr>
            <w:tcW w:w="1838" w:type="dxa"/>
            <w:vAlign w:val="center"/>
          </w:tcPr>
          <w:p w14:paraId="0D60FFAA" w14:textId="0F4FC9B0" w:rsidR="0034241C" w:rsidRPr="005A22C2" w:rsidRDefault="0034241C" w:rsidP="006720A0">
            <w:r w:rsidRPr="005A22C2">
              <w:t>Apartment</w:t>
            </w:r>
          </w:p>
        </w:tc>
        <w:tc>
          <w:tcPr>
            <w:tcW w:w="7222" w:type="dxa"/>
            <w:vAlign w:val="center"/>
          </w:tcPr>
          <w:p w14:paraId="2E37900A" w14:textId="07C086CE" w:rsidR="0034241C" w:rsidRPr="005A22C2" w:rsidRDefault="0034241C" w:rsidP="006720A0">
            <w:r w:rsidRPr="005A22C2">
              <w:t>$6,000 to $8,000 per dwelling x (total units / SDA units).</w:t>
            </w:r>
          </w:p>
        </w:tc>
      </w:tr>
      <w:tr w:rsidR="0034241C" w:rsidRPr="005A22C2" w14:paraId="2710869E" w14:textId="77777777" w:rsidTr="00837D6F">
        <w:trPr>
          <w:cnfStyle w:val="000000100000" w:firstRow="0" w:lastRow="0" w:firstColumn="0" w:lastColumn="0" w:oddVBand="0" w:evenVBand="0" w:oddHBand="1" w:evenHBand="0" w:firstRowFirstColumn="0" w:firstRowLastColumn="0" w:lastRowFirstColumn="0" w:lastRowLastColumn="0"/>
          <w:trHeight w:val="20"/>
        </w:trPr>
        <w:tc>
          <w:tcPr>
            <w:tcW w:w="1838" w:type="dxa"/>
            <w:shd w:val="clear" w:color="auto" w:fill="auto"/>
            <w:vAlign w:val="center"/>
          </w:tcPr>
          <w:p w14:paraId="1E8C0D2A" w14:textId="235D2DC4" w:rsidR="0034241C" w:rsidRPr="005A22C2" w:rsidRDefault="0034241C" w:rsidP="006720A0">
            <w:r w:rsidRPr="005A22C2">
              <w:t>Apartment</w:t>
            </w:r>
          </w:p>
        </w:tc>
        <w:tc>
          <w:tcPr>
            <w:tcW w:w="7222" w:type="dxa"/>
            <w:shd w:val="clear" w:color="auto" w:fill="auto"/>
            <w:vAlign w:val="center"/>
          </w:tcPr>
          <w:p w14:paraId="1173EB24" w14:textId="1DDBDAF0" w:rsidR="0034241C" w:rsidRPr="005A22C2" w:rsidRDefault="0034241C" w:rsidP="006720A0">
            <w:r w:rsidRPr="005A22C2">
              <w:t xml:space="preserve">$122,180 for 10 x 1 resident apartments in QLD, including </w:t>
            </w:r>
            <w:r w:rsidR="000F49BB" w:rsidRPr="005A22C2">
              <w:t xml:space="preserve">the </w:t>
            </w:r>
            <w:r w:rsidRPr="005A22C2">
              <w:t>cost to design, supply, install, commission automatic sprinklers with water tanks and electric booster pump set</w:t>
            </w:r>
            <w:r w:rsidR="000F49BB" w:rsidRPr="005A22C2">
              <w:t>.</w:t>
            </w:r>
          </w:p>
        </w:tc>
      </w:tr>
    </w:tbl>
    <w:p w14:paraId="7C25C977" w14:textId="6ABBA1BE" w:rsidR="006C4E15" w:rsidRPr="00444034" w:rsidRDefault="006C4E15" w:rsidP="00F62A8C">
      <w:pPr>
        <w:pStyle w:val="Caption"/>
        <w:spacing w:before="0" w:after="0"/>
        <w:jc w:val="left"/>
        <w:rPr>
          <w:sz w:val="24"/>
          <w:szCs w:val="24"/>
        </w:rPr>
      </w:pPr>
      <w:r w:rsidRPr="00444034">
        <w:rPr>
          <w:sz w:val="24"/>
          <w:szCs w:val="24"/>
        </w:rPr>
        <w:t>End of</w:t>
      </w:r>
      <w:r w:rsidR="00983876" w:rsidRPr="00444034">
        <w:rPr>
          <w:sz w:val="24"/>
          <w:szCs w:val="24"/>
        </w:rPr>
        <w:t xml:space="preserve"> </w:t>
      </w:r>
      <w:r w:rsidR="00F62A8C" w:rsidRPr="00444034">
        <w:rPr>
          <w:sz w:val="24"/>
          <w:szCs w:val="24"/>
        </w:rPr>
        <w:t>table</w:t>
      </w:r>
      <w:r w:rsidR="00481381" w:rsidRPr="00444034">
        <w:rPr>
          <w:sz w:val="24"/>
          <w:szCs w:val="24"/>
        </w:rPr>
        <w:t xml:space="preserve"> 1</w:t>
      </w:r>
    </w:p>
    <w:p w14:paraId="3E0A0203" w14:textId="477B83BF" w:rsidR="00A47429" w:rsidRPr="005A22C2" w:rsidRDefault="00990CD8" w:rsidP="00481381">
      <w:pPr>
        <w:spacing w:before="0"/>
      </w:pPr>
      <w:r w:rsidRPr="005A22C2">
        <w:t xml:space="preserve">One submission provided a detailed breakdown of the costs associated with installing sprinklers in SDA dwellings (see </w:t>
      </w:r>
      <w:r w:rsidR="00CE690C">
        <w:t xml:space="preserve">Table 2 </w:t>
      </w:r>
      <w:r w:rsidR="00A97FA6" w:rsidRPr="005A22C2">
        <w:t>below</w:t>
      </w:r>
      <w:r w:rsidRPr="005A22C2">
        <w:t>)</w:t>
      </w:r>
      <w:r w:rsidR="00DF3927" w:rsidRPr="005A22C2">
        <w:t>.</w:t>
      </w:r>
    </w:p>
    <w:p w14:paraId="0101F905" w14:textId="02483882" w:rsidR="00AC096A" w:rsidRPr="00444034" w:rsidRDefault="009620B7" w:rsidP="00F62A8C">
      <w:pPr>
        <w:pStyle w:val="Caption"/>
        <w:jc w:val="left"/>
        <w:rPr>
          <w:sz w:val="24"/>
          <w:szCs w:val="24"/>
        </w:rPr>
      </w:pPr>
      <w:bookmarkStart w:id="108" w:name="_Ref125708364"/>
      <w:r w:rsidRPr="00444034">
        <w:rPr>
          <w:sz w:val="24"/>
          <w:szCs w:val="24"/>
        </w:rPr>
        <w:t>table 2:</w:t>
      </w:r>
      <w:bookmarkEnd w:id="108"/>
      <w:r w:rsidR="00AC096A" w:rsidRPr="00444034">
        <w:rPr>
          <w:sz w:val="24"/>
          <w:szCs w:val="24"/>
        </w:rPr>
        <w:t xml:space="preserve"> Example sprinkler installation costs</w:t>
      </w:r>
    </w:p>
    <w:tbl>
      <w:tblPr>
        <w:tblStyle w:val="GridTable4-Accent1"/>
        <w:tblW w:w="5000" w:type="pct"/>
        <w:tblLook w:val="0460" w:firstRow="1" w:lastRow="1" w:firstColumn="0" w:lastColumn="0" w:noHBand="0" w:noVBand="1"/>
      </w:tblPr>
      <w:tblGrid>
        <w:gridCol w:w="6873"/>
        <w:gridCol w:w="2187"/>
      </w:tblGrid>
      <w:tr w:rsidR="000F49BB" w:rsidRPr="005A22C2" w14:paraId="2F1D2423" w14:textId="77777777" w:rsidTr="00990CD8">
        <w:trPr>
          <w:cnfStyle w:val="100000000000" w:firstRow="1" w:lastRow="0" w:firstColumn="0" w:lastColumn="0" w:oddVBand="0" w:evenVBand="0" w:oddHBand="0" w:evenHBand="0" w:firstRowFirstColumn="0" w:firstRowLastColumn="0" w:lastRowFirstColumn="0" w:lastRowLastColumn="0"/>
          <w:trHeight w:val="20"/>
        </w:trPr>
        <w:tc>
          <w:tcPr>
            <w:tcW w:w="3793" w:type="pct"/>
          </w:tcPr>
          <w:p w14:paraId="0AABA0AE" w14:textId="77777777" w:rsidR="001D63B0" w:rsidRPr="005A22C2" w:rsidRDefault="001D63B0" w:rsidP="006720A0">
            <w:r w:rsidRPr="005A22C2">
              <w:t>Installation cost component</w:t>
            </w:r>
          </w:p>
        </w:tc>
        <w:tc>
          <w:tcPr>
            <w:tcW w:w="1207" w:type="pct"/>
          </w:tcPr>
          <w:p w14:paraId="753FE410" w14:textId="77777777" w:rsidR="001D63B0" w:rsidRPr="005A22C2" w:rsidRDefault="001D63B0" w:rsidP="00010B4A">
            <w:pPr>
              <w:jc w:val="right"/>
            </w:pPr>
            <w:r w:rsidRPr="005A22C2">
              <w:t>Cost</w:t>
            </w:r>
          </w:p>
        </w:tc>
      </w:tr>
      <w:tr w:rsidR="00990CD8" w:rsidRPr="005A22C2" w14:paraId="43996C5C" w14:textId="77777777" w:rsidTr="00990CD8">
        <w:trPr>
          <w:cnfStyle w:val="000000100000" w:firstRow="0" w:lastRow="0" w:firstColumn="0" w:lastColumn="0" w:oddVBand="0" w:evenVBand="0" w:oddHBand="1" w:evenHBand="0" w:firstRowFirstColumn="0" w:firstRowLastColumn="0" w:lastRowFirstColumn="0" w:lastRowLastColumn="0"/>
          <w:trHeight w:val="20"/>
        </w:trPr>
        <w:tc>
          <w:tcPr>
            <w:tcW w:w="3793" w:type="pct"/>
          </w:tcPr>
          <w:p w14:paraId="0C0022F7" w14:textId="77777777" w:rsidR="001D63B0" w:rsidRPr="005A22C2" w:rsidRDefault="001D63B0" w:rsidP="006720A0">
            <w:r w:rsidRPr="005A22C2">
              <w:t>Fire alarm system</w:t>
            </w:r>
          </w:p>
        </w:tc>
        <w:tc>
          <w:tcPr>
            <w:tcW w:w="1207" w:type="pct"/>
          </w:tcPr>
          <w:p w14:paraId="7C4A25CF" w14:textId="77777777" w:rsidR="001D63B0" w:rsidRPr="005A22C2" w:rsidRDefault="001D63B0" w:rsidP="006B7129">
            <w:pPr>
              <w:jc w:val="right"/>
            </w:pPr>
            <w:r w:rsidRPr="005A22C2">
              <w:t>$14,249.79</w:t>
            </w:r>
          </w:p>
        </w:tc>
      </w:tr>
      <w:tr w:rsidR="00990CD8" w:rsidRPr="005A22C2" w14:paraId="2BE67255" w14:textId="77777777" w:rsidTr="00990CD8">
        <w:trPr>
          <w:trHeight w:val="20"/>
        </w:trPr>
        <w:tc>
          <w:tcPr>
            <w:tcW w:w="3793" w:type="pct"/>
          </w:tcPr>
          <w:p w14:paraId="6FDEF07E" w14:textId="77777777" w:rsidR="001D63B0" w:rsidRPr="005A22C2" w:rsidRDefault="001D63B0" w:rsidP="006720A0">
            <w:r w:rsidRPr="005A22C2">
              <w:t>Fire sprinkler system</w:t>
            </w:r>
          </w:p>
        </w:tc>
        <w:tc>
          <w:tcPr>
            <w:tcW w:w="1207" w:type="pct"/>
          </w:tcPr>
          <w:p w14:paraId="56BD0144" w14:textId="77777777" w:rsidR="001D63B0" w:rsidRPr="005A22C2" w:rsidRDefault="001D63B0" w:rsidP="006B7129">
            <w:pPr>
              <w:jc w:val="right"/>
            </w:pPr>
            <w:r w:rsidRPr="005A22C2">
              <w:t xml:space="preserve">$35,970.00 </w:t>
            </w:r>
          </w:p>
        </w:tc>
      </w:tr>
      <w:tr w:rsidR="00990CD8" w:rsidRPr="005A22C2" w14:paraId="690FF683" w14:textId="77777777" w:rsidTr="00990CD8">
        <w:trPr>
          <w:cnfStyle w:val="000000100000" w:firstRow="0" w:lastRow="0" w:firstColumn="0" w:lastColumn="0" w:oddVBand="0" w:evenVBand="0" w:oddHBand="1" w:evenHBand="0" w:firstRowFirstColumn="0" w:firstRowLastColumn="0" w:lastRowFirstColumn="0" w:lastRowLastColumn="0"/>
          <w:trHeight w:val="20"/>
        </w:trPr>
        <w:tc>
          <w:tcPr>
            <w:tcW w:w="3793" w:type="pct"/>
          </w:tcPr>
          <w:p w14:paraId="42BCFE8C" w14:textId="77777777" w:rsidR="001D63B0" w:rsidRPr="005A22C2" w:rsidRDefault="001D63B0" w:rsidP="006720A0">
            <w:r w:rsidRPr="005A22C2">
              <w:t>Power for fire alarm system</w:t>
            </w:r>
          </w:p>
        </w:tc>
        <w:tc>
          <w:tcPr>
            <w:tcW w:w="1207" w:type="pct"/>
          </w:tcPr>
          <w:p w14:paraId="677E0844" w14:textId="77777777" w:rsidR="001D63B0" w:rsidRPr="005A22C2" w:rsidRDefault="001D63B0" w:rsidP="006B7129">
            <w:pPr>
              <w:jc w:val="right"/>
            </w:pPr>
            <w:r w:rsidRPr="005A22C2">
              <w:t xml:space="preserve">$180.00 </w:t>
            </w:r>
          </w:p>
        </w:tc>
      </w:tr>
      <w:tr w:rsidR="00990CD8" w:rsidRPr="005A22C2" w14:paraId="74572B0F" w14:textId="77777777" w:rsidTr="00990CD8">
        <w:trPr>
          <w:trHeight w:val="20"/>
        </w:trPr>
        <w:tc>
          <w:tcPr>
            <w:tcW w:w="3793" w:type="pct"/>
          </w:tcPr>
          <w:p w14:paraId="2470E951" w14:textId="77777777" w:rsidR="001D63B0" w:rsidRPr="005A22C2" w:rsidRDefault="001D63B0" w:rsidP="006720A0">
            <w:r w:rsidRPr="005A22C2">
              <w:t>Plumbing for fire sprinkler system</w:t>
            </w:r>
          </w:p>
        </w:tc>
        <w:tc>
          <w:tcPr>
            <w:tcW w:w="1207" w:type="pct"/>
          </w:tcPr>
          <w:p w14:paraId="1AB38738" w14:textId="77777777" w:rsidR="001D63B0" w:rsidRPr="005A22C2" w:rsidRDefault="001D63B0" w:rsidP="006B7129">
            <w:pPr>
              <w:jc w:val="right"/>
            </w:pPr>
            <w:r w:rsidRPr="005A22C2">
              <w:t>$3,000.00</w:t>
            </w:r>
          </w:p>
        </w:tc>
      </w:tr>
      <w:tr w:rsidR="00990CD8" w:rsidRPr="005A22C2" w14:paraId="24F57002" w14:textId="77777777" w:rsidTr="00990CD8">
        <w:trPr>
          <w:cnfStyle w:val="000000100000" w:firstRow="0" w:lastRow="0" w:firstColumn="0" w:lastColumn="0" w:oddVBand="0" w:evenVBand="0" w:oddHBand="1" w:evenHBand="0" w:firstRowFirstColumn="0" w:firstRowLastColumn="0" w:lastRowFirstColumn="0" w:lastRowLastColumn="0"/>
          <w:trHeight w:val="20"/>
        </w:trPr>
        <w:tc>
          <w:tcPr>
            <w:tcW w:w="3793" w:type="pct"/>
          </w:tcPr>
          <w:p w14:paraId="4F1BD5BC" w14:textId="77777777" w:rsidR="001D63B0" w:rsidRPr="005A22C2" w:rsidRDefault="001D63B0" w:rsidP="006720A0">
            <w:r w:rsidRPr="005A22C2">
              <w:t>Extra concrete path to fire booster</w:t>
            </w:r>
          </w:p>
        </w:tc>
        <w:tc>
          <w:tcPr>
            <w:tcW w:w="1207" w:type="pct"/>
          </w:tcPr>
          <w:p w14:paraId="79E36DBA" w14:textId="77777777" w:rsidR="001D63B0" w:rsidRPr="005A22C2" w:rsidRDefault="001D63B0" w:rsidP="006B7129">
            <w:pPr>
              <w:jc w:val="right"/>
            </w:pPr>
            <w:r w:rsidRPr="005A22C2">
              <w:t>$390.00</w:t>
            </w:r>
          </w:p>
        </w:tc>
      </w:tr>
      <w:tr w:rsidR="00990CD8" w:rsidRPr="005A22C2" w14:paraId="033173AE" w14:textId="77777777" w:rsidTr="00990CD8">
        <w:trPr>
          <w:trHeight w:val="20"/>
        </w:trPr>
        <w:tc>
          <w:tcPr>
            <w:tcW w:w="3793" w:type="pct"/>
          </w:tcPr>
          <w:p w14:paraId="76D6C4E1" w14:textId="77777777" w:rsidR="001D63B0" w:rsidRPr="005A22C2" w:rsidRDefault="001D63B0" w:rsidP="006720A0">
            <w:r w:rsidRPr="005A22C2">
              <w:t>Building certifier fees</w:t>
            </w:r>
          </w:p>
        </w:tc>
        <w:tc>
          <w:tcPr>
            <w:tcW w:w="1207" w:type="pct"/>
          </w:tcPr>
          <w:p w14:paraId="284BE8DF" w14:textId="77777777" w:rsidR="001D63B0" w:rsidRPr="005A22C2" w:rsidRDefault="001D63B0" w:rsidP="006B7129">
            <w:pPr>
              <w:jc w:val="right"/>
            </w:pPr>
            <w:r w:rsidRPr="005A22C2">
              <w:t>$3,315.00</w:t>
            </w:r>
          </w:p>
        </w:tc>
      </w:tr>
      <w:tr w:rsidR="00990CD8" w:rsidRPr="005A22C2" w14:paraId="17B41EBC" w14:textId="77777777" w:rsidTr="00990CD8">
        <w:trPr>
          <w:cnfStyle w:val="000000100000" w:firstRow="0" w:lastRow="0" w:firstColumn="0" w:lastColumn="0" w:oddVBand="0" w:evenVBand="0" w:oddHBand="1" w:evenHBand="0" w:firstRowFirstColumn="0" w:firstRowLastColumn="0" w:lastRowFirstColumn="0" w:lastRowLastColumn="0"/>
          <w:trHeight w:val="20"/>
        </w:trPr>
        <w:tc>
          <w:tcPr>
            <w:tcW w:w="3793" w:type="pct"/>
          </w:tcPr>
          <w:p w14:paraId="1B2F8453" w14:textId="77777777" w:rsidR="001D63B0" w:rsidRPr="005A22C2" w:rsidRDefault="001D63B0" w:rsidP="006720A0">
            <w:r w:rsidRPr="005A22C2">
              <w:t>QLD Fire fees</w:t>
            </w:r>
          </w:p>
        </w:tc>
        <w:tc>
          <w:tcPr>
            <w:tcW w:w="1207" w:type="pct"/>
          </w:tcPr>
          <w:p w14:paraId="08F41AC8" w14:textId="77777777" w:rsidR="001D63B0" w:rsidRPr="005A22C2" w:rsidRDefault="001D63B0" w:rsidP="006B7129">
            <w:pPr>
              <w:jc w:val="right"/>
            </w:pPr>
            <w:r w:rsidRPr="005A22C2">
              <w:t>$3,004.84</w:t>
            </w:r>
          </w:p>
        </w:tc>
      </w:tr>
      <w:tr w:rsidR="00990CD8" w:rsidRPr="005A22C2" w14:paraId="0CA4E3F7" w14:textId="77777777" w:rsidTr="00990CD8">
        <w:trPr>
          <w:trHeight w:val="20"/>
        </w:trPr>
        <w:tc>
          <w:tcPr>
            <w:tcW w:w="3793" w:type="pct"/>
          </w:tcPr>
          <w:p w14:paraId="740BCEFC" w14:textId="77777777" w:rsidR="001D63B0" w:rsidRPr="005A22C2" w:rsidRDefault="001D63B0" w:rsidP="006720A0">
            <w:r w:rsidRPr="005A22C2">
              <w:t>Council water meter</w:t>
            </w:r>
          </w:p>
        </w:tc>
        <w:tc>
          <w:tcPr>
            <w:tcW w:w="1207" w:type="pct"/>
          </w:tcPr>
          <w:p w14:paraId="04109EB3" w14:textId="77777777" w:rsidR="001D63B0" w:rsidRPr="005A22C2" w:rsidRDefault="001D63B0" w:rsidP="006B7129">
            <w:pPr>
              <w:jc w:val="right"/>
            </w:pPr>
            <w:r w:rsidRPr="005A22C2">
              <w:t>$6,932.00</w:t>
            </w:r>
          </w:p>
        </w:tc>
      </w:tr>
      <w:tr w:rsidR="00990CD8" w:rsidRPr="005A22C2" w14:paraId="7081EB00" w14:textId="77777777" w:rsidTr="00990CD8">
        <w:trPr>
          <w:cnfStyle w:val="000000100000" w:firstRow="0" w:lastRow="0" w:firstColumn="0" w:lastColumn="0" w:oddVBand="0" w:evenVBand="0" w:oddHBand="1" w:evenHBand="0" w:firstRowFirstColumn="0" w:firstRowLastColumn="0" w:lastRowFirstColumn="0" w:lastRowLastColumn="0"/>
          <w:trHeight w:val="20"/>
        </w:trPr>
        <w:tc>
          <w:tcPr>
            <w:tcW w:w="3793" w:type="pct"/>
          </w:tcPr>
          <w:p w14:paraId="2CCA3148" w14:textId="77777777" w:rsidR="001D63B0" w:rsidRPr="005A22C2" w:rsidRDefault="001D63B0" w:rsidP="006720A0">
            <w:r w:rsidRPr="005A22C2">
              <w:t>Fire evacuation plans drafting</w:t>
            </w:r>
          </w:p>
        </w:tc>
        <w:tc>
          <w:tcPr>
            <w:tcW w:w="1207" w:type="pct"/>
          </w:tcPr>
          <w:p w14:paraId="63D1539F" w14:textId="77777777" w:rsidR="001D63B0" w:rsidRPr="005A22C2" w:rsidRDefault="001D63B0" w:rsidP="006B7129">
            <w:pPr>
              <w:jc w:val="right"/>
            </w:pPr>
            <w:r w:rsidRPr="005A22C2">
              <w:t>$450.00</w:t>
            </w:r>
          </w:p>
        </w:tc>
      </w:tr>
      <w:tr w:rsidR="00990CD8" w:rsidRPr="005A22C2" w14:paraId="43E13F1B" w14:textId="77777777" w:rsidTr="00990CD8">
        <w:trPr>
          <w:trHeight w:val="20"/>
        </w:trPr>
        <w:tc>
          <w:tcPr>
            <w:tcW w:w="3793" w:type="pct"/>
          </w:tcPr>
          <w:p w14:paraId="432162F3" w14:textId="77777777" w:rsidR="001D63B0" w:rsidRPr="005A22C2" w:rsidRDefault="001D63B0" w:rsidP="006720A0">
            <w:r w:rsidRPr="005A22C2">
              <w:t>Builder fees to collate and organise above</w:t>
            </w:r>
          </w:p>
        </w:tc>
        <w:tc>
          <w:tcPr>
            <w:tcW w:w="1207" w:type="pct"/>
          </w:tcPr>
          <w:p w14:paraId="72DDD92B" w14:textId="77777777" w:rsidR="001D63B0" w:rsidRPr="005A22C2" w:rsidRDefault="001D63B0" w:rsidP="006B7129">
            <w:pPr>
              <w:jc w:val="right"/>
            </w:pPr>
            <w:r w:rsidRPr="005A22C2">
              <w:t>$2,500.00</w:t>
            </w:r>
          </w:p>
        </w:tc>
      </w:tr>
      <w:tr w:rsidR="00990CD8" w:rsidRPr="005A22C2" w14:paraId="191D30D7" w14:textId="77777777" w:rsidTr="00990CD8">
        <w:trPr>
          <w:cnfStyle w:val="010000000000" w:firstRow="0" w:lastRow="1" w:firstColumn="0" w:lastColumn="0" w:oddVBand="0" w:evenVBand="0" w:oddHBand="0" w:evenHBand="0" w:firstRowFirstColumn="0" w:firstRowLastColumn="0" w:lastRowFirstColumn="0" w:lastRowLastColumn="0"/>
          <w:trHeight w:val="20"/>
        </w:trPr>
        <w:tc>
          <w:tcPr>
            <w:tcW w:w="3793" w:type="pct"/>
          </w:tcPr>
          <w:p w14:paraId="333ECBA5" w14:textId="77777777" w:rsidR="001D63B0" w:rsidRPr="005A22C2" w:rsidRDefault="001D63B0" w:rsidP="006720A0">
            <w:r w:rsidRPr="005A22C2">
              <w:t>Total installation cost</w:t>
            </w:r>
          </w:p>
        </w:tc>
        <w:tc>
          <w:tcPr>
            <w:tcW w:w="1207" w:type="pct"/>
          </w:tcPr>
          <w:p w14:paraId="0B1754CF" w14:textId="77777777" w:rsidR="001D63B0" w:rsidRPr="005A22C2" w:rsidRDefault="001D63B0" w:rsidP="006B7129">
            <w:pPr>
              <w:jc w:val="right"/>
            </w:pPr>
            <w:r w:rsidRPr="005A22C2">
              <w:t>$69,991.63</w:t>
            </w:r>
          </w:p>
        </w:tc>
      </w:tr>
    </w:tbl>
    <w:p w14:paraId="4AFE2F9A" w14:textId="7BA2D93F" w:rsidR="00481381" w:rsidRPr="00444034" w:rsidRDefault="009620B7" w:rsidP="00F62A8C">
      <w:pPr>
        <w:pStyle w:val="Caption"/>
        <w:spacing w:before="0" w:after="0"/>
        <w:jc w:val="left"/>
        <w:rPr>
          <w:sz w:val="24"/>
          <w:szCs w:val="24"/>
        </w:rPr>
      </w:pPr>
      <w:r w:rsidRPr="00444034">
        <w:rPr>
          <w:sz w:val="24"/>
          <w:szCs w:val="24"/>
        </w:rPr>
        <w:t xml:space="preserve">end of table 2 </w:t>
      </w:r>
    </w:p>
    <w:p w14:paraId="0E55A11E" w14:textId="619CD559" w:rsidR="003F0F84" w:rsidRDefault="00AE77CF" w:rsidP="006720A0">
      <w:r w:rsidRPr="000355EA">
        <w:t>There</w:t>
      </w:r>
      <w:r w:rsidR="0025766D" w:rsidRPr="005A22C2">
        <w:t xml:space="preserve"> was a common view</w:t>
      </w:r>
      <w:r w:rsidR="00224619" w:rsidRPr="005A22C2">
        <w:t xml:space="preserve"> among</w:t>
      </w:r>
      <w:r w:rsidR="00FE4B28" w:rsidRPr="005A22C2">
        <w:t>st</w:t>
      </w:r>
      <w:r w:rsidR="00224619" w:rsidRPr="005A22C2">
        <w:t xml:space="preserve"> stakeholders </w:t>
      </w:r>
      <w:r w:rsidRPr="005A22C2">
        <w:t xml:space="preserve">in </w:t>
      </w:r>
      <w:r w:rsidR="00A97FA6" w:rsidRPr="005A22C2">
        <w:t>the</w:t>
      </w:r>
      <w:r w:rsidRPr="005A22C2">
        <w:t xml:space="preserve"> </w:t>
      </w:r>
      <w:r w:rsidR="00D84C52" w:rsidRPr="005A22C2">
        <w:t>Consultation Group</w:t>
      </w:r>
      <w:r w:rsidRPr="005A22C2">
        <w:t xml:space="preserve">s and written submissions </w:t>
      </w:r>
      <w:r w:rsidR="00224619" w:rsidRPr="005A22C2">
        <w:t xml:space="preserve">that </w:t>
      </w:r>
      <w:r w:rsidR="00692814" w:rsidRPr="005A22C2">
        <w:t xml:space="preserve">an allowance of </w:t>
      </w:r>
      <w:r w:rsidR="000B6B57" w:rsidRPr="005A22C2">
        <w:t>4</w:t>
      </w:r>
      <w:r w:rsidR="002367FB">
        <w:t>%</w:t>
      </w:r>
      <w:r w:rsidR="00180D8D">
        <w:t xml:space="preserve"> to </w:t>
      </w:r>
      <w:r w:rsidR="00BF23E4" w:rsidRPr="005A22C2">
        <w:t>13</w:t>
      </w:r>
      <w:r w:rsidR="002367FB">
        <w:t>%</w:t>
      </w:r>
      <w:r w:rsidR="00BF23E4" w:rsidRPr="005A22C2">
        <w:t xml:space="preserve"> of</w:t>
      </w:r>
      <w:r w:rsidR="006B78B0" w:rsidRPr="005A22C2">
        <w:t xml:space="preserve"> total build costs would provide the necessary incentives for </w:t>
      </w:r>
      <w:r w:rsidR="00617EF9" w:rsidRPr="005A22C2">
        <w:t>developers to include sprinkler systems in New Builds.</w:t>
      </w:r>
    </w:p>
    <w:p w14:paraId="26A7DB99" w14:textId="2D9D3B5A" w:rsidR="000B6B57" w:rsidRPr="005A22C2" w:rsidRDefault="00565816" w:rsidP="006720A0">
      <w:r w:rsidRPr="005A22C2">
        <w:lastRenderedPageBreak/>
        <w:t>An example of sprinkler costs as a proportion of total build costs, is show</w:t>
      </w:r>
      <w:r w:rsidR="00A97FA6" w:rsidRPr="005A22C2">
        <w:t>n</w:t>
      </w:r>
      <w:r w:rsidRPr="005A22C2">
        <w:t xml:space="preserve"> in </w:t>
      </w:r>
      <w:r w:rsidR="00CE690C">
        <w:t xml:space="preserve">Table 3 </w:t>
      </w:r>
      <w:r w:rsidR="00A97FA6" w:rsidRPr="005A22C2">
        <w:t>below</w:t>
      </w:r>
      <w:r w:rsidRPr="009E4523">
        <w:t>.</w:t>
      </w:r>
      <w:r w:rsidR="002C4CF4" w:rsidRPr="009E4523">
        <w:t xml:space="preserve"> </w:t>
      </w:r>
      <w:r w:rsidR="00145AF8">
        <w:t>I</w:t>
      </w:r>
      <w:r w:rsidR="006A2A65" w:rsidRPr="005A22C2">
        <w:t xml:space="preserve">n both </w:t>
      </w:r>
      <w:r w:rsidR="00F15B1A">
        <w:t xml:space="preserve">de-identified </w:t>
      </w:r>
      <w:r w:rsidR="006A2A65" w:rsidRPr="005A22C2">
        <w:t>project</w:t>
      </w:r>
      <w:r w:rsidR="009E4523">
        <w:t xml:space="preserve"> examples </w:t>
      </w:r>
      <w:r w:rsidR="00376C45" w:rsidRPr="005A22C2">
        <w:t>shown</w:t>
      </w:r>
      <w:r w:rsidR="00145AF8">
        <w:t xml:space="preserve"> below</w:t>
      </w:r>
      <w:r w:rsidR="006A2A65" w:rsidRPr="005A22C2">
        <w:t xml:space="preserve">, </w:t>
      </w:r>
      <w:r w:rsidR="001E0CFB" w:rsidRPr="005A22C2">
        <w:t>apartments were purchased prior to construction commencement, so sprinkler installation was as efficient as possible.</w:t>
      </w:r>
    </w:p>
    <w:p w14:paraId="03FBEB19" w14:textId="6FD1CC67" w:rsidR="00955BB6" w:rsidRPr="00444034" w:rsidRDefault="00127643" w:rsidP="00F62A8C">
      <w:pPr>
        <w:pStyle w:val="Caption"/>
        <w:jc w:val="left"/>
        <w:rPr>
          <w:sz w:val="24"/>
          <w:szCs w:val="24"/>
        </w:rPr>
      </w:pPr>
      <w:bookmarkStart w:id="109" w:name="_Ref126327927"/>
      <w:bookmarkStart w:id="110" w:name="_Ref126327922"/>
      <w:r w:rsidRPr="00444034">
        <w:rPr>
          <w:sz w:val="24"/>
          <w:szCs w:val="24"/>
        </w:rPr>
        <w:t>table</w:t>
      </w:r>
      <w:r w:rsidR="00955BB6" w:rsidRPr="00444034">
        <w:rPr>
          <w:sz w:val="24"/>
          <w:szCs w:val="24"/>
        </w:rPr>
        <w:t xml:space="preserve"> </w:t>
      </w:r>
      <w:r w:rsidR="00955BB6" w:rsidRPr="00444034">
        <w:rPr>
          <w:sz w:val="24"/>
          <w:szCs w:val="24"/>
        </w:rPr>
        <w:fldChar w:fldCharType="begin"/>
      </w:r>
      <w:r w:rsidR="00955BB6" w:rsidRPr="00444034">
        <w:rPr>
          <w:sz w:val="24"/>
          <w:szCs w:val="24"/>
        </w:rPr>
        <w:instrText>SEQ Exhibit \* ARABIC</w:instrText>
      </w:r>
      <w:r w:rsidR="00955BB6" w:rsidRPr="00444034">
        <w:rPr>
          <w:sz w:val="24"/>
          <w:szCs w:val="24"/>
        </w:rPr>
        <w:fldChar w:fldCharType="separate"/>
      </w:r>
      <w:r w:rsidR="006772C2" w:rsidRPr="00444034">
        <w:rPr>
          <w:sz w:val="24"/>
          <w:szCs w:val="24"/>
        </w:rPr>
        <w:t>3</w:t>
      </w:r>
      <w:r w:rsidR="00955BB6" w:rsidRPr="00444034">
        <w:rPr>
          <w:sz w:val="24"/>
          <w:szCs w:val="24"/>
        </w:rPr>
        <w:fldChar w:fldCharType="end"/>
      </w:r>
      <w:bookmarkEnd w:id="109"/>
      <w:r w:rsidR="00955BB6" w:rsidRPr="00444034">
        <w:rPr>
          <w:sz w:val="24"/>
          <w:szCs w:val="24"/>
        </w:rPr>
        <w:t>: Example sprinkler costs as a percentage of total build costs</w:t>
      </w:r>
      <w:bookmarkEnd w:id="110"/>
    </w:p>
    <w:tbl>
      <w:tblPr>
        <w:tblStyle w:val="GridTable4-Accent1"/>
        <w:tblW w:w="5000" w:type="pct"/>
        <w:tblLook w:val="0460" w:firstRow="1" w:lastRow="1" w:firstColumn="0" w:lastColumn="0" w:noHBand="0" w:noVBand="1"/>
      </w:tblPr>
      <w:tblGrid>
        <w:gridCol w:w="6224"/>
        <w:gridCol w:w="1418"/>
        <w:gridCol w:w="1418"/>
      </w:tblGrid>
      <w:tr w:rsidR="00076A3E" w:rsidRPr="005A22C2" w14:paraId="0FECBD46" w14:textId="0BA89EC3" w:rsidTr="001316ED">
        <w:trPr>
          <w:cnfStyle w:val="100000000000" w:firstRow="1" w:lastRow="0" w:firstColumn="0" w:lastColumn="0" w:oddVBand="0" w:evenVBand="0" w:oddHBand="0" w:evenHBand="0" w:firstRowFirstColumn="0" w:firstRowLastColumn="0" w:lastRowFirstColumn="0" w:lastRowLastColumn="0"/>
          <w:trHeight w:val="20"/>
        </w:trPr>
        <w:tc>
          <w:tcPr>
            <w:tcW w:w="3440" w:type="pct"/>
          </w:tcPr>
          <w:p w14:paraId="42A2ECB4" w14:textId="23BDC8A3" w:rsidR="000B6B57" w:rsidRPr="005A22C2" w:rsidRDefault="00F02B06" w:rsidP="006720A0">
            <w:r w:rsidRPr="006262A0">
              <w:t>COSTS</w:t>
            </w:r>
            <w:r w:rsidR="006F5CC9" w:rsidRPr="006262A0">
              <w:t xml:space="preserve"> AND</w:t>
            </w:r>
            <w:r w:rsidR="006F5CC9">
              <w:t xml:space="preserve"> PERCENTAGE</w:t>
            </w:r>
          </w:p>
        </w:tc>
        <w:tc>
          <w:tcPr>
            <w:tcW w:w="780" w:type="pct"/>
          </w:tcPr>
          <w:p w14:paraId="7F5F8E8D" w14:textId="2F22D238" w:rsidR="000B6B57" w:rsidRPr="005A22C2" w:rsidRDefault="001565F4" w:rsidP="00010B4A">
            <w:pPr>
              <w:jc w:val="right"/>
            </w:pPr>
            <w:r w:rsidRPr="005A22C2">
              <w:t xml:space="preserve"> Project</w:t>
            </w:r>
            <w:r w:rsidR="00145AF8">
              <w:t xml:space="preserve"> A</w:t>
            </w:r>
          </w:p>
        </w:tc>
        <w:tc>
          <w:tcPr>
            <w:tcW w:w="780" w:type="pct"/>
          </w:tcPr>
          <w:p w14:paraId="7C79EDBE" w14:textId="7B2E663D" w:rsidR="001565F4" w:rsidRPr="005A22C2" w:rsidRDefault="001565F4" w:rsidP="00145AF8">
            <w:pPr>
              <w:jc w:val="center"/>
            </w:pPr>
            <w:r w:rsidRPr="005A22C2">
              <w:t xml:space="preserve"> Project</w:t>
            </w:r>
            <w:r w:rsidR="00145AF8">
              <w:t xml:space="preserve"> B</w:t>
            </w:r>
          </w:p>
        </w:tc>
      </w:tr>
      <w:tr w:rsidR="000B6B57" w:rsidRPr="005A22C2" w14:paraId="4F77D26F" w14:textId="6BD93D42" w:rsidTr="001316ED">
        <w:trPr>
          <w:cnfStyle w:val="000000100000" w:firstRow="0" w:lastRow="0" w:firstColumn="0" w:lastColumn="0" w:oddVBand="0" w:evenVBand="0" w:oddHBand="1" w:evenHBand="0" w:firstRowFirstColumn="0" w:firstRowLastColumn="0" w:lastRowFirstColumn="0" w:lastRowLastColumn="0"/>
          <w:trHeight w:val="20"/>
        </w:trPr>
        <w:tc>
          <w:tcPr>
            <w:tcW w:w="3440" w:type="pct"/>
          </w:tcPr>
          <w:p w14:paraId="0825D843" w14:textId="1180DE78" w:rsidR="000B6B57" w:rsidRPr="005A22C2" w:rsidRDefault="001565F4" w:rsidP="006720A0">
            <w:r w:rsidRPr="005A22C2">
              <w:t>Purchase price</w:t>
            </w:r>
          </w:p>
        </w:tc>
        <w:tc>
          <w:tcPr>
            <w:tcW w:w="780" w:type="pct"/>
          </w:tcPr>
          <w:p w14:paraId="2EE62DCD" w14:textId="328EF4A8" w:rsidR="000B6B57" w:rsidRPr="005A22C2" w:rsidRDefault="001565F4" w:rsidP="006B7129">
            <w:pPr>
              <w:jc w:val="right"/>
            </w:pPr>
            <w:r w:rsidRPr="005A22C2">
              <w:t>$4,380,768</w:t>
            </w:r>
          </w:p>
        </w:tc>
        <w:tc>
          <w:tcPr>
            <w:tcW w:w="780" w:type="pct"/>
          </w:tcPr>
          <w:p w14:paraId="335C6638" w14:textId="57E88ED0" w:rsidR="001565F4" w:rsidRPr="005A22C2" w:rsidRDefault="00B626A5" w:rsidP="006B7129">
            <w:pPr>
              <w:jc w:val="right"/>
            </w:pPr>
            <w:r w:rsidRPr="005A22C2">
              <w:t>$7,150,000</w:t>
            </w:r>
          </w:p>
        </w:tc>
      </w:tr>
      <w:tr w:rsidR="000B6B57" w:rsidRPr="005A22C2" w14:paraId="7F5350D7" w14:textId="0A96C0AF" w:rsidTr="001316ED">
        <w:trPr>
          <w:trHeight w:val="20"/>
        </w:trPr>
        <w:tc>
          <w:tcPr>
            <w:tcW w:w="3440" w:type="pct"/>
          </w:tcPr>
          <w:p w14:paraId="42D0D8AC" w14:textId="485D581E" w:rsidR="000B6B57" w:rsidRPr="005A22C2" w:rsidRDefault="00B626A5" w:rsidP="006720A0">
            <w:r w:rsidRPr="005A22C2">
              <w:t>Total fire sprinkler cost</w:t>
            </w:r>
          </w:p>
        </w:tc>
        <w:tc>
          <w:tcPr>
            <w:tcW w:w="780" w:type="pct"/>
          </w:tcPr>
          <w:p w14:paraId="61150AFC" w14:textId="2EBEFC8F" w:rsidR="000B6B57" w:rsidRPr="005A22C2" w:rsidRDefault="00B626A5" w:rsidP="006B7129">
            <w:pPr>
              <w:jc w:val="right"/>
            </w:pPr>
            <w:r w:rsidRPr="005A22C2">
              <w:t>$49</w:t>
            </w:r>
            <w:r w:rsidR="00F722C0" w:rsidRPr="005A22C2">
              <w:t>7,851</w:t>
            </w:r>
          </w:p>
        </w:tc>
        <w:tc>
          <w:tcPr>
            <w:tcW w:w="780" w:type="pct"/>
          </w:tcPr>
          <w:p w14:paraId="31835826" w14:textId="4EDF9D7B" w:rsidR="001565F4" w:rsidRPr="005A22C2" w:rsidRDefault="00C12BEB" w:rsidP="006B7129">
            <w:pPr>
              <w:jc w:val="right"/>
            </w:pPr>
            <w:r w:rsidRPr="005A22C2">
              <w:t>$252,905</w:t>
            </w:r>
          </w:p>
        </w:tc>
      </w:tr>
      <w:tr w:rsidR="000B6B57" w:rsidRPr="005A22C2" w14:paraId="3F63AFA6" w14:textId="2FC57B19" w:rsidTr="001316ED">
        <w:trPr>
          <w:cnfStyle w:val="010000000000" w:firstRow="0" w:lastRow="1" w:firstColumn="0" w:lastColumn="0" w:oddVBand="0" w:evenVBand="0" w:oddHBand="0" w:evenHBand="0" w:firstRowFirstColumn="0" w:firstRowLastColumn="0" w:lastRowFirstColumn="0" w:lastRowLastColumn="0"/>
          <w:trHeight w:val="20"/>
        </w:trPr>
        <w:tc>
          <w:tcPr>
            <w:tcW w:w="3440" w:type="pct"/>
          </w:tcPr>
          <w:p w14:paraId="3A514C81" w14:textId="3E75B7B0" w:rsidR="000B6B57" w:rsidRPr="005A22C2" w:rsidRDefault="00C12BEB" w:rsidP="006720A0">
            <w:r w:rsidRPr="005A22C2">
              <w:t>Percentage of purchase price</w:t>
            </w:r>
          </w:p>
        </w:tc>
        <w:tc>
          <w:tcPr>
            <w:tcW w:w="780" w:type="pct"/>
          </w:tcPr>
          <w:p w14:paraId="5BF0C934" w14:textId="23E13172" w:rsidR="000B6B57" w:rsidRPr="005A22C2" w:rsidRDefault="00C12BEB" w:rsidP="006B7129">
            <w:pPr>
              <w:jc w:val="right"/>
            </w:pPr>
            <w:r w:rsidRPr="005A22C2">
              <w:t>11</w:t>
            </w:r>
            <w:r w:rsidR="00F32F53" w:rsidRPr="005A22C2">
              <w:t>%</w:t>
            </w:r>
          </w:p>
        </w:tc>
        <w:tc>
          <w:tcPr>
            <w:tcW w:w="780" w:type="pct"/>
          </w:tcPr>
          <w:p w14:paraId="758525A3" w14:textId="73AC6742" w:rsidR="001565F4" w:rsidRPr="005A22C2" w:rsidRDefault="00C12BEB" w:rsidP="006B7129">
            <w:pPr>
              <w:jc w:val="right"/>
            </w:pPr>
            <w:r w:rsidRPr="005A22C2">
              <w:t>4</w:t>
            </w:r>
            <w:r w:rsidR="00F32F53" w:rsidRPr="005A22C2">
              <w:t>%</w:t>
            </w:r>
          </w:p>
        </w:tc>
      </w:tr>
    </w:tbl>
    <w:p w14:paraId="2496C2C4" w14:textId="0A09CA91" w:rsidR="00481381" w:rsidRPr="00444034" w:rsidRDefault="00481381" w:rsidP="00F62A8C">
      <w:pPr>
        <w:pStyle w:val="Caption"/>
        <w:spacing w:before="0" w:after="0"/>
        <w:jc w:val="left"/>
        <w:rPr>
          <w:sz w:val="24"/>
          <w:szCs w:val="24"/>
        </w:rPr>
      </w:pPr>
      <w:r w:rsidRPr="00444034">
        <w:rPr>
          <w:sz w:val="24"/>
          <w:szCs w:val="24"/>
        </w:rPr>
        <w:t xml:space="preserve">End of </w:t>
      </w:r>
      <w:r w:rsidR="00127643" w:rsidRPr="00444034">
        <w:rPr>
          <w:sz w:val="24"/>
          <w:szCs w:val="24"/>
        </w:rPr>
        <w:t>table</w:t>
      </w:r>
      <w:r w:rsidRPr="00444034">
        <w:rPr>
          <w:sz w:val="24"/>
          <w:szCs w:val="24"/>
        </w:rPr>
        <w:t xml:space="preserve"> 3</w:t>
      </w:r>
    </w:p>
    <w:p w14:paraId="1C72A5CA" w14:textId="14C814E7" w:rsidR="0025766D" w:rsidRPr="005A22C2" w:rsidRDefault="00617EF9" w:rsidP="006720A0">
      <w:r w:rsidRPr="005A22C2">
        <w:t>However, many</w:t>
      </w:r>
      <w:r w:rsidR="00C95787" w:rsidRPr="005A22C2">
        <w:t xml:space="preserve"> stakeholders</w:t>
      </w:r>
      <w:r w:rsidR="00E17666" w:rsidRPr="005A22C2">
        <w:t xml:space="preserve"> </w:t>
      </w:r>
      <w:r w:rsidR="005361D4" w:rsidRPr="005A22C2">
        <w:t>stated</w:t>
      </w:r>
      <w:r w:rsidR="00E17666" w:rsidRPr="005A22C2">
        <w:t xml:space="preserve"> that </w:t>
      </w:r>
      <w:r w:rsidR="00544D67" w:rsidRPr="005A22C2">
        <w:t xml:space="preserve">given sprinkler costs were relatively fixed relative to total build costs, </w:t>
      </w:r>
      <w:r w:rsidR="00E17666" w:rsidRPr="005A22C2">
        <w:t xml:space="preserve">it would be more appropriate for </w:t>
      </w:r>
      <w:r w:rsidR="006E4042" w:rsidRPr="005A22C2">
        <w:t xml:space="preserve">sprinkler allowances to be a flat dollar value for each </w:t>
      </w:r>
      <w:r w:rsidR="00720878" w:rsidRPr="005A22C2">
        <w:t>build type</w:t>
      </w:r>
      <w:r w:rsidR="006E4042" w:rsidRPr="005A22C2">
        <w:t>, rather than a percentage of total build costs.</w:t>
      </w:r>
      <w:r w:rsidR="002A687D" w:rsidRPr="005A22C2">
        <w:t xml:space="preserve"> </w:t>
      </w:r>
      <w:r w:rsidR="00167264">
        <w:t xml:space="preserve">A confidential submission </w:t>
      </w:r>
      <w:r w:rsidR="005F51D6" w:rsidRPr="005A22C2">
        <w:t xml:space="preserve">stated </w:t>
      </w:r>
      <w:r w:rsidR="006E4042" w:rsidRPr="005A22C2">
        <w:t>that</w:t>
      </w:r>
      <w:r w:rsidR="00A97FA6" w:rsidRPr="005A22C2">
        <w:t xml:space="preserve"> “</w:t>
      </w:r>
      <w:r w:rsidR="00C1214D" w:rsidRPr="00DE5446">
        <w:t xml:space="preserve">sprinkler capex, fire engineering costs and on-going maintenance are relatively fixed across various design </w:t>
      </w:r>
      <w:r w:rsidR="00D56513" w:rsidRPr="00DE5446">
        <w:t>categories</w:t>
      </w:r>
      <w:r w:rsidR="00A97FA6" w:rsidRPr="005A22C2">
        <w:t>”</w:t>
      </w:r>
      <w:r w:rsidR="006B6AA8" w:rsidRPr="005A22C2">
        <w:t>.</w:t>
      </w:r>
    </w:p>
    <w:p w14:paraId="0D136905" w14:textId="77777777" w:rsidR="00A47429" w:rsidRPr="005A22C2" w:rsidRDefault="008D59E6" w:rsidP="006720A0">
      <w:r w:rsidRPr="005A22C2">
        <w:t>Stakeholders</w:t>
      </w:r>
      <w:r w:rsidR="00587028" w:rsidRPr="005A22C2">
        <w:t xml:space="preserve"> also </w:t>
      </w:r>
      <w:r w:rsidR="00777E3E" w:rsidRPr="005A22C2">
        <w:t xml:space="preserve">discussed the difference in cost between different </w:t>
      </w:r>
      <w:r w:rsidR="00A205D7" w:rsidRPr="005A22C2">
        <w:t xml:space="preserve">types of fire sprinkler </w:t>
      </w:r>
      <w:r w:rsidR="00A205D7" w:rsidRPr="004C3681">
        <w:t>systems.</w:t>
      </w:r>
      <w:r w:rsidR="002A687D" w:rsidRPr="004C3681">
        <w:t xml:space="preserve"> </w:t>
      </w:r>
      <w:r w:rsidR="00612BDC" w:rsidRPr="004C3681">
        <w:t>SDA Allianc</w:t>
      </w:r>
      <w:r w:rsidR="00867E7C" w:rsidRPr="004C3681">
        <w:t xml:space="preserve">e </w:t>
      </w:r>
      <w:r w:rsidR="005361D4" w:rsidRPr="004C3681">
        <w:t>stated</w:t>
      </w:r>
      <w:r w:rsidR="00612BDC" w:rsidRPr="005A22C2">
        <w:t xml:space="preserve"> that </w:t>
      </w:r>
      <w:r w:rsidR="00220D1F" w:rsidRPr="005A22C2">
        <w:t>the</w:t>
      </w:r>
      <w:r w:rsidR="006E70B1" w:rsidRPr="005A22C2">
        <w:t xml:space="preserve"> </w:t>
      </w:r>
      <w:r w:rsidR="001B2067" w:rsidRPr="005A22C2">
        <w:t>National Construction Code</w:t>
      </w:r>
      <w:r w:rsidR="00220D1F" w:rsidRPr="005A22C2">
        <w:t xml:space="preserve"> stipulates that </w:t>
      </w:r>
      <w:r w:rsidR="001316ED" w:rsidRPr="005A22C2">
        <w:t xml:space="preserve">an </w:t>
      </w:r>
      <w:r w:rsidR="00281027" w:rsidRPr="005A22C2">
        <w:t xml:space="preserve">SDA </w:t>
      </w:r>
      <w:r w:rsidR="001316ED" w:rsidRPr="005A22C2">
        <w:t xml:space="preserve">dwelling </w:t>
      </w:r>
      <w:r w:rsidR="00281027" w:rsidRPr="005A22C2">
        <w:t>with two or more unrelated residents with a disability</w:t>
      </w:r>
      <w:r w:rsidR="00220D1F" w:rsidRPr="005A22C2">
        <w:t xml:space="preserve"> </w:t>
      </w:r>
      <w:r w:rsidR="007E1E28" w:rsidRPr="005A22C2">
        <w:t>must be</w:t>
      </w:r>
      <w:r w:rsidR="008939B0" w:rsidRPr="005A22C2">
        <w:t xml:space="preserve"> </w:t>
      </w:r>
      <w:r w:rsidR="001316ED" w:rsidRPr="005A22C2">
        <w:t xml:space="preserve">classified as a </w:t>
      </w:r>
      <w:r w:rsidR="008939B0" w:rsidRPr="005A22C2">
        <w:t>Class 3</w:t>
      </w:r>
      <w:r w:rsidR="001316ED" w:rsidRPr="005A22C2">
        <w:t xml:space="preserve"> Building</w:t>
      </w:r>
      <w:r w:rsidR="008939B0" w:rsidRPr="005A22C2">
        <w:t>, and therefore</w:t>
      </w:r>
      <w:r w:rsidR="00612BDC" w:rsidRPr="005A22C2">
        <w:t xml:space="preserve"> </w:t>
      </w:r>
      <w:r w:rsidR="00DD52CA" w:rsidRPr="005A22C2">
        <w:t xml:space="preserve">requires the installation of an AS2118.4 </w:t>
      </w:r>
      <w:r w:rsidR="001316ED" w:rsidRPr="005A22C2">
        <w:t xml:space="preserve">compliant </w:t>
      </w:r>
      <w:r w:rsidR="00DD52CA" w:rsidRPr="005A22C2">
        <w:t>sprinkler system</w:t>
      </w:r>
      <w:r w:rsidR="00AF2D25" w:rsidRPr="005A22C2">
        <w:t>.</w:t>
      </w:r>
      <w:r w:rsidR="005F51D6" w:rsidRPr="005A22C2">
        <w:t xml:space="preserve"> </w:t>
      </w:r>
      <w:r w:rsidR="00AF2D25" w:rsidRPr="005A22C2">
        <w:t xml:space="preserve">The submission </w:t>
      </w:r>
      <w:r w:rsidR="005361D4" w:rsidRPr="005A22C2">
        <w:t>stated</w:t>
      </w:r>
      <w:r w:rsidR="00AF2D25" w:rsidRPr="005A22C2">
        <w:t xml:space="preserve"> that the cost of an AS2118.4</w:t>
      </w:r>
      <w:r w:rsidR="001316ED" w:rsidRPr="005A22C2">
        <w:t xml:space="preserve"> sprinkler</w:t>
      </w:r>
      <w:r w:rsidR="00AF2D25" w:rsidRPr="005A22C2">
        <w:t xml:space="preserve"> system for a </w:t>
      </w:r>
      <w:r w:rsidR="00001F68" w:rsidRPr="005A22C2">
        <w:t>two</w:t>
      </w:r>
      <w:r w:rsidR="001316ED" w:rsidRPr="005A22C2">
        <w:t xml:space="preserve"> or </w:t>
      </w:r>
      <w:r w:rsidR="00001F68" w:rsidRPr="005A22C2">
        <w:t xml:space="preserve">three </w:t>
      </w:r>
      <w:r w:rsidR="00AF2D25" w:rsidRPr="005A22C2">
        <w:t xml:space="preserve">participant house </w:t>
      </w:r>
      <w:r w:rsidR="00001F68" w:rsidRPr="005A22C2">
        <w:t xml:space="preserve">can </w:t>
      </w:r>
      <w:r w:rsidR="00AF2D25" w:rsidRPr="005A22C2">
        <w:t xml:space="preserve">cost </w:t>
      </w:r>
      <w:r w:rsidR="00001F68" w:rsidRPr="005A22C2">
        <w:t xml:space="preserve">between </w:t>
      </w:r>
      <w:r w:rsidR="00AF2D25" w:rsidRPr="005A22C2">
        <w:t>$15,000</w:t>
      </w:r>
      <w:r w:rsidR="00001F68" w:rsidRPr="005A22C2">
        <w:t xml:space="preserve"> and </w:t>
      </w:r>
      <w:r w:rsidR="00AF2D25" w:rsidRPr="005A22C2">
        <w:t>$40,000</w:t>
      </w:r>
      <w:r w:rsidR="001316ED" w:rsidRPr="005A22C2">
        <w:t xml:space="preserve"> to install</w:t>
      </w:r>
      <w:r w:rsidR="00AF2D25" w:rsidRPr="005A22C2">
        <w:t>.</w:t>
      </w:r>
    </w:p>
    <w:p w14:paraId="7D215DF4" w14:textId="4B29DFCF" w:rsidR="00A47429" w:rsidRPr="005A22C2" w:rsidRDefault="00A97FA6" w:rsidP="006720A0">
      <w:r w:rsidRPr="004C3681">
        <w:t>The</w:t>
      </w:r>
      <w:r w:rsidR="003C0069" w:rsidRPr="004C3681">
        <w:t xml:space="preserve"> </w:t>
      </w:r>
      <w:r w:rsidR="00881A95" w:rsidRPr="004C3681">
        <w:t>SDA Alliance</w:t>
      </w:r>
      <w:r w:rsidR="00881A95" w:rsidRPr="005A22C2">
        <w:t xml:space="preserve"> </w:t>
      </w:r>
      <w:r w:rsidR="005361D4" w:rsidRPr="005A22C2">
        <w:t>stated</w:t>
      </w:r>
      <w:r w:rsidR="00730BA7" w:rsidRPr="005A22C2">
        <w:t xml:space="preserve"> that AS2118.4 can trigger other requirements, imposing </w:t>
      </w:r>
      <w:r w:rsidR="00730BA7" w:rsidRPr="004C3681">
        <w:t xml:space="preserve">additional cost. </w:t>
      </w:r>
      <w:r w:rsidR="00293453" w:rsidRPr="004C3681">
        <w:t>The</w:t>
      </w:r>
      <w:r w:rsidR="00730BA7" w:rsidRPr="004C3681" w:rsidDel="00293453">
        <w:t xml:space="preserve"> </w:t>
      </w:r>
      <w:r w:rsidR="00293453" w:rsidRPr="004C3681">
        <w:t>submission quoted one SDA Alliance member, who</w:t>
      </w:r>
      <w:r w:rsidR="00730BA7" w:rsidRPr="004C3681">
        <w:t xml:space="preserve"> </w:t>
      </w:r>
      <w:r w:rsidR="00583497" w:rsidRPr="004C3681">
        <w:t xml:space="preserve">described how the installation of a </w:t>
      </w:r>
      <w:r w:rsidR="00A84D94" w:rsidRPr="004C3681">
        <w:t>commercial</w:t>
      </w:r>
      <w:r w:rsidR="0093351E" w:rsidRPr="004C3681">
        <w:t xml:space="preserve"> sprinkler system </w:t>
      </w:r>
      <w:r w:rsidR="00A87A07" w:rsidRPr="004C3681">
        <w:t>would change the class</w:t>
      </w:r>
      <w:r w:rsidR="000E0C5C" w:rsidRPr="004C3681">
        <w:t>ification</w:t>
      </w:r>
      <w:r w:rsidR="00A87A07" w:rsidRPr="004C3681">
        <w:t xml:space="preserve"> of the dwelling </w:t>
      </w:r>
      <w:r w:rsidR="005706BE" w:rsidRPr="004C3681">
        <w:t xml:space="preserve">from </w:t>
      </w:r>
      <w:r w:rsidR="000E0C5C" w:rsidRPr="004C3681">
        <w:t xml:space="preserve">Class </w:t>
      </w:r>
      <w:r w:rsidR="005706BE" w:rsidRPr="004C3681">
        <w:t xml:space="preserve">1a or </w:t>
      </w:r>
      <w:r w:rsidR="000E0C5C" w:rsidRPr="004C3681">
        <w:t xml:space="preserve">Class </w:t>
      </w:r>
      <w:r w:rsidR="005706BE" w:rsidRPr="004C3681">
        <w:t xml:space="preserve">1b to </w:t>
      </w:r>
      <w:r w:rsidR="00CE58BF" w:rsidRPr="004C3681">
        <w:t xml:space="preserve">Class 3, noting that </w:t>
      </w:r>
      <w:r w:rsidR="005B52D9" w:rsidRPr="004C3681">
        <w:t xml:space="preserve">this triggered additional </w:t>
      </w:r>
      <w:r w:rsidR="00665C83" w:rsidRPr="004C3681">
        <w:t xml:space="preserve">building </w:t>
      </w:r>
      <w:r w:rsidR="005B52D9" w:rsidRPr="004C3681">
        <w:t>requirements</w:t>
      </w:r>
      <w:r w:rsidR="00CE58BF" w:rsidRPr="004C3681">
        <w:t xml:space="preserve"> including fire rated windows and </w:t>
      </w:r>
      <w:r w:rsidR="005B52D9" w:rsidRPr="004C3681">
        <w:t xml:space="preserve">a minimum distance </w:t>
      </w:r>
      <w:r w:rsidR="00CE58BF" w:rsidRPr="004C3681">
        <w:t xml:space="preserve">between exterior walls and </w:t>
      </w:r>
      <w:r w:rsidR="00F143C5" w:rsidRPr="004C3681">
        <w:t>the site boundary</w:t>
      </w:r>
      <w:r w:rsidR="005B52D9" w:rsidRPr="004C3681">
        <w:t>.</w:t>
      </w:r>
      <w:r w:rsidR="002A687D" w:rsidRPr="004C3681">
        <w:t xml:space="preserve"> </w:t>
      </w:r>
      <w:r w:rsidRPr="004C3681">
        <w:t>T</w:t>
      </w:r>
      <w:r w:rsidR="000E0C5C" w:rsidRPr="004C3681">
        <w:t xml:space="preserve">he </w:t>
      </w:r>
      <w:r w:rsidR="00B94E00" w:rsidRPr="004C3681">
        <w:t>SDA Alliance</w:t>
      </w:r>
      <w:r w:rsidR="00B94E00" w:rsidRPr="005A22C2">
        <w:t xml:space="preserve"> </w:t>
      </w:r>
      <w:r w:rsidR="005361D4" w:rsidRPr="005A22C2">
        <w:t>stated</w:t>
      </w:r>
      <w:r w:rsidR="005B52D9" w:rsidRPr="005A22C2">
        <w:t xml:space="preserve"> that </w:t>
      </w:r>
      <w:r w:rsidR="00665C83" w:rsidRPr="005A22C2">
        <w:t>th</w:t>
      </w:r>
      <w:r w:rsidR="005B52D9" w:rsidRPr="005A22C2">
        <w:t xml:space="preserve">ese factors </w:t>
      </w:r>
      <w:r w:rsidR="00A65B04" w:rsidRPr="005A22C2">
        <w:t>add significant additional cost, and risk making SDA developments unviable.</w:t>
      </w:r>
    </w:p>
    <w:p w14:paraId="5D67CB92" w14:textId="11707460" w:rsidR="00A47429" w:rsidRPr="005A22C2" w:rsidRDefault="001316ED" w:rsidP="006720A0">
      <w:r w:rsidRPr="00702ADE">
        <w:t xml:space="preserve">Home Fire Sprinkler Coalition Australia </w:t>
      </w:r>
      <w:r w:rsidR="000E0C5C" w:rsidRPr="00702ADE">
        <w:t>emphasised</w:t>
      </w:r>
      <w:r w:rsidR="000E0C5C" w:rsidRPr="005A22C2">
        <w:t xml:space="preserve"> the differences </w:t>
      </w:r>
      <w:r w:rsidRPr="005A22C2">
        <w:t>between FPAA101D sprinkler systems, which are integrated into domestic water supply, and AS2118 systems, which require a standalone water supply. The</w:t>
      </w:r>
      <w:r w:rsidR="00A97FA6" w:rsidRPr="005A22C2">
        <w:t>ir</w:t>
      </w:r>
      <w:r w:rsidRPr="005A22C2">
        <w:t xml:space="preserve"> submission suggested that installing FPAA101D systems in Class 1 buildings can cost between $3,000 and $5,000 per dwelling, based on previous industry engagements. It suggested that AS2118 systems could cost notably more, quoting a difference of $900,000 between AS2118 systems and FPAA101D systems for a typical mid-rise apartment block.</w:t>
      </w:r>
    </w:p>
    <w:p w14:paraId="113B1E72" w14:textId="3CB09598" w:rsidR="0065741E" w:rsidRPr="005A22C2" w:rsidRDefault="00D81555" w:rsidP="006720A0">
      <w:pPr>
        <w:pStyle w:val="Heading3"/>
      </w:pPr>
      <w:bookmarkStart w:id="111" w:name="_Toc129783569"/>
      <w:r w:rsidRPr="005A22C2">
        <w:lastRenderedPageBreak/>
        <w:t xml:space="preserve">Sprinklers in Robust </w:t>
      </w:r>
      <w:r w:rsidR="0015751E" w:rsidRPr="005A22C2">
        <w:t>SDA</w:t>
      </w:r>
      <w:bookmarkEnd w:id="111"/>
    </w:p>
    <w:p w14:paraId="7340853E" w14:textId="3BE8B0FF" w:rsidR="000F49BB" w:rsidRPr="004C3681" w:rsidRDefault="000F49BB" w:rsidP="006720A0">
      <w:r w:rsidRPr="004C3681">
        <w:t xml:space="preserve">The </w:t>
      </w:r>
      <w:r w:rsidR="00D81555" w:rsidRPr="004C3681">
        <w:t xml:space="preserve">SDA Alliance </w:t>
      </w:r>
      <w:r w:rsidR="005361D4" w:rsidRPr="004C3681">
        <w:t>stated</w:t>
      </w:r>
      <w:r w:rsidR="00D81555" w:rsidRPr="004C3681">
        <w:t xml:space="preserve"> tha</w:t>
      </w:r>
      <w:r w:rsidR="008F6CFE" w:rsidRPr="004C3681">
        <w:t>t</w:t>
      </w:r>
      <w:r w:rsidR="001316ED" w:rsidRPr="004C3681">
        <w:t>,</w:t>
      </w:r>
      <w:r w:rsidR="008F6CFE" w:rsidRPr="004C3681">
        <w:t xml:space="preserve"> </w:t>
      </w:r>
      <w:r w:rsidR="00F50882" w:rsidRPr="004C3681">
        <w:t xml:space="preserve">in some </w:t>
      </w:r>
      <w:r w:rsidR="00F13C28" w:rsidRPr="004C3681">
        <w:t>instances, the cost of sprinkler system installation can be higher due to the needs of participant</w:t>
      </w:r>
      <w:r w:rsidR="00953FB1" w:rsidRPr="004C3681">
        <w:t>s</w:t>
      </w:r>
      <w:r w:rsidR="00F13C28" w:rsidRPr="004C3681">
        <w:t xml:space="preserve">. </w:t>
      </w:r>
      <w:r w:rsidR="00953FB1" w:rsidRPr="004C3681">
        <w:t xml:space="preserve">The submission quoted </w:t>
      </w:r>
      <w:r w:rsidR="00755E82" w:rsidRPr="004C3681">
        <w:t>one alliance member, who</w:t>
      </w:r>
      <w:r w:rsidR="003F1851" w:rsidRPr="004C3681">
        <w:t xml:space="preserve"> described how</w:t>
      </w:r>
      <w:r w:rsidR="00A97FA6" w:rsidRPr="004C3681">
        <w:t xml:space="preserve"> “</w:t>
      </w:r>
      <w:r w:rsidR="000C7E4D" w:rsidRPr="004C3681">
        <w:t xml:space="preserve">in the event of a Robust installation that requires concealed sprinkler heads, and/or caged vandal-proof heads, the cost factor increase from a normal sprinkler installation </w:t>
      </w:r>
      <w:r w:rsidR="00162040" w:rsidRPr="004C3681">
        <w:t>would be approximately 20</w:t>
      </w:r>
      <w:r w:rsidR="002367FB" w:rsidRPr="004C3681">
        <w:t>%</w:t>
      </w:r>
      <w:r w:rsidR="00162040" w:rsidRPr="004C3681">
        <w:t xml:space="preserve"> higher</w:t>
      </w:r>
      <w:r w:rsidR="00A97FA6" w:rsidRPr="004C3681">
        <w:t>”</w:t>
      </w:r>
      <w:r w:rsidR="00162040" w:rsidRPr="004C3681">
        <w:t>.</w:t>
      </w:r>
    </w:p>
    <w:p w14:paraId="7D5BB80A" w14:textId="49B2DF93" w:rsidR="00D81555" w:rsidRPr="005A22C2" w:rsidRDefault="000F49BB" w:rsidP="006720A0">
      <w:r w:rsidRPr="004C3681">
        <w:t xml:space="preserve">The </w:t>
      </w:r>
      <w:r w:rsidR="00A651C9" w:rsidRPr="004C3681">
        <w:t xml:space="preserve">SDA Alliance </w:t>
      </w:r>
      <w:r w:rsidR="00490DA8" w:rsidRPr="004C3681">
        <w:t xml:space="preserve">suggested that these additional costs </w:t>
      </w:r>
      <w:r w:rsidR="004A5ADA" w:rsidRPr="004C3681">
        <w:t xml:space="preserve">should </w:t>
      </w:r>
      <w:r w:rsidR="00691DDF" w:rsidRPr="004C3681">
        <w:t xml:space="preserve">be covered in the </w:t>
      </w:r>
      <w:r w:rsidRPr="004C3681">
        <w:t>SDA pricing arrangements</w:t>
      </w:r>
      <w:r w:rsidR="00691DDF" w:rsidRPr="004C3681">
        <w:t xml:space="preserve"> particularly if sprinkler installation is mandated.</w:t>
      </w:r>
    </w:p>
    <w:p w14:paraId="66DFDFBF" w14:textId="5184D71F" w:rsidR="00C4470E" w:rsidRPr="005A22C2" w:rsidRDefault="00C4470E" w:rsidP="006720A0">
      <w:pPr>
        <w:pStyle w:val="Heading2"/>
      </w:pPr>
      <w:bookmarkStart w:id="112" w:name="_Toc129783570"/>
      <w:bookmarkStart w:id="113" w:name="_Toc136006865"/>
      <w:r w:rsidRPr="005A22C2">
        <w:t xml:space="preserve">Sprinklers in </w:t>
      </w:r>
      <w:r w:rsidR="009550B9" w:rsidRPr="005A22C2">
        <w:t>R</w:t>
      </w:r>
      <w:r w:rsidRPr="005A22C2">
        <w:t xml:space="preserve">egional and </w:t>
      </w:r>
      <w:r w:rsidR="009550B9" w:rsidRPr="005A22C2">
        <w:t>R</w:t>
      </w:r>
      <w:r w:rsidRPr="005A22C2">
        <w:t xml:space="preserve">emote </w:t>
      </w:r>
      <w:r w:rsidR="009550B9" w:rsidRPr="005A22C2">
        <w:t>A</w:t>
      </w:r>
      <w:r w:rsidRPr="005A22C2">
        <w:t>reas</w:t>
      </w:r>
      <w:bookmarkEnd w:id="112"/>
      <w:bookmarkEnd w:id="113"/>
    </w:p>
    <w:p w14:paraId="706CC53F" w14:textId="77777777" w:rsidR="00A97FA6" w:rsidRPr="004C3681" w:rsidRDefault="00F5048E" w:rsidP="006720A0">
      <w:r w:rsidRPr="005A22C2">
        <w:t xml:space="preserve">Stakeholders </w:t>
      </w:r>
      <w:r w:rsidR="00A97FA6" w:rsidRPr="005A22C2">
        <w:t>reported</w:t>
      </w:r>
      <w:r w:rsidRPr="005A22C2">
        <w:t xml:space="preserve"> </w:t>
      </w:r>
      <w:r w:rsidR="00867E7C" w:rsidRPr="005A22C2">
        <w:t xml:space="preserve">that there are significantly more </w:t>
      </w:r>
      <w:r w:rsidRPr="005A22C2">
        <w:t xml:space="preserve">challenges </w:t>
      </w:r>
      <w:r w:rsidR="00867E7C" w:rsidRPr="005A22C2">
        <w:t>in</w:t>
      </w:r>
      <w:r w:rsidRPr="005A22C2">
        <w:t xml:space="preserve"> </w:t>
      </w:r>
      <w:r w:rsidR="00DE246F" w:rsidRPr="005A22C2">
        <w:t xml:space="preserve">installing and </w:t>
      </w:r>
      <w:r w:rsidR="00DE246F" w:rsidRPr="004C3681">
        <w:t xml:space="preserve">operating </w:t>
      </w:r>
      <w:r w:rsidRPr="004C3681">
        <w:t>sprinklers in rural and remote areas.</w:t>
      </w:r>
      <w:r w:rsidR="00867E7C" w:rsidRPr="004C3681">
        <w:t xml:space="preserve"> </w:t>
      </w:r>
      <w:r w:rsidR="00A415C0" w:rsidRPr="004C3681">
        <w:t>The</w:t>
      </w:r>
      <w:r w:rsidRPr="004C3681">
        <w:t xml:space="preserve"> </w:t>
      </w:r>
      <w:r w:rsidR="00867E7C" w:rsidRPr="004C3681">
        <w:t xml:space="preserve">submissions from the </w:t>
      </w:r>
      <w:r w:rsidR="002F712D" w:rsidRPr="004C3681">
        <w:t>SDA Alliance and Home Fire Sprinkler Coalition Australia</w:t>
      </w:r>
      <w:r w:rsidR="00552EC9" w:rsidRPr="004C3681">
        <w:t xml:space="preserve"> </w:t>
      </w:r>
      <w:r w:rsidR="00867E7C" w:rsidRPr="004C3681">
        <w:t>stated that</w:t>
      </w:r>
      <w:r w:rsidR="005B28CB" w:rsidRPr="004C3681">
        <w:t xml:space="preserve"> the higher cost of </w:t>
      </w:r>
      <w:r w:rsidR="002A60EB" w:rsidRPr="004C3681">
        <w:t xml:space="preserve">sprinkler installation </w:t>
      </w:r>
      <w:r w:rsidR="004803F5" w:rsidRPr="004C3681">
        <w:t xml:space="preserve">in rural and regional areas is </w:t>
      </w:r>
      <w:r w:rsidR="002A60EB" w:rsidRPr="004C3681">
        <w:t xml:space="preserve">due to a </w:t>
      </w:r>
      <w:r w:rsidR="002B6112" w:rsidRPr="004C3681">
        <w:t>lack</w:t>
      </w:r>
      <w:r w:rsidR="002A60EB" w:rsidRPr="004C3681">
        <w:t xml:space="preserve"> of </w:t>
      </w:r>
      <w:r w:rsidR="006C475E" w:rsidRPr="004C3681">
        <w:t>tradespeople</w:t>
      </w:r>
      <w:r w:rsidR="00B337BF" w:rsidRPr="004C3681">
        <w:t xml:space="preserve"> in these areas</w:t>
      </w:r>
      <w:r w:rsidR="00286C30" w:rsidRPr="004C3681">
        <w:t xml:space="preserve">, with an SDA Alliance member </w:t>
      </w:r>
      <w:r w:rsidR="00086CAD" w:rsidRPr="004C3681">
        <w:t xml:space="preserve">stating </w:t>
      </w:r>
      <w:r w:rsidR="00A471DA" w:rsidRPr="004C3681">
        <w:t xml:space="preserve">that in their experience, </w:t>
      </w:r>
      <w:r w:rsidR="00AF17BA" w:rsidRPr="004C3681">
        <w:t xml:space="preserve">it </w:t>
      </w:r>
      <w:r w:rsidR="00867E7C" w:rsidRPr="004C3681">
        <w:t>“</w:t>
      </w:r>
      <w:r w:rsidR="00AF17BA" w:rsidRPr="004C3681">
        <w:t>would be almost impossible to find a registered fire contractor</w:t>
      </w:r>
      <w:r w:rsidR="00602FCF" w:rsidRPr="004C3681">
        <w:t xml:space="preserve">… </w:t>
      </w:r>
      <w:r w:rsidR="00B923BF" w:rsidRPr="004C3681">
        <w:t xml:space="preserve">more than </w:t>
      </w:r>
      <w:r w:rsidR="00C06649" w:rsidRPr="004C3681">
        <w:t>100km out of the greater Melbourne area</w:t>
      </w:r>
      <w:r w:rsidR="00867E7C" w:rsidRPr="004C3681">
        <w:t xml:space="preserve">”. </w:t>
      </w:r>
    </w:p>
    <w:p w14:paraId="1A2A7380" w14:textId="329EC45D" w:rsidR="00A47429" w:rsidRPr="004C3681" w:rsidRDefault="00D978BE" w:rsidP="006720A0">
      <w:r w:rsidRPr="004C3681">
        <w:t xml:space="preserve">However, </w:t>
      </w:r>
      <w:r w:rsidR="00867E7C" w:rsidRPr="004C3681">
        <w:t>the submission</w:t>
      </w:r>
      <w:r w:rsidR="00C17126" w:rsidRPr="004C3681">
        <w:t xml:space="preserve"> also </w:t>
      </w:r>
      <w:r w:rsidR="005361D4" w:rsidRPr="004C3681">
        <w:t>stated</w:t>
      </w:r>
      <w:r w:rsidR="00230D55" w:rsidRPr="004C3681">
        <w:t xml:space="preserve"> </w:t>
      </w:r>
      <w:r w:rsidR="00C17126" w:rsidRPr="004C3681">
        <w:t>that these</w:t>
      </w:r>
      <w:r w:rsidR="00230D55" w:rsidRPr="004C3681">
        <w:t xml:space="preserve"> areas</w:t>
      </w:r>
      <w:r w:rsidR="00C17126" w:rsidRPr="004C3681">
        <w:t xml:space="preserve"> have a particular need for effective sprinkler systems</w:t>
      </w:r>
      <w:r w:rsidR="00230D55" w:rsidRPr="004C3681">
        <w:t xml:space="preserve"> given that they are not serviced by the network of distributed fire stations found in metropolitan areas</w:t>
      </w:r>
      <w:r w:rsidR="00773D42" w:rsidRPr="004C3681">
        <w:t xml:space="preserve">, and therefore </w:t>
      </w:r>
      <w:r w:rsidR="00835FCC" w:rsidRPr="004C3681">
        <w:t>“intervention [by a fire brigade] will start later in the fire’s development”</w:t>
      </w:r>
      <w:r w:rsidR="00F32F53" w:rsidRPr="004C3681">
        <w:t>.</w:t>
      </w:r>
      <w:r w:rsidR="00867E7C" w:rsidRPr="004C3681">
        <w:t xml:space="preserve"> </w:t>
      </w:r>
      <w:r w:rsidR="00B254AC" w:rsidRPr="004C3681">
        <w:t xml:space="preserve">The submission </w:t>
      </w:r>
      <w:r w:rsidR="005F6196" w:rsidRPr="004C3681">
        <w:t xml:space="preserve">therefore </w:t>
      </w:r>
      <w:r w:rsidR="00256952" w:rsidRPr="004C3681">
        <w:t xml:space="preserve">suggested that </w:t>
      </w:r>
      <w:r w:rsidR="00E13036" w:rsidRPr="004C3681">
        <w:t xml:space="preserve">location-specific costs </w:t>
      </w:r>
      <w:r w:rsidR="00EB158A" w:rsidRPr="004C3681">
        <w:t xml:space="preserve">for regional and remote areas should be </w:t>
      </w:r>
      <w:r w:rsidR="000E0C5C" w:rsidRPr="004C3681">
        <w:t>consider</w:t>
      </w:r>
      <w:r w:rsidR="00867E7C" w:rsidRPr="004C3681">
        <w:t>ed when setting SDA prices.</w:t>
      </w:r>
    </w:p>
    <w:p w14:paraId="370EFB2B" w14:textId="41C074F8" w:rsidR="00A47429" w:rsidRPr="005A22C2" w:rsidRDefault="00A97FA6" w:rsidP="006720A0">
      <w:pPr>
        <w:rPr>
          <w:rStyle w:val="FootnoteReference"/>
          <w:color w:val="000000" w:themeColor="text1"/>
        </w:rPr>
      </w:pPr>
      <w:r w:rsidRPr="004C3681">
        <w:t>T</w:t>
      </w:r>
      <w:r w:rsidR="00867E7C" w:rsidRPr="004C3681">
        <w:t>he</w:t>
      </w:r>
      <w:r w:rsidR="004107E4" w:rsidRPr="004C3681">
        <w:t xml:space="preserve"> SDA Alliance </w:t>
      </w:r>
      <w:r w:rsidR="00867E7C" w:rsidRPr="004C3681">
        <w:t>also stated</w:t>
      </w:r>
      <w:r w:rsidR="00CC0247" w:rsidRPr="004C3681">
        <w:t xml:space="preserve"> that if sprinklers are mandated in SDA, </w:t>
      </w:r>
      <w:r w:rsidR="00867E7C" w:rsidRPr="004C3681">
        <w:t>then it would be</w:t>
      </w:r>
      <w:r w:rsidR="00CC0247" w:rsidRPr="004C3681">
        <w:t xml:space="preserve"> important that the </w:t>
      </w:r>
      <w:r w:rsidR="001316ED" w:rsidRPr="004C3681">
        <w:t xml:space="preserve">NDIA </w:t>
      </w:r>
      <w:r w:rsidR="00CC0247" w:rsidRPr="004C3681">
        <w:t xml:space="preserve">ensure that any mandate does not </w:t>
      </w:r>
      <w:r w:rsidR="005A461D" w:rsidRPr="004C3681">
        <w:t xml:space="preserve">limit supply </w:t>
      </w:r>
      <w:r w:rsidR="00C42B0E" w:rsidRPr="004C3681">
        <w:t>in regional and remote areas. The</w:t>
      </w:r>
      <w:r w:rsidR="004235D8" w:rsidRPr="004C3681">
        <w:t xml:space="preserve">y </w:t>
      </w:r>
      <w:r w:rsidR="00C42B0E" w:rsidRPr="004C3681">
        <w:t xml:space="preserve">recommended </w:t>
      </w:r>
      <w:r w:rsidR="006C5793" w:rsidRPr="004C3681">
        <w:t xml:space="preserve">long sunset periods prior to </w:t>
      </w:r>
      <w:r w:rsidR="004235D8" w:rsidRPr="004C3681">
        <w:t>implementing</w:t>
      </w:r>
      <w:r w:rsidR="006C5793" w:rsidRPr="004C3681">
        <w:t xml:space="preserve"> a sprinkler mandate and working with industry to ensure </w:t>
      </w:r>
      <w:r w:rsidRPr="004C3681">
        <w:t xml:space="preserve">SDA developers in </w:t>
      </w:r>
      <w:r w:rsidR="00292064" w:rsidRPr="004C3681">
        <w:t>remote areas</w:t>
      </w:r>
      <w:r w:rsidRPr="004C3681">
        <w:t xml:space="preserve"> could access relevant professionals and services</w:t>
      </w:r>
      <w:r w:rsidR="00292064" w:rsidRPr="004C3681">
        <w:t>.</w:t>
      </w:r>
    </w:p>
    <w:p w14:paraId="317A86CC" w14:textId="6DB79654" w:rsidR="00A5432A" w:rsidRPr="005A22C2" w:rsidRDefault="00BA5391" w:rsidP="006720A0">
      <w:pPr>
        <w:pStyle w:val="Heading2"/>
      </w:pPr>
      <w:bookmarkStart w:id="114" w:name="_Toc126595103"/>
      <w:bookmarkStart w:id="115" w:name="_Toc129783571"/>
      <w:bookmarkStart w:id="116" w:name="_Toc136006866"/>
      <w:r w:rsidRPr="005A22C2">
        <w:t xml:space="preserve">Sprinklers in </w:t>
      </w:r>
      <w:r w:rsidR="009550B9" w:rsidRPr="005A22C2">
        <w:t>“Salt and Pepper”</w:t>
      </w:r>
      <w:r w:rsidR="00002585" w:rsidRPr="005A22C2">
        <w:t xml:space="preserve"> </w:t>
      </w:r>
      <w:r w:rsidR="009550B9" w:rsidRPr="005A22C2">
        <w:t>A</w:t>
      </w:r>
      <w:r w:rsidR="009E7A2D" w:rsidRPr="005A22C2">
        <w:t xml:space="preserve">partment </w:t>
      </w:r>
      <w:r w:rsidR="009550B9" w:rsidRPr="005A22C2">
        <w:t>D</w:t>
      </w:r>
      <w:r w:rsidR="009E7A2D" w:rsidRPr="005A22C2">
        <w:t>evelopments</w:t>
      </w:r>
      <w:bookmarkEnd w:id="114"/>
      <w:bookmarkEnd w:id="115"/>
      <w:bookmarkEnd w:id="116"/>
    </w:p>
    <w:p w14:paraId="3234582A" w14:textId="799E221C" w:rsidR="00002585" w:rsidRPr="005A22C2" w:rsidRDefault="00002585" w:rsidP="006720A0">
      <w:pPr>
        <w:rPr>
          <w:lang w:eastAsia="en-AU"/>
        </w:rPr>
      </w:pPr>
      <w:r w:rsidRPr="005A22C2">
        <w:t>Some</w:t>
      </w:r>
      <w:r w:rsidR="0018608E" w:rsidRPr="005A22C2">
        <w:t xml:space="preserve"> s</w:t>
      </w:r>
      <w:r w:rsidR="00A5432A" w:rsidRPr="005A22C2">
        <w:t xml:space="preserve">takeholders </w:t>
      </w:r>
      <w:r w:rsidRPr="005A22C2">
        <w:t xml:space="preserve">raised concerns </w:t>
      </w:r>
      <w:r w:rsidR="00A5432A" w:rsidRPr="005A22C2">
        <w:t xml:space="preserve">about the </w:t>
      </w:r>
      <w:r w:rsidR="0018608E" w:rsidRPr="005A22C2">
        <w:t xml:space="preserve">cost of installing sprinkler systems </w:t>
      </w:r>
      <w:r w:rsidR="008169AD" w:rsidRPr="005A22C2">
        <w:t>and other</w:t>
      </w:r>
      <w:r w:rsidR="006E70B1" w:rsidRPr="005A22C2">
        <w:t xml:space="preserve"> National Construction Code</w:t>
      </w:r>
      <w:r w:rsidR="006B4F68" w:rsidRPr="005A22C2">
        <w:t xml:space="preserve"> </w:t>
      </w:r>
      <w:r w:rsidR="008169AD" w:rsidRPr="005A22C2">
        <w:t xml:space="preserve">Class 3 </w:t>
      </w:r>
      <w:r w:rsidR="0065049F" w:rsidRPr="005A22C2">
        <w:t xml:space="preserve">fire protection </w:t>
      </w:r>
      <w:r w:rsidR="008169AD" w:rsidRPr="005A22C2">
        <w:t xml:space="preserve">requirements in developments </w:t>
      </w:r>
      <w:r w:rsidRPr="005A22C2">
        <w:t>that comprised a</w:t>
      </w:r>
      <w:r w:rsidR="002A2A7A" w:rsidRPr="005A22C2">
        <w:t xml:space="preserve"> mix of SDA and non-SDA apartments</w:t>
      </w:r>
      <w:r w:rsidR="002D1AE2" w:rsidRPr="005A22C2">
        <w:t xml:space="preserve"> (salt and pepper developments)</w:t>
      </w:r>
      <w:r w:rsidR="002A2A7A" w:rsidRPr="005A22C2">
        <w:t>.</w:t>
      </w:r>
      <w:r w:rsidR="00D92CB5" w:rsidRPr="005A22C2">
        <w:t xml:space="preserve"> A </w:t>
      </w:r>
      <w:r w:rsidR="0091391A" w:rsidRPr="005A22C2">
        <w:t>stakeholder in</w:t>
      </w:r>
      <w:r w:rsidR="00003B1E" w:rsidRPr="005A22C2" w:rsidDel="0091391A">
        <w:t xml:space="preserve"> </w:t>
      </w:r>
      <w:r w:rsidR="0091391A" w:rsidRPr="005A22C2">
        <w:t>the New South Wales and Australian Capital Territory</w:t>
      </w:r>
      <w:r w:rsidR="00003B1E" w:rsidRPr="005A22C2">
        <w:t xml:space="preserve"> </w:t>
      </w:r>
      <w:r w:rsidR="00D84C52" w:rsidRPr="005A22C2">
        <w:t>Consultation Group</w:t>
      </w:r>
      <w:r w:rsidR="00003B1E" w:rsidRPr="005A22C2">
        <w:t xml:space="preserve"> </w:t>
      </w:r>
      <w:r w:rsidR="00D92CB5" w:rsidRPr="005A22C2">
        <w:t xml:space="preserve">highlighted </w:t>
      </w:r>
      <w:r w:rsidR="00003B1E" w:rsidRPr="005A22C2">
        <w:t xml:space="preserve">the benefit of being </w:t>
      </w:r>
      <w:r w:rsidR="002058DC" w:rsidRPr="005A22C2">
        <w:t>engaged early during the planning of mixed-use apartments, noting that</w:t>
      </w:r>
      <w:r w:rsidR="00A97FA6" w:rsidRPr="005A22C2">
        <w:t xml:space="preserve"> “</w:t>
      </w:r>
      <w:r w:rsidR="000F1377" w:rsidRPr="00432237">
        <w:rPr>
          <w:lang w:eastAsia="en-AU"/>
        </w:rPr>
        <w:t>if there is not perfect cohesion in the communication between the development in a salt and pepper development and fire services, then, at the 11</w:t>
      </w:r>
      <w:r w:rsidR="000F1377" w:rsidRPr="00432237">
        <w:rPr>
          <w:vertAlign w:val="superscript"/>
          <w:lang w:eastAsia="en-AU"/>
        </w:rPr>
        <w:t>th</w:t>
      </w:r>
      <w:r w:rsidR="000F1377" w:rsidRPr="00432237">
        <w:rPr>
          <w:lang w:eastAsia="en-AU"/>
        </w:rPr>
        <w:t xml:space="preserve"> hour, that can trigger change</w:t>
      </w:r>
      <w:r w:rsidR="00A97FA6" w:rsidRPr="005A22C2">
        <w:rPr>
          <w:lang w:eastAsia="en-AU"/>
        </w:rPr>
        <w:t>”.</w:t>
      </w:r>
    </w:p>
    <w:p w14:paraId="27AF899A" w14:textId="5CD01CE3" w:rsidR="000F1377" w:rsidRPr="005A22C2" w:rsidRDefault="00002585" w:rsidP="006720A0">
      <w:r w:rsidRPr="005A22C2">
        <w:rPr>
          <w:lang w:eastAsia="en-AU"/>
        </w:rPr>
        <w:t>One stakeholder provided</w:t>
      </w:r>
      <w:r w:rsidR="001316ED" w:rsidRPr="005A22C2">
        <w:rPr>
          <w:lang w:eastAsia="en-AU"/>
        </w:rPr>
        <w:t>,</w:t>
      </w:r>
      <w:r w:rsidRPr="005A22C2">
        <w:rPr>
          <w:lang w:eastAsia="en-AU"/>
        </w:rPr>
        <w:t xml:space="preserve"> as an example</w:t>
      </w:r>
      <w:r w:rsidR="001316ED" w:rsidRPr="005A22C2">
        <w:rPr>
          <w:lang w:eastAsia="en-AU"/>
        </w:rPr>
        <w:t>,</w:t>
      </w:r>
      <w:r w:rsidRPr="005A22C2">
        <w:rPr>
          <w:lang w:eastAsia="en-AU"/>
        </w:rPr>
        <w:t xml:space="preserve"> details of </w:t>
      </w:r>
      <w:r w:rsidR="000F1377" w:rsidRPr="005A22C2">
        <w:rPr>
          <w:lang w:eastAsia="en-AU"/>
        </w:rPr>
        <w:t>a project in Canberra</w:t>
      </w:r>
      <w:r w:rsidRPr="005A22C2">
        <w:rPr>
          <w:lang w:eastAsia="en-AU"/>
        </w:rPr>
        <w:t xml:space="preserve"> where they had had to outlay </w:t>
      </w:r>
      <w:r w:rsidR="000F1377" w:rsidRPr="005A22C2">
        <w:rPr>
          <w:lang w:eastAsia="en-AU"/>
        </w:rPr>
        <w:t>$300,000 (4</w:t>
      </w:r>
      <w:r w:rsidR="002367FB">
        <w:rPr>
          <w:lang w:eastAsia="en-AU"/>
        </w:rPr>
        <w:t>%</w:t>
      </w:r>
      <w:r w:rsidR="000F1377" w:rsidRPr="005A22C2">
        <w:rPr>
          <w:lang w:eastAsia="en-AU"/>
        </w:rPr>
        <w:t xml:space="preserve"> of the project cost) to</w:t>
      </w:r>
      <w:r w:rsidR="002058DC" w:rsidRPr="005A22C2">
        <w:rPr>
          <w:lang w:eastAsia="en-AU"/>
        </w:rPr>
        <w:t xml:space="preserve"> make the entire building compliant with local fire protection guid</w:t>
      </w:r>
      <w:r w:rsidR="00C32A3E" w:rsidRPr="005A22C2">
        <w:rPr>
          <w:lang w:eastAsia="en-AU"/>
        </w:rPr>
        <w:t>elines.</w:t>
      </w:r>
    </w:p>
    <w:p w14:paraId="5181E4ED" w14:textId="0BBF526F" w:rsidR="00DA59CD" w:rsidRPr="005A22C2" w:rsidRDefault="003B2653" w:rsidP="006720A0">
      <w:r w:rsidRPr="005A22C2">
        <w:lastRenderedPageBreak/>
        <w:t>Similarly</w:t>
      </w:r>
      <w:r w:rsidR="00B52016" w:rsidRPr="005A22C2">
        <w:t xml:space="preserve">, </w:t>
      </w:r>
      <w:r w:rsidR="00177E3A" w:rsidRPr="005A22C2">
        <w:t>stakeholder</w:t>
      </w:r>
      <w:r w:rsidR="00BE3382" w:rsidRPr="005A22C2">
        <w:t>s</w:t>
      </w:r>
      <w:r w:rsidR="00177E3A" w:rsidRPr="005A22C2">
        <w:t xml:space="preserve"> </w:t>
      </w:r>
      <w:r w:rsidR="005361D4" w:rsidRPr="005A22C2">
        <w:t>stated</w:t>
      </w:r>
      <w:r w:rsidR="00394454" w:rsidRPr="005A22C2">
        <w:t xml:space="preserve"> that where sprinkler systems </w:t>
      </w:r>
      <w:r w:rsidR="00424E3F" w:rsidRPr="005A22C2">
        <w:t xml:space="preserve">were only required </w:t>
      </w:r>
      <w:r w:rsidR="00974FCB" w:rsidRPr="005A22C2">
        <w:t xml:space="preserve">due to </w:t>
      </w:r>
      <w:r w:rsidR="00177E3A" w:rsidRPr="005A22C2">
        <w:t xml:space="preserve">the </w:t>
      </w:r>
      <w:r w:rsidR="00974FCB" w:rsidRPr="005A22C2">
        <w:t xml:space="preserve">presence of SDA </w:t>
      </w:r>
      <w:r w:rsidR="00803EB6" w:rsidRPr="005A22C2">
        <w:t>in a mixed apartment development,</w:t>
      </w:r>
      <w:r w:rsidR="00B52016" w:rsidRPr="005A22C2">
        <w:t xml:space="preserve"> the </w:t>
      </w:r>
      <w:r w:rsidR="0054022F" w:rsidRPr="005A22C2">
        <w:t>total</w:t>
      </w:r>
      <w:r w:rsidR="00C251B6" w:rsidRPr="005A22C2">
        <w:t xml:space="preserve"> cost of installing </w:t>
      </w:r>
      <w:r w:rsidR="0054022F" w:rsidRPr="005A22C2">
        <w:t>the system</w:t>
      </w:r>
      <w:r w:rsidR="009812A3" w:rsidRPr="005A22C2">
        <w:t xml:space="preserve"> may fall to the SDA </w:t>
      </w:r>
      <w:r w:rsidR="0054022F" w:rsidRPr="005A22C2">
        <w:t>provider.</w:t>
      </w:r>
      <w:r w:rsidR="002A687D" w:rsidRPr="005A22C2">
        <w:t xml:space="preserve"> </w:t>
      </w:r>
      <w:r w:rsidR="008671F6">
        <w:t xml:space="preserve">One stakeholder suggested </w:t>
      </w:r>
      <w:r w:rsidR="004E032C" w:rsidRPr="005A22C2">
        <w:t xml:space="preserve">that </w:t>
      </w:r>
      <w:r w:rsidR="00B52016" w:rsidRPr="005A22C2">
        <w:t xml:space="preserve">the cost </w:t>
      </w:r>
      <w:r w:rsidR="00177E3A" w:rsidRPr="005A22C2">
        <w:t xml:space="preserve">of sprinklers </w:t>
      </w:r>
      <w:r w:rsidR="00B52016" w:rsidRPr="005A22C2">
        <w:t xml:space="preserve">per SDA apartment was less than </w:t>
      </w:r>
      <w:proofErr w:type="gramStart"/>
      <w:r w:rsidR="00B52016" w:rsidRPr="005A22C2">
        <w:t>houses</w:t>
      </w:r>
      <w:r w:rsidR="00002585" w:rsidRPr="005A22C2">
        <w:t xml:space="preserve">, </w:t>
      </w:r>
      <w:r w:rsidR="00BF3926">
        <w:t>and</w:t>
      </w:r>
      <w:proofErr w:type="gramEnd"/>
      <w:r w:rsidR="00BF3926">
        <w:t xml:space="preserve"> </w:t>
      </w:r>
      <w:r w:rsidR="00002585" w:rsidRPr="005A22C2">
        <w:t>added</w:t>
      </w:r>
      <w:r w:rsidR="00A97FA6" w:rsidRPr="005A22C2">
        <w:t xml:space="preserve"> that: “</w:t>
      </w:r>
      <w:r w:rsidR="00002585" w:rsidRPr="00432237">
        <w:t xml:space="preserve">the </w:t>
      </w:r>
      <w:r w:rsidR="00B52016" w:rsidRPr="00432237">
        <w:t xml:space="preserve">problem with apartments is that you can't just put sprinklers in 10 </w:t>
      </w:r>
      <w:r w:rsidR="00BF0155" w:rsidRPr="00432237">
        <w:t xml:space="preserve">[SDA] </w:t>
      </w:r>
      <w:r w:rsidR="00B52016" w:rsidRPr="00432237">
        <w:t>apartments in an apartment [block</w:t>
      </w:r>
      <w:r w:rsidR="00A97FA6" w:rsidRPr="00432237">
        <w:t>] …</w:t>
      </w:r>
      <w:r w:rsidR="00B52016" w:rsidRPr="00432237">
        <w:t xml:space="preserve"> you have to put them in all of the apartments</w:t>
      </w:r>
      <w:r w:rsidR="00A97FA6" w:rsidRPr="00432237">
        <w:t>”.</w:t>
      </w:r>
    </w:p>
    <w:p w14:paraId="67DEE9D0" w14:textId="79B799C8" w:rsidR="00F252B3" w:rsidRPr="005A22C2" w:rsidRDefault="000A686C" w:rsidP="006720A0">
      <w:pPr>
        <w:pStyle w:val="Heading2"/>
      </w:pPr>
      <w:bookmarkStart w:id="117" w:name="_Toc126595104"/>
      <w:bookmarkStart w:id="118" w:name="_Toc129783572"/>
      <w:bookmarkStart w:id="119" w:name="_Toc136006867"/>
      <w:r w:rsidRPr="005A22C2">
        <w:t>Sp</w:t>
      </w:r>
      <w:r w:rsidR="00620E9F" w:rsidRPr="005A22C2">
        <w:t xml:space="preserve">rinkler </w:t>
      </w:r>
      <w:r w:rsidR="009550B9" w:rsidRPr="005A22C2">
        <w:t>I</w:t>
      </w:r>
      <w:r w:rsidR="008F37CF" w:rsidRPr="005A22C2">
        <w:t xml:space="preserve">nfrastructure </w:t>
      </w:r>
      <w:r w:rsidR="009550B9" w:rsidRPr="005A22C2">
        <w:t>C</w:t>
      </w:r>
      <w:r w:rsidR="008F37CF" w:rsidRPr="005A22C2">
        <w:t>osts</w:t>
      </w:r>
      <w:bookmarkEnd w:id="117"/>
      <w:bookmarkEnd w:id="118"/>
      <w:bookmarkEnd w:id="119"/>
    </w:p>
    <w:p w14:paraId="53D9D208" w14:textId="5580FA33" w:rsidR="00A47429" w:rsidRPr="005A22C2" w:rsidRDefault="0053533A" w:rsidP="006720A0">
      <w:pPr>
        <w:rPr>
          <w:rStyle w:val="FootnoteReference"/>
        </w:rPr>
      </w:pPr>
      <w:r w:rsidRPr="005A22C2">
        <w:t xml:space="preserve">Installing supporting infrastructure required for sprinklers in </w:t>
      </w:r>
      <w:r w:rsidR="00345971" w:rsidRPr="005A22C2">
        <w:t>some</w:t>
      </w:r>
      <w:r w:rsidRPr="005A22C2">
        <w:t xml:space="preserve"> locations was cited as another cost</w:t>
      </w:r>
      <w:r w:rsidR="00E14BAE" w:rsidRPr="005A22C2">
        <w:t xml:space="preserve"> that was not </w:t>
      </w:r>
      <w:r w:rsidR="00345971" w:rsidRPr="005A22C2">
        <w:t xml:space="preserve">fully </w:t>
      </w:r>
      <w:r w:rsidR="00E14BAE" w:rsidRPr="005A22C2">
        <w:t xml:space="preserve">accounted for </w:t>
      </w:r>
      <w:r w:rsidR="00BF3049" w:rsidRPr="005A22C2">
        <w:t xml:space="preserve">in </w:t>
      </w:r>
      <w:r w:rsidR="00A97FA6" w:rsidRPr="005A22C2">
        <w:t xml:space="preserve">the current SDA pricing model. </w:t>
      </w:r>
      <w:r w:rsidR="00345971" w:rsidRPr="005A22C2">
        <w:t>One</w:t>
      </w:r>
      <w:r w:rsidR="001843E1" w:rsidRPr="005A22C2">
        <w:t xml:space="preserve"> </w:t>
      </w:r>
      <w:r w:rsidR="0091391A" w:rsidRPr="005A22C2">
        <w:t>stakeholder in</w:t>
      </w:r>
      <w:r w:rsidR="001843E1" w:rsidRPr="005A22C2">
        <w:t xml:space="preserve"> the </w:t>
      </w:r>
      <w:r w:rsidR="00345971" w:rsidRPr="005A22C2">
        <w:t xml:space="preserve">Western Australia </w:t>
      </w:r>
      <w:r w:rsidR="00D84C52" w:rsidRPr="005A22C2">
        <w:t>Consultation Group</w:t>
      </w:r>
      <w:r w:rsidR="00345971" w:rsidRPr="005A22C2">
        <w:t xml:space="preserve"> </w:t>
      </w:r>
      <w:r w:rsidR="005361D4" w:rsidRPr="005A22C2">
        <w:t>stated</w:t>
      </w:r>
      <w:r w:rsidR="003464F9" w:rsidRPr="005A22C2">
        <w:t xml:space="preserve"> that </w:t>
      </w:r>
      <w:proofErr w:type="gramStart"/>
      <w:r w:rsidR="00BF3049" w:rsidRPr="005A22C2">
        <w:t>a number of</w:t>
      </w:r>
      <w:proofErr w:type="gramEnd"/>
      <w:r w:rsidR="00BF3049" w:rsidRPr="005A22C2">
        <w:t xml:space="preserve"> more established suburbs </w:t>
      </w:r>
      <w:r w:rsidR="00BC1A4E" w:rsidRPr="005A22C2">
        <w:t xml:space="preserve">in Perth </w:t>
      </w:r>
      <w:r w:rsidR="00BF3049" w:rsidRPr="005A22C2">
        <w:t xml:space="preserve">lack </w:t>
      </w:r>
      <w:r w:rsidR="00BC1A4E" w:rsidRPr="005A22C2">
        <w:t xml:space="preserve">the water pressure required </w:t>
      </w:r>
      <w:r w:rsidR="00BF3049" w:rsidRPr="005A22C2">
        <w:t xml:space="preserve">for </w:t>
      </w:r>
      <w:r w:rsidR="00BC1A4E" w:rsidRPr="005A22C2">
        <w:t xml:space="preserve">sprinkler systems, and that </w:t>
      </w:r>
      <w:r w:rsidR="003464F9" w:rsidRPr="005A22C2">
        <w:t>it was</w:t>
      </w:r>
      <w:r w:rsidR="00BC1A4E" w:rsidRPr="005A22C2">
        <w:t xml:space="preserve"> necessary </w:t>
      </w:r>
      <w:r w:rsidR="003464F9" w:rsidRPr="005A22C2">
        <w:t xml:space="preserve">to install </w:t>
      </w:r>
      <w:r w:rsidR="00BC1A4E" w:rsidRPr="005A22C2">
        <w:t>tanks and pumps</w:t>
      </w:r>
      <w:r w:rsidR="003464F9" w:rsidRPr="005A22C2">
        <w:t xml:space="preserve">, </w:t>
      </w:r>
      <w:r w:rsidR="00D16A8E" w:rsidRPr="005A22C2">
        <w:t xml:space="preserve">which </w:t>
      </w:r>
      <w:r w:rsidR="007F1451" w:rsidRPr="005A22C2">
        <w:t>add</w:t>
      </w:r>
      <w:r w:rsidR="00D16A8E" w:rsidRPr="005A22C2">
        <w:t>ed</w:t>
      </w:r>
      <w:r w:rsidR="00BC1A4E" w:rsidRPr="005A22C2">
        <w:t xml:space="preserve"> significant cost</w:t>
      </w:r>
      <w:r w:rsidR="007F1451" w:rsidRPr="005A22C2">
        <w:t xml:space="preserve"> and delays arising from the approval process</w:t>
      </w:r>
      <w:r w:rsidR="00BC1A4E" w:rsidRPr="005A22C2">
        <w:t xml:space="preserve">. </w:t>
      </w:r>
      <w:r w:rsidR="00913445" w:rsidRPr="005A22C2">
        <w:t xml:space="preserve">Multiple </w:t>
      </w:r>
      <w:r w:rsidR="0091391A" w:rsidRPr="005A22C2">
        <w:t>stakeholder</w:t>
      </w:r>
      <w:r w:rsidR="004B7CCA" w:rsidRPr="005A22C2">
        <w:t>s</w:t>
      </w:r>
      <w:r w:rsidR="0091391A" w:rsidRPr="005A22C2">
        <w:t xml:space="preserve"> in</w:t>
      </w:r>
      <w:r w:rsidR="00913445" w:rsidRPr="005A22C2">
        <w:t xml:space="preserve"> this </w:t>
      </w:r>
      <w:r w:rsidR="00D84C52" w:rsidRPr="005A22C2">
        <w:t>Consultation Group</w:t>
      </w:r>
      <w:r w:rsidR="00872CBC" w:rsidRPr="005A22C2">
        <w:t xml:space="preserve"> </w:t>
      </w:r>
      <w:r w:rsidR="001316ED" w:rsidRPr="005A22C2">
        <w:t>stated</w:t>
      </w:r>
      <w:r w:rsidR="00872CBC" w:rsidRPr="005A22C2">
        <w:t xml:space="preserve"> that the </w:t>
      </w:r>
      <w:r w:rsidR="001316ED" w:rsidRPr="005A22C2">
        <w:t xml:space="preserve">current SDA price loadings for sprinklers </w:t>
      </w:r>
      <w:r w:rsidR="00872CBC" w:rsidRPr="005A22C2">
        <w:t>did not adequately cover the costs of installing the</w:t>
      </w:r>
      <w:r w:rsidR="001316ED" w:rsidRPr="005A22C2">
        <w:t>se</w:t>
      </w:r>
      <w:r w:rsidR="00872CBC" w:rsidRPr="005A22C2">
        <w:t xml:space="preserve"> systems and </w:t>
      </w:r>
      <w:r w:rsidR="00670CF0" w:rsidRPr="005A22C2">
        <w:t xml:space="preserve">the </w:t>
      </w:r>
      <w:r w:rsidR="00872CBC" w:rsidRPr="005A22C2">
        <w:t>necessary additional infrastructure</w:t>
      </w:r>
      <w:r w:rsidR="004F471B" w:rsidRPr="005A22C2">
        <w:t xml:space="preserve"> (including </w:t>
      </w:r>
      <w:r w:rsidR="008B5A03" w:rsidRPr="005A22C2">
        <w:t xml:space="preserve">additional </w:t>
      </w:r>
      <w:r w:rsidR="004F471B" w:rsidRPr="005A22C2">
        <w:t xml:space="preserve">water </w:t>
      </w:r>
      <w:r w:rsidR="008B5A03" w:rsidRPr="005A22C2">
        <w:t>connections</w:t>
      </w:r>
      <w:r w:rsidR="003E5EE5" w:rsidRPr="005A22C2">
        <w:t xml:space="preserve"> and ceiling piping)</w:t>
      </w:r>
      <w:r w:rsidR="005E5529" w:rsidRPr="005A22C2">
        <w:t>, suggesting</w:t>
      </w:r>
      <w:r w:rsidR="00872CBC" w:rsidRPr="005A22C2">
        <w:t xml:space="preserve"> that these costs made some developments unviable.</w:t>
      </w:r>
    </w:p>
    <w:p w14:paraId="57A32000" w14:textId="38C9B2C2" w:rsidR="00A47429" w:rsidRPr="005A22C2" w:rsidRDefault="00A97FA6" w:rsidP="006720A0">
      <w:r w:rsidRPr="005A22C2">
        <w:t>The</w:t>
      </w:r>
      <w:r w:rsidR="00B07016" w:rsidRPr="005A22C2">
        <w:t xml:space="preserve"> </w:t>
      </w:r>
      <w:r w:rsidR="00EA7CE0" w:rsidRPr="004C3681">
        <w:t xml:space="preserve">SDA Alliance </w:t>
      </w:r>
      <w:r w:rsidR="005361D4" w:rsidRPr="004C3681">
        <w:t>stated</w:t>
      </w:r>
      <w:r w:rsidR="00CC65FB" w:rsidRPr="004C3681">
        <w:t xml:space="preserve"> that</w:t>
      </w:r>
      <w:r w:rsidR="001316ED" w:rsidRPr="004C3681">
        <w:t>:</w:t>
      </w:r>
      <w:r w:rsidRPr="004C3681">
        <w:t xml:space="preserve"> “</w:t>
      </w:r>
      <w:r w:rsidR="00CC65FB" w:rsidRPr="004C3681">
        <w:t>a significant p</w:t>
      </w:r>
      <w:r w:rsidR="00FA6F44" w:rsidRPr="004C3681">
        <w:t>or</w:t>
      </w:r>
      <w:r w:rsidR="00CC65FB" w:rsidRPr="004C3681">
        <w:t>tion of water infrastructure in the o</w:t>
      </w:r>
      <w:r w:rsidR="004C3BE2" w:rsidRPr="004C3681">
        <w:t>u</w:t>
      </w:r>
      <w:r w:rsidR="00CC65FB" w:rsidRPr="004C3681">
        <w:t>ter suburbs of major metropolitan cities and in regional Australia do not have sufficient water pressure and flow to accommodate AS2118.4 systems sprinklers</w:t>
      </w:r>
      <w:r w:rsidR="001316ED" w:rsidRPr="004C3681">
        <w:t xml:space="preserve"> … [and so] </w:t>
      </w:r>
      <w:r w:rsidR="004C3BE2" w:rsidRPr="004C3681">
        <w:t>…a separate break tank or booster system is required to create enough flow to meet Australian Standards</w:t>
      </w:r>
      <w:r w:rsidRPr="004C3681">
        <w:t>”.</w:t>
      </w:r>
      <w:r w:rsidRPr="005A22C2">
        <w:t xml:space="preserve"> </w:t>
      </w:r>
    </w:p>
    <w:p w14:paraId="0AD7E075" w14:textId="665B4CED" w:rsidR="00DA59CD" w:rsidRPr="005A22C2" w:rsidRDefault="004B59B3" w:rsidP="006720A0">
      <w:r w:rsidRPr="005A22C2">
        <w:t xml:space="preserve">The </w:t>
      </w:r>
      <w:r w:rsidRPr="004C3681">
        <w:t xml:space="preserve">SDA Alliance cited the experience of one alliance member, who </w:t>
      </w:r>
      <w:r w:rsidR="003F5609" w:rsidRPr="004C3681">
        <w:t xml:space="preserve">faced an $80,000 additional cost to upgrade </w:t>
      </w:r>
      <w:r w:rsidR="00022FE4" w:rsidRPr="004C3681">
        <w:t>mains to support an AS2118.4 system, as required by the</w:t>
      </w:r>
      <w:r w:rsidR="006E70B1" w:rsidRPr="004C3681">
        <w:t xml:space="preserve"> </w:t>
      </w:r>
      <w:r w:rsidR="001B2067" w:rsidRPr="004C3681">
        <w:t>National Construction Code</w:t>
      </w:r>
      <w:r w:rsidR="00022FE4" w:rsidRPr="004C3681">
        <w:t xml:space="preserve">, </w:t>
      </w:r>
      <w:r w:rsidR="007E46F3" w:rsidRPr="004C3681">
        <w:t xml:space="preserve">instead of a simpler FPAA101D system. </w:t>
      </w:r>
      <w:r w:rsidR="00735CA3" w:rsidRPr="004C3681">
        <w:t>It also described how</w:t>
      </w:r>
      <w:r w:rsidR="00735CA3" w:rsidRPr="005A22C2">
        <w:t xml:space="preserve"> another member</w:t>
      </w:r>
      <w:r w:rsidR="00813B84" w:rsidRPr="005A22C2">
        <w:t xml:space="preserve">, after discovering that town mains </w:t>
      </w:r>
      <w:r w:rsidR="003C1E5B" w:rsidRPr="005A22C2">
        <w:t>were</w:t>
      </w:r>
      <w:r w:rsidR="00B07016" w:rsidRPr="005A22C2">
        <w:t xml:space="preserve"> </w:t>
      </w:r>
      <w:r w:rsidR="00813B84" w:rsidRPr="005A22C2">
        <w:t xml:space="preserve">not sufficient in </w:t>
      </w:r>
      <w:r w:rsidR="00405E08" w:rsidRPr="005A22C2">
        <w:t>pressure and flow</w:t>
      </w:r>
      <w:r w:rsidR="00735CA3" w:rsidRPr="005A22C2">
        <w:t xml:space="preserve"> </w:t>
      </w:r>
      <w:r w:rsidR="00186178" w:rsidRPr="005A22C2">
        <w:t xml:space="preserve">to maintain appropriate sprinkler pressure, </w:t>
      </w:r>
      <w:r w:rsidR="004D4A22" w:rsidRPr="005A22C2">
        <w:t xml:space="preserve">faced the option of either </w:t>
      </w:r>
      <w:r w:rsidR="00717B74" w:rsidRPr="005A22C2">
        <w:t xml:space="preserve">installing a </w:t>
      </w:r>
      <w:r w:rsidR="00524BA6" w:rsidRPr="005A22C2">
        <w:t xml:space="preserve">$50,000 tank and pump system, </w:t>
      </w:r>
      <w:r w:rsidR="00113330" w:rsidRPr="005A22C2">
        <w:t xml:space="preserve">or contributing $200,000 </w:t>
      </w:r>
      <w:r w:rsidR="007A1F91" w:rsidRPr="005A22C2">
        <w:t xml:space="preserve">to upgrade </w:t>
      </w:r>
      <w:r w:rsidR="00081E37" w:rsidRPr="005A22C2">
        <w:t>the authority water mains.</w:t>
      </w:r>
    </w:p>
    <w:p w14:paraId="68A9B9F5" w14:textId="1022CBE3" w:rsidR="004C61E5" w:rsidRPr="005A22C2" w:rsidRDefault="004C61E5" w:rsidP="006720A0">
      <w:pPr>
        <w:pStyle w:val="Heading2"/>
      </w:pPr>
      <w:bookmarkStart w:id="120" w:name="_Toc136006868"/>
      <w:r w:rsidRPr="005A22C2">
        <w:t xml:space="preserve">Sprinkler </w:t>
      </w:r>
      <w:r w:rsidR="009550B9" w:rsidRPr="005A22C2">
        <w:t>O</w:t>
      </w:r>
      <w:r w:rsidRPr="005A22C2">
        <w:t xml:space="preserve">perating </w:t>
      </w:r>
      <w:r w:rsidR="009550B9" w:rsidRPr="005A22C2">
        <w:t>C</w:t>
      </w:r>
      <w:r w:rsidRPr="005A22C2">
        <w:t>osts</w:t>
      </w:r>
      <w:bookmarkEnd w:id="120"/>
    </w:p>
    <w:p w14:paraId="751B1AC4" w14:textId="77777777" w:rsidR="00A47429" w:rsidRPr="005A22C2" w:rsidRDefault="003C1E5B" w:rsidP="006720A0">
      <w:r w:rsidRPr="005A22C2">
        <w:t>Many</w:t>
      </w:r>
      <w:r w:rsidR="004E0482" w:rsidRPr="005A22C2">
        <w:t xml:space="preserve"> </w:t>
      </w:r>
      <w:r w:rsidR="00B32000" w:rsidRPr="005A22C2">
        <w:t>stakeholder</w:t>
      </w:r>
      <w:r w:rsidR="00B54825" w:rsidRPr="005A22C2">
        <w:t xml:space="preserve">s </w:t>
      </w:r>
      <w:r w:rsidR="00232A36" w:rsidRPr="005A22C2">
        <w:t>that</w:t>
      </w:r>
      <w:r w:rsidR="003D2C74" w:rsidRPr="005A22C2" w:rsidDel="00FA59FA">
        <w:t xml:space="preserve"> </w:t>
      </w:r>
      <w:r w:rsidR="00FA59FA" w:rsidRPr="005A22C2">
        <w:t>include</w:t>
      </w:r>
      <w:r w:rsidR="003D2C74" w:rsidRPr="005A22C2">
        <w:t xml:space="preserve"> sprinklers in their </w:t>
      </w:r>
      <w:r w:rsidR="005F733B" w:rsidRPr="005A22C2">
        <w:t>SDA developments</w:t>
      </w:r>
      <w:r w:rsidR="003D2C74" w:rsidRPr="005A22C2">
        <w:t xml:space="preserve"> cited</w:t>
      </w:r>
      <w:r w:rsidR="00232A36" w:rsidRPr="005A22C2">
        <w:t xml:space="preserve"> additional costs associated with the </w:t>
      </w:r>
      <w:r w:rsidR="003D2C74" w:rsidRPr="005A22C2">
        <w:t>ongoing maintenance and service</w:t>
      </w:r>
      <w:r w:rsidR="00836A3A" w:rsidRPr="005A22C2">
        <w:t xml:space="preserve"> over the asset’s lifecycle.</w:t>
      </w:r>
      <w:r w:rsidR="008F37CF" w:rsidRPr="005A22C2">
        <w:t xml:space="preserve"> One stakeholder from the </w:t>
      </w:r>
      <w:r w:rsidR="00CA0307" w:rsidRPr="005A22C2">
        <w:t>South Australia and Northern Territory</w:t>
      </w:r>
      <w:r w:rsidR="008F37CF" w:rsidRPr="005A22C2">
        <w:t xml:space="preserve"> </w:t>
      </w:r>
      <w:r w:rsidR="00D84C52" w:rsidRPr="005A22C2">
        <w:t>Consultation Group</w:t>
      </w:r>
      <w:r w:rsidR="008F37CF" w:rsidRPr="005A22C2">
        <w:t xml:space="preserve"> </w:t>
      </w:r>
      <w:r w:rsidR="005361D4" w:rsidRPr="005A22C2">
        <w:t>stated</w:t>
      </w:r>
      <w:r w:rsidR="008F37CF" w:rsidRPr="005A22C2">
        <w:t xml:space="preserve"> that their sprinkler maintenance costs were around $2,000 per annum, with these costs increasing if water pressure on the site is insufficient. Another stakeholder, from the Western Australia </w:t>
      </w:r>
      <w:r w:rsidR="00D84C52" w:rsidRPr="005A22C2">
        <w:t>Consultation Group</w:t>
      </w:r>
      <w:r w:rsidR="008F37CF" w:rsidRPr="005A22C2">
        <w:t xml:space="preserve"> stated that their ongoing service charges included $1,700 per annum</w:t>
      </w:r>
      <w:r w:rsidR="008F37CF" w:rsidRPr="005A22C2">
        <w:rPr>
          <w:i/>
        </w:rPr>
        <w:t xml:space="preserve"> </w:t>
      </w:r>
      <w:r w:rsidR="008F37CF" w:rsidRPr="005A22C2">
        <w:t>to connect sprinkler systems back to base, and maintenance costs of $2,500 to $3,000 per annum.</w:t>
      </w:r>
    </w:p>
    <w:p w14:paraId="620295B7" w14:textId="1D718133" w:rsidR="004C61E5" w:rsidRPr="005A22C2" w:rsidRDefault="008F37CF" w:rsidP="006720A0">
      <w:r w:rsidRPr="005A22C2">
        <w:t xml:space="preserve">A </w:t>
      </w:r>
      <w:r w:rsidR="0091391A" w:rsidRPr="005A22C2">
        <w:t>stakeholder in</w:t>
      </w:r>
      <w:r w:rsidRPr="005A22C2">
        <w:t xml:space="preserve"> the SDA Builders </w:t>
      </w:r>
      <w:r w:rsidR="0087532B" w:rsidRPr="005A22C2">
        <w:t xml:space="preserve">and Developers </w:t>
      </w:r>
      <w:r w:rsidR="00D84C52" w:rsidRPr="005A22C2">
        <w:t>Consultation Group</w:t>
      </w:r>
      <w:r w:rsidRPr="005A22C2">
        <w:t xml:space="preserve"> suggested that they were required to have back to base controls in place</w:t>
      </w:r>
      <w:r w:rsidR="00A97FA6" w:rsidRPr="005A22C2">
        <w:t xml:space="preserve"> for homes over </w:t>
      </w:r>
      <w:proofErr w:type="gramStart"/>
      <w:r w:rsidR="00A97FA6" w:rsidRPr="005A22C2">
        <w:t>300m</w:t>
      </w:r>
      <w:r w:rsidR="00A97FA6" w:rsidRPr="005A22C2">
        <w:rPr>
          <w:vertAlign w:val="superscript"/>
        </w:rPr>
        <w:t>2</w:t>
      </w:r>
      <w:r w:rsidRPr="005A22C2">
        <w:t xml:space="preserve">, </w:t>
      </w:r>
      <w:r w:rsidRPr="005A22C2">
        <w:lastRenderedPageBreak/>
        <w:t>and</w:t>
      </w:r>
      <w:proofErr w:type="gramEnd"/>
      <w:r w:rsidRPr="005A22C2">
        <w:t xml:space="preserve"> indicated that they would require monthly audits to comply with fire requirements, which added a cost of $190 per week.</w:t>
      </w:r>
      <w:r w:rsidR="002A687D" w:rsidRPr="005A22C2">
        <w:t xml:space="preserve"> </w:t>
      </w:r>
      <w:r w:rsidR="00E90F23">
        <w:t xml:space="preserve">An example </w:t>
      </w:r>
      <w:r w:rsidR="008C024E">
        <w:t xml:space="preserve">of one state </w:t>
      </w:r>
      <w:r w:rsidR="00E90F23">
        <w:t xml:space="preserve">has been provided below of the </w:t>
      </w:r>
      <w:r w:rsidR="004C61E5" w:rsidRPr="005A22C2">
        <w:t>breakdown of on-going costs for a provider</w:t>
      </w:r>
      <w:r w:rsidR="003D7B2C">
        <w:t>, see Table 4.</w:t>
      </w:r>
    </w:p>
    <w:p w14:paraId="1836776F" w14:textId="6A105873" w:rsidR="004C61E5" w:rsidRPr="00444034" w:rsidRDefault="00127643" w:rsidP="00481381">
      <w:pPr>
        <w:pStyle w:val="Caption"/>
        <w:jc w:val="left"/>
        <w:rPr>
          <w:sz w:val="24"/>
          <w:szCs w:val="24"/>
        </w:rPr>
      </w:pPr>
      <w:bookmarkStart w:id="121" w:name="_Ref125708446"/>
      <w:r w:rsidRPr="00444034">
        <w:rPr>
          <w:sz w:val="24"/>
          <w:szCs w:val="24"/>
        </w:rPr>
        <w:t xml:space="preserve">table </w:t>
      </w:r>
      <w:r w:rsidRPr="00444034">
        <w:rPr>
          <w:sz w:val="24"/>
          <w:szCs w:val="24"/>
        </w:rPr>
        <w:fldChar w:fldCharType="begin"/>
      </w:r>
      <w:r w:rsidRPr="00444034">
        <w:rPr>
          <w:sz w:val="24"/>
          <w:szCs w:val="24"/>
        </w:rPr>
        <w:instrText xml:space="preserve"> SEQ Exhibit \* ARABIC </w:instrText>
      </w:r>
      <w:r w:rsidRPr="00444034">
        <w:rPr>
          <w:sz w:val="24"/>
          <w:szCs w:val="24"/>
        </w:rPr>
        <w:fldChar w:fldCharType="separate"/>
      </w:r>
      <w:r w:rsidR="006772C2" w:rsidRPr="00444034">
        <w:rPr>
          <w:noProof/>
          <w:sz w:val="24"/>
          <w:szCs w:val="24"/>
        </w:rPr>
        <w:t>4</w:t>
      </w:r>
      <w:r w:rsidRPr="00444034">
        <w:rPr>
          <w:noProof/>
          <w:sz w:val="24"/>
          <w:szCs w:val="24"/>
        </w:rPr>
        <w:fldChar w:fldCharType="end"/>
      </w:r>
      <w:bookmarkEnd w:id="121"/>
      <w:r w:rsidR="004C61E5" w:rsidRPr="00444034">
        <w:rPr>
          <w:sz w:val="24"/>
          <w:szCs w:val="24"/>
        </w:rPr>
        <w:t xml:space="preserve">: Example </w:t>
      </w:r>
      <w:r w:rsidR="007E1EDB" w:rsidRPr="00444034">
        <w:rPr>
          <w:sz w:val="24"/>
          <w:szCs w:val="24"/>
        </w:rPr>
        <w:t>S</w:t>
      </w:r>
      <w:r w:rsidR="004C61E5" w:rsidRPr="00444034">
        <w:rPr>
          <w:sz w:val="24"/>
          <w:szCs w:val="24"/>
        </w:rPr>
        <w:t xml:space="preserve">prinkler </w:t>
      </w:r>
      <w:r w:rsidR="007E1EDB" w:rsidRPr="00444034">
        <w:rPr>
          <w:sz w:val="24"/>
          <w:szCs w:val="24"/>
        </w:rPr>
        <w:t>On</w:t>
      </w:r>
      <w:r w:rsidR="004C61E5" w:rsidRPr="00444034">
        <w:rPr>
          <w:sz w:val="24"/>
          <w:szCs w:val="24"/>
        </w:rPr>
        <w:t xml:space="preserve">going </w:t>
      </w:r>
      <w:r w:rsidR="007E1EDB" w:rsidRPr="00444034">
        <w:rPr>
          <w:sz w:val="24"/>
          <w:szCs w:val="24"/>
        </w:rPr>
        <w:t>C</w:t>
      </w:r>
      <w:r w:rsidR="004C61E5" w:rsidRPr="00444034">
        <w:rPr>
          <w:sz w:val="24"/>
          <w:szCs w:val="24"/>
        </w:rPr>
        <w:t xml:space="preserve">osts </w:t>
      </w:r>
    </w:p>
    <w:tbl>
      <w:tblPr>
        <w:tblStyle w:val="GridTable4-Accent1"/>
        <w:tblW w:w="5000" w:type="pct"/>
        <w:tblLook w:val="0460" w:firstRow="1" w:lastRow="1" w:firstColumn="0" w:lastColumn="0" w:noHBand="0" w:noVBand="1"/>
      </w:tblPr>
      <w:tblGrid>
        <w:gridCol w:w="5354"/>
        <w:gridCol w:w="1214"/>
        <w:gridCol w:w="2492"/>
      </w:tblGrid>
      <w:tr w:rsidR="004C61E5" w:rsidRPr="005A22C2" w14:paraId="1CA586FB" w14:textId="77777777" w:rsidTr="00856B02">
        <w:trPr>
          <w:cnfStyle w:val="100000000000" w:firstRow="1" w:lastRow="0" w:firstColumn="0" w:lastColumn="0" w:oddVBand="0" w:evenVBand="0" w:oddHBand="0" w:evenHBand="0" w:firstRowFirstColumn="0" w:firstRowLastColumn="0" w:lastRowFirstColumn="0" w:lastRowLastColumn="0"/>
          <w:trHeight w:val="20"/>
        </w:trPr>
        <w:tc>
          <w:tcPr>
            <w:tcW w:w="2955" w:type="pct"/>
            <w:vAlign w:val="center"/>
          </w:tcPr>
          <w:p w14:paraId="7C908AA7" w14:textId="77777777" w:rsidR="004C61E5" w:rsidRPr="005A22C2" w:rsidRDefault="004C61E5" w:rsidP="006720A0">
            <w:r w:rsidRPr="005A22C2">
              <w:t>Ongoing cost component</w:t>
            </w:r>
          </w:p>
        </w:tc>
        <w:tc>
          <w:tcPr>
            <w:tcW w:w="670" w:type="pct"/>
            <w:vAlign w:val="center"/>
          </w:tcPr>
          <w:p w14:paraId="502424C0" w14:textId="77777777" w:rsidR="004C61E5" w:rsidRPr="005A22C2" w:rsidRDefault="004C61E5" w:rsidP="006720A0">
            <w:r w:rsidRPr="005A22C2">
              <w:t>Period</w:t>
            </w:r>
          </w:p>
        </w:tc>
        <w:tc>
          <w:tcPr>
            <w:tcW w:w="1375" w:type="pct"/>
            <w:vAlign w:val="center"/>
          </w:tcPr>
          <w:p w14:paraId="15A2ABCD" w14:textId="77777777" w:rsidR="004C61E5" w:rsidRPr="005A22C2" w:rsidRDefault="004C61E5" w:rsidP="006720A0">
            <w:r w:rsidRPr="005A22C2">
              <w:t>Cost</w:t>
            </w:r>
          </w:p>
        </w:tc>
      </w:tr>
      <w:tr w:rsidR="004C61E5" w:rsidRPr="005A22C2" w14:paraId="5EF5ED87" w14:textId="77777777" w:rsidTr="00856B02">
        <w:trPr>
          <w:cnfStyle w:val="000000100000" w:firstRow="0" w:lastRow="0" w:firstColumn="0" w:lastColumn="0" w:oddVBand="0" w:evenVBand="0" w:oddHBand="1" w:evenHBand="0" w:firstRowFirstColumn="0" w:firstRowLastColumn="0" w:lastRowFirstColumn="0" w:lastRowLastColumn="0"/>
          <w:trHeight w:val="20"/>
        </w:trPr>
        <w:tc>
          <w:tcPr>
            <w:tcW w:w="2955" w:type="pct"/>
            <w:vAlign w:val="center"/>
          </w:tcPr>
          <w:p w14:paraId="153804CE" w14:textId="77777777" w:rsidR="004C61E5" w:rsidRPr="005A22C2" w:rsidRDefault="004C61E5" w:rsidP="006720A0">
            <w:r w:rsidRPr="005A22C2">
              <w:t>Licenced fire inspector to undertake a sprinkler test</w:t>
            </w:r>
          </w:p>
        </w:tc>
        <w:tc>
          <w:tcPr>
            <w:tcW w:w="670" w:type="pct"/>
            <w:vAlign w:val="center"/>
          </w:tcPr>
          <w:p w14:paraId="211D2077" w14:textId="77777777" w:rsidR="004C61E5" w:rsidRPr="005A22C2" w:rsidRDefault="004C61E5" w:rsidP="006720A0">
            <w:r w:rsidRPr="005A22C2">
              <w:t>Monthly</w:t>
            </w:r>
          </w:p>
        </w:tc>
        <w:tc>
          <w:tcPr>
            <w:tcW w:w="1375" w:type="pct"/>
            <w:vAlign w:val="center"/>
          </w:tcPr>
          <w:p w14:paraId="75732F99" w14:textId="77777777" w:rsidR="004C61E5" w:rsidRPr="005A22C2" w:rsidRDefault="004C61E5" w:rsidP="006720A0">
            <w:r w:rsidRPr="005A22C2">
              <w:t>$145.00 inc. GST</w:t>
            </w:r>
          </w:p>
        </w:tc>
      </w:tr>
      <w:tr w:rsidR="004C61E5" w:rsidRPr="005A22C2" w14:paraId="563C3C5E" w14:textId="77777777" w:rsidTr="00856B02">
        <w:trPr>
          <w:trHeight w:val="20"/>
        </w:trPr>
        <w:tc>
          <w:tcPr>
            <w:tcW w:w="2955" w:type="pct"/>
            <w:vAlign w:val="center"/>
          </w:tcPr>
          <w:p w14:paraId="1BA63215" w14:textId="77777777" w:rsidR="004C61E5" w:rsidRPr="005A22C2" w:rsidRDefault="004C61E5" w:rsidP="006720A0">
            <w:r w:rsidRPr="005A22C2">
              <w:t>Licenced fire inspector to undertake fire indicator panel test</w:t>
            </w:r>
          </w:p>
        </w:tc>
        <w:tc>
          <w:tcPr>
            <w:tcW w:w="670" w:type="pct"/>
            <w:vAlign w:val="center"/>
          </w:tcPr>
          <w:p w14:paraId="51DC0188" w14:textId="77777777" w:rsidR="004C61E5" w:rsidRPr="005A22C2" w:rsidRDefault="004C61E5" w:rsidP="006720A0">
            <w:r w:rsidRPr="005A22C2">
              <w:t>Monthly</w:t>
            </w:r>
          </w:p>
        </w:tc>
        <w:tc>
          <w:tcPr>
            <w:tcW w:w="1375" w:type="pct"/>
            <w:vAlign w:val="center"/>
          </w:tcPr>
          <w:p w14:paraId="00339733" w14:textId="77777777" w:rsidR="004C61E5" w:rsidRPr="005A22C2" w:rsidRDefault="004C61E5" w:rsidP="006720A0">
            <w:r w:rsidRPr="005A22C2">
              <w:t>$72.50 inc. GST</w:t>
            </w:r>
          </w:p>
        </w:tc>
      </w:tr>
      <w:tr w:rsidR="004C61E5" w:rsidRPr="005A22C2" w14:paraId="29F7EDA6" w14:textId="77777777" w:rsidTr="00856B02">
        <w:trPr>
          <w:cnfStyle w:val="000000100000" w:firstRow="0" w:lastRow="0" w:firstColumn="0" w:lastColumn="0" w:oddVBand="0" w:evenVBand="0" w:oddHBand="1" w:evenHBand="0" w:firstRowFirstColumn="0" w:firstRowLastColumn="0" w:lastRowFirstColumn="0" w:lastRowLastColumn="0"/>
          <w:trHeight w:val="20"/>
        </w:trPr>
        <w:tc>
          <w:tcPr>
            <w:tcW w:w="2955" w:type="pct"/>
            <w:vAlign w:val="center"/>
          </w:tcPr>
          <w:p w14:paraId="5FE4CEDF" w14:textId="4918311B" w:rsidR="004C61E5" w:rsidRPr="005A22C2" w:rsidRDefault="004C61E5" w:rsidP="006720A0">
            <w:r w:rsidRPr="005A22C2">
              <w:t>Fire and Emergency Services</w:t>
            </w:r>
          </w:p>
        </w:tc>
        <w:tc>
          <w:tcPr>
            <w:tcW w:w="670" w:type="pct"/>
            <w:vAlign w:val="center"/>
          </w:tcPr>
          <w:p w14:paraId="67E11860" w14:textId="77777777" w:rsidR="004C61E5" w:rsidRPr="005A22C2" w:rsidRDefault="004C61E5" w:rsidP="006720A0">
            <w:r w:rsidRPr="005A22C2">
              <w:t>Annual</w:t>
            </w:r>
          </w:p>
        </w:tc>
        <w:tc>
          <w:tcPr>
            <w:tcW w:w="1375" w:type="pct"/>
            <w:vAlign w:val="center"/>
          </w:tcPr>
          <w:p w14:paraId="41711323" w14:textId="77777777" w:rsidR="004C61E5" w:rsidRPr="005A22C2" w:rsidRDefault="004C61E5" w:rsidP="006720A0">
            <w:r w:rsidRPr="005A22C2">
              <w:t>$3,492.00 inc. GST</w:t>
            </w:r>
          </w:p>
        </w:tc>
      </w:tr>
      <w:tr w:rsidR="004C61E5" w:rsidRPr="005A22C2" w14:paraId="04350271" w14:textId="77777777" w:rsidTr="00856B02">
        <w:trPr>
          <w:trHeight w:val="20"/>
        </w:trPr>
        <w:tc>
          <w:tcPr>
            <w:tcW w:w="2955" w:type="pct"/>
            <w:vAlign w:val="center"/>
          </w:tcPr>
          <w:p w14:paraId="2764BB2B" w14:textId="296CFF57" w:rsidR="004C61E5" w:rsidRPr="005A22C2" w:rsidRDefault="004C61E5" w:rsidP="006720A0">
            <w:r w:rsidRPr="005A22C2">
              <w:t>Other costs, including conducting and recording annual fire safety management plan audit, conducting annual fire escape training, onsite and offsite recording keeping as per Fire and Emergency Services requirements.</w:t>
            </w:r>
          </w:p>
        </w:tc>
        <w:tc>
          <w:tcPr>
            <w:tcW w:w="670" w:type="pct"/>
            <w:vAlign w:val="center"/>
          </w:tcPr>
          <w:p w14:paraId="5E6D2D7F" w14:textId="77777777" w:rsidR="004C61E5" w:rsidRPr="005A22C2" w:rsidRDefault="004C61E5" w:rsidP="006720A0">
            <w:r w:rsidRPr="005A22C2">
              <w:t>Annual</w:t>
            </w:r>
          </w:p>
        </w:tc>
        <w:tc>
          <w:tcPr>
            <w:tcW w:w="1375" w:type="pct"/>
            <w:vAlign w:val="center"/>
          </w:tcPr>
          <w:p w14:paraId="1D7748EA" w14:textId="77777777" w:rsidR="004C61E5" w:rsidRPr="005A22C2" w:rsidRDefault="004C61E5" w:rsidP="006720A0">
            <w:r w:rsidRPr="005A22C2">
              <w:t>$3,000 inc. GST</w:t>
            </w:r>
          </w:p>
        </w:tc>
      </w:tr>
      <w:tr w:rsidR="004C61E5" w:rsidRPr="005A22C2" w14:paraId="5E45CE83" w14:textId="77777777" w:rsidTr="00856B02">
        <w:trPr>
          <w:cnfStyle w:val="010000000000" w:firstRow="0" w:lastRow="1" w:firstColumn="0" w:lastColumn="0" w:oddVBand="0" w:evenVBand="0" w:oddHBand="0" w:evenHBand="0" w:firstRowFirstColumn="0" w:firstRowLastColumn="0" w:lastRowFirstColumn="0" w:lastRowLastColumn="0"/>
          <w:trHeight w:val="20"/>
        </w:trPr>
        <w:tc>
          <w:tcPr>
            <w:tcW w:w="2955" w:type="pct"/>
            <w:vAlign w:val="center"/>
          </w:tcPr>
          <w:p w14:paraId="00AB5CD5" w14:textId="77777777" w:rsidR="004C61E5" w:rsidRPr="005A22C2" w:rsidRDefault="004C61E5" w:rsidP="006720A0">
            <w:r w:rsidRPr="005A22C2">
              <w:t>Total ongoing cost</w:t>
            </w:r>
          </w:p>
        </w:tc>
        <w:tc>
          <w:tcPr>
            <w:tcW w:w="670" w:type="pct"/>
            <w:vAlign w:val="center"/>
          </w:tcPr>
          <w:p w14:paraId="4914F833" w14:textId="77777777" w:rsidR="004C61E5" w:rsidRPr="005A22C2" w:rsidRDefault="004C61E5" w:rsidP="006720A0">
            <w:r w:rsidRPr="005A22C2">
              <w:t>Annual</w:t>
            </w:r>
          </w:p>
        </w:tc>
        <w:tc>
          <w:tcPr>
            <w:tcW w:w="1375" w:type="pct"/>
            <w:vAlign w:val="center"/>
          </w:tcPr>
          <w:p w14:paraId="4482856F" w14:textId="77777777" w:rsidR="004C61E5" w:rsidRPr="005A22C2" w:rsidRDefault="004C61E5" w:rsidP="006720A0">
            <w:r w:rsidRPr="005A22C2">
              <w:t>$9,105.60</w:t>
            </w:r>
          </w:p>
        </w:tc>
      </w:tr>
    </w:tbl>
    <w:p w14:paraId="0E75A543" w14:textId="1FA20AB1" w:rsidR="00481381" w:rsidRPr="00444034" w:rsidRDefault="00481381" w:rsidP="00481381">
      <w:pPr>
        <w:pStyle w:val="Caption"/>
        <w:spacing w:before="0" w:after="0"/>
        <w:jc w:val="left"/>
        <w:rPr>
          <w:sz w:val="24"/>
          <w:szCs w:val="24"/>
        </w:rPr>
      </w:pPr>
      <w:r w:rsidRPr="00444034">
        <w:rPr>
          <w:sz w:val="24"/>
          <w:szCs w:val="24"/>
        </w:rPr>
        <w:t>End of</w:t>
      </w:r>
      <w:r w:rsidR="00BD0426" w:rsidRPr="00444034">
        <w:rPr>
          <w:sz w:val="24"/>
          <w:szCs w:val="24"/>
        </w:rPr>
        <w:t xml:space="preserve"> table </w:t>
      </w:r>
      <w:r w:rsidRPr="00444034">
        <w:rPr>
          <w:sz w:val="24"/>
          <w:szCs w:val="24"/>
        </w:rPr>
        <w:t>4</w:t>
      </w:r>
    </w:p>
    <w:p w14:paraId="14CA38DA" w14:textId="2F6D4826" w:rsidR="005F733B" w:rsidRPr="005A22C2" w:rsidRDefault="00734753" w:rsidP="006720A0">
      <w:r w:rsidRPr="005A22C2">
        <w:t>Noting the continued cost of maintenance and servic</w:t>
      </w:r>
      <w:r w:rsidR="00B5136E" w:rsidRPr="005A22C2">
        <w:t xml:space="preserve">ing, the </w:t>
      </w:r>
      <w:r w:rsidR="009550B9" w:rsidRPr="005A22C2">
        <w:t>submission</w:t>
      </w:r>
      <w:r w:rsidR="00B5136E" w:rsidRPr="005A22C2">
        <w:t xml:space="preserve"> recommended that the </w:t>
      </w:r>
      <w:r w:rsidR="009550B9" w:rsidRPr="005A22C2">
        <w:t>NDIS should</w:t>
      </w:r>
      <w:r w:rsidR="00B5136E" w:rsidRPr="005A22C2">
        <w:t xml:space="preserve"> include these costs in the revised </w:t>
      </w:r>
      <w:r w:rsidR="009550B9" w:rsidRPr="005A22C2">
        <w:t>SDA pricing model.</w:t>
      </w:r>
    </w:p>
    <w:p w14:paraId="7C14FD0D" w14:textId="62196FBB" w:rsidR="004C61E5" w:rsidRPr="005A22C2" w:rsidRDefault="004C61E5" w:rsidP="006720A0">
      <w:pPr>
        <w:sectPr w:rsidR="004C61E5" w:rsidRPr="005A22C2" w:rsidSect="00736B3B">
          <w:pgSz w:w="11906" w:h="16838" w:code="9"/>
          <w:pgMar w:top="1418" w:right="1418" w:bottom="1418" w:left="1418" w:header="709" w:footer="709" w:gutter="0"/>
          <w:cols w:space="708"/>
          <w:titlePg/>
          <w:docGrid w:linePitch="360"/>
        </w:sectPr>
      </w:pPr>
      <w:bookmarkStart w:id="122" w:name="_Toc129783573"/>
      <w:bookmarkStart w:id="123" w:name="_Ref125461515"/>
      <w:bookmarkStart w:id="124" w:name="_Toc126595105"/>
    </w:p>
    <w:p w14:paraId="32E2419D" w14:textId="0378E231" w:rsidR="003C0069" w:rsidRPr="00CF7358" w:rsidRDefault="00306051" w:rsidP="006720A0">
      <w:pPr>
        <w:pStyle w:val="Heading1"/>
        <w:rPr>
          <w:color w:val="6B2976"/>
        </w:rPr>
      </w:pPr>
      <w:bookmarkStart w:id="125" w:name="_Toc136006869"/>
      <w:r w:rsidRPr="00CF7358">
        <w:rPr>
          <w:color w:val="6B2976"/>
        </w:rPr>
        <w:lastRenderedPageBreak/>
        <w:t>Other</w:t>
      </w:r>
      <w:r w:rsidR="003C0069" w:rsidRPr="00CF7358">
        <w:rPr>
          <w:color w:val="6B2976"/>
        </w:rPr>
        <w:t xml:space="preserve"> Acquisition Costs</w:t>
      </w:r>
      <w:bookmarkEnd w:id="122"/>
      <w:bookmarkEnd w:id="125"/>
    </w:p>
    <w:p w14:paraId="1318F85F" w14:textId="7B7C21F2" w:rsidR="00306051" w:rsidRPr="005A22C2" w:rsidRDefault="00306051" w:rsidP="006720A0">
      <w:r w:rsidRPr="005A22C2">
        <w:t xml:space="preserve">The </w:t>
      </w:r>
      <w:r w:rsidR="00C140AD" w:rsidRPr="005A22C2">
        <w:t>NDIA</w:t>
      </w:r>
      <w:r w:rsidRPr="005A22C2">
        <w:t xml:space="preserve"> received 12 written submissions </w:t>
      </w:r>
      <w:r w:rsidR="005858B3" w:rsidRPr="005A22C2">
        <w:t>that responded to</w:t>
      </w:r>
      <w:r w:rsidRPr="005A22C2">
        <w:t xml:space="preserve"> the following question in the </w:t>
      </w:r>
      <w:r w:rsidRPr="005A22C2">
        <w:rPr>
          <w:i/>
          <w:iCs/>
        </w:rPr>
        <w:t>SDA Pricing Review Consultation Paper</w:t>
      </w:r>
      <w:r w:rsidRPr="005A22C2">
        <w:t>:</w:t>
      </w:r>
    </w:p>
    <w:p w14:paraId="1E4C4496" w14:textId="6425DF9A" w:rsidR="00306051" w:rsidRPr="00132E0C" w:rsidRDefault="00306051" w:rsidP="00132E0C">
      <w:pPr>
        <w:pStyle w:val="Quote"/>
        <w:numPr>
          <w:ilvl w:val="0"/>
          <w:numId w:val="33"/>
        </w:numPr>
        <w:rPr>
          <w:i w:val="0"/>
          <w:iCs w:val="0"/>
        </w:rPr>
      </w:pPr>
      <w:r w:rsidRPr="00132E0C">
        <w:rPr>
          <w:i w:val="0"/>
          <w:iCs w:val="0"/>
        </w:rPr>
        <w:t xml:space="preserve">Are there any other costs associated with the acquisition of SDA dwellings that the NDIA should </w:t>
      </w:r>
      <w:proofErr w:type="gramStart"/>
      <w:r w:rsidRPr="00132E0C">
        <w:rPr>
          <w:i w:val="0"/>
          <w:iCs w:val="0"/>
        </w:rPr>
        <w:t>take into account</w:t>
      </w:r>
      <w:proofErr w:type="gramEnd"/>
      <w:r w:rsidRPr="00132E0C">
        <w:rPr>
          <w:i w:val="0"/>
          <w:iCs w:val="0"/>
        </w:rPr>
        <w:t xml:space="preserve"> in estimating the construction cost of a New Build, including cost differences between greenfield and brownfield developments?</w:t>
      </w:r>
    </w:p>
    <w:p w14:paraId="51EF87D7" w14:textId="6AE4698E" w:rsidR="00306051" w:rsidRPr="005A22C2" w:rsidRDefault="00306051" w:rsidP="006720A0">
      <w:r w:rsidRPr="005A22C2">
        <w:t>Issues about other acquisition costs were also raised in most of the Consultation Groups</w:t>
      </w:r>
    </w:p>
    <w:p w14:paraId="09EB32A2" w14:textId="77777777" w:rsidR="003C0069" w:rsidRPr="005A22C2" w:rsidRDefault="003C0069" w:rsidP="006720A0">
      <w:pPr>
        <w:pStyle w:val="Heading2"/>
      </w:pPr>
      <w:bookmarkStart w:id="126" w:name="_Toc129783574"/>
      <w:bookmarkStart w:id="127" w:name="_Toc136006870"/>
      <w:r w:rsidRPr="005A22C2">
        <w:t>Demolition costs</w:t>
      </w:r>
      <w:bookmarkEnd w:id="126"/>
      <w:bookmarkEnd w:id="127"/>
    </w:p>
    <w:p w14:paraId="1F021F89" w14:textId="5ACDE919" w:rsidR="003C0069" w:rsidRPr="005A22C2" w:rsidRDefault="00862A12" w:rsidP="006720A0">
      <w:proofErr w:type="gramStart"/>
      <w:r w:rsidRPr="005A22C2">
        <w:t>A number of</w:t>
      </w:r>
      <w:proofErr w:type="gramEnd"/>
      <w:r w:rsidRPr="005A22C2">
        <w:t xml:space="preserve"> s</w:t>
      </w:r>
      <w:r w:rsidR="003C0069" w:rsidRPr="005A22C2">
        <w:t xml:space="preserve">takeholders </w:t>
      </w:r>
      <w:r w:rsidRPr="005A22C2">
        <w:t>reported</w:t>
      </w:r>
      <w:r w:rsidR="003C0069" w:rsidRPr="005A22C2">
        <w:t xml:space="preserve"> that the cost of demolishing existing dwellings on a brownfield site is a significant additional impost on brownfield developments, and one that is not adequately accounted for in the </w:t>
      </w:r>
      <w:r w:rsidRPr="005A22C2">
        <w:t>current SDA pricing arrangements</w:t>
      </w:r>
      <w:r w:rsidR="003C0069" w:rsidRPr="005A22C2">
        <w:t>.</w:t>
      </w:r>
      <w:r w:rsidR="003C0069" w:rsidRPr="005A22C2">
        <w:rPr>
          <w:color w:val="FF0000"/>
        </w:rPr>
        <w:t xml:space="preserve"> </w:t>
      </w:r>
      <w:r w:rsidR="003C0069" w:rsidRPr="005A22C2">
        <w:t xml:space="preserve">One stakeholder in the SDA Builders and Developers Consultation Group </w:t>
      </w:r>
      <w:r w:rsidRPr="005A22C2">
        <w:t>stated</w:t>
      </w:r>
      <w:r w:rsidR="003C0069" w:rsidRPr="005A22C2">
        <w:t xml:space="preserve"> that while greenfield SDA developments may not be possible or appropriate in some areas, additional costs associated with brownfield development may reduce yield or make projects </w:t>
      </w:r>
      <w:proofErr w:type="gramStart"/>
      <w:r w:rsidR="003C0069" w:rsidRPr="005A22C2">
        <w:t>unfeasible, and</w:t>
      </w:r>
      <w:proofErr w:type="gramEnd"/>
      <w:r w:rsidR="003C0069" w:rsidRPr="005A22C2">
        <w:t xml:space="preserve"> recommended that these costs are </w:t>
      </w:r>
      <w:r w:rsidR="000E0C5C" w:rsidRPr="005A22C2">
        <w:t>consider</w:t>
      </w:r>
      <w:r w:rsidR="003C0069" w:rsidRPr="005A22C2">
        <w:t>ed in the SDA Pricing Review.</w:t>
      </w:r>
    </w:p>
    <w:p w14:paraId="2DC774D8" w14:textId="3593C87F" w:rsidR="003C0069" w:rsidRPr="005A22C2" w:rsidRDefault="003C0069" w:rsidP="006720A0">
      <w:pPr>
        <w:rPr>
          <w:color w:val="000000" w:themeColor="text1"/>
        </w:rPr>
      </w:pPr>
      <w:r w:rsidRPr="005A22C2">
        <w:t xml:space="preserve">Stakeholders stated that brownfield land valuations need to </w:t>
      </w:r>
      <w:r w:rsidR="000E0C5C" w:rsidRPr="005A22C2">
        <w:t>consider</w:t>
      </w:r>
      <w:r w:rsidRPr="005A22C2">
        <w:t xml:space="preserve"> the cost of the land as well as any demolition costs, site </w:t>
      </w:r>
      <w:r w:rsidRPr="005A22C2">
        <w:rPr>
          <w:color w:val="000000" w:themeColor="text1"/>
        </w:rPr>
        <w:t xml:space="preserve">remediation costs and connection of utilities, which can make brownfield sites more expensive to </w:t>
      </w:r>
      <w:r w:rsidR="00862A12" w:rsidRPr="005A22C2">
        <w:rPr>
          <w:color w:val="000000" w:themeColor="text1"/>
        </w:rPr>
        <w:t>redevelop.</w:t>
      </w:r>
      <w:r w:rsidRPr="005A22C2">
        <w:rPr>
          <w:color w:val="000000" w:themeColor="text1"/>
        </w:rPr>
        <w:t xml:space="preserve"> </w:t>
      </w:r>
      <w:r w:rsidR="00862A12" w:rsidRPr="005A22C2">
        <w:rPr>
          <w:color w:val="000000" w:themeColor="text1"/>
        </w:rPr>
        <w:t>Examples of demolition costs of between $20,000 and $50,000 per dwelling were given in various submissions, with the cost depending on the amount of asbestos in the building and other issues.</w:t>
      </w:r>
      <w:r w:rsidR="00A97FA6" w:rsidRPr="005A22C2">
        <w:rPr>
          <w:color w:val="000000" w:themeColor="text1"/>
        </w:rPr>
        <w:t xml:space="preserve"> </w:t>
      </w:r>
      <w:r w:rsidR="00862A12" w:rsidRPr="005A22C2">
        <w:rPr>
          <w:color w:val="000000" w:themeColor="text1"/>
        </w:rPr>
        <w:t xml:space="preserve">The submission </w:t>
      </w:r>
      <w:r w:rsidR="00862A12" w:rsidRPr="00702ADE">
        <w:rPr>
          <w:color w:val="000000" w:themeColor="text1"/>
        </w:rPr>
        <w:t xml:space="preserve">by </w:t>
      </w:r>
      <w:r w:rsidRPr="00702ADE">
        <w:rPr>
          <w:color w:val="000000" w:themeColor="text1"/>
        </w:rPr>
        <w:t>Edenbridge Living provided</w:t>
      </w:r>
      <w:r w:rsidRPr="005A22C2">
        <w:rPr>
          <w:color w:val="000000" w:themeColor="text1"/>
        </w:rPr>
        <w:t xml:space="preserve"> a breakdown of demolition costs, including consent, contractor, remediation, vegetation removal and management</w:t>
      </w:r>
      <w:r w:rsidR="00862A12" w:rsidRPr="005A22C2">
        <w:rPr>
          <w:color w:val="000000" w:themeColor="text1"/>
        </w:rPr>
        <w:t xml:space="preserve"> (see</w:t>
      </w:r>
      <w:r w:rsidRPr="005A22C2">
        <w:rPr>
          <w:color w:val="000000" w:themeColor="text1"/>
        </w:rPr>
        <w:t xml:space="preserve"> </w:t>
      </w:r>
      <w:r w:rsidRPr="005A22C2">
        <w:rPr>
          <w:color w:val="000000" w:themeColor="text1"/>
        </w:rPr>
        <w:fldChar w:fldCharType="begin"/>
      </w:r>
      <w:r w:rsidRPr="005A22C2">
        <w:rPr>
          <w:color w:val="000000" w:themeColor="text1"/>
        </w:rPr>
        <w:instrText xml:space="preserve"> REF _Ref125713718 \h  \* MERGEFORMAT </w:instrText>
      </w:r>
      <w:r w:rsidRPr="005A22C2">
        <w:rPr>
          <w:color w:val="000000" w:themeColor="text1"/>
        </w:rPr>
      </w:r>
      <w:r w:rsidRPr="005A22C2">
        <w:rPr>
          <w:color w:val="000000" w:themeColor="text1"/>
        </w:rPr>
        <w:fldChar w:fldCharType="separate"/>
      </w:r>
      <w:r w:rsidR="00D16D83">
        <w:rPr>
          <w:color w:val="000000" w:themeColor="text1"/>
        </w:rPr>
        <w:t>Table</w:t>
      </w:r>
      <w:r w:rsidR="006772C2" w:rsidRPr="006772C2">
        <w:rPr>
          <w:color w:val="000000" w:themeColor="text1"/>
        </w:rPr>
        <w:t xml:space="preserve"> </w:t>
      </w:r>
      <w:r w:rsidR="006772C2" w:rsidRPr="006772C2">
        <w:rPr>
          <w:noProof/>
          <w:color w:val="000000" w:themeColor="text1"/>
        </w:rPr>
        <w:t>5</w:t>
      </w:r>
      <w:r w:rsidRPr="005A22C2">
        <w:rPr>
          <w:color w:val="000000" w:themeColor="text1"/>
        </w:rPr>
        <w:fldChar w:fldCharType="end"/>
      </w:r>
      <w:r w:rsidR="00A97FA6" w:rsidRPr="005A22C2">
        <w:rPr>
          <w:color w:val="000000" w:themeColor="text1"/>
        </w:rPr>
        <w:t xml:space="preserve"> below</w:t>
      </w:r>
      <w:r w:rsidR="00862A12" w:rsidRPr="005A22C2">
        <w:rPr>
          <w:color w:val="000000" w:themeColor="text1"/>
        </w:rPr>
        <w:t>)</w:t>
      </w:r>
      <w:r w:rsidRPr="005A22C2">
        <w:rPr>
          <w:color w:val="000000" w:themeColor="text1"/>
        </w:rPr>
        <w:t xml:space="preserve">. The submission also </w:t>
      </w:r>
      <w:r w:rsidR="005361D4" w:rsidRPr="005A22C2">
        <w:rPr>
          <w:color w:val="000000" w:themeColor="text1"/>
        </w:rPr>
        <w:t>stated</w:t>
      </w:r>
      <w:r w:rsidRPr="005A22C2">
        <w:rPr>
          <w:color w:val="000000" w:themeColor="text1"/>
        </w:rPr>
        <w:t xml:space="preserve"> that other related costs may include service relocations and replacements, particularly in older suburbs, as well as driveway relocations.</w:t>
      </w:r>
    </w:p>
    <w:p w14:paraId="57DA5F01" w14:textId="54ED1CAD" w:rsidR="003C0069" w:rsidRPr="00444034" w:rsidRDefault="00BD0426" w:rsidP="00481381">
      <w:pPr>
        <w:pStyle w:val="Caption"/>
        <w:jc w:val="left"/>
        <w:rPr>
          <w:sz w:val="24"/>
          <w:szCs w:val="24"/>
        </w:rPr>
      </w:pPr>
      <w:bookmarkStart w:id="128" w:name="_Ref125713718"/>
      <w:r w:rsidRPr="00444034">
        <w:rPr>
          <w:sz w:val="24"/>
          <w:szCs w:val="24"/>
        </w:rPr>
        <w:t>table</w:t>
      </w:r>
      <w:r w:rsidR="003C0069" w:rsidRPr="00444034">
        <w:rPr>
          <w:sz w:val="24"/>
          <w:szCs w:val="24"/>
        </w:rPr>
        <w:t xml:space="preserve"> </w:t>
      </w:r>
      <w:r w:rsidRPr="00444034">
        <w:rPr>
          <w:sz w:val="24"/>
          <w:szCs w:val="24"/>
        </w:rPr>
        <w:fldChar w:fldCharType="begin"/>
      </w:r>
      <w:r w:rsidRPr="00444034">
        <w:rPr>
          <w:sz w:val="24"/>
          <w:szCs w:val="24"/>
        </w:rPr>
        <w:instrText xml:space="preserve"> SEQ Exhibit \* ARABIC </w:instrText>
      </w:r>
      <w:r w:rsidRPr="00444034">
        <w:rPr>
          <w:sz w:val="24"/>
          <w:szCs w:val="24"/>
        </w:rPr>
        <w:fldChar w:fldCharType="separate"/>
      </w:r>
      <w:r w:rsidR="006772C2" w:rsidRPr="00444034">
        <w:rPr>
          <w:noProof/>
          <w:sz w:val="24"/>
          <w:szCs w:val="24"/>
        </w:rPr>
        <w:t>5</w:t>
      </w:r>
      <w:r w:rsidRPr="00444034">
        <w:rPr>
          <w:noProof/>
          <w:sz w:val="24"/>
          <w:szCs w:val="24"/>
        </w:rPr>
        <w:fldChar w:fldCharType="end"/>
      </w:r>
      <w:bookmarkEnd w:id="128"/>
      <w:r w:rsidR="003C0069" w:rsidRPr="00444034">
        <w:rPr>
          <w:sz w:val="24"/>
          <w:szCs w:val="24"/>
        </w:rPr>
        <w:t xml:space="preserve">: Example </w:t>
      </w:r>
      <w:r w:rsidR="007E1EDB" w:rsidRPr="00444034">
        <w:rPr>
          <w:sz w:val="24"/>
          <w:szCs w:val="24"/>
        </w:rPr>
        <w:t>D</w:t>
      </w:r>
      <w:r w:rsidR="003C0069" w:rsidRPr="00444034">
        <w:rPr>
          <w:sz w:val="24"/>
          <w:szCs w:val="24"/>
        </w:rPr>
        <w:t xml:space="preserve">emolition </w:t>
      </w:r>
      <w:r w:rsidR="007E1EDB" w:rsidRPr="00444034">
        <w:rPr>
          <w:sz w:val="24"/>
          <w:szCs w:val="24"/>
        </w:rPr>
        <w:t>C</w:t>
      </w:r>
      <w:r w:rsidR="003C0069" w:rsidRPr="00444034">
        <w:rPr>
          <w:sz w:val="24"/>
          <w:szCs w:val="24"/>
        </w:rPr>
        <w:t xml:space="preserve">ost </w:t>
      </w:r>
      <w:r w:rsidR="007E1EDB" w:rsidRPr="00444034">
        <w:rPr>
          <w:sz w:val="24"/>
          <w:szCs w:val="24"/>
        </w:rPr>
        <w:t>B</w:t>
      </w:r>
      <w:r w:rsidR="003C0069" w:rsidRPr="00444034">
        <w:rPr>
          <w:sz w:val="24"/>
          <w:szCs w:val="24"/>
        </w:rPr>
        <w:t>reakdown</w:t>
      </w:r>
    </w:p>
    <w:tbl>
      <w:tblPr>
        <w:tblStyle w:val="GridTable4-Accent5"/>
        <w:tblW w:w="5000" w:type="pct"/>
        <w:tblLook w:val="0460" w:firstRow="1" w:lastRow="1" w:firstColumn="0" w:lastColumn="0" w:noHBand="0" w:noVBand="1"/>
      </w:tblPr>
      <w:tblGrid>
        <w:gridCol w:w="6697"/>
        <w:gridCol w:w="2363"/>
      </w:tblGrid>
      <w:tr w:rsidR="00862A12" w:rsidRPr="005A22C2" w14:paraId="65670884" w14:textId="77777777" w:rsidTr="00862A12">
        <w:trPr>
          <w:cnfStyle w:val="100000000000" w:firstRow="1" w:lastRow="0" w:firstColumn="0" w:lastColumn="0" w:oddVBand="0" w:evenVBand="0" w:oddHBand="0" w:evenHBand="0" w:firstRowFirstColumn="0" w:firstRowLastColumn="0" w:lastRowFirstColumn="0" w:lastRowLastColumn="0"/>
          <w:trHeight w:val="20"/>
        </w:trPr>
        <w:tc>
          <w:tcPr>
            <w:tcW w:w="3696" w:type="pct"/>
          </w:tcPr>
          <w:p w14:paraId="6F7B8FB6" w14:textId="77777777" w:rsidR="003C0069" w:rsidRPr="005A22C2" w:rsidRDefault="003C0069" w:rsidP="006720A0">
            <w:r w:rsidRPr="005A22C2">
              <w:t>Item</w:t>
            </w:r>
          </w:p>
        </w:tc>
        <w:tc>
          <w:tcPr>
            <w:tcW w:w="1304" w:type="pct"/>
          </w:tcPr>
          <w:p w14:paraId="72453DF6" w14:textId="77777777" w:rsidR="003C0069" w:rsidRPr="005A22C2" w:rsidRDefault="003C0069" w:rsidP="0056520C">
            <w:pPr>
              <w:jc w:val="right"/>
            </w:pPr>
            <w:r w:rsidRPr="005A22C2">
              <w:t>Cost</w:t>
            </w:r>
          </w:p>
        </w:tc>
      </w:tr>
      <w:tr w:rsidR="00862A12" w:rsidRPr="005A22C2" w14:paraId="54AEFB9D" w14:textId="77777777" w:rsidTr="00862A12">
        <w:trPr>
          <w:cnfStyle w:val="000000100000" w:firstRow="0" w:lastRow="0" w:firstColumn="0" w:lastColumn="0" w:oddVBand="0" w:evenVBand="0" w:oddHBand="1" w:evenHBand="0" w:firstRowFirstColumn="0" w:firstRowLastColumn="0" w:lastRowFirstColumn="0" w:lastRowLastColumn="0"/>
          <w:trHeight w:val="20"/>
        </w:trPr>
        <w:tc>
          <w:tcPr>
            <w:tcW w:w="3696" w:type="pct"/>
          </w:tcPr>
          <w:p w14:paraId="3CBE9D6D" w14:textId="77777777" w:rsidR="003C0069" w:rsidRPr="005A22C2" w:rsidRDefault="003C0069" w:rsidP="006720A0">
            <w:r w:rsidRPr="005A22C2">
              <w:t>Demolition consent</w:t>
            </w:r>
          </w:p>
        </w:tc>
        <w:tc>
          <w:tcPr>
            <w:tcW w:w="1304" w:type="pct"/>
          </w:tcPr>
          <w:p w14:paraId="77AA2088" w14:textId="77777777" w:rsidR="003C0069" w:rsidRPr="005A22C2" w:rsidRDefault="003C0069" w:rsidP="006B7129">
            <w:pPr>
              <w:jc w:val="right"/>
            </w:pPr>
            <w:r w:rsidRPr="005A22C2">
              <w:t>$1,500</w:t>
            </w:r>
          </w:p>
        </w:tc>
      </w:tr>
      <w:tr w:rsidR="00862A12" w:rsidRPr="005A22C2" w14:paraId="40DB7D51" w14:textId="77777777" w:rsidTr="00862A12">
        <w:trPr>
          <w:trHeight w:val="20"/>
        </w:trPr>
        <w:tc>
          <w:tcPr>
            <w:tcW w:w="3696" w:type="pct"/>
          </w:tcPr>
          <w:p w14:paraId="57F799C3" w14:textId="77777777" w:rsidR="003C0069" w:rsidRPr="005A22C2" w:rsidRDefault="003C0069" w:rsidP="006720A0">
            <w:r w:rsidRPr="005A22C2">
              <w:t>Demolition contractor</w:t>
            </w:r>
          </w:p>
        </w:tc>
        <w:tc>
          <w:tcPr>
            <w:tcW w:w="1304" w:type="pct"/>
          </w:tcPr>
          <w:p w14:paraId="50D2C4FA" w14:textId="77777777" w:rsidR="003C0069" w:rsidRPr="005A22C2" w:rsidRDefault="003C0069" w:rsidP="006B7129">
            <w:pPr>
              <w:jc w:val="right"/>
            </w:pPr>
            <w:r w:rsidRPr="005A22C2">
              <w:t>$37,000</w:t>
            </w:r>
          </w:p>
        </w:tc>
      </w:tr>
      <w:tr w:rsidR="00862A12" w:rsidRPr="005A22C2" w14:paraId="1A2F2708" w14:textId="77777777" w:rsidTr="00862A12">
        <w:trPr>
          <w:cnfStyle w:val="000000100000" w:firstRow="0" w:lastRow="0" w:firstColumn="0" w:lastColumn="0" w:oddVBand="0" w:evenVBand="0" w:oddHBand="1" w:evenHBand="0" w:firstRowFirstColumn="0" w:firstRowLastColumn="0" w:lastRowFirstColumn="0" w:lastRowLastColumn="0"/>
          <w:trHeight w:val="20"/>
        </w:trPr>
        <w:tc>
          <w:tcPr>
            <w:tcW w:w="3696" w:type="pct"/>
          </w:tcPr>
          <w:p w14:paraId="3F6365BE" w14:textId="77777777" w:rsidR="003C0069" w:rsidRPr="005A22C2" w:rsidRDefault="003C0069" w:rsidP="006720A0">
            <w:r w:rsidRPr="005A22C2">
              <w:t>Remediation (asbestos)</w:t>
            </w:r>
          </w:p>
        </w:tc>
        <w:tc>
          <w:tcPr>
            <w:tcW w:w="1304" w:type="pct"/>
          </w:tcPr>
          <w:p w14:paraId="6342F147" w14:textId="77777777" w:rsidR="003C0069" w:rsidRPr="005A22C2" w:rsidRDefault="003C0069" w:rsidP="006B7129">
            <w:pPr>
              <w:jc w:val="right"/>
            </w:pPr>
            <w:r w:rsidRPr="005A22C2">
              <w:t>$15,000</w:t>
            </w:r>
          </w:p>
        </w:tc>
      </w:tr>
      <w:tr w:rsidR="00862A12" w:rsidRPr="005A22C2" w14:paraId="56E7BD9D" w14:textId="77777777" w:rsidTr="00862A12">
        <w:trPr>
          <w:trHeight w:val="20"/>
        </w:trPr>
        <w:tc>
          <w:tcPr>
            <w:tcW w:w="3696" w:type="pct"/>
          </w:tcPr>
          <w:p w14:paraId="1DF92983" w14:textId="77777777" w:rsidR="003C0069" w:rsidRPr="005A22C2" w:rsidRDefault="003C0069" w:rsidP="006720A0">
            <w:r w:rsidRPr="005A22C2">
              <w:t>Tree and vegetation removal</w:t>
            </w:r>
          </w:p>
        </w:tc>
        <w:tc>
          <w:tcPr>
            <w:tcW w:w="1304" w:type="pct"/>
          </w:tcPr>
          <w:p w14:paraId="7ABA44A1" w14:textId="77777777" w:rsidR="003C0069" w:rsidRPr="005A22C2" w:rsidRDefault="003C0069" w:rsidP="006B7129">
            <w:pPr>
              <w:jc w:val="right"/>
            </w:pPr>
            <w:r w:rsidRPr="005A22C2">
              <w:t>$17,500</w:t>
            </w:r>
          </w:p>
        </w:tc>
      </w:tr>
      <w:tr w:rsidR="00862A12" w:rsidRPr="005A22C2" w14:paraId="3737967F" w14:textId="77777777" w:rsidTr="00862A12">
        <w:trPr>
          <w:cnfStyle w:val="000000100000" w:firstRow="0" w:lastRow="0" w:firstColumn="0" w:lastColumn="0" w:oddVBand="0" w:evenVBand="0" w:oddHBand="1" w:evenHBand="0" w:firstRowFirstColumn="0" w:firstRowLastColumn="0" w:lastRowFirstColumn="0" w:lastRowLastColumn="0"/>
          <w:trHeight w:val="20"/>
        </w:trPr>
        <w:tc>
          <w:tcPr>
            <w:tcW w:w="3696" w:type="pct"/>
          </w:tcPr>
          <w:p w14:paraId="136203E2" w14:textId="77777777" w:rsidR="003C0069" w:rsidRPr="005A22C2" w:rsidRDefault="003C0069" w:rsidP="006720A0">
            <w:r w:rsidRPr="005A22C2">
              <w:lastRenderedPageBreak/>
              <w:t xml:space="preserve">Management </w:t>
            </w:r>
          </w:p>
        </w:tc>
        <w:tc>
          <w:tcPr>
            <w:tcW w:w="1304" w:type="pct"/>
          </w:tcPr>
          <w:p w14:paraId="323BB265" w14:textId="77777777" w:rsidR="003C0069" w:rsidRPr="005A22C2" w:rsidRDefault="003C0069" w:rsidP="006B7129">
            <w:pPr>
              <w:jc w:val="right"/>
            </w:pPr>
            <w:r w:rsidRPr="005A22C2">
              <w:t>$2,500</w:t>
            </w:r>
          </w:p>
        </w:tc>
      </w:tr>
      <w:tr w:rsidR="00862A12" w:rsidRPr="005A22C2" w14:paraId="44AAB0DD" w14:textId="77777777" w:rsidTr="00862A12">
        <w:trPr>
          <w:cnfStyle w:val="010000000000" w:firstRow="0" w:lastRow="1" w:firstColumn="0" w:lastColumn="0" w:oddVBand="0" w:evenVBand="0" w:oddHBand="0" w:evenHBand="0" w:firstRowFirstColumn="0" w:firstRowLastColumn="0" w:lastRowFirstColumn="0" w:lastRowLastColumn="0"/>
          <w:trHeight w:val="20"/>
        </w:trPr>
        <w:tc>
          <w:tcPr>
            <w:tcW w:w="3696" w:type="pct"/>
          </w:tcPr>
          <w:p w14:paraId="6A955CC0" w14:textId="77777777" w:rsidR="003C0069" w:rsidRPr="005A22C2" w:rsidRDefault="003C0069" w:rsidP="006720A0">
            <w:r w:rsidRPr="005A22C2">
              <w:t>Total</w:t>
            </w:r>
          </w:p>
        </w:tc>
        <w:tc>
          <w:tcPr>
            <w:tcW w:w="1304" w:type="pct"/>
          </w:tcPr>
          <w:p w14:paraId="7F14310D" w14:textId="77777777" w:rsidR="003C0069" w:rsidRPr="005A22C2" w:rsidRDefault="003C0069" w:rsidP="006B7129">
            <w:pPr>
              <w:jc w:val="right"/>
            </w:pPr>
            <w:r w:rsidRPr="005A22C2">
              <w:t>$73,500</w:t>
            </w:r>
          </w:p>
        </w:tc>
      </w:tr>
    </w:tbl>
    <w:p w14:paraId="4CFA013E" w14:textId="027D834E" w:rsidR="00481381" w:rsidRPr="00444034" w:rsidRDefault="00481381" w:rsidP="00BD0426">
      <w:pPr>
        <w:pStyle w:val="Caption"/>
        <w:spacing w:before="0" w:after="0"/>
        <w:jc w:val="left"/>
        <w:rPr>
          <w:sz w:val="24"/>
          <w:szCs w:val="24"/>
        </w:rPr>
      </w:pPr>
      <w:r w:rsidRPr="00444034">
        <w:rPr>
          <w:sz w:val="24"/>
          <w:szCs w:val="24"/>
        </w:rPr>
        <w:t>End of</w:t>
      </w:r>
      <w:r w:rsidR="00BD0426" w:rsidRPr="00444034">
        <w:rPr>
          <w:sz w:val="24"/>
          <w:szCs w:val="24"/>
        </w:rPr>
        <w:t xml:space="preserve"> table 5</w:t>
      </w:r>
    </w:p>
    <w:p w14:paraId="256CFE42" w14:textId="6A976491" w:rsidR="003C0069" w:rsidRPr="00702ADE" w:rsidRDefault="003C0069" w:rsidP="006720A0">
      <w:r w:rsidRPr="005A22C2">
        <w:t>As well as the direct co</w:t>
      </w:r>
      <w:r w:rsidRPr="00702ADE">
        <w:t>sts associated with demolition,</w:t>
      </w:r>
      <w:r w:rsidR="002A687D" w:rsidRPr="00702ADE">
        <w:t xml:space="preserve"> </w:t>
      </w:r>
      <w:r w:rsidRPr="00702ADE">
        <w:t xml:space="preserve">Barwon Investment Partner’s submission </w:t>
      </w:r>
      <w:r w:rsidR="005361D4" w:rsidRPr="00702ADE">
        <w:t>stated</w:t>
      </w:r>
      <w:r w:rsidRPr="00702ADE">
        <w:t xml:space="preserve"> that the additional time required for demolition created additional cost that should be </w:t>
      </w:r>
      <w:r w:rsidR="000E0C5C" w:rsidRPr="00702ADE">
        <w:t>consider</w:t>
      </w:r>
      <w:r w:rsidRPr="00702ADE">
        <w:t>ed.</w:t>
      </w:r>
    </w:p>
    <w:p w14:paraId="6162E16C" w14:textId="77777777" w:rsidR="003C0069" w:rsidRPr="00702ADE" w:rsidRDefault="003C0069" w:rsidP="006720A0">
      <w:pPr>
        <w:pStyle w:val="Heading2"/>
      </w:pPr>
      <w:bookmarkStart w:id="129" w:name="_Toc129783575"/>
      <w:bookmarkStart w:id="130" w:name="_Toc136006871"/>
      <w:r w:rsidRPr="00702ADE">
        <w:t>Valuation costs</w:t>
      </w:r>
      <w:bookmarkEnd w:id="129"/>
      <w:bookmarkEnd w:id="130"/>
    </w:p>
    <w:p w14:paraId="5CCF9E27" w14:textId="4A06CFDC" w:rsidR="00A47429" w:rsidRPr="00702ADE" w:rsidRDefault="003C0069" w:rsidP="006720A0">
      <w:r w:rsidRPr="00702ADE">
        <w:t xml:space="preserve">Stakeholders </w:t>
      </w:r>
      <w:r w:rsidR="005361D4" w:rsidRPr="00702ADE">
        <w:t>stated</w:t>
      </w:r>
      <w:r w:rsidRPr="00702ADE">
        <w:t xml:space="preserve"> that valuation was a significant additional acquisition cost, due in part to the low number of SDA valuers. One stakeholder in the Western Australian Consultation Group </w:t>
      </w:r>
      <w:r w:rsidR="005361D4" w:rsidRPr="00702ADE">
        <w:t>stated</w:t>
      </w:r>
      <w:r w:rsidRPr="00702ADE">
        <w:t xml:space="preserve"> that there was only one valuer working for banks valuing SDA in their area, and that “the lack of valuers may contribute to higher valuation cost[s]”</w:t>
      </w:r>
      <w:r w:rsidR="005A22C2" w:rsidRPr="00702ADE">
        <w:t>.</w:t>
      </w:r>
    </w:p>
    <w:p w14:paraId="1C12FD29" w14:textId="74C5A173" w:rsidR="003C0069" w:rsidRPr="005A22C2" w:rsidRDefault="003C0069" w:rsidP="006720A0">
      <w:r w:rsidRPr="00702ADE">
        <w:t xml:space="preserve">Carra Property </w:t>
      </w:r>
      <w:r w:rsidR="005361D4" w:rsidRPr="00702ADE">
        <w:t>stated</w:t>
      </w:r>
      <w:r w:rsidRPr="00702ADE">
        <w:t xml:space="preserve"> that due to a lack of SDA valuers in the market, the cost for valuing two adjoining</w:t>
      </w:r>
      <w:r w:rsidRPr="005A22C2">
        <w:t xml:space="preserve"> properties was $7,865. However, advice from their bank manager suggested that valuation of comparable standard residential property would be </w:t>
      </w:r>
      <w:r w:rsidR="00862A12" w:rsidRPr="005A22C2">
        <w:t>about</w:t>
      </w:r>
      <w:r w:rsidRPr="005A22C2">
        <w:t xml:space="preserve"> $700.</w:t>
      </w:r>
    </w:p>
    <w:p w14:paraId="1C1D4B16" w14:textId="77777777" w:rsidR="00A47429" w:rsidRPr="005A22C2" w:rsidRDefault="003C0069" w:rsidP="006720A0">
      <w:pPr>
        <w:pStyle w:val="Heading2"/>
      </w:pPr>
      <w:bookmarkStart w:id="131" w:name="_Toc129783576"/>
      <w:bookmarkStart w:id="132" w:name="_Toc136006872"/>
      <w:r w:rsidRPr="005A22C2">
        <w:t xml:space="preserve">Consultancy </w:t>
      </w:r>
      <w:r w:rsidR="009550B9" w:rsidRPr="005A22C2">
        <w:t>C</w:t>
      </w:r>
      <w:r w:rsidRPr="005A22C2">
        <w:t xml:space="preserve">apacity and </w:t>
      </w:r>
      <w:r w:rsidR="009550B9" w:rsidRPr="005A22C2">
        <w:t>C</w:t>
      </w:r>
      <w:r w:rsidRPr="005A22C2">
        <w:t>ost</w:t>
      </w:r>
      <w:bookmarkEnd w:id="131"/>
      <w:bookmarkEnd w:id="132"/>
    </w:p>
    <w:p w14:paraId="16880371" w14:textId="5065CEC7" w:rsidR="003C0069" w:rsidRPr="005A22C2" w:rsidRDefault="003C0069" w:rsidP="006720A0">
      <w:pPr>
        <w:rPr>
          <w:color w:val="000000" w:themeColor="text1"/>
        </w:rPr>
      </w:pPr>
      <w:r w:rsidRPr="005A22C2">
        <w:t>Stakeholders indicated that the cost of consultants and professional fees necessary to support the development of SDA have increased significantly.</w:t>
      </w:r>
      <w:r w:rsidR="009550B9" w:rsidRPr="005A22C2">
        <w:t xml:space="preserve"> For example, a member of the</w:t>
      </w:r>
      <w:r w:rsidRPr="005A22C2">
        <w:t xml:space="preserve"> Tasmania Consultation Group</w:t>
      </w:r>
      <w:r w:rsidR="009550B9" w:rsidRPr="005A22C2">
        <w:t xml:space="preserve"> reported</w:t>
      </w:r>
      <w:r w:rsidRPr="005A22C2">
        <w:t xml:space="preserve"> that the allowance for consultancy fees as a proportion of aggregate build costs had increased from approximately 4</w:t>
      </w:r>
      <w:r w:rsidR="002367FB">
        <w:t>%</w:t>
      </w:r>
      <w:r w:rsidRPr="005A22C2">
        <w:t xml:space="preserve"> at the time of the last SDA Pricing Review to 6.5</w:t>
      </w:r>
      <w:r w:rsidR="002367FB">
        <w:t>%</w:t>
      </w:r>
      <w:r w:rsidRPr="005A22C2">
        <w:t xml:space="preserve"> in 2022.</w:t>
      </w:r>
      <w:r w:rsidR="006E70B1" w:rsidRPr="005A22C2">
        <w:t xml:space="preserve"> </w:t>
      </w:r>
      <w:r w:rsidRPr="005A22C2">
        <w:t>When discussing the reasons for this, a stakeholder operating an SDA-focussed consultancy cited a ten-fold increase in the price of professional indemnity premiums, with insurance costs accounting for approximately 8</w:t>
      </w:r>
      <w:r w:rsidR="00A81425">
        <w:t>%</w:t>
      </w:r>
      <w:r w:rsidRPr="005A22C2">
        <w:t xml:space="preserve"> of their aggregate operating costs. The stakeholder suggested that assessors increasing the </w:t>
      </w:r>
      <w:r w:rsidRPr="005A22C2">
        <w:rPr>
          <w:color w:val="000000" w:themeColor="text1"/>
        </w:rPr>
        <w:t>price charged for their services in line with the increase in their operating costs.</w:t>
      </w:r>
    </w:p>
    <w:p w14:paraId="7AF8B0C2" w14:textId="4F5F577E" w:rsidR="003C0069" w:rsidRPr="00432237" w:rsidRDefault="009550B9" w:rsidP="006720A0">
      <w:r w:rsidRPr="005A22C2">
        <w:t>The a</w:t>
      </w:r>
      <w:r w:rsidR="003C0069" w:rsidRPr="005A22C2">
        <w:t>vailability of suitably qualified SDA Assessors was</w:t>
      </w:r>
      <w:r w:rsidRPr="005A22C2">
        <w:t xml:space="preserve"> also</w:t>
      </w:r>
      <w:r w:rsidR="003C0069" w:rsidRPr="005A22C2">
        <w:t xml:space="preserve"> raised as a challenge </w:t>
      </w:r>
      <w:r w:rsidRPr="005A22C2">
        <w:t xml:space="preserve">by </w:t>
      </w:r>
      <w:proofErr w:type="gramStart"/>
      <w:r w:rsidRPr="005A22C2">
        <w:t>a number of</w:t>
      </w:r>
      <w:proofErr w:type="gramEnd"/>
      <w:r w:rsidRPr="005A22C2">
        <w:t xml:space="preserve"> stakeholders.</w:t>
      </w:r>
      <w:r w:rsidR="003C0069" w:rsidRPr="005A22C2">
        <w:rPr>
          <w:rStyle w:val="FootnoteReference"/>
          <w:color w:val="000000" w:themeColor="text1"/>
        </w:rPr>
        <w:t xml:space="preserve"> </w:t>
      </w:r>
      <w:r w:rsidR="003C0069" w:rsidRPr="005A22C2">
        <w:t xml:space="preserve">One stakeholder in the Tasmania Consultation Group </w:t>
      </w:r>
      <w:r w:rsidR="005361D4" w:rsidRPr="005A22C2">
        <w:t>stated</w:t>
      </w:r>
      <w:r w:rsidR="003C0069" w:rsidRPr="005A22C2">
        <w:t xml:space="preserve"> that there are no SDA assessors operating in Tasmania, and as such, have </w:t>
      </w:r>
      <w:r w:rsidR="003C0069" w:rsidRPr="00702ADE">
        <w:t>had to use an assessor based in Victoria and cover the cost of their travel.</w:t>
      </w:r>
      <w:r w:rsidR="002A687D" w:rsidRPr="00702ADE">
        <w:t xml:space="preserve"> </w:t>
      </w:r>
      <w:r w:rsidR="003C0069" w:rsidRPr="00702ADE">
        <w:t xml:space="preserve">Carra Property </w:t>
      </w:r>
      <w:r w:rsidRPr="00702ADE">
        <w:t>indicated they</w:t>
      </w:r>
      <w:r w:rsidR="003C0069" w:rsidRPr="00702ADE">
        <w:t xml:space="preserve"> had been</w:t>
      </w:r>
      <w:r w:rsidR="00A97FA6" w:rsidRPr="00702ADE">
        <w:t xml:space="preserve"> “</w:t>
      </w:r>
      <w:r w:rsidR="003C0069" w:rsidRPr="00702ADE">
        <w:t>quoted up to $6,000 per dwelling for SDA design certification fees compared to the Liveable Housing Australia certification that used to be under $1,000</w:t>
      </w:r>
      <w:r w:rsidR="00A97FA6" w:rsidRPr="00702ADE">
        <w:t>”</w:t>
      </w:r>
      <w:r w:rsidR="003C0069" w:rsidRPr="00702ADE">
        <w:t>.</w:t>
      </w:r>
    </w:p>
    <w:p w14:paraId="31A1F0D9" w14:textId="1FB4037A" w:rsidR="003C0069" w:rsidRPr="005A22C2" w:rsidRDefault="003C0069" w:rsidP="006720A0">
      <w:pPr>
        <w:pStyle w:val="Heading2"/>
      </w:pPr>
      <w:bookmarkStart w:id="133" w:name="_Toc129783577"/>
      <w:bookmarkStart w:id="134" w:name="_Toc136006873"/>
      <w:r w:rsidRPr="005A22C2">
        <w:t xml:space="preserve">Planning </w:t>
      </w:r>
      <w:r w:rsidR="00C33E1B" w:rsidRPr="005A22C2">
        <w:t>A</w:t>
      </w:r>
      <w:r w:rsidRPr="005A22C2">
        <w:t>pprovals</w:t>
      </w:r>
      <w:bookmarkEnd w:id="133"/>
      <w:bookmarkEnd w:id="134"/>
    </w:p>
    <w:p w14:paraId="2607D5B6" w14:textId="77777777" w:rsidR="00A97FA6" w:rsidRPr="005A22C2" w:rsidRDefault="003C0069" w:rsidP="006720A0">
      <w:r w:rsidRPr="005A22C2">
        <w:t>S</w:t>
      </w:r>
      <w:r w:rsidR="009550B9" w:rsidRPr="005A22C2">
        <w:t>everal s</w:t>
      </w:r>
      <w:r w:rsidRPr="005A22C2">
        <w:t xml:space="preserve">takeholders </w:t>
      </w:r>
      <w:r w:rsidR="009550B9" w:rsidRPr="005A22C2">
        <w:t>stated</w:t>
      </w:r>
      <w:r w:rsidRPr="005A22C2">
        <w:t xml:space="preserve"> that the costs for development approvals for SDA development needed to be adequately accounted for in </w:t>
      </w:r>
      <w:r w:rsidR="009550B9" w:rsidRPr="005A22C2">
        <w:t>the SDA pricing model.</w:t>
      </w:r>
      <w:r w:rsidR="00A97FA6" w:rsidRPr="005A22C2">
        <w:t xml:space="preserve"> </w:t>
      </w:r>
      <w:r w:rsidRPr="005A22C2">
        <w:lastRenderedPageBreak/>
        <w:t xml:space="preserve">Challenges associated with state planning regulations were discussed in the Victoria Consultation Group, where one stakeholder highlighted the lack of standard rules across Local Government Areas </w:t>
      </w:r>
      <w:r w:rsidR="00C33E1B" w:rsidRPr="005A22C2">
        <w:t xml:space="preserve">(LGAs) </w:t>
      </w:r>
      <w:r w:rsidRPr="005A22C2">
        <w:t>about developing to the site boundary. The point was made during the discussion about land requirements for Robust SDA houses, and how developers are building to the boundary to deliver the high-physical access provisions within the category. The</w:t>
      </w:r>
      <w:r w:rsidRPr="005A22C2" w:rsidDel="006B790D">
        <w:t xml:space="preserve"> </w:t>
      </w:r>
      <w:r w:rsidRPr="005A22C2">
        <w:t xml:space="preserve">stakeholder </w:t>
      </w:r>
      <w:r w:rsidR="005361D4" w:rsidRPr="005A22C2">
        <w:t>stated</w:t>
      </w:r>
      <w:r w:rsidRPr="005A22C2">
        <w:t xml:space="preserve"> that developments in certain LGAs require approvals, which compound approval costs and can further delay the delivery of projects.</w:t>
      </w:r>
      <w:r w:rsidR="00A97FA6" w:rsidRPr="005A22C2">
        <w:t xml:space="preserve"> </w:t>
      </w:r>
    </w:p>
    <w:p w14:paraId="444DE3F6" w14:textId="62863A01" w:rsidR="00A47429" w:rsidRPr="005A22C2" w:rsidRDefault="003C0069" w:rsidP="006720A0">
      <w:r w:rsidRPr="005A22C2">
        <w:t xml:space="preserve">Planning challenges were also </w:t>
      </w:r>
      <w:r w:rsidR="00C33E1B" w:rsidRPr="005A22C2">
        <w:t>reported</w:t>
      </w:r>
      <w:r w:rsidRPr="005A22C2">
        <w:t xml:space="preserve"> by a stakeholder in the Queensland Consultation Group, who expressed difficulty and delays seeking approval from the City of Gold Coast for mixed-use apartments.</w:t>
      </w:r>
      <w:r w:rsidR="00A97FA6" w:rsidRPr="005A22C2">
        <w:t xml:space="preserve"> </w:t>
      </w:r>
      <w:r w:rsidRPr="005A22C2">
        <w:t>Another</w:t>
      </w:r>
      <w:r w:rsidRPr="005A22C2" w:rsidDel="006B790D">
        <w:t xml:space="preserve"> </w:t>
      </w:r>
      <w:r w:rsidRPr="005A22C2">
        <w:t xml:space="preserve">stakeholder </w:t>
      </w:r>
      <w:r w:rsidR="005361D4" w:rsidRPr="005A22C2">
        <w:t>stated</w:t>
      </w:r>
      <w:r w:rsidRPr="005A22C2">
        <w:t xml:space="preserve"> that the </w:t>
      </w:r>
      <w:r w:rsidR="00C33E1B" w:rsidRPr="005A22C2">
        <w:t>current SDA pricing model fails</w:t>
      </w:r>
      <w:r w:rsidRPr="005A22C2">
        <w:t xml:space="preserve"> to account for the administrative burden associated with seeking development approvals from council, delayed development periods and the compliance requirements associated with developing across multiple LGAs.</w:t>
      </w:r>
    </w:p>
    <w:p w14:paraId="0222DBBB" w14:textId="23F3353B" w:rsidR="003C0069" w:rsidRPr="005A22C2" w:rsidRDefault="003C0069" w:rsidP="006720A0">
      <w:r w:rsidRPr="00702ADE">
        <w:t xml:space="preserve">Endeavour Foundation also </w:t>
      </w:r>
      <w:r w:rsidR="00C33E1B" w:rsidRPr="00702ADE">
        <w:t>stated</w:t>
      </w:r>
      <w:r w:rsidRPr="00702ADE">
        <w:t xml:space="preserve"> that in Queensland, local council adopted infrastructure charges create an additional cost for SDA developers. These charges are applied when there is reconfiguration of a lot, a material change of use or building works that generate additional demand on trunk infrastructure, such as water and sewerage networks. The submission </w:t>
      </w:r>
      <w:r w:rsidR="005361D4" w:rsidRPr="00702ADE">
        <w:t>stated</w:t>
      </w:r>
      <w:r w:rsidRPr="00702ADE">
        <w:t xml:space="preserve"> that these charges are applied differently depending on the Council. It </w:t>
      </w:r>
      <w:r w:rsidR="00C33E1B" w:rsidRPr="00702ADE">
        <w:t>stated</w:t>
      </w:r>
      <w:r w:rsidRPr="00702ADE">
        <w:t xml:space="preserve"> that the Endeavour Foundation had</w:t>
      </w:r>
      <w:r w:rsidRPr="005A22C2">
        <w:t xml:space="preserve"> observed costs of between $40,000 per site and $120,000 per site and recommended that these additional costs are </w:t>
      </w:r>
      <w:r w:rsidR="000E0C5C" w:rsidRPr="005A22C2">
        <w:t>consider</w:t>
      </w:r>
      <w:r w:rsidRPr="005A22C2">
        <w:t xml:space="preserve">ed in </w:t>
      </w:r>
      <w:r w:rsidR="00C33E1B" w:rsidRPr="005A22C2">
        <w:t>the SDA pricing model.</w:t>
      </w:r>
    </w:p>
    <w:p w14:paraId="648AEDE8" w14:textId="77777777" w:rsidR="00002E55" w:rsidRPr="005A22C2" w:rsidRDefault="00002E55" w:rsidP="006720A0">
      <w:pPr>
        <w:pStyle w:val="Heading1"/>
        <w:sectPr w:rsidR="00002E55" w:rsidRPr="005A22C2" w:rsidSect="00736B3B">
          <w:pgSz w:w="11906" w:h="16838" w:code="9"/>
          <w:pgMar w:top="1418" w:right="1418" w:bottom="1418" w:left="1418" w:header="709" w:footer="709" w:gutter="0"/>
          <w:cols w:space="708"/>
          <w:titlePg/>
          <w:docGrid w:linePitch="360"/>
        </w:sectPr>
      </w:pPr>
      <w:bookmarkStart w:id="135" w:name="_Toc129783578"/>
    </w:p>
    <w:p w14:paraId="0BA5D40A" w14:textId="77777777" w:rsidR="00306051" w:rsidRPr="00CF7358" w:rsidRDefault="00306051" w:rsidP="006720A0">
      <w:pPr>
        <w:pStyle w:val="Heading1"/>
        <w:rPr>
          <w:color w:val="6B2976"/>
        </w:rPr>
      </w:pPr>
      <w:bookmarkStart w:id="136" w:name="_Toc136006874"/>
      <w:r w:rsidRPr="00CF7358">
        <w:rPr>
          <w:color w:val="6B2976"/>
        </w:rPr>
        <w:lastRenderedPageBreak/>
        <w:t>Exit Costs</w:t>
      </w:r>
      <w:bookmarkEnd w:id="135"/>
      <w:bookmarkEnd w:id="136"/>
    </w:p>
    <w:p w14:paraId="73C43A7A" w14:textId="45F4CB13" w:rsidR="00306051" w:rsidRPr="005A22C2" w:rsidRDefault="00306051" w:rsidP="006720A0">
      <w:r w:rsidRPr="005A22C2">
        <w:t xml:space="preserve">The </w:t>
      </w:r>
      <w:r w:rsidR="00002E55" w:rsidRPr="005A22C2">
        <w:t>NDIA</w:t>
      </w:r>
      <w:r w:rsidRPr="005A22C2">
        <w:t xml:space="preserve"> received 15 written submissions </w:t>
      </w:r>
      <w:r w:rsidR="005858B3" w:rsidRPr="005A22C2">
        <w:t>that responded</w:t>
      </w:r>
      <w:r w:rsidRPr="005A22C2">
        <w:t xml:space="preserve"> to the following question</w:t>
      </w:r>
      <w:r w:rsidR="00862A12" w:rsidRPr="005A22C2">
        <w:t>s</w:t>
      </w:r>
      <w:r w:rsidRPr="005A22C2">
        <w:t xml:space="preserve"> in the </w:t>
      </w:r>
      <w:r w:rsidRPr="005A22C2">
        <w:rPr>
          <w:i/>
          <w:iCs/>
        </w:rPr>
        <w:t>SDA Pricing Review Consultation Paper</w:t>
      </w:r>
      <w:r w:rsidRPr="005A22C2">
        <w:t>:</w:t>
      </w:r>
    </w:p>
    <w:p w14:paraId="5B3475A8" w14:textId="77777777" w:rsidR="00A47429" w:rsidRPr="00132E0C" w:rsidRDefault="00306051" w:rsidP="00132E0C">
      <w:pPr>
        <w:pStyle w:val="Quote"/>
        <w:numPr>
          <w:ilvl w:val="0"/>
          <w:numId w:val="33"/>
        </w:numPr>
        <w:rPr>
          <w:i w:val="0"/>
          <w:iCs w:val="0"/>
        </w:rPr>
      </w:pPr>
      <w:r w:rsidRPr="00132E0C">
        <w:rPr>
          <w:i w:val="0"/>
          <w:iCs w:val="0"/>
        </w:rPr>
        <w:t>Are there any alternative use options for the property on exit?</w:t>
      </w:r>
    </w:p>
    <w:p w14:paraId="5FBED1E2" w14:textId="308AE308" w:rsidR="00306051" w:rsidRPr="00132E0C" w:rsidRDefault="00306051" w:rsidP="00132E0C">
      <w:pPr>
        <w:pStyle w:val="Quote"/>
        <w:numPr>
          <w:ilvl w:val="0"/>
          <w:numId w:val="33"/>
        </w:numPr>
        <w:rPr>
          <w:i w:val="0"/>
          <w:iCs w:val="0"/>
        </w:rPr>
      </w:pPr>
      <w:r w:rsidRPr="00132E0C">
        <w:rPr>
          <w:i w:val="0"/>
          <w:iCs w:val="0"/>
        </w:rPr>
        <w:t>What loss in value can be expected to occur on the conversion of an SDA property to a general property or other alternative use options at the end of an investment? Does this vary by Building Type and Size, Design Category and Region?</w:t>
      </w:r>
    </w:p>
    <w:p w14:paraId="3686BA72" w14:textId="5DC82FD2" w:rsidR="00306051" w:rsidRPr="00132E0C" w:rsidRDefault="00306051" w:rsidP="00132E0C">
      <w:pPr>
        <w:pStyle w:val="Quote"/>
        <w:numPr>
          <w:ilvl w:val="0"/>
          <w:numId w:val="33"/>
        </w:numPr>
        <w:rPr>
          <w:i w:val="0"/>
          <w:iCs w:val="0"/>
        </w:rPr>
      </w:pPr>
      <w:r w:rsidRPr="00132E0C">
        <w:rPr>
          <w:i w:val="0"/>
          <w:iCs w:val="0"/>
        </w:rPr>
        <w:t>What fees are incurred on the sale of SDA properties?</w:t>
      </w:r>
      <w:r w:rsidR="006E70B1" w:rsidRPr="00132E0C">
        <w:rPr>
          <w:i w:val="0"/>
          <w:iCs w:val="0"/>
        </w:rPr>
        <w:t xml:space="preserve"> </w:t>
      </w:r>
      <w:r w:rsidRPr="00132E0C">
        <w:rPr>
          <w:i w:val="0"/>
          <w:iCs w:val="0"/>
        </w:rPr>
        <w:t>Do these fees vary by Building Type and Size, Design Category and Region?</w:t>
      </w:r>
    </w:p>
    <w:p w14:paraId="26FF173D" w14:textId="77777777" w:rsidR="00862A12" w:rsidRPr="005A22C2" w:rsidRDefault="00306051" w:rsidP="006720A0">
      <w:r w:rsidRPr="005A22C2">
        <w:t xml:space="preserve">Issues about </w:t>
      </w:r>
      <w:r w:rsidR="00862A12" w:rsidRPr="005A22C2">
        <w:t>exit</w:t>
      </w:r>
      <w:r w:rsidRPr="005A22C2">
        <w:t xml:space="preserve"> costs were also raised in most of the Consultation Groups</w:t>
      </w:r>
      <w:r w:rsidR="00862A12" w:rsidRPr="005A22C2">
        <w:t>.</w:t>
      </w:r>
    </w:p>
    <w:p w14:paraId="421F3D65" w14:textId="77777777" w:rsidR="00A47429" w:rsidRPr="005A22C2" w:rsidRDefault="00C33E1B" w:rsidP="006720A0">
      <w:pPr>
        <w:pStyle w:val="Heading2"/>
      </w:pPr>
      <w:bookmarkStart w:id="137" w:name="_Toc129783579"/>
      <w:bookmarkStart w:id="138" w:name="_Toc136006875"/>
      <w:r w:rsidRPr="005A22C2">
        <w:t>Costs of Major</w:t>
      </w:r>
      <w:r w:rsidR="00306051" w:rsidRPr="005A22C2">
        <w:t xml:space="preserve"> </w:t>
      </w:r>
      <w:r w:rsidRPr="005A22C2">
        <w:t>R</w:t>
      </w:r>
      <w:r w:rsidR="00306051" w:rsidRPr="005A22C2">
        <w:t>efurbishment</w:t>
      </w:r>
      <w:bookmarkEnd w:id="137"/>
      <w:bookmarkEnd w:id="138"/>
    </w:p>
    <w:p w14:paraId="2BD2F105" w14:textId="0692A060" w:rsidR="00306051" w:rsidRPr="005A22C2" w:rsidRDefault="00862A12" w:rsidP="006720A0">
      <w:r w:rsidRPr="005A22C2">
        <w:t>S</w:t>
      </w:r>
      <w:r w:rsidR="00306051" w:rsidRPr="005A22C2">
        <w:t xml:space="preserve">takeholders broadly agreed that the cost of undertaking the required major refurbishment on SDA at the end of the 20-year investment horizon </w:t>
      </w:r>
      <w:r w:rsidRPr="005A22C2">
        <w:t>was</w:t>
      </w:r>
      <w:r w:rsidR="00306051" w:rsidRPr="005A22C2">
        <w:t xml:space="preserve"> a major barrier</w:t>
      </w:r>
      <w:r w:rsidR="00C05203" w:rsidRPr="005A22C2">
        <w:t xml:space="preserve"> to investment</w:t>
      </w:r>
      <w:r w:rsidR="00306051" w:rsidRPr="005A22C2">
        <w:t xml:space="preserve"> and incentivises SDA owners to transition SDA to an alternate use</w:t>
      </w:r>
      <w:r w:rsidR="00C05203" w:rsidRPr="005A22C2">
        <w:t xml:space="preserve"> at the end of the 20 years</w:t>
      </w:r>
      <w:r w:rsidR="00306051" w:rsidRPr="005A22C2">
        <w:t xml:space="preserve">. </w:t>
      </w:r>
      <w:r w:rsidR="00C05203" w:rsidRPr="005A22C2">
        <w:t>They</w:t>
      </w:r>
      <w:r w:rsidR="00306051" w:rsidRPr="005A22C2">
        <w:t xml:space="preserve"> recommended </w:t>
      </w:r>
      <w:r w:rsidR="00BC309F" w:rsidRPr="005A22C2">
        <w:t xml:space="preserve">that </w:t>
      </w:r>
      <w:r w:rsidR="00306051" w:rsidRPr="005A22C2">
        <w:t xml:space="preserve">the refurbishment assumptions in the </w:t>
      </w:r>
      <w:r w:rsidRPr="005A22C2">
        <w:t>SDA pricing model should</w:t>
      </w:r>
      <w:r w:rsidR="00306051" w:rsidRPr="005A22C2">
        <w:t xml:space="preserve"> be reviewed to incentivise SDA as a long-term asset class.</w:t>
      </w:r>
    </w:p>
    <w:p w14:paraId="18778D43" w14:textId="77777777" w:rsidR="00A47429" w:rsidRPr="005A22C2" w:rsidRDefault="00C05203" w:rsidP="006720A0">
      <w:r w:rsidRPr="005A22C2">
        <w:t>Several stakeholders suggested using a bespoke approach for the minimum refurbishment costs during the re-assessment and re-enrolment process, focused on ensuring outcomes and meeting the minimum SDA Design Standards. In this way, the minimum refurbishment costs would be based on the quality of the dwelling and its design, as opposed to meeting a monetary threshold.</w:t>
      </w:r>
    </w:p>
    <w:p w14:paraId="07EA23AB" w14:textId="43832036" w:rsidR="00C05203" w:rsidRPr="005A22C2" w:rsidRDefault="00C05203" w:rsidP="006720A0">
      <w:pPr>
        <w:pStyle w:val="Heading3"/>
      </w:pPr>
      <w:r w:rsidRPr="005A22C2">
        <w:t>Self-Providers</w:t>
      </w:r>
    </w:p>
    <w:p w14:paraId="667896CA" w14:textId="094041BC" w:rsidR="00306051" w:rsidRPr="005A22C2" w:rsidRDefault="00306051" w:rsidP="006720A0">
      <w:r w:rsidRPr="005A22C2">
        <w:t xml:space="preserve">Several stakeholders in the SDA Self Providers Consultation Group argued that the minimum refurbishment costs are an obstacle for self-providers to purchase and obtain their own SDA. </w:t>
      </w:r>
      <w:r w:rsidR="00BC309F" w:rsidRPr="005A22C2">
        <w:t>The</w:t>
      </w:r>
      <w:r w:rsidR="006959B0" w:rsidRPr="005A22C2">
        <w:t>se stakeholders</w:t>
      </w:r>
      <w:r w:rsidRPr="005A22C2">
        <w:t xml:space="preserve"> expressed frustration about the need to meet a minimum refurbishment spend when purchasing an existing property, particularly if the property is compliant with the SDA Design Standard</w:t>
      </w:r>
      <w:r w:rsidR="00BC309F" w:rsidRPr="005A22C2">
        <w:t xml:space="preserve"> and argued that</w:t>
      </w:r>
      <w:r w:rsidR="00A97FA6" w:rsidRPr="005A22C2">
        <w:t xml:space="preserve"> “</w:t>
      </w:r>
      <w:r w:rsidRPr="00704478">
        <w:t>if someone, or a family, can purchase an existing property and renovate it to meet the new build SDA design standards then why should it matter how much money they spent along the way</w:t>
      </w:r>
      <w:r w:rsidR="00A97FA6" w:rsidRPr="00704478">
        <w:t>”</w:t>
      </w:r>
      <w:r w:rsidR="00862A12" w:rsidRPr="00704478">
        <w:t>.</w:t>
      </w:r>
    </w:p>
    <w:p w14:paraId="0CE613CD" w14:textId="2D6F6D1D" w:rsidR="00BC309F" w:rsidRPr="00704478" w:rsidRDefault="006959B0" w:rsidP="006720A0">
      <w:r w:rsidRPr="005A22C2">
        <w:t>Some members of the SDA Self Providers Consultation Group</w:t>
      </w:r>
      <w:r w:rsidR="00BC309F" w:rsidRPr="005A22C2">
        <w:t xml:space="preserve"> also</w:t>
      </w:r>
      <w:r w:rsidR="00306051" w:rsidRPr="005A22C2">
        <w:t xml:space="preserve"> suggested </w:t>
      </w:r>
      <w:r w:rsidR="00BC309F" w:rsidRPr="005A22C2">
        <w:t xml:space="preserve">that </w:t>
      </w:r>
      <w:r w:rsidR="00306051" w:rsidRPr="005A22C2">
        <w:t xml:space="preserve">participants </w:t>
      </w:r>
      <w:r w:rsidR="00BC309F" w:rsidRPr="005A22C2">
        <w:t>should be able to</w:t>
      </w:r>
      <w:r w:rsidR="00306051" w:rsidRPr="005A22C2">
        <w:t xml:space="preserve"> renovate existing dwellings to meet the minimum </w:t>
      </w:r>
      <w:r w:rsidR="00306051" w:rsidRPr="005A22C2">
        <w:rPr>
          <w:color w:val="000000" w:themeColor="text1"/>
        </w:rPr>
        <w:t xml:space="preserve">SDA </w:t>
      </w:r>
      <w:r w:rsidR="00306051" w:rsidRPr="005A22C2">
        <w:rPr>
          <w:color w:val="000000" w:themeColor="text1"/>
        </w:rPr>
        <w:lastRenderedPageBreak/>
        <w:t xml:space="preserve">Design Standards to enrol as Existing Builds </w:t>
      </w:r>
      <w:r w:rsidR="00BC309F" w:rsidRPr="005A22C2">
        <w:rPr>
          <w:color w:val="000000" w:themeColor="text1"/>
        </w:rPr>
        <w:t>so they could</w:t>
      </w:r>
      <w:r w:rsidR="00306051" w:rsidRPr="005A22C2">
        <w:rPr>
          <w:color w:val="000000" w:themeColor="text1"/>
        </w:rPr>
        <w:t xml:space="preserve"> remain in their own homes for longer</w:t>
      </w:r>
      <w:r w:rsidR="00BC309F" w:rsidRPr="005A22C2">
        <w:rPr>
          <w:color w:val="000000" w:themeColor="text1"/>
        </w:rPr>
        <w:t>. One stakeholder argued that this would</w:t>
      </w:r>
      <w:r w:rsidR="00A97FA6" w:rsidRPr="005A22C2">
        <w:rPr>
          <w:color w:val="000000" w:themeColor="text1"/>
        </w:rPr>
        <w:t xml:space="preserve"> “</w:t>
      </w:r>
      <w:r w:rsidR="00306051" w:rsidRPr="00704478">
        <w:rPr>
          <w:color w:val="000000" w:themeColor="text1"/>
        </w:rPr>
        <w:t>make a difference to housing affordability f</w:t>
      </w:r>
      <w:r w:rsidR="00306051" w:rsidRPr="00704478">
        <w:t>or some people with SDA funding, where they may be able to own their own home whereas they otherwise would not have been able to, which makes for a huge plus in housing security for people</w:t>
      </w:r>
      <w:r w:rsidR="00A97FA6" w:rsidRPr="00704478">
        <w:t>”</w:t>
      </w:r>
      <w:r w:rsidR="00306051" w:rsidRPr="00704478">
        <w:t>.</w:t>
      </w:r>
    </w:p>
    <w:p w14:paraId="3C84D713" w14:textId="77B690EC" w:rsidR="00306051" w:rsidRPr="005A22C2" w:rsidRDefault="00306051" w:rsidP="006720A0">
      <w:pPr>
        <w:pStyle w:val="Heading2"/>
      </w:pPr>
      <w:bookmarkStart w:id="139" w:name="_Toc129783580"/>
      <w:bookmarkStart w:id="140" w:name="_Toc136006876"/>
      <w:r w:rsidRPr="005A22C2">
        <w:t xml:space="preserve">Lifespan </w:t>
      </w:r>
      <w:r w:rsidR="00C33E1B" w:rsidRPr="005A22C2">
        <w:t>A</w:t>
      </w:r>
      <w:r w:rsidRPr="005A22C2">
        <w:t>ssumptions</w:t>
      </w:r>
      <w:bookmarkEnd w:id="139"/>
      <w:bookmarkEnd w:id="140"/>
    </w:p>
    <w:p w14:paraId="01FCF8DD" w14:textId="5140488D" w:rsidR="00A47429" w:rsidRPr="005A22C2" w:rsidRDefault="00306051" w:rsidP="006720A0">
      <w:r w:rsidRPr="005A22C2">
        <w:t xml:space="preserve">Several stakeholders in the SDA Institutional Investors Consultation Group and the written submissions from </w:t>
      </w:r>
      <w:r w:rsidR="00C05203" w:rsidRPr="00745EBE">
        <w:t xml:space="preserve">the </w:t>
      </w:r>
      <w:r w:rsidRPr="00745EBE">
        <w:t xml:space="preserve">SDA Alliance </w:t>
      </w:r>
      <w:r w:rsidRPr="00C344C2">
        <w:t xml:space="preserve">and </w:t>
      </w:r>
      <w:proofErr w:type="spellStart"/>
      <w:r w:rsidRPr="00C344C2">
        <w:t>BlueCHP</w:t>
      </w:r>
      <w:proofErr w:type="spellEnd"/>
      <w:r w:rsidRPr="00C344C2">
        <w:t xml:space="preserve"> challenged</w:t>
      </w:r>
      <w:r w:rsidRPr="005A22C2">
        <w:t xml:space="preserve"> the </w:t>
      </w:r>
      <w:r w:rsidR="00C05203" w:rsidRPr="005A22C2">
        <w:t xml:space="preserve">current assumption in the SDA pricing model </w:t>
      </w:r>
      <w:r w:rsidRPr="005A22C2">
        <w:t xml:space="preserve">that New Build SDA will revert to standard residential use after </w:t>
      </w:r>
      <w:r w:rsidR="00C05203" w:rsidRPr="005A22C2">
        <w:t xml:space="preserve">20 </w:t>
      </w:r>
      <w:r w:rsidRPr="005A22C2">
        <w:t>year</w:t>
      </w:r>
      <w:r w:rsidR="00C05203" w:rsidRPr="005A22C2">
        <w:t>s</w:t>
      </w:r>
      <w:r w:rsidRPr="005A22C2">
        <w:t xml:space="preserve">. Stakeholders </w:t>
      </w:r>
      <w:r w:rsidR="00C05203" w:rsidRPr="005A22C2">
        <w:t>argued</w:t>
      </w:r>
      <w:r w:rsidRPr="005A22C2">
        <w:t xml:space="preserve"> that the real life of the asset is closer to approximately 50</w:t>
      </w:r>
      <w:r w:rsidR="001A7202">
        <w:t xml:space="preserve"> to </w:t>
      </w:r>
      <w:r w:rsidRPr="005A22C2">
        <w:t>60 years,</w:t>
      </w:r>
      <w:r w:rsidR="00BC309F" w:rsidRPr="005A22C2">
        <w:t xml:space="preserve"> </w:t>
      </w:r>
      <w:r w:rsidRPr="005A22C2">
        <w:t xml:space="preserve">with one stakeholder in the SDA Institutional Investors Consultation Group </w:t>
      </w:r>
      <w:r w:rsidR="00C05203" w:rsidRPr="005A22C2">
        <w:t>indicating</w:t>
      </w:r>
      <w:r w:rsidRPr="005A22C2">
        <w:t xml:space="preserve"> that they </w:t>
      </w:r>
      <w:r w:rsidR="00C05203" w:rsidRPr="005A22C2">
        <w:t xml:space="preserve">modelled their investments </w:t>
      </w:r>
      <w:proofErr w:type="gramStart"/>
      <w:r w:rsidR="00C05203" w:rsidRPr="005A22C2">
        <w:t>on the basis of</w:t>
      </w:r>
      <w:proofErr w:type="gramEnd"/>
      <w:r w:rsidR="00C05203" w:rsidRPr="005A22C2">
        <w:t xml:space="preserve"> a</w:t>
      </w:r>
      <w:r w:rsidRPr="005A22C2">
        <w:t>n 88-year design life.</w:t>
      </w:r>
    </w:p>
    <w:p w14:paraId="41A1C29B" w14:textId="56BA4B4C" w:rsidR="00306051" w:rsidRPr="00704478" w:rsidRDefault="00306051" w:rsidP="006720A0">
      <w:r w:rsidRPr="005A22C2">
        <w:t xml:space="preserve">Notwithstanding the cost barriers to refurbishment, multiple stakeholders indicated a willingness to retain their SDA assets as SDA after the 20-year New Build lifespan, should they be able to overcome the </w:t>
      </w:r>
      <w:r w:rsidR="00C05203" w:rsidRPr="005A22C2">
        <w:t xml:space="preserve">hurdle of the required </w:t>
      </w:r>
      <w:r w:rsidRPr="005A22C2">
        <w:t>refurbishment costs.</w:t>
      </w:r>
      <w:r w:rsidR="00BC309F" w:rsidRPr="005A22C2">
        <w:t xml:space="preserve"> </w:t>
      </w:r>
      <w:r w:rsidRPr="005A22C2">
        <w:t xml:space="preserve">One stakeholder from the Tasmania Consultation Group </w:t>
      </w:r>
      <w:r w:rsidR="005361D4" w:rsidRPr="005A22C2">
        <w:t>stated</w:t>
      </w:r>
      <w:r w:rsidRPr="005A22C2">
        <w:t xml:space="preserve"> that</w:t>
      </w:r>
      <w:r w:rsidR="00A97FA6" w:rsidRPr="005A22C2">
        <w:t xml:space="preserve"> “</w:t>
      </w:r>
      <w:r w:rsidRPr="00704478">
        <w:t>the assumption we're making on ours [SDA assets] is that they'll be 20 years and then an injection of capital to make it fresh again</w:t>
      </w:r>
      <w:r w:rsidR="00A97FA6" w:rsidRPr="00704478">
        <w:t>”</w:t>
      </w:r>
      <w:r w:rsidRPr="00704478">
        <w:t>.</w:t>
      </w:r>
    </w:p>
    <w:p w14:paraId="5C9672B7" w14:textId="1422865B" w:rsidR="00A47429" w:rsidRPr="005A22C2" w:rsidRDefault="00C05203" w:rsidP="006720A0">
      <w:r w:rsidRPr="005A22C2">
        <w:t>A</w:t>
      </w:r>
      <w:r w:rsidR="00306051" w:rsidRPr="005A22C2">
        <w:t xml:space="preserve"> stakeholder from the South Australia and Northern Territory Consultation Group </w:t>
      </w:r>
      <w:r w:rsidRPr="005A22C2">
        <w:t xml:space="preserve">similarly </w:t>
      </w:r>
      <w:r w:rsidR="00306051" w:rsidRPr="005A22C2">
        <w:t>indicated that their business’s primary mission is</w:t>
      </w:r>
      <w:r w:rsidR="00A97FA6" w:rsidRPr="005A22C2">
        <w:t xml:space="preserve"> “</w:t>
      </w:r>
      <w:r w:rsidR="00306051" w:rsidRPr="005A22C2">
        <w:t>providing accommodation for the most vulnerable [people], whether it be with disability, so we rarely sell</w:t>
      </w:r>
      <w:r w:rsidR="00A97FA6" w:rsidRPr="005A22C2">
        <w:t>”</w:t>
      </w:r>
      <w:r w:rsidR="00306051" w:rsidRPr="005A22C2">
        <w:t>.</w:t>
      </w:r>
    </w:p>
    <w:p w14:paraId="1685A7B4" w14:textId="0D0E8E37" w:rsidR="00306051" w:rsidRPr="00704478" w:rsidRDefault="00306051" w:rsidP="006720A0">
      <w:proofErr w:type="spellStart"/>
      <w:r w:rsidRPr="00C344C2">
        <w:t>BlueCHP</w:t>
      </w:r>
      <w:proofErr w:type="spellEnd"/>
      <w:r w:rsidRPr="00C344C2">
        <w:t xml:space="preserve"> suggested that with regular refurbishment throughout the life of SDA</w:t>
      </w:r>
      <w:r w:rsidR="00C05203" w:rsidRPr="00C344C2">
        <w:t xml:space="preserve"> </w:t>
      </w:r>
      <w:r w:rsidRPr="00C344C2">
        <w:t xml:space="preserve">homes </w:t>
      </w:r>
      <w:r w:rsidR="00C05203" w:rsidRPr="00C344C2">
        <w:t>would</w:t>
      </w:r>
      <w:r w:rsidRPr="005A22C2">
        <w:t xml:space="preserve"> last </w:t>
      </w:r>
      <w:r w:rsidR="000E0C5C" w:rsidRPr="005A22C2">
        <w:t>consider</w:t>
      </w:r>
      <w:r w:rsidRPr="005A22C2">
        <w:t>ably longer than 20 years.</w:t>
      </w:r>
      <w:r w:rsidR="002A687D" w:rsidRPr="005A22C2">
        <w:t xml:space="preserve"> </w:t>
      </w:r>
      <w:r w:rsidR="00CD002B">
        <w:t>T</w:t>
      </w:r>
      <w:r w:rsidR="00C05203" w:rsidRPr="00745EBE">
        <w:t xml:space="preserve">he </w:t>
      </w:r>
      <w:r w:rsidRPr="00745EBE">
        <w:t xml:space="preserve">SDA Alliance </w:t>
      </w:r>
      <w:r w:rsidR="00C05203" w:rsidRPr="00745EBE">
        <w:t>stated</w:t>
      </w:r>
      <w:r w:rsidRPr="005A22C2">
        <w:t xml:space="preserve"> that although they expect SDA to have additional wear and tear resulting from higher usage, their members generally intend to</w:t>
      </w:r>
      <w:r w:rsidR="00A97FA6" w:rsidRPr="005A22C2">
        <w:t xml:space="preserve"> </w:t>
      </w:r>
      <w:r w:rsidR="00A97FA6" w:rsidRPr="00704478">
        <w:t>“</w:t>
      </w:r>
      <w:r w:rsidRPr="00704478">
        <w:t>retain SDA properties after the 20-year New Build funding expires, most likely with a refurbishment to sustain New Build funding for a further period</w:t>
      </w:r>
      <w:r w:rsidR="004C7D2F" w:rsidRPr="00704478">
        <w:t>”</w:t>
      </w:r>
      <w:r w:rsidRPr="00704478">
        <w:t>.</w:t>
      </w:r>
    </w:p>
    <w:p w14:paraId="02C6E4DA" w14:textId="0E27CCFF" w:rsidR="00002E55" w:rsidRPr="005A22C2" w:rsidRDefault="00002E55" w:rsidP="006720A0">
      <w:r w:rsidRPr="005A22C2">
        <w:t>Stakeholders were concerned that the current pricing arrangement reduced the price paid for a New Build to the price paid for Existing Stock after 20 years, noting that this reduction ranges from 26</w:t>
      </w:r>
      <w:r w:rsidR="00A81425">
        <w:t>%</w:t>
      </w:r>
      <w:r w:rsidRPr="005A22C2">
        <w:t xml:space="preserve"> to 73</w:t>
      </w:r>
      <w:r w:rsidR="00A81425">
        <w:t>%</w:t>
      </w:r>
      <w:r w:rsidRPr="005A22C2">
        <w:t xml:space="preserve"> depending on the SDA Design Category.</w:t>
      </w:r>
      <w:r w:rsidR="002A687D" w:rsidRPr="005A22C2">
        <w:t xml:space="preserve"> </w:t>
      </w:r>
      <w:r w:rsidRPr="005A22C2">
        <w:t>the</w:t>
      </w:r>
      <w:r w:rsidR="00E93B2F" w:rsidRPr="005A22C2">
        <w:t xml:space="preserve"> </w:t>
      </w:r>
      <w:r w:rsidRPr="00745EBE">
        <w:t>SDA Alliance emphasised</w:t>
      </w:r>
      <w:r w:rsidRPr="005A22C2">
        <w:t xml:space="preserve"> that the Existing Stock revenue must generate sufficient returns, otherwise SDA will be converted to alternate uses.</w:t>
      </w:r>
    </w:p>
    <w:p w14:paraId="207F5F24" w14:textId="66F9EFC0" w:rsidR="00306051" w:rsidRPr="005A22C2" w:rsidRDefault="00002E55" w:rsidP="006720A0">
      <w:r w:rsidRPr="005A22C2">
        <w:t>Stakeholders also recognised that competition would operate in their sector. A stakeholder</w:t>
      </w:r>
      <w:r w:rsidR="00306051" w:rsidRPr="005A22C2">
        <w:t xml:space="preserve"> in the Tasmania Consultation Group </w:t>
      </w:r>
      <w:r w:rsidRPr="005A22C2">
        <w:t>suggested</w:t>
      </w:r>
      <w:r w:rsidR="00306051" w:rsidRPr="005A22C2">
        <w:t xml:space="preserve"> that they do not necessarily believe all SDA will endure the entire 20-year SDA lifespan, noting that</w:t>
      </w:r>
      <w:r w:rsidR="004C7D2F" w:rsidRPr="005A22C2">
        <w:t xml:space="preserve"> “</w:t>
      </w:r>
      <w:r w:rsidR="00306051" w:rsidRPr="00AA30B8">
        <w:t>in some markets some SDA properties are going to become white elephants really quickly and they're going to be forced to be put back to the general market before their lifespan because competition will allow people hopefully allow people to choose their best outcome</w:t>
      </w:r>
      <w:r w:rsidR="004C7D2F" w:rsidRPr="005A22C2">
        <w:t>”</w:t>
      </w:r>
      <w:r w:rsidR="00306051" w:rsidRPr="005A22C2">
        <w:t>.</w:t>
      </w:r>
    </w:p>
    <w:p w14:paraId="2369058F" w14:textId="77777777" w:rsidR="00A47429" w:rsidRPr="005A22C2" w:rsidRDefault="00C33E1B" w:rsidP="006720A0">
      <w:pPr>
        <w:pStyle w:val="Heading2"/>
      </w:pPr>
      <w:bookmarkStart w:id="141" w:name="_Toc129783583"/>
      <w:bookmarkStart w:id="142" w:name="_Toc136006877"/>
      <w:r w:rsidRPr="005A22C2">
        <w:lastRenderedPageBreak/>
        <w:t>20-year Lifespan Commencement Date</w:t>
      </w:r>
      <w:bookmarkEnd w:id="141"/>
      <w:bookmarkEnd w:id="142"/>
    </w:p>
    <w:p w14:paraId="3F3A1912" w14:textId="77DE9221" w:rsidR="00C33E1B" w:rsidRPr="005A22C2" w:rsidRDefault="00C33E1B" w:rsidP="006720A0">
      <w:r w:rsidRPr="005A22C2">
        <w:t xml:space="preserve">Several stakeholders expressed concerns about the treatment of the 20-year investment horizon commencement date in the </w:t>
      </w:r>
      <w:r w:rsidRPr="005A22C2">
        <w:rPr>
          <w:i/>
          <w:iCs/>
        </w:rPr>
        <w:t>NDIS Pricing Arrangements for SDA</w:t>
      </w:r>
      <w:r w:rsidRPr="005A22C2">
        <w:t>. Currently, the 20-year investment horizon begins once a New Build has been issued its first certificate of occupancy (or equivalent). There was broad consensus among stakeholders within the SDA Banks and Funds Consultation Group that the 20-year investment horizon for a New Build should be amended to start once the first payment by the NDIS is received.</w:t>
      </w:r>
      <w:r w:rsidR="002A687D" w:rsidRPr="005A22C2">
        <w:t xml:space="preserve"> </w:t>
      </w:r>
      <w:r w:rsidRPr="00702ADE">
        <w:t>Enliven Housing supported</w:t>
      </w:r>
      <w:r w:rsidRPr="005A22C2">
        <w:t xml:space="preserve"> this idea, noting that the time from settlement to enrolment can take a further three months.</w:t>
      </w:r>
    </w:p>
    <w:p w14:paraId="16DB25FC" w14:textId="0C296616" w:rsidR="00306051" w:rsidRPr="005A22C2" w:rsidRDefault="00306051" w:rsidP="006720A0">
      <w:pPr>
        <w:pStyle w:val="Heading2"/>
      </w:pPr>
      <w:bookmarkStart w:id="143" w:name="_Ref125389912"/>
      <w:bookmarkStart w:id="144" w:name="_Ref126166510"/>
      <w:bookmarkStart w:id="145" w:name="_Toc129783581"/>
      <w:bookmarkStart w:id="146" w:name="_Toc136006878"/>
      <w:r w:rsidRPr="005A22C2">
        <w:t xml:space="preserve">Alternate </w:t>
      </w:r>
      <w:r w:rsidR="00C33E1B" w:rsidRPr="005A22C2">
        <w:t>U</w:t>
      </w:r>
      <w:r w:rsidRPr="005A22C2">
        <w:t xml:space="preserve">se </w:t>
      </w:r>
      <w:r w:rsidR="00C33E1B" w:rsidRPr="005A22C2">
        <w:t>C</w:t>
      </w:r>
      <w:r w:rsidRPr="005A22C2">
        <w:t>ost</w:t>
      </w:r>
      <w:bookmarkEnd w:id="143"/>
      <w:bookmarkEnd w:id="144"/>
      <w:bookmarkEnd w:id="145"/>
      <w:r w:rsidR="00C33E1B" w:rsidRPr="005A22C2">
        <w:t xml:space="preserve"> Assumptions</w:t>
      </w:r>
      <w:bookmarkEnd w:id="146"/>
    </w:p>
    <w:p w14:paraId="4A36541C" w14:textId="56AFA33E" w:rsidR="00A47429" w:rsidRPr="00702ADE" w:rsidRDefault="00306051" w:rsidP="006720A0">
      <w:r w:rsidRPr="005A22C2">
        <w:t xml:space="preserve">Several stakeholders indicated that they do not expect </w:t>
      </w:r>
      <w:proofErr w:type="gramStart"/>
      <w:r w:rsidRPr="005A22C2">
        <w:t>all of</w:t>
      </w:r>
      <w:proofErr w:type="gramEnd"/>
      <w:r w:rsidRPr="005A22C2">
        <w:t xml:space="preserve"> their SDA assets will remain as SDA and expect that they will revert to mainstream residential housing.</w:t>
      </w:r>
      <w:r w:rsidR="006959B0" w:rsidRPr="005A22C2">
        <w:t xml:space="preserve"> One</w:t>
      </w:r>
      <w:r w:rsidRPr="005A22C2">
        <w:t xml:space="preserve"> </w:t>
      </w:r>
      <w:r w:rsidRPr="00702ADE">
        <w:t>stakeholder in the Victoria Consultation Group consultation</w:t>
      </w:r>
      <w:r w:rsidR="006959B0" w:rsidRPr="00702ADE">
        <w:t xml:space="preserve"> </w:t>
      </w:r>
      <w:r w:rsidR="005361D4" w:rsidRPr="00702ADE">
        <w:t>stated</w:t>
      </w:r>
      <w:r w:rsidRPr="00702ADE">
        <w:t xml:space="preserve"> that they are </w:t>
      </w:r>
      <w:r w:rsidR="006959B0" w:rsidRPr="00702ADE">
        <w:t xml:space="preserve">already </w:t>
      </w:r>
      <w:r w:rsidR="000E0C5C" w:rsidRPr="00702ADE">
        <w:t>consider</w:t>
      </w:r>
      <w:r w:rsidRPr="00702ADE">
        <w:t>ing alternative uses for dwellings in areas of potential oversupply of SDA, including other forms of social and affordable housing.</w:t>
      </w:r>
      <w:r w:rsidR="002A687D" w:rsidRPr="00702ADE">
        <w:t xml:space="preserve"> </w:t>
      </w:r>
      <w:r w:rsidRPr="00702ADE">
        <w:t xml:space="preserve">Barwon Investment Partners suggested that other potential alternate uses </w:t>
      </w:r>
      <w:r w:rsidR="006959B0" w:rsidRPr="00702ADE">
        <w:t xml:space="preserve">for SDA dwellings </w:t>
      </w:r>
      <w:r w:rsidRPr="00702ADE">
        <w:t>could be</w:t>
      </w:r>
      <w:r w:rsidR="004C7D2F" w:rsidRPr="00702ADE">
        <w:t xml:space="preserve"> as Supported Independent Living</w:t>
      </w:r>
      <w:r w:rsidRPr="00702ADE">
        <w:t xml:space="preserve"> accommodation, sub-acute care accommodation (if within </w:t>
      </w:r>
      <w:proofErr w:type="gramStart"/>
      <w:r w:rsidRPr="00702ADE">
        <w:t>close proximity</w:t>
      </w:r>
      <w:proofErr w:type="gramEnd"/>
      <w:r w:rsidRPr="00702ADE">
        <w:t xml:space="preserve"> of a hospital or rehab</w:t>
      </w:r>
      <w:r w:rsidR="004C7D2F" w:rsidRPr="00702ADE">
        <w:t xml:space="preserve">ilitation </w:t>
      </w:r>
      <w:r w:rsidRPr="00702ADE">
        <w:t>centre) or aged care (if at scale)</w:t>
      </w:r>
      <w:r w:rsidR="006959B0" w:rsidRPr="00702ADE">
        <w:t>.</w:t>
      </w:r>
    </w:p>
    <w:p w14:paraId="1A60BC52" w14:textId="77777777" w:rsidR="00A47429" w:rsidRPr="00702ADE" w:rsidRDefault="00306051" w:rsidP="006720A0">
      <w:pPr>
        <w:rPr>
          <w:i/>
          <w:iCs/>
        </w:rPr>
      </w:pPr>
      <w:r w:rsidRPr="00702ADE">
        <w:t>Enliven Housing</w:t>
      </w:r>
      <w:r w:rsidR="006959B0" w:rsidRPr="00702ADE">
        <w:t xml:space="preserve"> </w:t>
      </w:r>
      <w:r w:rsidRPr="00702ADE">
        <w:t xml:space="preserve">indicated that </w:t>
      </w:r>
      <w:r w:rsidR="006959B0" w:rsidRPr="00702ADE">
        <w:t xml:space="preserve">for SDA apartments, </w:t>
      </w:r>
      <w:r w:rsidRPr="00702ADE">
        <w:t xml:space="preserve">conversion to mainstream apartments </w:t>
      </w:r>
      <w:r w:rsidR="006959B0" w:rsidRPr="00702ADE">
        <w:t xml:space="preserve">was </w:t>
      </w:r>
      <w:r w:rsidRPr="00702ADE">
        <w:t>the only viable option on exit.</w:t>
      </w:r>
    </w:p>
    <w:p w14:paraId="04C3D3FD" w14:textId="752A31B7" w:rsidR="00A47429" w:rsidRPr="00702ADE" w:rsidRDefault="00306051" w:rsidP="006720A0">
      <w:r w:rsidRPr="00702ADE">
        <w:t>Multiple stakeholders highlighted that conversion of SDA to residential housing may not be possible due to local council planning requirements that require approvals for a change in use.</w:t>
      </w:r>
      <w:r w:rsidR="002A687D" w:rsidRPr="00702ADE">
        <w:t xml:space="preserve"> </w:t>
      </w:r>
      <w:r w:rsidRPr="00702ADE">
        <w:t xml:space="preserve">Endeavour Foundation </w:t>
      </w:r>
      <w:r w:rsidR="005361D4" w:rsidRPr="00702ADE">
        <w:t>stated</w:t>
      </w:r>
      <w:r w:rsidRPr="00702ADE">
        <w:t xml:space="preserve"> that if local council approvals are required for building works, to reconfigure lots, or materially change the use or a property, they can incur additional sale costs.</w:t>
      </w:r>
      <w:r w:rsidR="00E61013" w:rsidRPr="00702ADE">
        <w:t xml:space="preserve"> </w:t>
      </w:r>
      <w:r w:rsidRPr="00702ADE">
        <w:t xml:space="preserve">These costs are not standardised across Councils throughout Queensland, however they </w:t>
      </w:r>
      <w:r w:rsidR="005361D4" w:rsidRPr="00702ADE">
        <w:t>stated</w:t>
      </w:r>
      <w:r w:rsidRPr="00702ADE">
        <w:t xml:space="preserve"> that</w:t>
      </w:r>
      <w:r w:rsidR="004C7D2F" w:rsidRPr="00702ADE">
        <w:t xml:space="preserve"> “</w:t>
      </w:r>
      <w:r w:rsidRPr="00702ADE">
        <w:t>in our experience charges have been between $40,000 per site and $120,000 per site. This is a significant additional cost for either the buyer or seller to bear</w:t>
      </w:r>
      <w:r w:rsidR="004C7D2F" w:rsidRPr="00702ADE">
        <w:t>”.</w:t>
      </w:r>
    </w:p>
    <w:p w14:paraId="3F4E44E0" w14:textId="61E57A70" w:rsidR="00A47429" w:rsidRPr="005A22C2" w:rsidRDefault="00306051" w:rsidP="006720A0">
      <w:r w:rsidRPr="00702ADE">
        <w:t>Australian Unity also</w:t>
      </w:r>
      <w:r w:rsidRPr="005A22C2">
        <w:t xml:space="preserve"> indicated that some properties (such as Robust SDA, regional SDA and SDA at an inappropriate scale)</w:t>
      </w:r>
      <w:r w:rsidR="006959B0" w:rsidRPr="005A22C2">
        <w:t xml:space="preserve"> </w:t>
      </w:r>
      <w:r w:rsidRPr="005A22C2">
        <w:t>may not be fit for market regardless of reversion.</w:t>
      </w:r>
      <w:r w:rsidR="00E61013" w:rsidRPr="005A22C2">
        <w:t xml:space="preserve"> </w:t>
      </w:r>
      <w:r w:rsidRPr="005A22C2">
        <w:t>Several stakeholders reiterated that Robust homes are significantly different to regular mainstream residential housing.</w:t>
      </w:r>
      <w:r w:rsidR="002A687D" w:rsidRPr="005A22C2">
        <w:t xml:space="preserve"> </w:t>
      </w:r>
      <w:r w:rsidR="00DD57D7" w:rsidRPr="008D7DE2">
        <w:t>T</w:t>
      </w:r>
      <w:r w:rsidR="006959B0" w:rsidRPr="008D7DE2">
        <w:t xml:space="preserve">he </w:t>
      </w:r>
      <w:r w:rsidRPr="008D7DE2">
        <w:t>SDA Alliance agreed</w:t>
      </w:r>
      <w:r w:rsidRPr="005A22C2">
        <w:t>, noting that</w:t>
      </w:r>
      <w:r w:rsidR="004C7D2F" w:rsidRPr="005A22C2">
        <w:t xml:space="preserve"> “</w:t>
      </w:r>
      <w:r w:rsidRPr="00AA30B8">
        <w:t>robust Design Category dwellings are often much more bespoke in design and are at higher risk of having little or no practical use beyond turnover of the particular participants they have been designed to house</w:t>
      </w:r>
      <w:r w:rsidR="004C7D2F" w:rsidRPr="00AA30B8">
        <w:t>”</w:t>
      </w:r>
      <w:r w:rsidRPr="00AA30B8">
        <w:t>.</w:t>
      </w:r>
    </w:p>
    <w:p w14:paraId="17F40D39" w14:textId="3E8EC297" w:rsidR="00A47429" w:rsidRPr="005A22C2" w:rsidRDefault="00DD57D7" w:rsidP="006720A0">
      <w:r>
        <w:t>T</w:t>
      </w:r>
      <w:r w:rsidR="006959B0" w:rsidRPr="005A22C2">
        <w:t xml:space="preserve">he </w:t>
      </w:r>
      <w:r w:rsidR="00306051" w:rsidRPr="00702ADE">
        <w:t>NDISP stated</w:t>
      </w:r>
      <w:r w:rsidR="00306051" w:rsidRPr="005A22C2">
        <w:t xml:space="preserve"> </w:t>
      </w:r>
      <w:r w:rsidR="006959B0" w:rsidRPr="005A22C2">
        <w:t xml:space="preserve">that this can </w:t>
      </w:r>
      <w:r w:rsidR="00306051" w:rsidRPr="005A22C2">
        <w:t xml:space="preserve">mean that </w:t>
      </w:r>
      <w:r w:rsidR="006959B0" w:rsidRPr="005A22C2">
        <w:t>the</w:t>
      </w:r>
      <w:r w:rsidR="00306051" w:rsidRPr="005A22C2">
        <w:t xml:space="preserve"> alternative use valuations are</w:t>
      </w:r>
      <w:r w:rsidR="006959B0" w:rsidRPr="005A22C2">
        <w:t xml:space="preserve"> of these properties are </w:t>
      </w:r>
      <w:r w:rsidR="00306051" w:rsidRPr="005A22C2">
        <w:t>the cost of the land minus demolition cost</w:t>
      </w:r>
      <w:r w:rsidR="006959B0" w:rsidRPr="005A22C2">
        <w:t>s.</w:t>
      </w:r>
    </w:p>
    <w:p w14:paraId="4AF3F831" w14:textId="41787A90" w:rsidR="00A47429" w:rsidRPr="00E33AE1" w:rsidRDefault="00306051" w:rsidP="006720A0">
      <w:r w:rsidRPr="00702ADE">
        <w:t>Edenbridge also</w:t>
      </w:r>
      <w:r w:rsidRPr="005A22C2">
        <w:t xml:space="preserve"> </w:t>
      </w:r>
      <w:r w:rsidR="006959B0" w:rsidRPr="005A22C2">
        <w:t>stated</w:t>
      </w:r>
      <w:r w:rsidRPr="005A22C2">
        <w:t xml:space="preserve"> that SDA is custom designed and is</w:t>
      </w:r>
      <w:r w:rsidR="004C7D2F" w:rsidRPr="005A22C2">
        <w:t xml:space="preserve"> “</w:t>
      </w:r>
      <w:r w:rsidRPr="00AA30B8">
        <w:t>not an appealing or at all functional house type for mainstream re-sale</w:t>
      </w:r>
      <w:r w:rsidR="004C7D2F" w:rsidRPr="005A22C2">
        <w:t>”</w:t>
      </w:r>
      <w:r w:rsidRPr="005A22C2">
        <w:t>.</w:t>
      </w:r>
      <w:r w:rsidR="004C7D2F" w:rsidRPr="005A22C2">
        <w:t xml:space="preserve"> </w:t>
      </w:r>
      <w:r w:rsidRPr="005A22C2">
        <w:t>Instead, they suggested that it should be assumed that SDA buildings are</w:t>
      </w:r>
      <w:r w:rsidR="006959B0" w:rsidRPr="005A22C2">
        <w:t xml:space="preserve"> </w:t>
      </w:r>
      <w:r w:rsidRPr="005A22C2">
        <w:t xml:space="preserve">demolished and the land use changed </w:t>
      </w:r>
      <w:r w:rsidRPr="005A22C2">
        <w:lastRenderedPageBreak/>
        <w:t>back to general residential.</w:t>
      </w:r>
      <w:r w:rsidR="002A687D" w:rsidRPr="005A22C2">
        <w:t xml:space="preserve"> </w:t>
      </w:r>
      <w:r w:rsidR="00E15521">
        <w:t>T</w:t>
      </w:r>
      <w:r w:rsidR="006959B0" w:rsidRPr="005A22C2">
        <w:t xml:space="preserve">he </w:t>
      </w:r>
      <w:r w:rsidRPr="008D7DE2">
        <w:t>SDA Alliance</w:t>
      </w:r>
      <w:r w:rsidRPr="005A22C2">
        <w:t xml:space="preserve"> </w:t>
      </w:r>
      <w:r w:rsidR="00973ED5">
        <w:t xml:space="preserve">noted that </w:t>
      </w:r>
      <w:r w:rsidRPr="005A22C2">
        <w:t>certain SDA features such as circulation spaces can mean that SDA are</w:t>
      </w:r>
      <w:r w:rsidR="004C7D2F" w:rsidRPr="005A22C2">
        <w:t xml:space="preserve"> “</w:t>
      </w:r>
      <w:r w:rsidR="006959B0" w:rsidRPr="00E33AE1">
        <w:t>d</w:t>
      </w:r>
      <w:r w:rsidRPr="00E33AE1">
        <w:t>esigned in a way where it is not possible to convert back [to mainstream residential accommodation]</w:t>
      </w:r>
      <w:r w:rsidR="006959B0" w:rsidRPr="00E33AE1">
        <w:t xml:space="preserve"> … </w:t>
      </w:r>
      <w:r w:rsidRPr="00E33AE1">
        <w:t>to maximise resale value</w:t>
      </w:r>
      <w:r w:rsidR="004C7D2F" w:rsidRPr="00E33AE1">
        <w:t>”</w:t>
      </w:r>
      <w:r w:rsidRPr="00E33AE1">
        <w:t>.</w:t>
      </w:r>
    </w:p>
    <w:p w14:paraId="6F1F38FE" w14:textId="77777777" w:rsidR="00A47429" w:rsidRPr="005A22C2" w:rsidRDefault="00004DEC" w:rsidP="006720A0">
      <w:r w:rsidRPr="00702ADE">
        <w:t>Australian Unity argued</w:t>
      </w:r>
      <w:r w:rsidRPr="005A22C2">
        <w:t xml:space="preserve"> that SDA developers / providers made losses when properties were converted back to mainstream residential accommodation for three key factors: the initial over-capitalisation of SDA (compared to the residential market); the capital costs associated with conversion; and the rate of properties that are unsuitable for residential occupation (for example, Robust homes as discussed above).</w:t>
      </w:r>
    </w:p>
    <w:p w14:paraId="639E4E72" w14:textId="26DE489B" w:rsidR="00004DEC" w:rsidRPr="008D5B22" w:rsidRDefault="00167264" w:rsidP="006720A0">
      <w:r>
        <w:t xml:space="preserve">A confidential submission </w:t>
      </w:r>
      <w:r w:rsidR="00004DEC" w:rsidRPr="005A22C2">
        <w:t>provided details on the over-capitalisation of certain SDA dwellings. Given the increased size requirements for one-bedroom apartments and villas (</w:t>
      </w:r>
      <w:r w:rsidR="007E2D44">
        <w:t>for example,</w:t>
      </w:r>
      <w:r w:rsidR="00004DEC" w:rsidRPr="005A22C2">
        <w:t xml:space="preserve"> for circulation spaces), larger configurations such as two-bedroom apartments or apartments with a study are typically purchased and reconfigured to a one-bedroom SDA. </w:t>
      </w:r>
      <w:r>
        <w:t>The sam</w:t>
      </w:r>
      <w:r w:rsidR="00C93B7A">
        <w:t>e stakeholder</w:t>
      </w:r>
      <w:r w:rsidR="00004DEC" w:rsidRPr="005A22C2">
        <w:t xml:space="preserve"> stated that</w:t>
      </w:r>
      <w:r w:rsidR="004C7D2F" w:rsidRPr="005A22C2">
        <w:t xml:space="preserve"> “</w:t>
      </w:r>
      <w:r w:rsidR="00004DEC" w:rsidRPr="008D5B22">
        <w:t xml:space="preserve">in our experience, this process costs an additional </w:t>
      </w:r>
      <w:r w:rsidR="008966F5">
        <w:t xml:space="preserve">approximately </w:t>
      </w:r>
      <w:r w:rsidR="00004DEC" w:rsidRPr="008D5B22">
        <w:t>15</w:t>
      </w:r>
      <w:r w:rsidR="00A81425">
        <w:t>%</w:t>
      </w:r>
      <w:r w:rsidR="00004DEC" w:rsidRPr="008D5B22">
        <w:t xml:space="preserve"> … [and] where the dwelling reverts to standard residential use, this results in a</w:t>
      </w:r>
      <w:r w:rsidR="00912F85">
        <w:t>n</w:t>
      </w:r>
      <w:r w:rsidR="00004DEC" w:rsidRPr="008D5B22">
        <w:t xml:space="preserve"> </w:t>
      </w:r>
      <w:r w:rsidR="008966F5">
        <w:t>approximate</w:t>
      </w:r>
      <w:r w:rsidR="00912F85">
        <w:t xml:space="preserve"> </w:t>
      </w:r>
      <w:r w:rsidR="00004DEC" w:rsidRPr="008D5B22">
        <w:t>29</w:t>
      </w:r>
      <w:r w:rsidR="00A81425">
        <w:t>%</w:t>
      </w:r>
      <w:r w:rsidR="00004DEC" w:rsidRPr="008D5B22">
        <w:t xml:space="preserve"> loss on average from the total development cost</w:t>
      </w:r>
      <w:r w:rsidR="004C7D2F" w:rsidRPr="008D5B22">
        <w:t>”.</w:t>
      </w:r>
    </w:p>
    <w:p w14:paraId="012DF631" w14:textId="3157A052" w:rsidR="00004DEC" w:rsidRPr="005A22C2" w:rsidRDefault="00004DEC" w:rsidP="006720A0">
      <w:r w:rsidRPr="005A22C2">
        <w:t xml:space="preserve">Where land is excluded, </w:t>
      </w:r>
      <w:r w:rsidR="001B201D">
        <w:t xml:space="preserve">a confidential submission </w:t>
      </w:r>
      <w:r w:rsidRPr="005A22C2">
        <w:t xml:space="preserve">stated that the loss in value on average increases to </w:t>
      </w:r>
      <w:r w:rsidR="003A3199">
        <w:t xml:space="preserve">approximately </w:t>
      </w:r>
      <w:r w:rsidRPr="005A22C2">
        <w:t>34</w:t>
      </w:r>
      <w:r w:rsidR="00A81425">
        <w:t>%</w:t>
      </w:r>
      <w:r w:rsidRPr="005A22C2">
        <w:t xml:space="preserve"> on the total development cost.</w:t>
      </w:r>
      <w:r w:rsidR="00C735C0" w:rsidRPr="005A22C2">
        <w:rPr>
          <w:rStyle w:val="FootnoteReference"/>
          <w:color w:val="000000" w:themeColor="text1"/>
        </w:rPr>
        <w:t xml:space="preserve"> </w:t>
      </w:r>
      <w:r w:rsidRPr="005A22C2">
        <w:t>They also stated that Class 3 compliant homes would result in a larger loss in value as they require the purchase of larger, under-utilised land.</w:t>
      </w:r>
    </w:p>
    <w:p w14:paraId="0D2CC66C" w14:textId="0DE6E8F8" w:rsidR="00004DEC" w:rsidRPr="005A22C2" w:rsidRDefault="00004DEC" w:rsidP="006720A0">
      <w:r w:rsidRPr="005A22C2">
        <w:t xml:space="preserve">With respect to conversion costs, </w:t>
      </w:r>
      <w:r w:rsidR="00076A3E" w:rsidRPr="005A22C2">
        <w:t xml:space="preserve">the submissions </w:t>
      </w:r>
      <w:r w:rsidRPr="00C344C2">
        <w:t xml:space="preserve">from </w:t>
      </w:r>
      <w:proofErr w:type="spellStart"/>
      <w:r w:rsidRPr="00C344C2">
        <w:t>BlueCHP</w:t>
      </w:r>
      <w:proofErr w:type="spellEnd"/>
      <w:r w:rsidRPr="00C344C2">
        <w:t xml:space="preserve"> and</w:t>
      </w:r>
      <w:r w:rsidRPr="005A22C2">
        <w:t xml:space="preserve"> </w:t>
      </w:r>
      <w:r w:rsidR="00076A3E" w:rsidRPr="005A22C2">
        <w:t xml:space="preserve">the </w:t>
      </w:r>
      <w:r w:rsidRPr="00A2551D">
        <w:t xml:space="preserve">SDA Alliance suggested that these costs </w:t>
      </w:r>
      <w:r w:rsidR="00076A3E" w:rsidRPr="00A2551D">
        <w:t>might</w:t>
      </w:r>
      <w:r w:rsidRPr="00A2551D">
        <w:t xml:space="preserve"> include the costs to remove dis</w:t>
      </w:r>
      <w:r w:rsidRPr="005A22C2">
        <w:t xml:space="preserve">ability features such as ceiling hoists, grab rails, internal and external ramps, duress alarms, unnecessary fire exit signage, filling spaces (used for storage) </w:t>
      </w:r>
      <w:r w:rsidR="00C9162C">
        <w:t xml:space="preserve">and floor coverings </w:t>
      </w:r>
      <w:r w:rsidRPr="005A22C2">
        <w:t>to make properties more marketable. A stakeholder in the New South Wales and Australian Capital Territory Consultation Group indicated that they estimate</w:t>
      </w:r>
      <w:r w:rsidR="00076A3E" w:rsidRPr="005A22C2">
        <w:t>d that</w:t>
      </w:r>
      <w:r w:rsidRPr="005A22C2">
        <w:t xml:space="preserve"> it would cost approximately $5,000 to $7,000 to convert an SDA apartment for resale in the residential market. </w:t>
      </w:r>
      <w:r w:rsidR="00076A3E" w:rsidRPr="005A22C2">
        <w:t xml:space="preserve">The submissions from </w:t>
      </w:r>
      <w:r w:rsidRPr="00702ADE">
        <w:t>Australian Unity and</w:t>
      </w:r>
      <w:r w:rsidRPr="005A22C2">
        <w:t xml:space="preserve"> </w:t>
      </w:r>
      <w:r w:rsidR="00076A3E" w:rsidRPr="005A22C2">
        <w:t xml:space="preserve">the </w:t>
      </w:r>
      <w:r w:rsidRPr="00A2551D">
        <w:t>SDA Alliance suggested</w:t>
      </w:r>
      <w:r w:rsidRPr="005A22C2">
        <w:t xml:space="preserve"> that the capital costs of reversion would approximately be 5</w:t>
      </w:r>
      <w:r w:rsidR="00A81425">
        <w:t>%</w:t>
      </w:r>
      <w:r w:rsidRPr="005A22C2">
        <w:t>.</w:t>
      </w:r>
    </w:p>
    <w:p w14:paraId="64B5A2B4" w14:textId="39F1B9CC" w:rsidR="00076A3E" w:rsidRPr="005A22C2" w:rsidRDefault="00076A3E" w:rsidP="006720A0">
      <w:r w:rsidRPr="005A22C2">
        <w:t xml:space="preserve">In addition to the above costs, the submissions </w:t>
      </w:r>
      <w:r w:rsidRPr="00C344C2">
        <w:t xml:space="preserve">from </w:t>
      </w:r>
      <w:proofErr w:type="spellStart"/>
      <w:r w:rsidRPr="00C344C2">
        <w:t>BlueCHP</w:t>
      </w:r>
      <w:proofErr w:type="spellEnd"/>
      <w:r w:rsidRPr="00C344C2">
        <w:t xml:space="preserve"> and SDA Alliance suggested that open homes and other traditional sales methods would not be possible or appropriate while a tenant is still occupying an SDA property. They stated that vacancy costs will therefore likely be significantly higher and sales efforts may be dependent on the completion of any renovation or reversion works and the availability</w:t>
      </w:r>
      <w:r w:rsidRPr="00C344C2">
        <w:rPr>
          <w:iCs/>
        </w:rPr>
        <w:t xml:space="preserve"> of tradespeople to undertake these works.</w:t>
      </w:r>
      <w:r w:rsidR="002A687D" w:rsidRPr="00C344C2">
        <w:rPr>
          <w:iCs/>
        </w:rPr>
        <w:t xml:space="preserve"> </w:t>
      </w:r>
      <w:r w:rsidRPr="00C344C2">
        <w:rPr>
          <w:iCs/>
        </w:rPr>
        <w:t xml:space="preserve">The submissions from </w:t>
      </w:r>
      <w:proofErr w:type="spellStart"/>
      <w:r w:rsidRPr="00C344C2">
        <w:rPr>
          <w:iCs/>
        </w:rPr>
        <w:t>BlueCHP</w:t>
      </w:r>
      <w:proofErr w:type="spellEnd"/>
      <w:r w:rsidRPr="00C344C2">
        <w:rPr>
          <w:iCs/>
        </w:rPr>
        <w:t xml:space="preserve"> and SDA Alliance also stated that</w:t>
      </w:r>
      <w:r w:rsidRPr="005A22C2">
        <w:rPr>
          <w:iCs/>
        </w:rPr>
        <w:t xml:space="preserve"> property disposal costs (such as sales commissions, auction costs, sales/marketing costs, valuation fees and conveyancing costs) are expected to be </w:t>
      </w:r>
      <w:proofErr w:type="gramStart"/>
      <w:r w:rsidRPr="005A22C2">
        <w:rPr>
          <w:iCs/>
        </w:rPr>
        <w:t>similar to</w:t>
      </w:r>
      <w:proofErr w:type="gramEnd"/>
      <w:r w:rsidRPr="005A22C2">
        <w:rPr>
          <w:iCs/>
        </w:rPr>
        <w:t xml:space="preserve"> normal real estate transaction costs.</w:t>
      </w:r>
    </w:p>
    <w:p w14:paraId="29CEBF4C" w14:textId="2D9EE807" w:rsidR="00306051" w:rsidRPr="005A22C2" w:rsidRDefault="00076A3E" w:rsidP="006720A0">
      <w:r w:rsidRPr="005A22C2">
        <w:lastRenderedPageBreak/>
        <w:t xml:space="preserve">The submissions from </w:t>
      </w:r>
      <w:r w:rsidR="00306051" w:rsidRPr="00702ADE">
        <w:t>Liveable Homes Australia</w:t>
      </w:r>
      <w:r w:rsidRPr="00C344C2">
        <w:t xml:space="preserve">, </w:t>
      </w:r>
      <w:proofErr w:type="spellStart"/>
      <w:r w:rsidR="00306051" w:rsidRPr="00C344C2">
        <w:t>BlueCHP</w:t>
      </w:r>
      <w:proofErr w:type="spellEnd"/>
      <w:r w:rsidR="00306051" w:rsidRPr="00C344C2">
        <w:t xml:space="preserve"> and</w:t>
      </w:r>
      <w:r w:rsidR="00306051" w:rsidRPr="005A22C2">
        <w:t xml:space="preserve"> </w:t>
      </w:r>
      <w:r w:rsidRPr="005A22C2">
        <w:t xml:space="preserve">the </w:t>
      </w:r>
      <w:r w:rsidR="00306051" w:rsidRPr="00042E85">
        <w:t>SDA Alliance also</w:t>
      </w:r>
      <w:r w:rsidR="00306051" w:rsidRPr="005A22C2">
        <w:t xml:space="preserve"> suggested that due to the size of the market, rural and remote SDA would likely be on the market for longer, and would have higher property disposal costs, such as</w:t>
      </w:r>
      <w:r w:rsidRPr="005A22C2">
        <w:t xml:space="preserve"> </w:t>
      </w:r>
      <w:r w:rsidR="00306051" w:rsidRPr="005A22C2">
        <w:t>extended advertising periods, less comparative rates of sales commission</w:t>
      </w:r>
      <w:r w:rsidRPr="005A22C2">
        <w:t>.</w:t>
      </w:r>
    </w:p>
    <w:p w14:paraId="1AC62C25" w14:textId="77777777" w:rsidR="00076A3E" w:rsidRPr="005A22C2" w:rsidRDefault="00076A3E" w:rsidP="006720A0">
      <w:pPr>
        <w:pStyle w:val="Heading1"/>
        <w:sectPr w:rsidR="00076A3E" w:rsidRPr="005A22C2" w:rsidSect="00736B3B">
          <w:pgSz w:w="11906" w:h="16838" w:code="9"/>
          <w:pgMar w:top="1418" w:right="1418" w:bottom="1418" w:left="1418" w:header="709" w:footer="709" w:gutter="0"/>
          <w:cols w:space="708"/>
          <w:titlePg/>
          <w:docGrid w:linePitch="360"/>
        </w:sectPr>
      </w:pPr>
      <w:bookmarkStart w:id="147" w:name="_Toc129783584"/>
    </w:p>
    <w:p w14:paraId="0196EAF5" w14:textId="77777777" w:rsidR="00306051" w:rsidRPr="00E41D34" w:rsidRDefault="00306051" w:rsidP="006720A0">
      <w:pPr>
        <w:pStyle w:val="Heading1"/>
        <w:rPr>
          <w:color w:val="6B2976"/>
        </w:rPr>
      </w:pPr>
      <w:bookmarkStart w:id="148" w:name="_Toc136006879"/>
      <w:r w:rsidRPr="00E41D34">
        <w:rPr>
          <w:color w:val="6B2976"/>
        </w:rPr>
        <w:lastRenderedPageBreak/>
        <w:t>Ownership Costs</w:t>
      </w:r>
      <w:bookmarkEnd w:id="147"/>
      <w:bookmarkEnd w:id="148"/>
    </w:p>
    <w:p w14:paraId="15C075D9" w14:textId="25FAE306" w:rsidR="00306051" w:rsidRPr="005A22C2" w:rsidRDefault="00306051" w:rsidP="006720A0">
      <w:r w:rsidRPr="005A22C2">
        <w:t xml:space="preserve">The </w:t>
      </w:r>
      <w:r w:rsidR="007757F5" w:rsidRPr="005A22C2">
        <w:t>NDIA</w:t>
      </w:r>
      <w:r w:rsidRPr="005A22C2">
        <w:t xml:space="preserve"> received 14 written submissions </w:t>
      </w:r>
      <w:r w:rsidR="005858B3" w:rsidRPr="005A22C2">
        <w:t>that responded to</w:t>
      </w:r>
      <w:r w:rsidRPr="005A22C2">
        <w:t xml:space="preserve"> the following question</w:t>
      </w:r>
      <w:r w:rsidR="007757F5" w:rsidRPr="005A22C2">
        <w:t>s</w:t>
      </w:r>
      <w:r w:rsidRPr="005A22C2">
        <w:t xml:space="preserve"> in the </w:t>
      </w:r>
      <w:r w:rsidRPr="005A22C2">
        <w:rPr>
          <w:i/>
          <w:iCs/>
        </w:rPr>
        <w:t>SDA Pricing Review Consultation Paper</w:t>
      </w:r>
      <w:r w:rsidRPr="005A22C2">
        <w:t>:</w:t>
      </w:r>
    </w:p>
    <w:p w14:paraId="674FE642" w14:textId="3A9E4D36" w:rsidR="00306051" w:rsidRPr="00132E0C" w:rsidRDefault="00306051" w:rsidP="00132E0C">
      <w:pPr>
        <w:pStyle w:val="Quote"/>
        <w:numPr>
          <w:ilvl w:val="0"/>
          <w:numId w:val="34"/>
        </w:numPr>
        <w:rPr>
          <w:i w:val="0"/>
          <w:iCs w:val="0"/>
        </w:rPr>
      </w:pPr>
      <w:r w:rsidRPr="00132E0C">
        <w:rPr>
          <w:i w:val="0"/>
          <w:iCs w:val="0"/>
        </w:rPr>
        <w:t>What vacancy rates can SDA providers expect to encounter? Do vacancy rates vary by Building Type and Size, Design Category and Region?</w:t>
      </w:r>
    </w:p>
    <w:p w14:paraId="7F415EFE" w14:textId="1BAA0AF9" w:rsidR="00306051" w:rsidRPr="00132E0C" w:rsidRDefault="00306051" w:rsidP="00132E0C">
      <w:pPr>
        <w:pStyle w:val="Quote"/>
        <w:numPr>
          <w:ilvl w:val="0"/>
          <w:numId w:val="34"/>
        </w:numPr>
        <w:rPr>
          <w:i w:val="0"/>
          <w:iCs w:val="0"/>
        </w:rPr>
      </w:pPr>
      <w:r w:rsidRPr="00132E0C">
        <w:rPr>
          <w:i w:val="0"/>
          <w:iCs w:val="0"/>
        </w:rPr>
        <w:t>What costs of ownership, including maintenance, property management, vacancy management, accounting and tax costs, valuations, reporting and corporate compliance costs, other corporate overheads, regulatory compliance costs (NDIS compliance, FIRB compliance etc.), and investment management costs, are incurred by SDA providers? Do these costs vary significantly by Design Category, Building Type and Size, and Region?</w:t>
      </w:r>
    </w:p>
    <w:p w14:paraId="09E6417E" w14:textId="6432A702" w:rsidR="00306051" w:rsidRPr="00132E0C" w:rsidRDefault="00306051" w:rsidP="00132E0C">
      <w:pPr>
        <w:pStyle w:val="Quote"/>
        <w:numPr>
          <w:ilvl w:val="0"/>
          <w:numId w:val="34"/>
        </w:numPr>
        <w:rPr>
          <w:i w:val="0"/>
          <w:iCs w:val="0"/>
        </w:rPr>
      </w:pPr>
      <w:r w:rsidRPr="00132E0C">
        <w:rPr>
          <w:i w:val="0"/>
          <w:iCs w:val="0"/>
        </w:rPr>
        <w:t>How long does it take to plan, build and enrol SDA, including delays due to variations to planning consents, designs, community and consultant engagement, strata by-laws etc.? What costs are associated with these activities? Do these costs vary significantly by Design Category, Building Type and Size, and Region?</w:t>
      </w:r>
    </w:p>
    <w:p w14:paraId="616B4521" w14:textId="509E2146" w:rsidR="00306051" w:rsidRPr="00132E0C" w:rsidRDefault="00306051" w:rsidP="00132E0C">
      <w:pPr>
        <w:pStyle w:val="Quote"/>
        <w:numPr>
          <w:ilvl w:val="0"/>
          <w:numId w:val="34"/>
        </w:numPr>
        <w:rPr>
          <w:i w:val="0"/>
          <w:iCs w:val="0"/>
        </w:rPr>
      </w:pPr>
      <w:r w:rsidRPr="00132E0C">
        <w:rPr>
          <w:i w:val="0"/>
          <w:iCs w:val="0"/>
        </w:rPr>
        <w:t>How long does it take to accrue SDA Payments from enrolment to initial lease-up, including in assisting with participant approvals, participant engagement and move-in? What costs are associated with these delays? Do these timing delays vary significantly by Design Category, Building Type and Size, and Region</w:t>
      </w:r>
    </w:p>
    <w:p w14:paraId="6B47F254" w14:textId="13B80C4D" w:rsidR="00306051" w:rsidRPr="00132E0C" w:rsidRDefault="00306051" w:rsidP="00132E0C">
      <w:pPr>
        <w:pStyle w:val="Quote"/>
        <w:numPr>
          <w:ilvl w:val="0"/>
          <w:numId w:val="34"/>
        </w:numPr>
        <w:rPr>
          <w:i w:val="0"/>
          <w:iCs w:val="0"/>
        </w:rPr>
      </w:pPr>
      <w:r w:rsidRPr="00132E0C">
        <w:rPr>
          <w:i w:val="0"/>
          <w:iCs w:val="0"/>
        </w:rPr>
        <w:t>Are there other timing delays that impact cash inflows in operating SDAs? What costs are associated with these delays? Do these timing delays vary significantly by Design Category, Building Type and Size, and Region?</w:t>
      </w:r>
    </w:p>
    <w:p w14:paraId="499F22BA" w14:textId="77777777" w:rsidR="007757F5" w:rsidRPr="005A22C2" w:rsidRDefault="00306051" w:rsidP="006720A0">
      <w:r w:rsidRPr="005A22C2">
        <w:t>Issues about ownership costs were also raised in most of the Consultation Groups</w:t>
      </w:r>
      <w:r w:rsidR="007757F5" w:rsidRPr="005A22C2">
        <w:t>.</w:t>
      </w:r>
    </w:p>
    <w:p w14:paraId="630CD77F" w14:textId="39297EFD" w:rsidR="00306051" w:rsidRPr="005A22C2" w:rsidRDefault="00306051" w:rsidP="006720A0">
      <w:pPr>
        <w:pStyle w:val="Heading2"/>
      </w:pPr>
      <w:bookmarkStart w:id="149" w:name="_Ref125389200"/>
      <w:bookmarkStart w:id="150" w:name="_Ref125389205"/>
      <w:bookmarkStart w:id="151" w:name="_Ref126166134"/>
      <w:bookmarkStart w:id="152" w:name="_Toc129783585"/>
      <w:bookmarkStart w:id="153" w:name="_Toc136006880"/>
      <w:r w:rsidRPr="005A22C2">
        <w:t xml:space="preserve">Maintenance </w:t>
      </w:r>
      <w:r w:rsidR="00C33E1B" w:rsidRPr="005A22C2">
        <w:t>C</w:t>
      </w:r>
      <w:r w:rsidRPr="005A22C2">
        <w:t>osts</w:t>
      </w:r>
      <w:bookmarkEnd w:id="149"/>
      <w:bookmarkEnd w:id="150"/>
      <w:bookmarkEnd w:id="151"/>
      <w:bookmarkEnd w:id="152"/>
      <w:bookmarkEnd w:id="153"/>
    </w:p>
    <w:p w14:paraId="7EB40374" w14:textId="5C648F7B" w:rsidR="00306051" w:rsidRPr="005A22C2" w:rsidRDefault="00306051" w:rsidP="006720A0">
      <w:r w:rsidRPr="005A22C2">
        <w:t>S</w:t>
      </w:r>
      <w:r w:rsidR="00790C54" w:rsidRPr="005A22C2">
        <w:t xml:space="preserve">ome stakeholders </w:t>
      </w:r>
      <w:r w:rsidRPr="005A22C2">
        <w:t xml:space="preserve">discussed the impact and cost of ongoing maintenance and refurbishment. </w:t>
      </w:r>
      <w:r w:rsidR="00790C54" w:rsidRPr="005A22C2">
        <w:t xml:space="preserve">There were different views among stakeholders as to whether these costs </w:t>
      </w:r>
      <w:r w:rsidRPr="005A22C2">
        <w:t>were adequately captured in the</w:t>
      </w:r>
      <w:r w:rsidR="00790C54" w:rsidRPr="005A22C2">
        <w:t xml:space="preserve"> current SDA pricing arrangements.</w:t>
      </w:r>
    </w:p>
    <w:p w14:paraId="10D6E095" w14:textId="668FDDBB" w:rsidR="00A47429" w:rsidRPr="008D5B22" w:rsidRDefault="00306051" w:rsidP="006720A0">
      <w:r w:rsidRPr="005A22C2">
        <w:t xml:space="preserve">Stakeholders </w:t>
      </w:r>
      <w:r w:rsidR="005361D4" w:rsidRPr="005A22C2">
        <w:t>stated</w:t>
      </w:r>
      <w:r w:rsidRPr="005A22C2">
        <w:t xml:space="preserve"> that the cost of necessary repair throughout the life of SDA should be better accounted for, outside of the assumption about major refurbishment </w:t>
      </w:r>
      <w:r w:rsidRPr="005A22C2">
        <w:lastRenderedPageBreak/>
        <w:t xml:space="preserve">once every 20 years, with multiple submissions noting additional wear and tear in SDA than in typical residential properties. The </w:t>
      </w:r>
      <w:r w:rsidRPr="00C344C2">
        <w:t>Summer Foundation</w:t>
      </w:r>
      <w:r w:rsidR="00790C54" w:rsidRPr="00C344C2">
        <w:t>,</w:t>
      </w:r>
      <w:r w:rsidR="00790C54" w:rsidRPr="005A22C2">
        <w:t xml:space="preserve"> for example,</w:t>
      </w:r>
      <w:r w:rsidRPr="005A22C2">
        <w:t xml:space="preserve"> suggested that “</w:t>
      </w:r>
      <w:r w:rsidRPr="008D5B22">
        <w:t>damage from wheelchairs and other mobility devices</w:t>
      </w:r>
      <w:r w:rsidRPr="005A22C2">
        <w:t xml:space="preserve">” would potentially necessitate floor replacements and significant repainting. This was supported in </w:t>
      </w:r>
      <w:r w:rsidRPr="00702ADE">
        <w:t xml:space="preserve">the Enliven Housing submission, which </w:t>
      </w:r>
      <w:r w:rsidR="005361D4" w:rsidRPr="00702ADE">
        <w:t>stated</w:t>
      </w:r>
      <w:r w:rsidRPr="00702ADE">
        <w:t xml:space="preserve"> that wheelchair usage in apartment settings </w:t>
      </w:r>
      <w:r w:rsidR="005B69B3" w:rsidRPr="00702ADE">
        <w:t>“</w:t>
      </w:r>
      <w:r w:rsidRPr="00702ADE">
        <w:t>contributes significantly more damage to floors and walls than anticipated”,</w:t>
      </w:r>
      <w:r w:rsidRPr="00702ADE">
        <w:rPr>
          <w:rStyle w:val="FootnoteReference"/>
        </w:rPr>
        <w:t xml:space="preserve"> </w:t>
      </w:r>
      <w:r w:rsidRPr="00702ADE">
        <w:t xml:space="preserve">and the </w:t>
      </w:r>
      <w:proofErr w:type="spellStart"/>
      <w:r w:rsidRPr="00702ADE">
        <w:t>MiHaven</w:t>
      </w:r>
      <w:proofErr w:type="spellEnd"/>
      <w:r w:rsidRPr="00702ADE">
        <w:t xml:space="preserve"> submission, which provided evidence of a $9,970 cost to repair flooring which had been damaged by a participant.</w:t>
      </w:r>
      <w:r w:rsidRPr="00702ADE">
        <w:rPr>
          <w:vertAlign w:val="superscript"/>
        </w:rPr>
        <w:t xml:space="preserve">, </w:t>
      </w:r>
      <w:r w:rsidRPr="00702ADE">
        <w:t xml:space="preserve">Additionally, NDISP’s written submission </w:t>
      </w:r>
      <w:r w:rsidR="005361D4" w:rsidRPr="00702ADE">
        <w:t>stated</w:t>
      </w:r>
      <w:r w:rsidRPr="00702ADE">
        <w:t xml:space="preserve"> that the organisation had experienced “slightly more than double the maintenance costs of a standard residential property”, suggesting that this was partly the result of participants spending more time in their homes than typical tenants. Endeavour Foundation </w:t>
      </w:r>
      <w:r w:rsidR="005361D4" w:rsidRPr="00702ADE">
        <w:t>stated</w:t>
      </w:r>
      <w:r w:rsidRPr="00702ADE">
        <w:t xml:space="preserve"> that their maintenance</w:t>
      </w:r>
      <w:r w:rsidRPr="008D5B22">
        <w:t xml:space="preserve"> costs for HPS were significant.</w:t>
      </w:r>
    </w:p>
    <w:p w14:paraId="163A16EC" w14:textId="17AF58FE" w:rsidR="00306051" w:rsidRPr="00C344C2" w:rsidRDefault="00306051" w:rsidP="006720A0">
      <w:r w:rsidRPr="008D5B22">
        <w:t xml:space="preserve">Stakeholders did note that repair costs could be partially mitigated by ensuring that robust fittings and fixtures, including doors and windows, were used in SDA builds. One Consultation Group stakeholder </w:t>
      </w:r>
      <w:r w:rsidR="005361D4" w:rsidRPr="008D5B22">
        <w:t>stated</w:t>
      </w:r>
      <w:r w:rsidRPr="008D5B22">
        <w:t xml:space="preserve"> that maintenance cost allowances in the </w:t>
      </w:r>
      <w:r w:rsidR="005B69B3" w:rsidRPr="008D5B22">
        <w:t xml:space="preserve">current SDA pricing arrangements </w:t>
      </w:r>
      <w:r w:rsidRPr="008D5B22">
        <w:t xml:space="preserve">were quite high, and that their “maintenance costs have been very </w:t>
      </w:r>
      <w:proofErr w:type="spellStart"/>
      <w:r w:rsidRPr="008D5B22">
        <w:t>very</w:t>
      </w:r>
      <w:proofErr w:type="spellEnd"/>
      <w:r w:rsidRPr="008D5B22">
        <w:t xml:space="preserve"> minimal”</w:t>
      </w:r>
      <w:r w:rsidR="00827731" w:rsidRPr="008D5B22">
        <w:t>.</w:t>
      </w:r>
      <w:r w:rsidRPr="008D5B22">
        <w:t xml:space="preserve"> However, the same stakeholder recognised that as the house ages, there are likely to be more maintenance costs incurred</w:t>
      </w:r>
      <w:r w:rsidR="007757F5" w:rsidRPr="008D5B22">
        <w:t>.</w:t>
      </w:r>
      <w:r w:rsidRPr="008D5B22">
        <w:t xml:space="preserve"> Similarly, </w:t>
      </w:r>
      <w:r w:rsidR="001B201D">
        <w:t xml:space="preserve">a confidential submission </w:t>
      </w:r>
      <w:r w:rsidR="005361D4" w:rsidRPr="008D5B22">
        <w:t>stated</w:t>
      </w:r>
      <w:r w:rsidRPr="008D5B22">
        <w:t xml:space="preserve"> that the </w:t>
      </w:r>
      <w:r w:rsidR="005B69B3" w:rsidRPr="008D5B22">
        <w:t>NDIA’s</w:t>
      </w:r>
      <w:r w:rsidRPr="008D5B22">
        <w:t xml:space="preserve"> </w:t>
      </w:r>
      <w:r w:rsidRPr="00C344C2">
        <w:t xml:space="preserve">assumed maintenance costs aligned with their expectation of long-term maintenance costs, while </w:t>
      </w:r>
      <w:proofErr w:type="spellStart"/>
      <w:r w:rsidRPr="00C344C2">
        <w:t>BlueCHP</w:t>
      </w:r>
      <w:proofErr w:type="spellEnd"/>
      <w:r w:rsidRPr="00C344C2">
        <w:t xml:space="preserve"> and Summer Foundation also tentatively accepted the maintenance costs originally included in </w:t>
      </w:r>
      <w:r w:rsidR="005B69B3" w:rsidRPr="00C344C2">
        <w:t>SDA prices</w:t>
      </w:r>
      <w:r w:rsidRPr="00C344C2">
        <w:t xml:space="preserve"> (adjusted for inflation) as a suitable approximation of actual costs.</w:t>
      </w:r>
    </w:p>
    <w:p w14:paraId="608DDDE5" w14:textId="2A918DCB" w:rsidR="00306051" w:rsidRPr="005A22C2" w:rsidRDefault="00306051" w:rsidP="006720A0">
      <w:r w:rsidRPr="00C344C2">
        <w:t xml:space="preserve">As well as costs of refurbishment, it was </w:t>
      </w:r>
      <w:r w:rsidR="005361D4" w:rsidRPr="00C344C2">
        <w:t>stated</w:t>
      </w:r>
      <w:r w:rsidRPr="00C344C2">
        <w:t xml:space="preserve"> that</w:t>
      </w:r>
      <w:r w:rsidRPr="005A22C2">
        <w:t xml:space="preserve"> replacement of necessary equipment was a cost for stakeholders</w:t>
      </w:r>
      <w:r w:rsidRPr="00702ADE">
        <w:t>.</w:t>
      </w:r>
      <w:r w:rsidR="002A687D" w:rsidRPr="00702ADE">
        <w:t xml:space="preserve"> </w:t>
      </w:r>
      <w:r w:rsidRPr="00702ADE">
        <w:t>Enliven Housing revealed that maintenance of assistive technology was a significant cost for the organisation</w:t>
      </w:r>
      <w:r w:rsidRPr="005A22C2">
        <w:t xml:space="preserve">. The submission </w:t>
      </w:r>
      <w:r w:rsidR="005361D4" w:rsidRPr="005A22C2">
        <w:t>stated</w:t>
      </w:r>
      <w:r w:rsidRPr="005A22C2">
        <w:t xml:space="preserve"> that assistive technology products had short life cycles and were prone to regular failure, with products often needing to be replaced rather than repaired.</w:t>
      </w:r>
    </w:p>
    <w:p w14:paraId="17437D58" w14:textId="77777777" w:rsidR="005B69B3" w:rsidRPr="005A22C2" w:rsidRDefault="005B69B3" w:rsidP="006720A0">
      <w:r w:rsidRPr="005A22C2">
        <w:t xml:space="preserve">Stakeholders from the Queensland Consultation Group discussed the prospect of mandating that providers establish a sinking fund to enable more frequent ongoing refurbishments to maintain the quality of the asset over the 20-year </w:t>
      </w:r>
      <w:proofErr w:type="gramStart"/>
      <w:r w:rsidRPr="005A22C2">
        <w:t>life-span</w:t>
      </w:r>
      <w:proofErr w:type="gramEnd"/>
      <w:r w:rsidRPr="005A22C2">
        <w:t>.</w:t>
      </w:r>
    </w:p>
    <w:p w14:paraId="3D869094" w14:textId="4C2AA2AB" w:rsidR="00306051" w:rsidRPr="00E41D34" w:rsidRDefault="00306051" w:rsidP="006720A0">
      <w:pPr>
        <w:pStyle w:val="Heading3"/>
      </w:pPr>
      <w:bookmarkStart w:id="154" w:name="_Ref125389204"/>
      <w:bookmarkStart w:id="155" w:name="_Ref126166127"/>
      <w:bookmarkStart w:id="156" w:name="_Toc129783586"/>
      <w:r w:rsidRPr="00E41D34">
        <w:t xml:space="preserve">Extraordinary </w:t>
      </w:r>
      <w:r w:rsidR="00C33E1B" w:rsidRPr="00E41D34">
        <w:t>D</w:t>
      </w:r>
      <w:r w:rsidRPr="00E41D34">
        <w:t>amages</w:t>
      </w:r>
      <w:bookmarkEnd w:id="154"/>
      <w:bookmarkEnd w:id="155"/>
      <w:bookmarkEnd w:id="156"/>
    </w:p>
    <w:p w14:paraId="40D3277F" w14:textId="2D977A67" w:rsidR="00306051" w:rsidRPr="005A22C2" w:rsidRDefault="00306051" w:rsidP="006720A0">
      <w:r w:rsidRPr="005A22C2">
        <w:t xml:space="preserve">Stakeholders </w:t>
      </w:r>
      <w:r w:rsidR="005B69B3" w:rsidRPr="005A22C2">
        <w:t xml:space="preserve">were </w:t>
      </w:r>
      <w:r w:rsidRPr="005A22C2">
        <w:t xml:space="preserve">particularly </w:t>
      </w:r>
      <w:r w:rsidR="005B69B3" w:rsidRPr="005A22C2">
        <w:t>concerned about</w:t>
      </w:r>
      <w:r w:rsidRPr="005A22C2">
        <w:t xml:space="preserve"> the costs of repairing damages (Extraordinary Damages) to properties caused by residents with behaviours of concern, particularly in the Robust SDA category. One stakeholder, from the Victoria Consultation Group, shared an example of a Robust property that a participant has been in for a few months, explaining that the cost of damage to the property is greater than the annual combined rent for SIL and SDA. They </w:t>
      </w:r>
      <w:r w:rsidR="005361D4" w:rsidRPr="005A22C2">
        <w:t>stated</w:t>
      </w:r>
      <w:r w:rsidRPr="005A22C2">
        <w:t xml:space="preserve"> that in this instance, prison grade glass and firmer walls were required to minimise damage. Another stakeholder commented on the need to match the Robust build with the individual needs of the participants, and potentially include features that aim to reduce behaviours of concern.</w:t>
      </w:r>
    </w:p>
    <w:p w14:paraId="7F9F1D28" w14:textId="1B761C29" w:rsidR="00306051" w:rsidRPr="005A22C2" w:rsidRDefault="00306051" w:rsidP="006720A0">
      <w:r w:rsidRPr="005A22C2">
        <w:lastRenderedPageBreak/>
        <w:t xml:space="preserve">Multiple stakeholders stated that they were finding it challenging to </w:t>
      </w:r>
      <w:proofErr w:type="gramStart"/>
      <w:r w:rsidRPr="005A22C2">
        <w:t>insure</w:t>
      </w:r>
      <w:proofErr w:type="gramEnd"/>
      <w:r w:rsidRPr="005A22C2">
        <w:t xml:space="preserve"> their Robust SDA due to the extent of participant damages (Extraordinary Damages), with insurers reported to be hesitant to provide coverage upon understanding the type of behaviours demonstrated by residents.</w:t>
      </w:r>
    </w:p>
    <w:p w14:paraId="1239A7B3" w14:textId="4B682898" w:rsidR="00306051" w:rsidRPr="005A22C2" w:rsidRDefault="00306051" w:rsidP="006720A0">
      <w:r w:rsidRPr="005A22C2">
        <w:t xml:space="preserve">One stakeholder from the Victoria Consultation Group recommended that the Agency </w:t>
      </w:r>
      <w:r w:rsidR="000E0C5C" w:rsidRPr="005A22C2">
        <w:t>consider</w:t>
      </w:r>
      <w:r w:rsidRPr="005A22C2">
        <w:t xml:space="preserve"> developing an additional category, “</w:t>
      </w:r>
      <w:r w:rsidRPr="008D5B22">
        <w:t>super-robust</w:t>
      </w:r>
      <w:r w:rsidRPr="005A22C2">
        <w:t>”, given the scope of damage that is dealt with in some instances. They suggested that under the current pricing arrangements, participants with severe behaviours of concern are financially unsustainable.</w:t>
      </w:r>
      <w:r w:rsidR="007757F5" w:rsidRPr="005A22C2">
        <w:t xml:space="preserve"> </w:t>
      </w:r>
      <w:r w:rsidRPr="005A22C2">
        <w:t xml:space="preserve">Similarly, </w:t>
      </w:r>
      <w:r w:rsidRPr="00702ADE">
        <w:t>Carra Property’s submission</w:t>
      </w:r>
      <w:r w:rsidRPr="005A22C2">
        <w:t xml:space="preserve"> suggested that there may need to be a mechanism for recovery of damages that are greater than SDA income received.</w:t>
      </w:r>
    </w:p>
    <w:p w14:paraId="48E33806" w14:textId="0DD0A97B" w:rsidR="00306051" w:rsidRPr="005A22C2" w:rsidRDefault="00306051" w:rsidP="006720A0">
      <w:pPr>
        <w:pStyle w:val="Heading2"/>
      </w:pPr>
      <w:bookmarkStart w:id="157" w:name="_Toc129783587"/>
      <w:bookmarkStart w:id="158" w:name="_Toc136006881"/>
      <w:r w:rsidRPr="005A22C2">
        <w:t xml:space="preserve">Property </w:t>
      </w:r>
      <w:r w:rsidR="00C33E1B" w:rsidRPr="005A22C2">
        <w:t>M</w:t>
      </w:r>
      <w:r w:rsidRPr="005A22C2">
        <w:t>anagement</w:t>
      </w:r>
      <w:bookmarkEnd w:id="157"/>
      <w:r w:rsidR="00C33E1B" w:rsidRPr="005A22C2">
        <w:t xml:space="preserve"> Costs</w:t>
      </w:r>
      <w:bookmarkEnd w:id="158"/>
    </w:p>
    <w:p w14:paraId="4FE90848" w14:textId="3A7EB1B8" w:rsidR="00306051" w:rsidRPr="005A22C2" w:rsidRDefault="00306051" w:rsidP="006720A0">
      <w:r w:rsidRPr="005A22C2">
        <w:t xml:space="preserve">Stakeholders </w:t>
      </w:r>
      <w:r w:rsidR="005361D4" w:rsidRPr="005A22C2">
        <w:t>stated</w:t>
      </w:r>
      <w:r w:rsidRPr="005A22C2">
        <w:t xml:space="preserve"> that</w:t>
      </w:r>
      <w:r w:rsidR="005B69B3" w:rsidRPr="005A22C2">
        <w:t>,</w:t>
      </w:r>
      <w:r w:rsidRPr="005A22C2">
        <w:t xml:space="preserve"> while property management costs were broadly in line with those </w:t>
      </w:r>
      <w:r w:rsidR="005B69B3" w:rsidRPr="005A22C2">
        <w:t xml:space="preserve">allowed for in the current SDA pricing arrangements </w:t>
      </w:r>
      <w:proofErr w:type="gramStart"/>
      <w:r w:rsidR="005B69B3" w:rsidRPr="005A22C2">
        <w:t>at the moment</w:t>
      </w:r>
      <w:proofErr w:type="gramEnd"/>
      <w:r w:rsidR="005B69B3" w:rsidRPr="005A22C2">
        <w:t xml:space="preserve">, </w:t>
      </w:r>
      <w:r w:rsidRPr="005A22C2">
        <w:t xml:space="preserve">they were likely to increase over the near term. </w:t>
      </w:r>
    </w:p>
    <w:p w14:paraId="00831794" w14:textId="265C4BC9" w:rsidR="005B69B3" w:rsidRPr="005A22C2" w:rsidRDefault="00306051" w:rsidP="006720A0">
      <w:r w:rsidRPr="005A22C2">
        <w:t xml:space="preserve">Some stakeholders </w:t>
      </w:r>
      <w:r w:rsidR="005361D4" w:rsidRPr="005A22C2">
        <w:t>stated</w:t>
      </w:r>
      <w:r w:rsidRPr="005A22C2">
        <w:t xml:space="preserve"> that they outsourced the management of their SDA to a separate SDA provider through a management agreement (which can assist in achieving efficiencies), </w:t>
      </w:r>
      <w:r w:rsidR="001B201D">
        <w:t xml:space="preserve">a confidential submission </w:t>
      </w:r>
      <w:r w:rsidR="005361D4" w:rsidRPr="005A22C2">
        <w:t>stated</w:t>
      </w:r>
      <w:r w:rsidRPr="005A22C2">
        <w:t xml:space="preserve"> that current rates for SDA property management ranged from $2,100 to $2,600 per apartment or </w:t>
      </w:r>
      <w:proofErr w:type="gramStart"/>
      <w:r w:rsidRPr="005A22C2">
        <w:t>villa, and</w:t>
      </w:r>
      <w:proofErr w:type="gramEnd"/>
      <w:r w:rsidRPr="005A22C2">
        <w:t xml:space="preserve"> were approximately $5,000 per house. </w:t>
      </w:r>
      <w:r w:rsidRPr="00702ADE">
        <w:t>Barwon Investment Partners’</w:t>
      </w:r>
      <w:r w:rsidRPr="005A22C2">
        <w:t xml:space="preserve"> submission </w:t>
      </w:r>
      <w:r w:rsidR="005361D4" w:rsidRPr="005A22C2">
        <w:t>stated</w:t>
      </w:r>
      <w:r w:rsidRPr="005A22C2">
        <w:t xml:space="preserve"> that property management fees could be between 5</w:t>
      </w:r>
      <w:r w:rsidR="0068183D">
        <w:t>%</w:t>
      </w:r>
      <w:r w:rsidRPr="005A22C2">
        <w:t xml:space="preserve"> and 15</w:t>
      </w:r>
      <w:r w:rsidR="0068183D">
        <w:t>%</w:t>
      </w:r>
      <w:r w:rsidRPr="005A22C2">
        <w:t xml:space="preserve"> of revenue. One stakeholder in the SDA Self-Providers Consultation Group indicated that outsourcing the provision of SDA provider services could cost around $4,000 per year, although it was </w:t>
      </w:r>
      <w:r w:rsidR="005361D4" w:rsidRPr="005A22C2">
        <w:t>stated</w:t>
      </w:r>
      <w:r w:rsidRPr="005A22C2">
        <w:t xml:space="preserve"> that some providers offering these services are currently </w:t>
      </w:r>
      <w:r w:rsidRPr="008D5B22">
        <w:t>charging discounted rates and hence these rates cannot be relied upon to remain at this price.</w:t>
      </w:r>
      <w:r w:rsidR="007757F5" w:rsidRPr="008D5B22">
        <w:t xml:space="preserve"> </w:t>
      </w:r>
      <w:r w:rsidR="00394720">
        <w:t>A stakeholder</w:t>
      </w:r>
      <w:r w:rsidRPr="008D5B22">
        <w:t xml:space="preserve"> similarly </w:t>
      </w:r>
      <w:r w:rsidR="005361D4" w:rsidRPr="008D5B22">
        <w:t>stated</w:t>
      </w:r>
      <w:r w:rsidRPr="008D5B22">
        <w:t xml:space="preserve"> that “there are indications that [there may be] significant inflation in property management costs in the near term”, </w:t>
      </w:r>
      <w:r w:rsidRPr="00871079">
        <w:t xml:space="preserve">with </w:t>
      </w:r>
      <w:proofErr w:type="spellStart"/>
      <w:r w:rsidRPr="00871079">
        <w:t>BlueCHP</w:t>
      </w:r>
      <w:proofErr w:type="spellEnd"/>
      <w:r w:rsidRPr="00D5529C">
        <w:t xml:space="preserve"> </w:t>
      </w:r>
      <w:r w:rsidRPr="008D5B22">
        <w:t xml:space="preserve">suggesting that this may be due to higher wage costs, a scarcity of suitable staff and “overhead costs such as transport pushing costs higher than the current </w:t>
      </w:r>
      <w:r w:rsidR="005B69B3" w:rsidRPr="008D5B22">
        <w:t xml:space="preserve">CPI </w:t>
      </w:r>
      <w:r w:rsidRPr="008D5B22">
        <w:t xml:space="preserve">rate”. </w:t>
      </w:r>
      <w:r w:rsidR="005B69B3" w:rsidRPr="008D5B22">
        <w:t xml:space="preserve">In addition, </w:t>
      </w:r>
      <w:r w:rsidR="001B201D">
        <w:t xml:space="preserve">a confidential submission </w:t>
      </w:r>
      <w:r w:rsidR="005B69B3" w:rsidRPr="008D5B22">
        <w:t>stated that apartments and other dwellings managed by owners’ corporations incur owners corporation fees. It stated that for apartments, this averages $4,700 per</w:t>
      </w:r>
      <w:r w:rsidR="005B69B3" w:rsidRPr="005A22C2">
        <w:t xml:space="preserve"> dwelling, and for 1-resident villas, $6,100. The submission suggested that these costs are for new dwellings and are expected to grow as they age.</w:t>
      </w:r>
    </w:p>
    <w:p w14:paraId="39EFA4A6" w14:textId="43D9E010" w:rsidR="00306051" w:rsidRPr="005A22C2" w:rsidRDefault="00306051" w:rsidP="006720A0">
      <w:r w:rsidRPr="005A22C2">
        <w:t>One stakeholder suggested that there may be merit in providing price guidance to assist SDA providers in determining what is fair and reasonable to expect in management fee</w:t>
      </w:r>
      <w:r w:rsidR="007757F5" w:rsidRPr="005A22C2">
        <w:t>s.</w:t>
      </w:r>
    </w:p>
    <w:p w14:paraId="5403D11E" w14:textId="43DB441A" w:rsidR="00306051" w:rsidRPr="005A22C2" w:rsidRDefault="00306051" w:rsidP="006720A0">
      <w:pPr>
        <w:pStyle w:val="Heading2"/>
      </w:pPr>
      <w:bookmarkStart w:id="159" w:name="_Toc129783588"/>
      <w:bookmarkStart w:id="160" w:name="_Toc136006882"/>
      <w:r w:rsidRPr="005A22C2">
        <w:t xml:space="preserve">Vacancy and </w:t>
      </w:r>
      <w:r w:rsidR="00C33E1B" w:rsidRPr="005A22C2">
        <w:t>T</w:t>
      </w:r>
      <w:r w:rsidRPr="005A22C2">
        <w:t xml:space="preserve">enancy </w:t>
      </w:r>
      <w:r w:rsidR="00C33E1B" w:rsidRPr="005A22C2">
        <w:t>M</w:t>
      </w:r>
      <w:r w:rsidRPr="005A22C2">
        <w:t xml:space="preserve">anagement </w:t>
      </w:r>
      <w:r w:rsidR="00C33E1B" w:rsidRPr="005A22C2">
        <w:t>C</w:t>
      </w:r>
      <w:r w:rsidRPr="005A22C2">
        <w:t>osts</w:t>
      </w:r>
      <w:bookmarkEnd w:id="159"/>
      <w:bookmarkEnd w:id="160"/>
    </w:p>
    <w:p w14:paraId="317A424B" w14:textId="0B6BE06A" w:rsidR="00306051" w:rsidRPr="00702ADE" w:rsidRDefault="00306051" w:rsidP="006720A0">
      <w:r w:rsidRPr="005A22C2">
        <w:t xml:space="preserve">Multiple stakeholders </w:t>
      </w:r>
      <w:r w:rsidR="005361D4" w:rsidRPr="005A22C2">
        <w:t>stated</w:t>
      </w:r>
      <w:r w:rsidRPr="005A22C2">
        <w:t xml:space="preserve"> the significant time and cost</w:t>
      </w:r>
      <w:r w:rsidR="005B69B3" w:rsidRPr="005A22C2">
        <w:t xml:space="preserve"> were needed </w:t>
      </w:r>
      <w:r w:rsidRPr="005A22C2">
        <w:t xml:space="preserve">to secure demand for SDA and convert prospects into residents, </w:t>
      </w:r>
      <w:r w:rsidR="005B69B3" w:rsidRPr="005A22C2">
        <w:t>and that these costs</w:t>
      </w:r>
      <w:r w:rsidRPr="005A22C2">
        <w:t xml:space="preserve"> were not </w:t>
      </w:r>
      <w:r w:rsidRPr="005A22C2">
        <w:lastRenderedPageBreak/>
        <w:t>fully accounted for in the NDIS Pricing Arrangements for SDA</w:t>
      </w:r>
      <w:r w:rsidRPr="00702ADE">
        <w:t>.</w:t>
      </w:r>
      <w:r w:rsidR="007757F5" w:rsidRPr="00702ADE">
        <w:t xml:space="preserve"> </w:t>
      </w:r>
      <w:r w:rsidRPr="00702ADE">
        <w:t xml:space="preserve">WAIGROUP’s submission </w:t>
      </w:r>
      <w:r w:rsidR="005361D4" w:rsidRPr="00702ADE">
        <w:t>stated</w:t>
      </w:r>
      <w:r w:rsidRPr="00702ADE">
        <w:t xml:space="preserve"> that there is a need for clients to go through a lengthy and difficult process to be assessed for SDA, and recommended that “Support Coordinators, SIL providers and SDA Providers be eligible to access payments direct from the NDIA to work with participants who are likely to be SDA eligible who are interested in a new SDA development”</w:t>
      </w:r>
      <w:r w:rsidR="006772C2" w:rsidRPr="00702ADE">
        <w:t>.</w:t>
      </w:r>
    </w:p>
    <w:p w14:paraId="65BD20E3" w14:textId="45995F6D" w:rsidR="00A47429" w:rsidRPr="005A22C2" w:rsidRDefault="00306051" w:rsidP="006720A0">
      <w:r w:rsidRPr="00702ADE">
        <w:t xml:space="preserve">The time and cost involved with moving new tenants into SDA was also </w:t>
      </w:r>
      <w:r w:rsidR="005B69B3" w:rsidRPr="00702ADE">
        <w:t>identified</w:t>
      </w:r>
      <w:r w:rsidRPr="00702ADE">
        <w:t>, with a submission from Perth Design and Construct noting that “the process for a participant to move in can take several months transitioning from say hospital to a house and involves several viewings and team meetings”</w:t>
      </w:r>
      <w:r w:rsidR="00827731" w:rsidRPr="00702ADE">
        <w:t>.</w:t>
      </w:r>
      <w:r w:rsidRPr="00702ADE">
        <w:t xml:space="preserve"> A written submission from Enliven Housing suggested that the cost of finding new tenants could be in the order of $10,000 to $17,000 per tenancy. The submission also</w:t>
      </w:r>
      <w:r w:rsidRPr="005A22C2">
        <w:t xml:space="preserve"> </w:t>
      </w:r>
      <w:r w:rsidR="005361D4" w:rsidRPr="005A22C2">
        <w:t>stated</w:t>
      </w:r>
      <w:r w:rsidRPr="005A22C2">
        <w:t xml:space="preserve"> other changeover costs including SDA administration, cleaning, and property inspection, adding $2,000 to $3,000 per occasion per apartment. In general stakeholders agreed that the current </w:t>
      </w:r>
      <w:r w:rsidR="005B69B3" w:rsidRPr="005A22C2">
        <w:t xml:space="preserve">SDA pricing arrangements </w:t>
      </w:r>
      <w:r w:rsidRPr="005A22C2">
        <w:t xml:space="preserve">do not satisfactorily </w:t>
      </w:r>
      <w:r w:rsidR="000E0C5C" w:rsidRPr="005A22C2">
        <w:t>consider</w:t>
      </w:r>
      <w:r w:rsidRPr="005A22C2">
        <w:t xml:space="preserve"> these tenancy management costs.</w:t>
      </w:r>
    </w:p>
    <w:p w14:paraId="156F1D48" w14:textId="0987305B" w:rsidR="00306051" w:rsidRPr="005A22C2" w:rsidRDefault="00306051" w:rsidP="006720A0">
      <w:pPr>
        <w:pStyle w:val="Heading2"/>
      </w:pPr>
      <w:bookmarkStart w:id="161" w:name="_Toc129783589"/>
      <w:bookmarkStart w:id="162" w:name="_Toc136006883"/>
      <w:bookmarkStart w:id="163" w:name="_Ref126157796"/>
      <w:r w:rsidRPr="005A22C2">
        <w:t>Vacancy</w:t>
      </w:r>
      <w:bookmarkEnd w:id="161"/>
      <w:r w:rsidR="007757F5" w:rsidRPr="005A22C2">
        <w:t xml:space="preserve"> </w:t>
      </w:r>
      <w:r w:rsidR="007830B4" w:rsidRPr="005A22C2">
        <w:t>Costs</w:t>
      </w:r>
      <w:bookmarkEnd w:id="162"/>
    </w:p>
    <w:p w14:paraId="56FF90A8" w14:textId="2D679ADC" w:rsidR="00A47429" w:rsidRPr="005A22C2" w:rsidRDefault="007830B4" w:rsidP="006720A0">
      <w:r w:rsidRPr="005A22C2">
        <w:t xml:space="preserve">Stakeholders acknowledged that some vacancy within the SDA market was attributable to oversupply in some areas and may reflect poor investment decisions that should not be incentivised by the Agency. However, there was broad consensus that </w:t>
      </w:r>
      <w:r w:rsidR="00306051" w:rsidRPr="005A22C2">
        <w:t>the 3</w:t>
      </w:r>
      <w:r w:rsidR="0068183D">
        <w:t>%</w:t>
      </w:r>
      <w:r w:rsidR="004C681B">
        <w:t xml:space="preserve"> to </w:t>
      </w:r>
      <w:r w:rsidR="00306051" w:rsidRPr="005A22C2">
        <w:t>10</w:t>
      </w:r>
      <w:r w:rsidR="0068183D">
        <w:t>%</w:t>
      </w:r>
      <w:r w:rsidR="00306051" w:rsidRPr="005A22C2">
        <w:t xml:space="preserve"> vacancy rates assumed in the </w:t>
      </w:r>
      <w:r w:rsidRPr="005A22C2">
        <w:t xml:space="preserve">current SDA pricing model </w:t>
      </w:r>
      <w:r w:rsidR="00306051" w:rsidRPr="005A22C2">
        <w:t>were too low.</w:t>
      </w:r>
      <w:r w:rsidR="00306051" w:rsidRPr="005A22C2">
        <w:rPr>
          <w:vertAlign w:val="superscript"/>
        </w:rPr>
        <w:t xml:space="preserve"> </w:t>
      </w:r>
      <w:r w:rsidR="00306051" w:rsidRPr="005A22C2">
        <w:t>Stakeholders stated that vacancy assumptions within these assumptions</w:t>
      </w:r>
      <w:r w:rsidR="00306051" w:rsidRPr="005A22C2">
        <w:rPr>
          <w:i/>
        </w:rPr>
        <w:t xml:space="preserve"> </w:t>
      </w:r>
      <w:r w:rsidR="00306051" w:rsidRPr="005A22C2">
        <w:t>did not allow for periods of higher vacancy in the early stages of an SDA’s lifecycle.</w:t>
      </w:r>
      <w:r w:rsidRPr="005A22C2">
        <w:t xml:space="preserve"> </w:t>
      </w:r>
      <w:r w:rsidR="00306051" w:rsidRPr="005A22C2">
        <w:t>Across the Consultation Groups and written submissions,</w:t>
      </w:r>
      <w:r w:rsidR="00306051" w:rsidRPr="005A22C2" w:rsidDel="0091391A">
        <w:t xml:space="preserve"> </w:t>
      </w:r>
      <w:r w:rsidR="00306051" w:rsidRPr="005A22C2">
        <w:t xml:space="preserve">stakeholders </w:t>
      </w:r>
      <w:r w:rsidRPr="005A22C2">
        <w:t>stated</w:t>
      </w:r>
      <w:r w:rsidR="00306051" w:rsidRPr="005A22C2">
        <w:t xml:space="preserve"> that they planned for higher vacancy at the beginning of the 20-year New Build lifecycle, with this smoothing over time.</w:t>
      </w:r>
    </w:p>
    <w:p w14:paraId="51E95B01" w14:textId="069E212B" w:rsidR="007830B4" w:rsidRPr="005A22C2" w:rsidRDefault="00306051" w:rsidP="006720A0">
      <w:r w:rsidRPr="005A22C2">
        <w:t xml:space="preserve">There was </w:t>
      </w:r>
      <w:r w:rsidR="007830B4" w:rsidRPr="005A22C2">
        <w:t xml:space="preserve">also </w:t>
      </w:r>
      <w:r w:rsidRPr="005A22C2">
        <w:t xml:space="preserve">broad consensus among stakeholders that vacancy rate assumptions in the </w:t>
      </w:r>
      <w:r w:rsidR="007830B4" w:rsidRPr="005A22C2">
        <w:t xml:space="preserve">SDA pricing model </w:t>
      </w:r>
      <w:r w:rsidRPr="005A22C2">
        <w:t>need</w:t>
      </w:r>
      <w:r w:rsidR="007830B4" w:rsidRPr="005A22C2">
        <w:t>ed</w:t>
      </w:r>
      <w:r w:rsidRPr="005A22C2">
        <w:t xml:space="preserve"> to account for the time between a dwelling’s enrolment as SDA and it being tenanted. One stakeholder </w:t>
      </w:r>
      <w:r w:rsidR="005361D4" w:rsidRPr="005A22C2">
        <w:t>stated</w:t>
      </w:r>
      <w:r w:rsidRPr="005A22C2">
        <w:t xml:space="preserve"> that because the 20-year lifespan of New Build SDA is measured from the date of the occupation certificate, it has built-in vacancy. They suggested that</w:t>
      </w:r>
      <w:r w:rsidR="005B69B3" w:rsidRPr="005A22C2">
        <w:t xml:space="preserve"> </w:t>
      </w:r>
      <w:r w:rsidR="005B69B3" w:rsidRPr="00AA7F5C">
        <w:t>“i</w:t>
      </w:r>
      <w:r w:rsidRPr="00AA7F5C">
        <w:t xml:space="preserve">t takes so many months to register, so many months for the first person to move in and so many months to fully trade up. If you assume one year to go from occupation certificate to a person moving in, that's </w:t>
      </w:r>
      <w:proofErr w:type="gramStart"/>
      <w:r w:rsidRPr="00AA7F5C">
        <w:t>actually 5</w:t>
      </w:r>
      <w:r w:rsidR="001A78B9">
        <w:t>%</w:t>
      </w:r>
      <w:proofErr w:type="gramEnd"/>
      <w:r w:rsidRPr="00AA7F5C">
        <w:t xml:space="preserve"> [of a new-build lifespan]. And then you assume the next 19 years are fully occupied. That's 5</w:t>
      </w:r>
      <w:r w:rsidR="001A78B9">
        <w:t>%</w:t>
      </w:r>
      <w:r w:rsidRPr="00AA7F5C">
        <w:t xml:space="preserve"> vacancy right there</w:t>
      </w:r>
      <w:r w:rsidR="005B69B3" w:rsidRPr="00AA7F5C">
        <w:t>”.</w:t>
      </w:r>
    </w:p>
    <w:p w14:paraId="067D5C1B" w14:textId="028F4670" w:rsidR="00306051" w:rsidRPr="005A22C2" w:rsidRDefault="005B69B3" w:rsidP="006720A0">
      <w:r w:rsidRPr="005A22C2">
        <w:t>S</w:t>
      </w:r>
      <w:r w:rsidR="00306051" w:rsidRPr="005A22C2">
        <w:t xml:space="preserve">everal stakeholders indicated that participants are having challenges with gaining approval and funding for SDA and supports in their plans. It was </w:t>
      </w:r>
      <w:r w:rsidR="005361D4" w:rsidRPr="005A22C2">
        <w:t>stated</w:t>
      </w:r>
      <w:r w:rsidR="00306051" w:rsidRPr="005A22C2">
        <w:t xml:space="preserve"> that this caused downstream impacts on developers who are designing SDA solutions for them and increasing the initial period of vacancy.</w:t>
      </w:r>
      <w:r w:rsidR="003F083D" w:rsidRPr="005A22C2">
        <w:t xml:space="preserve"> A stakeholder from the Tasmania Consultation Group suggested that the 20-year lifespan of New Build SDA either needs to begin when the dwelling is first occupied, or the vacancy rates need to be higher to account for the delays in initial tenanting.</w:t>
      </w:r>
    </w:p>
    <w:p w14:paraId="124322E5" w14:textId="77777777" w:rsidR="00306051" w:rsidRPr="005A22C2" w:rsidRDefault="00306051" w:rsidP="006720A0">
      <w:pPr>
        <w:pStyle w:val="Heading3"/>
      </w:pPr>
      <w:bookmarkStart w:id="164" w:name="_Toc126595107"/>
      <w:bookmarkStart w:id="165" w:name="_Toc129783591"/>
      <w:r w:rsidRPr="005A22C2">
        <w:lastRenderedPageBreak/>
        <w:t>Participant mortality</w:t>
      </w:r>
      <w:bookmarkEnd w:id="164"/>
      <w:bookmarkEnd w:id="165"/>
    </w:p>
    <w:p w14:paraId="3D2F1A70" w14:textId="784FE126" w:rsidR="00306051" w:rsidRPr="00871079" w:rsidRDefault="00306051" w:rsidP="006720A0">
      <w:r w:rsidRPr="005A22C2">
        <w:t xml:space="preserve">Stakeholders raised concerns about the impact of participant mortality on vacancy rates in SDA. Stakeholders </w:t>
      </w:r>
      <w:r w:rsidR="005361D4" w:rsidRPr="005A22C2">
        <w:t>stated</w:t>
      </w:r>
      <w:r w:rsidRPr="005A22C2">
        <w:t xml:space="preserve"> that the assumptions in the current </w:t>
      </w:r>
      <w:r w:rsidR="005B69B3" w:rsidRPr="005A22C2">
        <w:t xml:space="preserve">SDA pricing methodology did </w:t>
      </w:r>
      <w:r w:rsidRPr="005A22C2">
        <w:t xml:space="preserve">not adequately account for higher rates of mortality among SDA participants than in the general population, and the time taken to find new occupants following the death of an SDA </w:t>
      </w:r>
      <w:r w:rsidRPr="00871079">
        <w:t>resident.</w:t>
      </w:r>
      <w:r w:rsidR="003F083D" w:rsidRPr="00871079">
        <w:t xml:space="preserve"> </w:t>
      </w:r>
      <w:r w:rsidRPr="00871079">
        <w:t>One stakeholder, from the Tasmania Consultation Group, stressed that they were “dealing with people with degenerative illnesses and multiple disabilities”</w:t>
      </w:r>
      <w:r w:rsidR="00827731" w:rsidRPr="00871079">
        <w:t>.</w:t>
      </w:r>
      <w:r w:rsidR="00500228" w:rsidRPr="00871079">
        <w:t xml:space="preserve"> </w:t>
      </w:r>
      <w:r w:rsidRPr="00871079">
        <w:t xml:space="preserve">The Summer Foundation </w:t>
      </w:r>
      <w:r w:rsidR="005361D4" w:rsidRPr="00871079">
        <w:t>stated</w:t>
      </w:r>
      <w:r w:rsidRPr="00871079">
        <w:t xml:space="preserve"> that they had been getting feedback that there are “higher mortality rates in SDA, particularly </w:t>
      </w:r>
      <w:r w:rsidR="003F083D" w:rsidRPr="00871079">
        <w:t>High Physical Support</w:t>
      </w:r>
      <w:r w:rsidRPr="00871079">
        <w:t>” than in houses in the broader residential market.</w:t>
      </w:r>
      <w:r w:rsidR="00500228" w:rsidRPr="00871079">
        <w:t xml:space="preserve"> </w:t>
      </w:r>
      <w:r w:rsidRPr="00871079">
        <w:t xml:space="preserve">This was supported by </w:t>
      </w:r>
      <w:proofErr w:type="spellStart"/>
      <w:r w:rsidRPr="00871079">
        <w:t>BlueCHP’s</w:t>
      </w:r>
      <w:proofErr w:type="spellEnd"/>
      <w:r w:rsidRPr="00871079">
        <w:t xml:space="preserve"> submission, which </w:t>
      </w:r>
      <w:r w:rsidR="005361D4" w:rsidRPr="00871079">
        <w:t>stated</w:t>
      </w:r>
      <w:r w:rsidRPr="00871079">
        <w:t xml:space="preserve"> 3</w:t>
      </w:r>
      <w:r w:rsidR="001A78B9" w:rsidRPr="00871079">
        <w:t>%</w:t>
      </w:r>
      <w:r w:rsidRPr="00871079">
        <w:t xml:space="preserve"> or higher mortality rates among SDA residents.</w:t>
      </w:r>
    </w:p>
    <w:p w14:paraId="53160551" w14:textId="1158FDA5" w:rsidR="00306051" w:rsidRPr="005A22C2" w:rsidRDefault="00306051" w:rsidP="006720A0">
      <w:r w:rsidRPr="00871079">
        <w:t xml:space="preserve">Stakeholders </w:t>
      </w:r>
      <w:r w:rsidR="005361D4" w:rsidRPr="00871079">
        <w:t>stated</w:t>
      </w:r>
      <w:r w:rsidRPr="00871079">
        <w:t xml:space="preserve"> that death among residents can cause significant disruptions to occupancy, and that this was not fully accounted for in the </w:t>
      </w:r>
      <w:r w:rsidR="003F083D" w:rsidRPr="00871079">
        <w:t>current SDA pricing arrangements</w:t>
      </w:r>
      <w:r w:rsidRPr="00871079">
        <w:t xml:space="preserve"> The Summer Foundation </w:t>
      </w:r>
      <w:r w:rsidR="005361D4" w:rsidRPr="00871079">
        <w:t>stated</w:t>
      </w:r>
      <w:r w:rsidRPr="00871079">
        <w:t xml:space="preserve"> that in most cases, SDA payments cease as soon as a participant passes away. However, they </w:t>
      </w:r>
      <w:r w:rsidR="005361D4" w:rsidRPr="00871079">
        <w:t>stated</w:t>
      </w:r>
      <w:r w:rsidRPr="00871079">
        <w:t xml:space="preserve"> that rooms are unable to be used for approximately four weeks following a death, with time required for families to grieve, furniture to be removed</w:t>
      </w:r>
      <w:r w:rsidRPr="005A22C2">
        <w:t>, and necessary renovations to be undertaken prior to a new tenant moving in.</w:t>
      </w:r>
    </w:p>
    <w:p w14:paraId="0ED6CAF9" w14:textId="1FA61FED" w:rsidR="00306051" w:rsidRPr="005A22C2" w:rsidRDefault="00306051" w:rsidP="006720A0">
      <w:r w:rsidRPr="00702ADE">
        <w:t xml:space="preserve">WAIGROUP </w:t>
      </w:r>
      <w:r w:rsidR="005361D4" w:rsidRPr="00702ADE">
        <w:t>stated</w:t>
      </w:r>
      <w:r w:rsidRPr="00702ADE">
        <w:t xml:space="preserve"> that in some situations, particularly in Robust SDA and SDA in regional markets, the SDA Rules currently allow for payments to continue for a period following a vacancy. They </w:t>
      </w:r>
      <w:r w:rsidR="005361D4" w:rsidRPr="00702ADE">
        <w:t>stated</w:t>
      </w:r>
      <w:r w:rsidRPr="00702ADE">
        <w:t xml:space="preserve"> that this period was 60 days for two- or three-bedroom homes, and 90 days for four- and five-bedroom homes.</w:t>
      </w:r>
      <w:r w:rsidR="00500228" w:rsidRPr="00702ADE">
        <w:t xml:space="preserve"> </w:t>
      </w:r>
      <w:r w:rsidRPr="00702ADE">
        <w:t xml:space="preserve">A stakeholder in the Queensland Consultation Group </w:t>
      </w:r>
      <w:r w:rsidR="005361D4" w:rsidRPr="00702ADE">
        <w:t>stated</w:t>
      </w:r>
      <w:r w:rsidRPr="00702ADE">
        <w:t xml:space="preserve"> that this period was insufficient to fill the vacancy and introduce a new tenant into a house with existing tenants.</w:t>
      </w:r>
      <w:r w:rsidR="00500228" w:rsidRPr="00702ADE">
        <w:t xml:space="preserve"> </w:t>
      </w:r>
      <w:r w:rsidRPr="00702ADE">
        <w:t xml:space="preserve">WAIGROUP </w:t>
      </w:r>
      <w:r w:rsidR="005361D4" w:rsidRPr="00702ADE">
        <w:t>stated</w:t>
      </w:r>
      <w:r w:rsidRPr="00702ADE">
        <w:t xml:space="preserve"> that the vacancy risk, particularly in the Robust design category and in regional markets, deterred investment. They recommended that SDA payments</w:t>
      </w:r>
      <w:r w:rsidRPr="005A22C2">
        <w:t xml:space="preserve"> should continue for up to 90 days for Robust vacancies in metropolitan markets, and up to 180 days in regional markets.</w:t>
      </w:r>
      <w:r w:rsidR="00500228" w:rsidRPr="005A22C2">
        <w:t xml:space="preserve"> </w:t>
      </w:r>
      <w:r w:rsidRPr="005A22C2">
        <w:t>They also recommended that in regional markets, SDA payments should continue for up to 120 days for two- and three-resident homes, and 180 days for four- and five-resident homes.</w:t>
      </w:r>
    </w:p>
    <w:p w14:paraId="61355E10" w14:textId="5AF3388C" w:rsidR="00306051" w:rsidRPr="005A22C2" w:rsidRDefault="00306051" w:rsidP="006720A0">
      <w:pPr>
        <w:pStyle w:val="Heading3"/>
      </w:pPr>
      <w:bookmarkStart w:id="166" w:name="_Toc129783592"/>
      <w:r w:rsidRPr="005A22C2">
        <w:t xml:space="preserve">Matching </w:t>
      </w:r>
      <w:r w:rsidR="003F083D" w:rsidRPr="005A22C2">
        <w:t>P</w:t>
      </w:r>
      <w:r w:rsidRPr="005A22C2">
        <w:t xml:space="preserve">articipants and </w:t>
      </w:r>
      <w:r w:rsidR="003F083D" w:rsidRPr="005A22C2">
        <w:t>S</w:t>
      </w:r>
      <w:r w:rsidRPr="005A22C2">
        <w:t>ervices</w:t>
      </w:r>
      <w:bookmarkEnd w:id="166"/>
    </w:p>
    <w:p w14:paraId="57668113" w14:textId="437B4576" w:rsidR="00306051" w:rsidRPr="005A22C2" w:rsidRDefault="00306051" w:rsidP="006720A0">
      <w:r w:rsidRPr="005A22C2">
        <w:t>Many stakeholders described the challenges associated with effectively matching participants to available SDA.</w:t>
      </w:r>
      <w:r w:rsidR="00500228" w:rsidRPr="005A22C2">
        <w:t xml:space="preserve"> </w:t>
      </w:r>
      <w:r w:rsidRPr="005A22C2">
        <w:t xml:space="preserve">Stakeholders </w:t>
      </w:r>
      <w:r w:rsidR="005361D4" w:rsidRPr="005A22C2">
        <w:t>stated</w:t>
      </w:r>
      <w:r w:rsidRPr="005A22C2">
        <w:t xml:space="preserve"> that it could be difficult to find participants who wished to live together, with this impacting vacancy rates, and suggested that the assumptions regarding vacancy in the NDIS Pricing Arrangements for SDA be </w:t>
      </w:r>
      <w:r w:rsidRPr="000A5F3E">
        <w:t>reviewed</w:t>
      </w:r>
      <w:r w:rsidRPr="000A5F3E" w:rsidDel="00E23823">
        <w:t>.</w:t>
      </w:r>
    </w:p>
    <w:p w14:paraId="518B0BFA" w14:textId="15FC1CC8" w:rsidR="00306051" w:rsidRPr="00702ADE" w:rsidRDefault="00306051" w:rsidP="006720A0">
      <w:r w:rsidRPr="005A22C2">
        <w:t xml:space="preserve">One stakeholder from the Queensland Consultation Group </w:t>
      </w:r>
      <w:r w:rsidR="005361D4" w:rsidRPr="005A22C2">
        <w:t>stated</w:t>
      </w:r>
      <w:r w:rsidRPr="005A22C2">
        <w:t xml:space="preserve"> that long-term vacancies can be a particular issue in multi-bedroom homes, suggesting that the longer existing residents get use to a room remaining unoccupied, the more hesitant those participants can become to welcoming another resident.</w:t>
      </w:r>
      <w:r w:rsidR="00500228" w:rsidRPr="005A22C2">
        <w:t xml:space="preserve"> </w:t>
      </w:r>
      <w:r w:rsidRPr="005A22C2">
        <w:t>A</w:t>
      </w:r>
      <w:r w:rsidRPr="005A22C2" w:rsidDel="0091391A">
        <w:t xml:space="preserve"> </w:t>
      </w:r>
      <w:r w:rsidRPr="005A22C2">
        <w:t xml:space="preserve">stakeholder in the Victoria Consultation Group suggested that difficulties with matching can be </w:t>
      </w:r>
      <w:r w:rsidRPr="005A22C2">
        <w:lastRenderedPageBreak/>
        <w:t>particularly acute for participants with behaviours of concern.</w:t>
      </w:r>
      <w:r w:rsidR="003F083D" w:rsidRPr="005A22C2">
        <w:t xml:space="preserve"> </w:t>
      </w:r>
      <w:r w:rsidRPr="005A22C2">
        <w:t xml:space="preserve">It was also </w:t>
      </w:r>
      <w:r w:rsidR="005361D4" w:rsidRPr="005A22C2">
        <w:t>stated</w:t>
      </w:r>
      <w:r w:rsidRPr="005A22C2">
        <w:t xml:space="preserve"> that matching SDA participants was not as simple as finding compatible personalities.</w:t>
      </w:r>
      <w:r w:rsidR="00500228" w:rsidRPr="005A22C2">
        <w:t xml:space="preserve"> </w:t>
      </w:r>
      <w:r w:rsidRPr="005A22C2">
        <w:t xml:space="preserve">One stakeholder from the Queensland Consultation Group </w:t>
      </w:r>
      <w:r w:rsidR="005361D4" w:rsidRPr="005A22C2">
        <w:t>stated</w:t>
      </w:r>
      <w:r w:rsidRPr="005A22C2">
        <w:t xml:space="preserve"> that the process of finding the right home for a participant also </w:t>
      </w:r>
      <w:r w:rsidRPr="00871079">
        <w:t xml:space="preserve">required </w:t>
      </w:r>
      <w:r w:rsidR="000E0C5C" w:rsidRPr="00871079">
        <w:t>consider</w:t>
      </w:r>
      <w:r w:rsidRPr="00871079">
        <w:t>ation of need, families, care supports and SIL services.</w:t>
      </w:r>
      <w:r w:rsidR="00500228" w:rsidRPr="00871079">
        <w:t xml:space="preserve"> </w:t>
      </w:r>
      <w:r w:rsidRPr="00871079">
        <w:t xml:space="preserve">Space for required equipment also needs to be taken into </w:t>
      </w:r>
      <w:r w:rsidR="000E0C5C" w:rsidRPr="00871079">
        <w:t>consider</w:t>
      </w:r>
      <w:r w:rsidRPr="00871079">
        <w:t xml:space="preserve">ation when matching participants. SDA Alliance </w:t>
      </w:r>
      <w:r w:rsidR="005361D4" w:rsidRPr="00871079">
        <w:t>stated</w:t>
      </w:r>
      <w:r w:rsidRPr="00871079">
        <w:t xml:space="preserve"> that participants often require additional supports, equipment, and materials beyond that anticipated and allowed for in the SDA Design Standards.</w:t>
      </w:r>
      <w:r w:rsidR="00500228" w:rsidRPr="00871079">
        <w:t xml:space="preserve"> </w:t>
      </w:r>
      <w:r w:rsidRPr="00871079">
        <w:t>A stakeholder from the South Australia and Northern Territory Consultation</w:t>
      </w:r>
      <w:r w:rsidRPr="000A5F3E">
        <w:t xml:space="preserve"> Group suggested that some units are too small to fit all the equipment and consumables required </w:t>
      </w:r>
      <w:r w:rsidRPr="00702ADE">
        <w:t>by a participant, and that in group homes, quite often the third bedroom is being used to store equipment and consumables. Given the complexity of matching participants’ needs, Prader Willi Syndrome Australia suggested that vacancy allowances should support “existing residents to participate in the resident vetting process”</w:t>
      </w:r>
      <w:r w:rsidR="00827731" w:rsidRPr="00702ADE">
        <w:t>.</w:t>
      </w:r>
    </w:p>
    <w:p w14:paraId="5E575A13" w14:textId="5380E26A" w:rsidR="00306051" w:rsidRPr="000A5F3E" w:rsidRDefault="00306051" w:rsidP="006720A0">
      <w:r w:rsidRPr="00702ADE">
        <w:t>One stakeholder from the SDA Builders and Developers Consultation Group described how they build assumptions into their funding models that they will have a mix of participants in their developments, including “one or two of a lesser category [of SDA supports]</w:t>
      </w:r>
      <w:r w:rsidR="00827731" w:rsidRPr="00702ADE">
        <w:t>”.</w:t>
      </w:r>
      <w:r w:rsidRPr="00702ADE">
        <w:t xml:space="preserve"> This might include participants who have funding for F</w:t>
      </w:r>
      <w:r w:rsidR="003F083D" w:rsidRPr="00702ADE">
        <w:t>ull Accessible dwellings</w:t>
      </w:r>
      <w:r w:rsidRPr="00702ADE">
        <w:t xml:space="preserve"> living in </w:t>
      </w:r>
      <w:r w:rsidR="003F083D" w:rsidRPr="00702ADE">
        <w:t>a High Physical Support dwelling</w:t>
      </w:r>
      <w:r w:rsidRPr="00702ADE">
        <w:t>. Liveable Homes Australia echoed this point, noting that their biggest issue relating to vacancy was having to accept residents with lower funding levels than their accommodation</w:t>
      </w:r>
      <w:r w:rsidRPr="000A5F3E">
        <w:t xml:space="preserve"> allowed for </w:t>
      </w:r>
      <w:proofErr w:type="gramStart"/>
      <w:r w:rsidRPr="000A5F3E">
        <w:t>in order to</w:t>
      </w:r>
      <w:proofErr w:type="gramEnd"/>
      <w:r w:rsidRPr="000A5F3E">
        <w:t xml:space="preserve"> make </w:t>
      </w:r>
      <w:r w:rsidR="003F083D" w:rsidRPr="000A5F3E">
        <w:t>Supported Independent Living</w:t>
      </w:r>
      <w:r w:rsidRPr="000A5F3E">
        <w:t xml:space="preserve"> provision work effectively. They suggested that </w:t>
      </w:r>
      <w:proofErr w:type="gramStart"/>
      <w:r w:rsidRPr="000A5F3E">
        <w:t>as a result of</w:t>
      </w:r>
      <w:proofErr w:type="gramEnd"/>
      <w:r w:rsidRPr="000A5F3E">
        <w:t xml:space="preserve"> accepting participants with lower levels of funding, “their homes generate an income of around 70</w:t>
      </w:r>
      <w:r w:rsidR="001A78B9">
        <w:t>%</w:t>
      </w:r>
      <w:r w:rsidRPr="000A5F3E">
        <w:t xml:space="preserve"> of what they could be generating”.</w:t>
      </w:r>
      <w:r w:rsidR="00500228" w:rsidRPr="000A5F3E">
        <w:t xml:space="preserve"> </w:t>
      </w:r>
      <w:r w:rsidRPr="000A5F3E">
        <w:t xml:space="preserve">Another stakeholder expressed their view that there should be some compensation for situations where, for example, an </w:t>
      </w:r>
      <w:r w:rsidR="003F083D" w:rsidRPr="000A5F3E">
        <w:t>Improved Liveability</w:t>
      </w:r>
      <w:r w:rsidRPr="000A5F3E">
        <w:t xml:space="preserve"> participant is living in a</w:t>
      </w:r>
      <w:r w:rsidR="003F083D" w:rsidRPr="000A5F3E">
        <w:t xml:space="preserve"> High Physical Support dwelling</w:t>
      </w:r>
      <w:r w:rsidRPr="000A5F3E">
        <w:t>, suggesting that this might confer some benefits on participants such as the potential for “aging in place</w:t>
      </w:r>
      <w:r w:rsidR="003F083D" w:rsidRPr="000A5F3E">
        <w:t>”.</w:t>
      </w:r>
    </w:p>
    <w:p w14:paraId="58276617" w14:textId="77777777" w:rsidR="00306051" w:rsidRPr="00E41D34" w:rsidRDefault="00306051" w:rsidP="006720A0">
      <w:pPr>
        <w:pStyle w:val="Heading3"/>
      </w:pPr>
      <w:bookmarkStart w:id="167" w:name="_Ref125461608"/>
      <w:bookmarkStart w:id="168" w:name="_Ref126154453"/>
      <w:bookmarkStart w:id="169" w:name="_Toc129783593"/>
      <w:r w:rsidRPr="00E41D34">
        <w:t>Latent SDA demand</w:t>
      </w:r>
      <w:bookmarkEnd w:id="167"/>
      <w:bookmarkEnd w:id="168"/>
      <w:bookmarkEnd w:id="169"/>
    </w:p>
    <w:p w14:paraId="42D85E16" w14:textId="0DE4D755" w:rsidR="00306051" w:rsidRPr="00871079" w:rsidRDefault="00306051" w:rsidP="006720A0">
      <w:r w:rsidRPr="005A22C2">
        <w:t xml:space="preserve">Stakeholders suggested that the latency of SDA demand was contributing to higher vacancy rates. </w:t>
      </w:r>
      <w:r w:rsidRPr="00702ADE">
        <w:t>Multiple stakeholders suggested that some participants have limited awareness of SDA and their potential to have their eligibility tested for SDA funding.</w:t>
      </w:r>
      <w:r w:rsidR="00500228" w:rsidRPr="00702ADE">
        <w:t xml:space="preserve"> </w:t>
      </w:r>
      <w:r w:rsidRPr="00702ADE">
        <w:t xml:space="preserve">Liveable Homes Australia </w:t>
      </w:r>
      <w:r w:rsidR="005361D4" w:rsidRPr="00702ADE">
        <w:t>stated</w:t>
      </w:r>
      <w:r w:rsidRPr="00702ADE">
        <w:t xml:space="preserve"> that among vulnerable participants who had not heard of SDA before, there was a perception from participants that Liveable Homes Australia was offering something that was too good to be true.</w:t>
      </w:r>
      <w:r w:rsidR="00500228" w:rsidRPr="00702ADE">
        <w:t xml:space="preserve"> </w:t>
      </w:r>
      <w:r w:rsidRPr="00702ADE">
        <w:t xml:space="preserve">National Disability Services similarly </w:t>
      </w:r>
      <w:r w:rsidR="005361D4" w:rsidRPr="00702ADE">
        <w:t>stated</w:t>
      </w:r>
      <w:r w:rsidRPr="00702ADE">
        <w:t xml:space="preserve"> challenges with a lack of awareness about eligibility and approval among participants.</w:t>
      </w:r>
      <w:r w:rsidR="00500228" w:rsidRPr="00702ADE">
        <w:t xml:space="preserve"> </w:t>
      </w:r>
      <w:r w:rsidRPr="00702ADE">
        <w:t xml:space="preserve">It was acknowledged by stakeholders that demand activation </w:t>
      </w:r>
      <w:r w:rsidRPr="00871079">
        <w:t xml:space="preserve">work being done by the </w:t>
      </w:r>
      <w:r w:rsidR="003F083D" w:rsidRPr="00871079">
        <w:t>NDIA</w:t>
      </w:r>
      <w:r w:rsidRPr="00871079">
        <w:t xml:space="preserve"> was important to ease these issues. The Summer Foundation </w:t>
      </w:r>
      <w:r w:rsidR="005361D4" w:rsidRPr="00871079">
        <w:t>stated</w:t>
      </w:r>
      <w:r w:rsidRPr="00871079">
        <w:t xml:space="preserve"> that quality data about where people live in SDA, as where they want to live is essential for a “really efficient market”, and that “until we get to that point, we are likely to have a kind of mismatch” between supply and demand, affecting vacancy rates</w:t>
      </w:r>
      <w:r w:rsidR="003F083D" w:rsidRPr="00871079">
        <w:t xml:space="preserve">. </w:t>
      </w:r>
      <w:r w:rsidRPr="00871079">
        <w:t xml:space="preserve">The SDA Alliance suggested that some SDA and </w:t>
      </w:r>
      <w:r w:rsidR="003F083D" w:rsidRPr="00871079">
        <w:t xml:space="preserve">Supported Independent Living </w:t>
      </w:r>
      <w:r w:rsidRPr="00871079">
        <w:t>providers may be underm</w:t>
      </w:r>
      <w:r w:rsidRPr="005A22C2">
        <w:t xml:space="preserve">ining the </w:t>
      </w:r>
      <w:r w:rsidR="003F083D" w:rsidRPr="005A22C2">
        <w:t>NDIA’s</w:t>
      </w:r>
      <w:r w:rsidRPr="005A22C2">
        <w:t xml:space="preserve"> SDA demand activation efforts. They suggested that </w:t>
      </w:r>
      <w:r w:rsidR="003F083D" w:rsidRPr="005A22C2">
        <w:t xml:space="preserve">Supported Independent Living </w:t>
      </w:r>
      <w:r w:rsidRPr="005A22C2">
        <w:lastRenderedPageBreak/>
        <w:t xml:space="preserve">providers had incentives not to work in the best interests of participants and may provide messaging that </w:t>
      </w:r>
      <w:r w:rsidRPr="00871079">
        <w:t xml:space="preserve">dissuaded SDA participants from exercising control and exploring alternative options. The SDA Alliance recommended that the </w:t>
      </w:r>
      <w:r w:rsidR="003F083D" w:rsidRPr="00871079">
        <w:t>NDIA</w:t>
      </w:r>
      <w:r w:rsidRPr="00871079">
        <w:t xml:space="preserve"> review Existing Build SDA pricing and pursue other policy measures such as encouraging Existing Stock providers to inform their residents of their right to choose where they live and any alternative options, which may activate demand in the SDA market and reduce </w:t>
      </w:r>
      <w:proofErr w:type="gramStart"/>
      <w:r w:rsidRPr="00871079">
        <w:t>vacancy</w:t>
      </w:r>
      <w:proofErr w:type="gramEnd"/>
    </w:p>
    <w:p w14:paraId="019E470A" w14:textId="544E146E" w:rsidR="00306051" w:rsidRPr="005A22C2" w:rsidRDefault="00306051" w:rsidP="006720A0">
      <w:r w:rsidRPr="00871079">
        <w:t xml:space="preserve">The Summer Foundation </w:t>
      </w:r>
      <w:r w:rsidR="005361D4" w:rsidRPr="00871079">
        <w:t>stated</w:t>
      </w:r>
      <w:r w:rsidRPr="00871079">
        <w:t xml:space="preserve"> there are currently </w:t>
      </w:r>
      <w:proofErr w:type="gramStart"/>
      <w:r w:rsidRPr="00871079">
        <w:t>a large number of</w:t>
      </w:r>
      <w:proofErr w:type="gramEnd"/>
      <w:r w:rsidRPr="00871079">
        <w:t xml:space="preserve"> people (7</w:t>
      </w:r>
      <w:r w:rsidR="003868D1" w:rsidRPr="00871079">
        <w:t>,</w:t>
      </w:r>
      <w:r w:rsidRPr="00871079">
        <w:t xml:space="preserve">000+) currently living in previously state-owned disability housing with either no- or base level SDA funding, who are not aware of their housing options, and that demand activation efforts may be required by the Agency to ensure these people are aware of their options. </w:t>
      </w:r>
      <w:proofErr w:type="spellStart"/>
      <w:r w:rsidRPr="00871079">
        <w:t>BlueCHP</w:t>
      </w:r>
      <w:proofErr w:type="spellEnd"/>
      <w:r w:rsidRPr="00871079">
        <w:t xml:space="preserve"> suggested the Agency could benefit from engaging more with the community housing</w:t>
      </w:r>
      <w:r w:rsidRPr="005A22C2">
        <w:t xml:space="preserve"> sector, which has significant housing skills that could be leveraged to assist SDA participants in seeking housing.</w:t>
      </w:r>
    </w:p>
    <w:p w14:paraId="30180454" w14:textId="77777777" w:rsidR="00306051" w:rsidRPr="005A22C2" w:rsidRDefault="00306051" w:rsidP="006720A0">
      <w:pPr>
        <w:pStyle w:val="Heading3"/>
      </w:pPr>
      <w:bookmarkStart w:id="170" w:name="_Toc129783594"/>
      <w:r w:rsidRPr="005A22C2">
        <w:t>Managing vacancy risk</w:t>
      </w:r>
      <w:bookmarkEnd w:id="170"/>
    </w:p>
    <w:p w14:paraId="32FE1D49" w14:textId="4339BA98" w:rsidR="00306051" w:rsidRPr="005A22C2" w:rsidRDefault="00306051" w:rsidP="006720A0">
      <w:r w:rsidRPr="005A22C2">
        <w:t>Stakeholders reported different ways of managing vacancy risk, either by utilising vacant SDA to provide social housing or Medium-Term Accommodation for NDIS participants.</w:t>
      </w:r>
      <w:r w:rsidR="003F083D" w:rsidRPr="005A22C2">
        <w:t xml:space="preserve"> </w:t>
      </w:r>
      <w:r w:rsidRPr="005A22C2">
        <w:t xml:space="preserve">One stakeholder in the Large SDA Providers Consultation Group who manages Legacy SDA Stock on behalf of a state government </w:t>
      </w:r>
      <w:r w:rsidR="005361D4" w:rsidRPr="005A22C2">
        <w:t>stated</w:t>
      </w:r>
      <w:r w:rsidRPr="005A22C2">
        <w:t xml:space="preserve"> that with the increase in alternative, newly built SDA options, it could be difficult to find people with SDA funding to fill their properties. In these cases, properties might be used to provide social housing to non-SDA tenants. The stakeholder therefore receives a return from their otherwise vacant properties, albeit one that is lower than would be achieved with SDA tenants, while using the properties to provide housing to those in need, in line with their social purpose.</w:t>
      </w:r>
    </w:p>
    <w:p w14:paraId="208014C4" w14:textId="1DF45D09" w:rsidR="00A47429" w:rsidRPr="005A22C2" w:rsidRDefault="00306051" w:rsidP="006720A0">
      <w:r w:rsidRPr="005A22C2">
        <w:t xml:space="preserve">A stakeholder from the South Australia and Northern Territory Consultation Group </w:t>
      </w:r>
      <w:r w:rsidR="005361D4" w:rsidRPr="005A22C2">
        <w:t>stated</w:t>
      </w:r>
      <w:r w:rsidRPr="005A22C2">
        <w:t xml:space="preserve"> the complementarity between the standard build for an </w:t>
      </w:r>
      <w:r w:rsidR="003F083D" w:rsidRPr="005A22C2">
        <w:t>Improved Liveability</w:t>
      </w:r>
      <w:r w:rsidRPr="005A22C2">
        <w:t xml:space="preserve"> SDA and social housing, with both enable increased amenity and the potential for ageing in place.</w:t>
      </w:r>
      <w:r w:rsidR="003F083D" w:rsidRPr="005A22C2">
        <w:t xml:space="preserve"> </w:t>
      </w:r>
      <w:r w:rsidRPr="005A22C2">
        <w:t xml:space="preserve">Another stakeholder, in the SDA Institutional Investors Consultation Group, </w:t>
      </w:r>
      <w:r w:rsidR="005361D4" w:rsidRPr="005A22C2">
        <w:t>stated</w:t>
      </w:r>
      <w:r w:rsidRPr="005A22C2">
        <w:t xml:space="preserve"> that they are repurposing vacant HPS SDA houses for participants with Medium-Term Accommodation funding.</w:t>
      </w:r>
      <w:r w:rsidRPr="005A22C2" w:rsidDel="00284F0A">
        <w:t xml:space="preserve"> </w:t>
      </w:r>
      <w:r w:rsidRPr="005A22C2">
        <w:t>The stakeholder suggested that the Agency should pay the appropriate rate (commensurate to the SDA design category) for a period if Medium-Term Accommodation is being provided in the property.</w:t>
      </w:r>
    </w:p>
    <w:p w14:paraId="546F9606" w14:textId="1BDA4B1B" w:rsidR="00306051" w:rsidRPr="005A22C2" w:rsidRDefault="00306051" w:rsidP="006720A0">
      <w:pPr>
        <w:pStyle w:val="Heading2"/>
      </w:pPr>
      <w:bookmarkStart w:id="171" w:name="_Toc129783595"/>
      <w:bookmarkStart w:id="172" w:name="_Toc136006884"/>
      <w:r w:rsidRPr="005A22C2">
        <w:t>Corporate overheads</w:t>
      </w:r>
      <w:bookmarkEnd w:id="163"/>
      <w:bookmarkEnd w:id="171"/>
      <w:bookmarkEnd w:id="172"/>
    </w:p>
    <w:p w14:paraId="390A3064" w14:textId="6CC0D0A8" w:rsidR="00A47429" w:rsidRPr="005A22C2" w:rsidRDefault="00306051" w:rsidP="006720A0">
      <w:r w:rsidRPr="005A22C2">
        <w:t xml:space="preserve">Several stakeholders stated that they did not believe corporate overhead costs are fully accounted for in the current </w:t>
      </w:r>
      <w:r w:rsidR="00790C54" w:rsidRPr="005A22C2">
        <w:t xml:space="preserve">SDA pricing </w:t>
      </w:r>
      <w:r w:rsidRPr="00871079">
        <w:t>methodology.</w:t>
      </w:r>
      <w:r w:rsidR="002A687D" w:rsidRPr="00871079">
        <w:t xml:space="preserve"> </w:t>
      </w:r>
      <w:proofErr w:type="spellStart"/>
      <w:r w:rsidRPr="00871079">
        <w:t>BlueCHP</w:t>
      </w:r>
      <w:proofErr w:type="spellEnd"/>
      <w:r w:rsidRPr="00871079">
        <w:t>, for example, suggested that corporate overheads related to acquisition included time</w:t>
      </w:r>
      <w:r w:rsidRPr="005A22C2">
        <w:t xml:space="preserve"> for management, research, stakeholder engagement, regulatory compliance (including </w:t>
      </w:r>
      <w:r w:rsidR="00790C54" w:rsidRPr="005A22C2">
        <w:t>Foreign Investment Review Board</w:t>
      </w:r>
      <w:r w:rsidRPr="005A22C2">
        <w:t xml:space="preserve"> </w:t>
      </w:r>
      <w:r w:rsidR="00790C54" w:rsidRPr="005A22C2">
        <w:t xml:space="preserve">(FIRB) </w:t>
      </w:r>
      <w:r w:rsidRPr="005A22C2">
        <w:t xml:space="preserve">approval), administration, accounting, legal and other expenses that are only indirectly associated with any single project and </w:t>
      </w:r>
      <w:r w:rsidRPr="005A22C2">
        <w:lastRenderedPageBreak/>
        <w:t>could be $6,000 to $15,000 for each apartment and $10,000 to $24,000 for each house.</w:t>
      </w:r>
    </w:p>
    <w:p w14:paraId="506F3B49" w14:textId="77777777" w:rsidR="00377D9C" w:rsidRPr="00871079" w:rsidRDefault="001B201D" w:rsidP="006720A0">
      <w:r>
        <w:t xml:space="preserve">A confidential submission </w:t>
      </w:r>
      <w:r w:rsidR="00306051" w:rsidRPr="001F5230">
        <w:t xml:space="preserve">also </w:t>
      </w:r>
      <w:r w:rsidR="005361D4" w:rsidRPr="001F5230">
        <w:t>stated</w:t>
      </w:r>
      <w:r w:rsidR="00306051" w:rsidRPr="001F5230">
        <w:t xml:space="preserve"> that organisations with foreign investment are subject to FIRB requirements, requiring “periodic approvals that must be re-applied for every three years, and ongoing compliance and reporting requirements”, which, it was </w:t>
      </w:r>
      <w:r w:rsidR="005361D4" w:rsidRPr="001F5230">
        <w:t>stated</w:t>
      </w:r>
      <w:r w:rsidR="00306051" w:rsidRPr="001F5230">
        <w:t>, require substantial time, effort and cost.</w:t>
      </w:r>
      <w:r w:rsidR="00790C54" w:rsidRPr="001F5230">
        <w:t xml:space="preserve"> </w:t>
      </w:r>
      <w:r w:rsidR="00306051" w:rsidRPr="001F5230">
        <w:t>In addition to the corporate overheads related to acquisition</w:t>
      </w:r>
      <w:r w:rsidR="00306051" w:rsidRPr="00871079">
        <w:t xml:space="preserve">, </w:t>
      </w:r>
      <w:proofErr w:type="spellStart"/>
      <w:r w:rsidR="00306051" w:rsidRPr="00871079">
        <w:t>BlueCHP</w:t>
      </w:r>
      <w:proofErr w:type="spellEnd"/>
      <w:r w:rsidR="00790C54" w:rsidRPr="00871079">
        <w:t xml:space="preserve"> </w:t>
      </w:r>
      <w:r w:rsidR="00306051" w:rsidRPr="00871079">
        <w:t xml:space="preserve">also </w:t>
      </w:r>
      <w:r w:rsidR="005361D4" w:rsidRPr="00871079">
        <w:t>stated</w:t>
      </w:r>
      <w:r w:rsidR="00306051" w:rsidRPr="00871079">
        <w:t xml:space="preserve"> that the organisation faced costs for debt collection of approximately $800 per participant per year, regulatory engagement and compliance of approximately $500 per participant per year and other corporate support costs, estimated at $5,000 per participant per year.</w:t>
      </w:r>
      <w:r w:rsidR="00790C54" w:rsidRPr="00871079">
        <w:t xml:space="preserve"> </w:t>
      </w:r>
    </w:p>
    <w:p w14:paraId="4717DF27" w14:textId="77777777" w:rsidR="00377D9C" w:rsidRPr="00871079" w:rsidRDefault="00790C54" w:rsidP="006720A0">
      <w:r w:rsidRPr="00871079">
        <w:t>NDISP identified some a</w:t>
      </w:r>
      <w:r w:rsidR="00306051" w:rsidRPr="00871079">
        <w:t>dditional overhead costs unique to SDA service provision</w:t>
      </w:r>
      <w:r w:rsidRPr="00871079">
        <w:t>,</w:t>
      </w:r>
      <w:r w:rsidR="00306051" w:rsidRPr="00871079">
        <w:t xml:space="preserve"> includ</w:t>
      </w:r>
      <w:r w:rsidRPr="00871079">
        <w:t xml:space="preserve">ing </w:t>
      </w:r>
      <w:r w:rsidR="00306051" w:rsidRPr="00871079">
        <w:t xml:space="preserve">information technology systems. </w:t>
      </w:r>
      <w:r w:rsidRPr="00871079">
        <w:t>They</w:t>
      </w:r>
      <w:r w:rsidR="00306051" w:rsidRPr="00871079">
        <w:t xml:space="preserve"> detailed how commercially available property management software packages breached Federal participant privacy rules.</w:t>
      </w:r>
      <w:bookmarkStart w:id="173" w:name="_Hlk125961544"/>
    </w:p>
    <w:p w14:paraId="30920213" w14:textId="79D8B1C8" w:rsidR="00306051" w:rsidRPr="001F5230" w:rsidRDefault="00306051" w:rsidP="006720A0">
      <w:r w:rsidRPr="00871079">
        <w:t xml:space="preserve">The submissions from </w:t>
      </w:r>
      <w:proofErr w:type="spellStart"/>
      <w:r w:rsidRPr="00871079">
        <w:t>BlueCHP</w:t>
      </w:r>
      <w:proofErr w:type="spellEnd"/>
      <w:r w:rsidRPr="00871079">
        <w:t xml:space="preserve"> and </w:t>
      </w:r>
      <w:r w:rsidR="008D3F10" w:rsidRPr="00871079">
        <w:t>a confidential stakeholder</w:t>
      </w:r>
      <w:r w:rsidRPr="00871079">
        <w:t xml:space="preserve"> </w:t>
      </w:r>
      <w:r w:rsidR="00790C54" w:rsidRPr="00871079">
        <w:t>also identified</w:t>
      </w:r>
      <w:r w:rsidRPr="00871079">
        <w:t xml:space="preserve"> overhead costs included stakeholder engagement, research, legal, portfolio management, accounting and</w:t>
      </w:r>
      <w:r w:rsidRPr="001F5230">
        <w:t xml:space="preserve"> tax, reporting, corporate and regulatory compliance, secretarial functions, sustainability report and safeguarding systems. Another stakeholder quoted their audit cost from last year at $6,000, with additional costs of around $1,000 for their policies and procedure documents.</w:t>
      </w:r>
    </w:p>
    <w:bookmarkEnd w:id="173"/>
    <w:p w14:paraId="08EBB9E9" w14:textId="69403DD1" w:rsidR="00A47429" w:rsidRPr="005A22C2" w:rsidRDefault="008D3F10" w:rsidP="006720A0">
      <w:r>
        <w:t xml:space="preserve">A confidential submission </w:t>
      </w:r>
      <w:r w:rsidR="00306051" w:rsidRPr="005A22C2">
        <w:t xml:space="preserve">provided approximate ongoing annual costs based on averages to date across their portfolio, by build type. This is summarised in </w:t>
      </w:r>
      <w:r w:rsidR="00306051" w:rsidRPr="005A22C2">
        <w:fldChar w:fldCharType="begin"/>
      </w:r>
      <w:r w:rsidR="00306051" w:rsidRPr="005A22C2">
        <w:rPr>
          <w:color w:val="FF0000"/>
        </w:rPr>
        <w:instrText xml:space="preserve"> REF _Ref125541994 \h </w:instrText>
      </w:r>
      <w:r w:rsidR="00306051" w:rsidRPr="005A22C2">
        <w:instrText xml:space="preserve"> \* MERGEFORMAT </w:instrText>
      </w:r>
      <w:r w:rsidR="00306051" w:rsidRPr="005A22C2">
        <w:fldChar w:fldCharType="separate"/>
      </w:r>
      <w:r w:rsidR="00C74054">
        <w:t>Table</w:t>
      </w:r>
      <w:r w:rsidR="006772C2" w:rsidRPr="005A22C2">
        <w:t xml:space="preserve"> </w:t>
      </w:r>
      <w:r w:rsidR="006772C2">
        <w:rPr>
          <w:noProof/>
        </w:rPr>
        <w:t>6</w:t>
      </w:r>
      <w:r w:rsidR="00306051" w:rsidRPr="005A22C2">
        <w:fldChar w:fldCharType="end"/>
      </w:r>
      <w:r w:rsidR="00790C54" w:rsidRPr="005A22C2">
        <w:t xml:space="preserve"> below</w:t>
      </w:r>
      <w:r w:rsidR="00306051" w:rsidRPr="005A22C2">
        <w:t>.</w:t>
      </w:r>
    </w:p>
    <w:p w14:paraId="2E38DFC9" w14:textId="335E5BDD" w:rsidR="00306051" w:rsidRPr="00444034" w:rsidRDefault="005625B7" w:rsidP="00F62A8C">
      <w:pPr>
        <w:pStyle w:val="Caption"/>
        <w:jc w:val="left"/>
        <w:rPr>
          <w:sz w:val="24"/>
          <w:szCs w:val="24"/>
        </w:rPr>
      </w:pPr>
      <w:bookmarkStart w:id="174" w:name="_Ref125541994"/>
      <w:r w:rsidRPr="00444034">
        <w:rPr>
          <w:sz w:val="24"/>
          <w:szCs w:val="24"/>
        </w:rPr>
        <w:t>TABLE 6</w:t>
      </w:r>
      <w:r w:rsidR="00BD0426" w:rsidRPr="00444034">
        <w:rPr>
          <w:sz w:val="24"/>
          <w:szCs w:val="24"/>
        </w:rPr>
        <w:t>:</w:t>
      </w:r>
      <w:bookmarkEnd w:id="174"/>
      <w:r w:rsidR="00306051" w:rsidRPr="00444034">
        <w:rPr>
          <w:sz w:val="24"/>
          <w:szCs w:val="24"/>
        </w:rPr>
        <w:t xml:space="preserve"> </w:t>
      </w:r>
      <w:r w:rsidR="007E1EDB" w:rsidRPr="00444034">
        <w:rPr>
          <w:sz w:val="24"/>
          <w:szCs w:val="24"/>
        </w:rPr>
        <w:t xml:space="preserve">Approximate </w:t>
      </w:r>
      <w:r w:rsidR="00306051" w:rsidRPr="00444034">
        <w:rPr>
          <w:sz w:val="24"/>
          <w:szCs w:val="24"/>
        </w:rPr>
        <w:t xml:space="preserve">Ongoing </w:t>
      </w:r>
      <w:r w:rsidR="007E1EDB" w:rsidRPr="00444034">
        <w:rPr>
          <w:sz w:val="24"/>
          <w:szCs w:val="24"/>
        </w:rPr>
        <w:t>C</w:t>
      </w:r>
      <w:r w:rsidR="00306051" w:rsidRPr="00444034">
        <w:rPr>
          <w:sz w:val="24"/>
          <w:szCs w:val="24"/>
        </w:rPr>
        <w:t xml:space="preserve">osts by </w:t>
      </w:r>
      <w:r w:rsidR="007E1EDB" w:rsidRPr="00444034">
        <w:rPr>
          <w:sz w:val="24"/>
          <w:szCs w:val="24"/>
        </w:rPr>
        <w:t>B</w:t>
      </w:r>
      <w:r w:rsidR="00306051" w:rsidRPr="00444034">
        <w:rPr>
          <w:sz w:val="24"/>
          <w:szCs w:val="24"/>
        </w:rPr>
        <w:t xml:space="preserve">uild </w:t>
      </w:r>
      <w:r w:rsidR="007E1EDB" w:rsidRPr="00444034">
        <w:rPr>
          <w:sz w:val="24"/>
          <w:szCs w:val="24"/>
        </w:rPr>
        <w:t>T</w:t>
      </w:r>
      <w:r w:rsidR="00306051" w:rsidRPr="00444034">
        <w:rPr>
          <w:sz w:val="24"/>
          <w:szCs w:val="24"/>
        </w:rPr>
        <w:t>ype</w:t>
      </w:r>
    </w:p>
    <w:tbl>
      <w:tblPr>
        <w:tblStyle w:val="GridTable5Dark-Accent1"/>
        <w:tblW w:w="5000" w:type="pct"/>
        <w:tblLook w:val="0420" w:firstRow="1" w:lastRow="0" w:firstColumn="0" w:lastColumn="0" w:noHBand="0" w:noVBand="1"/>
      </w:tblPr>
      <w:tblGrid>
        <w:gridCol w:w="2906"/>
        <w:gridCol w:w="2383"/>
        <w:gridCol w:w="1783"/>
        <w:gridCol w:w="1988"/>
      </w:tblGrid>
      <w:tr w:rsidR="00306051" w:rsidRPr="005A22C2" w14:paraId="1B2A7FD7" w14:textId="77777777" w:rsidTr="00790C54">
        <w:trPr>
          <w:cnfStyle w:val="100000000000" w:firstRow="1" w:lastRow="0" w:firstColumn="0" w:lastColumn="0" w:oddVBand="0" w:evenVBand="0" w:oddHBand="0" w:evenHBand="0" w:firstRowFirstColumn="0" w:firstRowLastColumn="0" w:lastRowFirstColumn="0" w:lastRowLastColumn="0"/>
          <w:trHeight w:val="20"/>
        </w:trPr>
        <w:tc>
          <w:tcPr>
            <w:tcW w:w="1604" w:type="pct"/>
          </w:tcPr>
          <w:p w14:paraId="56EDF544" w14:textId="738783AD" w:rsidR="00306051" w:rsidRPr="005A22C2" w:rsidRDefault="00933F5C" w:rsidP="006720A0">
            <w:r>
              <w:t>ONGOING COST</w:t>
            </w:r>
          </w:p>
        </w:tc>
        <w:tc>
          <w:tcPr>
            <w:tcW w:w="1315" w:type="pct"/>
          </w:tcPr>
          <w:p w14:paraId="01E703FA" w14:textId="03922A80" w:rsidR="00306051" w:rsidRPr="005A22C2" w:rsidRDefault="00306051" w:rsidP="0056520C">
            <w:pPr>
              <w:jc w:val="right"/>
            </w:pPr>
            <w:r w:rsidRPr="005A22C2">
              <w:t>Apartment, 1-resident</w:t>
            </w:r>
          </w:p>
        </w:tc>
        <w:tc>
          <w:tcPr>
            <w:tcW w:w="984" w:type="pct"/>
          </w:tcPr>
          <w:p w14:paraId="1690523C" w14:textId="77777777" w:rsidR="00306051" w:rsidRPr="005A22C2" w:rsidRDefault="00306051" w:rsidP="0056520C">
            <w:pPr>
              <w:jc w:val="right"/>
            </w:pPr>
            <w:r w:rsidRPr="005A22C2">
              <w:t>Villa, 1-resident</w:t>
            </w:r>
          </w:p>
        </w:tc>
        <w:tc>
          <w:tcPr>
            <w:tcW w:w="1097" w:type="pct"/>
          </w:tcPr>
          <w:p w14:paraId="39AF750E" w14:textId="77777777" w:rsidR="00306051" w:rsidRPr="005A22C2" w:rsidRDefault="00306051" w:rsidP="0056520C">
            <w:pPr>
              <w:jc w:val="right"/>
            </w:pPr>
            <w:r w:rsidRPr="005A22C2">
              <w:t>House, 3-resident</w:t>
            </w:r>
          </w:p>
        </w:tc>
      </w:tr>
      <w:tr w:rsidR="00306051" w:rsidRPr="005A22C2" w14:paraId="2064E18B" w14:textId="77777777" w:rsidTr="00790C54">
        <w:trPr>
          <w:cnfStyle w:val="000000100000" w:firstRow="0" w:lastRow="0" w:firstColumn="0" w:lastColumn="0" w:oddVBand="0" w:evenVBand="0" w:oddHBand="1" w:evenHBand="0" w:firstRowFirstColumn="0" w:firstRowLastColumn="0" w:lastRowFirstColumn="0" w:lastRowLastColumn="0"/>
          <w:trHeight w:val="352"/>
        </w:trPr>
        <w:tc>
          <w:tcPr>
            <w:tcW w:w="1604" w:type="pct"/>
          </w:tcPr>
          <w:p w14:paraId="48772835" w14:textId="77777777" w:rsidR="00306051" w:rsidRPr="005A22C2" w:rsidRDefault="00306051" w:rsidP="006720A0">
            <w:r w:rsidRPr="005A22C2">
              <w:t>Tenancy management</w:t>
            </w:r>
          </w:p>
        </w:tc>
        <w:tc>
          <w:tcPr>
            <w:tcW w:w="1315" w:type="pct"/>
          </w:tcPr>
          <w:p w14:paraId="1E4E4F93" w14:textId="79B5BAE8" w:rsidR="00306051" w:rsidRPr="005A22C2" w:rsidRDefault="00306051" w:rsidP="006B7129">
            <w:pPr>
              <w:jc w:val="right"/>
            </w:pPr>
            <w:r w:rsidRPr="005A22C2">
              <w:t>$5,800</w:t>
            </w:r>
          </w:p>
        </w:tc>
        <w:tc>
          <w:tcPr>
            <w:tcW w:w="984" w:type="pct"/>
          </w:tcPr>
          <w:p w14:paraId="3D4F7778" w14:textId="4BD04939" w:rsidR="00306051" w:rsidRPr="005A22C2" w:rsidRDefault="00306051" w:rsidP="006B7129">
            <w:pPr>
              <w:jc w:val="right"/>
            </w:pPr>
            <w:r w:rsidRPr="005A22C2">
              <w:t>$5,800</w:t>
            </w:r>
          </w:p>
        </w:tc>
        <w:tc>
          <w:tcPr>
            <w:tcW w:w="1097" w:type="pct"/>
          </w:tcPr>
          <w:p w14:paraId="2CA711DC" w14:textId="1095DBC3" w:rsidR="00306051" w:rsidRPr="005A22C2" w:rsidRDefault="00306051" w:rsidP="006B7129">
            <w:pPr>
              <w:jc w:val="right"/>
            </w:pPr>
            <w:r w:rsidRPr="005A22C2">
              <w:t>$9,500</w:t>
            </w:r>
          </w:p>
        </w:tc>
      </w:tr>
      <w:tr w:rsidR="00306051" w:rsidRPr="005A22C2" w14:paraId="65B31618" w14:textId="77777777" w:rsidTr="00790C54">
        <w:trPr>
          <w:trHeight w:val="352"/>
        </w:trPr>
        <w:tc>
          <w:tcPr>
            <w:tcW w:w="1604" w:type="pct"/>
          </w:tcPr>
          <w:p w14:paraId="592D42F3" w14:textId="77777777" w:rsidR="00306051" w:rsidRPr="005A22C2" w:rsidRDefault="00306051" w:rsidP="006720A0">
            <w:r w:rsidRPr="005A22C2">
              <w:t>Vacancy management</w:t>
            </w:r>
          </w:p>
        </w:tc>
        <w:tc>
          <w:tcPr>
            <w:tcW w:w="1315" w:type="pct"/>
          </w:tcPr>
          <w:p w14:paraId="386E399F" w14:textId="601C8953" w:rsidR="00306051" w:rsidRPr="005A22C2" w:rsidRDefault="00306051" w:rsidP="006B7129">
            <w:pPr>
              <w:jc w:val="right"/>
            </w:pPr>
            <w:r w:rsidRPr="005A22C2">
              <w:t>$5,700</w:t>
            </w:r>
          </w:p>
        </w:tc>
        <w:tc>
          <w:tcPr>
            <w:tcW w:w="984" w:type="pct"/>
          </w:tcPr>
          <w:p w14:paraId="77A55E54" w14:textId="070D5A5F" w:rsidR="00306051" w:rsidRPr="005A22C2" w:rsidRDefault="00306051" w:rsidP="006B7129">
            <w:pPr>
              <w:jc w:val="right"/>
            </w:pPr>
            <w:r w:rsidRPr="005A22C2">
              <w:t>$5,700</w:t>
            </w:r>
          </w:p>
        </w:tc>
        <w:tc>
          <w:tcPr>
            <w:tcW w:w="1097" w:type="pct"/>
          </w:tcPr>
          <w:p w14:paraId="1E20A6FE" w14:textId="2650A9EF" w:rsidR="00306051" w:rsidRPr="005A22C2" w:rsidRDefault="00306051" w:rsidP="006B7129">
            <w:pPr>
              <w:jc w:val="right"/>
            </w:pPr>
            <w:r w:rsidRPr="005A22C2">
              <w:t>$11,100</w:t>
            </w:r>
          </w:p>
        </w:tc>
      </w:tr>
      <w:tr w:rsidR="00306051" w:rsidRPr="005A22C2" w14:paraId="3CD78C54" w14:textId="77777777" w:rsidTr="00790C54">
        <w:trPr>
          <w:cnfStyle w:val="000000100000" w:firstRow="0" w:lastRow="0" w:firstColumn="0" w:lastColumn="0" w:oddVBand="0" w:evenVBand="0" w:oddHBand="1" w:evenHBand="0" w:firstRowFirstColumn="0" w:firstRowLastColumn="0" w:lastRowFirstColumn="0" w:lastRowLastColumn="0"/>
          <w:trHeight w:val="352"/>
        </w:trPr>
        <w:tc>
          <w:tcPr>
            <w:tcW w:w="1604" w:type="pct"/>
          </w:tcPr>
          <w:p w14:paraId="22637CEC" w14:textId="77777777" w:rsidR="00306051" w:rsidRPr="005A22C2" w:rsidRDefault="00306051" w:rsidP="006720A0">
            <w:r w:rsidRPr="005A22C2">
              <w:t>General property expenses</w:t>
            </w:r>
          </w:p>
        </w:tc>
        <w:tc>
          <w:tcPr>
            <w:tcW w:w="1315" w:type="pct"/>
          </w:tcPr>
          <w:p w14:paraId="5DBC3A48" w14:textId="41CD2BEA" w:rsidR="00306051" w:rsidRPr="005A22C2" w:rsidRDefault="00306051" w:rsidP="006B7129">
            <w:pPr>
              <w:jc w:val="right"/>
            </w:pPr>
            <w:r w:rsidRPr="005A22C2">
              <w:t>$3,700</w:t>
            </w:r>
          </w:p>
        </w:tc>
        <w:tc>
          <w:tcPr>
            <w:tcW w:w="984" w:type="pct"/>
          </w:tcPr>
          <w:p w14:paraId="1914C01D" w14:textId="0F4FE4E8" w:rsidR="00306051" w:rsidRPr="005A22C2" w:rsidRDefault="00306051" w:rsidP="006B7129">
            <w:pPr>
              <w:jc w:val="right"/>
            </w:pPr>
            <w:r w:rsidRPr="005A22C2">
              <w:rPr>
                <w:rFonts w:cs="Arial"/>
              </w:rPr>
              <w:t>$</w:t>
            </w:r>
            <w:r w:rsidRPr="005A22C2">
              <w:t>4,500</w:t>
            </w:r>
          </w:p>
        </w:tc>
        <w:tc>
          <w:tcPr>
            <w:tcW w:w="1097" w:type="pct"/>
          </w:tcPr>
          <w:p w14:paraId="4C1AD7D9" w14:textId="7F93EADF" w:rsidR="00306051" w:rsidRPr="005A22C2" w:rsidRDefault="00306051" w:rsidP="006B7129">
            <w:pPr>
              <w:jc w:val="right"/>
            </w:pPr>
            <w:r w:rsidRPr="005A22C2">
              <w:t>$14,400</w:t>
            </w:r>
          </w:p>
        </w:tc>
      </w:tr>
      <w:tr w:rsidR="00306051" w:rsidRPr="005A22C2" w14:paraId="3890FCF2" w14:textId="77777777" w:rsidTr="00790C54">
        <w:trPr>
          <w:trHeight w:val="352"/>
        </w:trPr>
        <w:tc>
          <w:tcPr>
            <w:tcW w:w="1604" w:type="pct"/>
          </w:tcPr>
          <w:p w14:paraId="342F4CF5" w14:textId="77777777" w:rsidR="00306051" w:rsidRPr="005A22C2" w:rsidRDefault="00306051" w:rsidP="006720A0">
            <w:r w:rsidRPr="005A22C2">
              <w:t>Corporate overheads</w:t>
            </w:r>
          </w:p>
        </w:tc>
        <w:tc>
          <w:tcPr>
            <w:tcW w:w="1315" w:type="pct"/>
          </w:tcPr>
          <w:p w14:paraId="15A80FB3" w14:textId="771A8606" w:rsidR="00306051" w:rsidRPr="005A22C2" w:rsidRDefault="00306051" w:rsidP="006B7129">
            <w:pPr>
              <w:jc w:val="right"/>
            </w:pPr>
            <w:r w:rsidRPr="005A22C2">
              <w:t>$6,600</w:t>
            </w:r>
          </w:p>
        </w:tc>
        <w:tc>
          <w:tcPr>
            <w:tcW w:w="984" w:type="pct"/>
          </w:tcPr>
          <w:p w14:paraId="6B6EFE72" w14:textId="4F948219" w:rsidR="00306051" w:rsidRPr="005A22C2" w:rsidRDefault="00306051" w:rsidP="006B7129">
            <w:pPr>
              <w:jc w:val="right"/>
            </w:pPr>
            <w:r w:rsidRPr="005A22C2">
              <w:t>$4,700</w:t>
            </w:r>
          </w:p>
        </w:tc>
        <w:tc>
          <w:tcPr>
            <w:tcW w:w="1097" w:type="pct"/>
          </w:tcPr>
          <w:p w14:paraId="1C245301" w14:textId="68A65DED" w:rsidR="00306051" w:rsidRPr="005A22C2" w:rsidRDefault="00306051" w:rsidP="006B7129">
            <w:pPr>
              <w:jc w:val="right"/>
            </w:pPr>
            <w:r w:rsidRPr="005A22C2">
              <w:t>$7,300</w:t>
            </w:r>
          </w:p>
        </w:tc>
      </w:tr>
    </w:tbl>
    <w:p w14:paraId="67712270" w14:textId="381F1DD6" w:rsidR="00654263" w:rsidRPr="00444034" w:rsidRDefault="00654263" w:rsidP="00F62A8C">
      <w:pPr>
        <w:pStyle w:val="Caption"/>
        <w:spacing w:before="0" w:after="0"/>
        <w:jc w:val="left"/>
        <w:rPr>
          <w:sz w:val="24"/>
          <w:szCs w:val="24"/>
        </w:rPr>
      </w:pPr>
      <w:bookmarkStart w:id="175" w:name="_Toc129783596"/>
      <w:r w:rsidRPr="00444034">
        <w:rPr>
          <w:sz w:val="24"/>
          <w:szCs w:val="24"/>
        </w:rPr>
        <w:t xml:space="preserve">End of </w:t>
      </w:r>
      <w:r w:rsidR="005625B7" w:rsidRPr="00444034">
        <w:rPr>
          <w:sz w:val="24"/>
          <w:szCs w:val="24"/>
        </w:rPr>
        <w:t>Table</w:t>
      </w:r>
      <w:r w:rsidRPr="00444034">
        <w:rPr>
          <w:sz w:val="24"/>
          <w:szCs w:val="24"/>
        </w:rPr>
        <w:t xml:space="preserve"> 6</w:t>
      </w:r>
    </w:p>
    <w:p w14:paraId="1E75072D" w14:textId="5B5F05DF" w:rsidR="00A47429" w:rsidRPr="005A22C2" w:rsidRDefault="00306051" w:rsidP="006720A0">
      <w:pPr>
        <w:pStyle w:val="Heading3"/>
      </w:pPr>
      <w:r w:rsidRPr="005A22C2">
        <w:t>Insurance costs and coverage</w:t>
      </w:r>
      <w:bookmarkEnd w:id="175"/>
    </w:p>
    <w:p w14:paraId="7BC0C009" w14:textId="6FA8BF20" w:rsidR="00306051" w:rsidRPr="005A22C2" w:rsidRDefault="00306051" w:rsidP="006720A0">
      <w:r w:rsidRPr="005A22C2">
        <w:t xml:space="preserve">Insurance was identified as an ownership cost for stakeholders that was not fully accounted for in </w:t>
      </w:r>
      <w:r w:rsidR="00790C54" w:rsidRPr="005A22C2">
        <w:t>the current SDA pricing arrangements,</w:t>
      </w:r>
      <w:r w:rsidRPr="005A22C2">
        <w:t xml:space="preserve"> particularly for providers of Robust SDA and those operating in areas prone to natural disasters.</w:t>
      </w:r>
      <w:r w:rsidR="00790C54" w:rsidRPr="005A22C2">
        <w:t xml:space="preserve"> The submission </w:t>
      </w:r>
      <w:r w:rsidR="00790C54" w:rsidRPr="00B80A32">
        <w:t>from</w:t>
      </w:r>
      <w:r w:rsidRPr="00B80A32">
        <w:t xml:space="preserve"> Pulse Property Solutions </w:t>
      </w:r>
      <w:r w:rsidR="005361D4" w:rsidRPr="00B80A32">
        <w:t>stated</w:t>
      </w:r>
      <w:r w:rsidRPr="00B80A32">
        <w:t xml:space="preserve"> that insurance costs had tripled since their first SDA project.</w:t>
      </w:r>
    </w:p>
    <w:p w14:paraId="2C9408EA" w14:textId="708E82A1" w:rsidR="00306051" w:rsidRPr="005A22C2" w:rsidRDefault="00790C54" w:rsidP="006720A0">
      <w:r w:rsidRPr="005A22C2">
        <w:t>Some specific</w:t>
      </w:r>
      <w:r w:rsidR="00306051" w:rsidRPr="005A22C2">
        <w:t xml:space="preserve"> challenges with obtaining insurance for Robust SDA</w:t>
      </w:r>
      <w:r w:rsidRPr="005A22C2">
        <w:t xml:space="preserve"> were identified by stakeholders</w:t>
      </w:r>
      <w:r w:rsidR="00306051" w:rsidRPr="005A22C2">
        <w:t xml:space="preserve">. One stakeholder </w:t>
      </w:r>
      <w:r w:rsidR="005361D4" w:rsidRPr="005A22C2">
        <w:t>stated</w:t>
      </w:r>
      <w:r w:rsidR="00306051" w:rsidRPr="005A22C2">
        <w:t xml:space="preserve"> that they faced a renewal premium of $10,000 </w:t>
      </w:r>
      <w:r w:rsidR="00306051" w:rsidRPr="005A22C2">
        <w:lastRenderedPageBreak/>
        <w:t>on a four-</w:t>
      </w:r>
      <w:r w:rsidR="00306051" w:rsidRPr="001F5230">
        <w:t>bedroom group home, and that this was “</w:t>
      </w:r>
      <w:r w:rsidR="00827731" w:rsidRPr="001F5230">
        <w:t xml:space="preserve">… </w:t>
      </w:r>
      <w:r w:rsidR="00306051" w:rsidRPr="001F5230">
        <w:t>substantially higher than if you were to just get building contents insurance and other cover for liability outside elsewhere”</w:t>
      </w:r>
      <w:r w:rsidR="00827731" w:rsidRPr="001F5230">
        <w:t>.</w:t>
      </w:r>
      <w:r w:rsidR="00306051" w:rsidRPr="001F5230">
        <w:t xml:space="preserve"> They </w:t>
      </w:r>
      <w:r w:rsidR="005361D4" w:rsidRPr="001F5230">
        <w:t>stated</w:t>
      </w:r>
      <w:r w:rsidR="00306051" w:rsidRPr="001F5230">
        <w:t xml:space="preserve"> that there was only one insurance provider in their market which offers insurance to cover</w:t>
      </w:r>
      <w:r w:rsidR="00306051" w:rsidRPr="005A22C2">
        <w:t xml:space="preserve"> SDA group homes.</w:t>
      </w:r>
    </w:p>
    <w:p w14:paraId="4626C55C" w14:textId="70358BE4" w:rsidR="00306051" w:rsidRPr="005A22C2" w:rsidRDefault="00306051" w:rsidP="006720A0">
      <w:r w:rsidRPr="005A22C2">
        <w:t xml:space="preserve">Stakeholders from the Queensland Consultation Group </w:t>
      </w:r>
      <w:r w:rsidR="005361D4" w:rsidRPr="005A22C2">
        <w:t>stated</w:t>
      </w:r>
      <w:r w:rsidRPr="005A22C2">
        <w:t xml:space="preserve"> challenges with obtaining </w:t>
      </w:r>
      <w:r w:rsidRPr="001F5230">
        <w:t>insurance due to the risk of natural disaster. Noting that “</w:t>
      </w:r>
      <w:r w:rsidR="00827731" w:rsidRPr="001F5230">
        <w:t xml:space="preserve">… </w:t>
      </w:r>
      <w:r w:rsidRPr="001F5230">
        <w:t xml:space="preserve">the whole of Cairns is a floodplain” one stakeholder </w:t>
      </w:r>
      <w:r w:rsidR="005361D4" w:rsidRPr="001F5230">
        <w:t>stated</w:t>
      </w:r>
      <w:r w:rsidRPr="001F5230">
        <w:t xml:space="preserve"> that they faced insurance cost for an average house of nearly $7</w:t>
      </w:r>
      <w:r w:rsidR="003868D1">
        <w:t>,</w:t>
      </w:r>
      <w:r w:rsidRPr="001F5230">
        <w:t>000 a year</w:t>
      </w:r>
      <w:r w:rsidRPr="005A22C2">
        <w:t>, contrasting this with $1</w:t>
      </w:r>
      <w:r w:rsidR="003868D1">
        <w:t>,</w:t>
      </w:r>
      <w:r w:rsidRPr="005A22C2">
        <w:t>500 to $2</w:t>
      </w:r>
      <w:r w:rsidR="003868D1">
        <w:t>,</w:t>
      </w:r>
      <w:r w:rsidRPr="005A22C2">
        <w:t>000 in southern states.</w:t>
      </w:r>
    </w:p>
    <w:p w14:paraId="79B1647C" w14:textId="77777777" w:rsidR="00C140AD" w:rsidRPr="005A22C2" w:rsidRDefault="00C140AD" w:rsidP="006720A0">
      <w:pPr>
        <w:pStyle w:val="Heading1"/>
        <w:sectPr w:rsidR="00C140AD" w:rsidRPr="005A22C2" w:rsidSect="00736B3B">
          <w:pgSz w:w="11906" w:h="16838" w:code="9"/>
          <w:pgMar w:top="1418" w:right="1418" w:bottom="1418" w:left="1418" w:header="709" w:footer="709" w:gutter="0"/>
          <w:cols w:space="708"/>
          <w:titlePg/>
          <w:docGrid w:linePitch="360"/>
        </w:sectPr>
      </w:pPr>
      <w:bookmarkStart w:id="176" w:name="_Ref122359839"/>
      <w:bookmarkStart w:id="177" w:name="_Ref122427723"/>
      <w:bookmarkStart w:id="178" w:name="_Toc129783597"/>
      <w:bookmarkEnd w:id="123"/>
      <w:bookmarkEnd w:id="124"/>
    </w:p>
    <w:p w14:paraId="754BAAE4" w14:textId="5F2E0450" w:rsidR="007B6FAA" w:rsidRPr="00E41D34" w:rsidRDefault="007B6FAA" w:rsidP="006720A0">
      <w:pPr>
        <w:pStyle w:val="Heading1"/>
        <w:rPr>
          <w:color w:val="6B2976"/>
        </w:rPr>
      </w:pPr>
      <w:bookmarkStart w:id="179" w:name="_Toc136006885"/>
      <w:r w:rsidRPr="00E41D34">
        <w:rPr>
          <w:color w:val="6B2976"/>
        </w:rPr>
        <w:lastRenderedPageBreak/>
        <w:t xml:space="preserve">Tax </w:t>
      </w:r>
      <w:bookmarkEnd w:id="176"/>
      <w:bookmarkEnd w:id="177"/>
      <w:r w:rsidR="00C87E1B" w:rsidRPr="00E41D34">
        <w:rPr>
          <w:color w:val="6B2976"/>
        </w:rPr>
        <w:t>C</w:t>
      </w:r>
      <w:r w:rsidRPr="00E41D34">
        <w:rPr>
          <w:color w:val="6B2976"/>
        </w:rPr>
        <w:t>osts</w:t>
      </w:r>
      <w:bookmarkEnd w:id="178"/>
      <w:bookmarkEnd w:id="179"/>
    </w:p>
    <w:p w14:paraId="41B514C6" w14:textId="1DAC0099" w:rsidR="00531486" w:rsidRPr="005A22C2" w:rsidRDefault="00531486" w:rsidP="006720A0">
      <w:r w:rsidRPr="005A22C2">
        <w:t xml:space="preserve">The </w:t>
      </w:r>
      <w:r w:rsidR="00C140AD" w:rsidRPr="005A22C2">
        <w:t>NDIA</w:t>
      </w:r>
      <w:r w:rsidRPr="005A22C2">
        <w:t xml:space="preserve"> received</w:t>
      </w:r>
      <w:r w:rsidR="00245911" w:rsidRPr="005A22C2">
        <w:t xml:space="preserve"> </w:t>
      </w:r>
      <w:r w:rsidR="004E1639" w:rsidRPr="005A22C2">
        <w:t>14</w:t>
      </w:r>
      <w:r w:rsidR="00245911" w:rsidRPr="005A22C2">
        <w:t xml:space="preserve"> </w:t>
      </w:r>
      <w:r w:rsidR="00DD51E4" w:rsidRPr="005A22C2">
        <w:t>written submissions</w:t>
      </w:r>
      <w:r w:rsidR="005858B3" w:rsidRPr="005A22C2">
        <w:t xml:space="preserve"> that responded</w:t>
      </w:r>
      <w:r w:rsidR="00DD51E4" w:rsidRPr="005A22C2">
        <w:t xml:space="preserve"> to the </w:t>
      </w:r>
      <w:r w:rsidRPr="005A22C2">
        <w:t xml:space="preserve">following question in the </w:t>
      </w:r>
      <w:r w:rsidR="00B04B3B" w:rsidRPr="005A22C2">
        <w:rPr>
          <w:i/>
          <w:iCs/>
        </w:rPr>
        <w:t xml:space="preserve">SDA Pricing Review </w:t>
      </w:r>
      <w:r w:rsidR="00DD51E4" w:rsidRPr="005A22C2">
        <w:rPr>
          <w:i/>
          <w:iCs/>
        </w:rPr>
        <w:t>Consultation Paper</w:t>
      </w:r>
      <w:r w:rsidRPr="005A22C2">
        <w:t>:</w:t>
      </w:r>
    </w:p>
    <w:p w14:paraId="5AEAD947" w14:textId="79195963" w:rsidR="00531486" w:rsidRPr="00132E0C" w:rsidRDefault="00531486" w:rsidP="00132E0C">
      <w:pPr>
        <w:pStyle w:val="Quote"/>
        <w:numPr>
          <w:ilvl w:val="0"/>
          <w:numId w:val="35"/>
        </w:numPr>
        <w:rPr>
          <w:i w:val="0"/>
          <w:iCs w:val="0"/>
        </w:rPr>
      </w:pPr>
      <w:r w:rsidRPr="00132E0C">
        <w:rPr>
          <w:i w:val="0"/>
          <w:iCs w:val="0"/>
        </w:rPr>
        <w:t xml:space="preserve">Is the tax treatment of </w:t>
      </w:r>
      <w:r w:rsidR="00F07D40" w:rsidRPr="00132E0C">
        <w:rPr>
          <w:i w:val="0"/>
          <w:iCs w:val="0"/>
          <w:color w:val="000000" w:themeColor="text1"/>
        </w:rPr>
        <w:t xml:space="preserve">Specialist Disability Accommodation (SDA) </w:t>
      </w:r>
      <w:r w:rsidR="00D07368" w:rsidRPr="00132E0C">
        <w:rPr>
          <w:i w:val="0"/>
          <w:iCs w:val="0"/>
        </w:rPr>
        <w:t>Investments</w:t>
      </w:r>
      <w:r w:rsidRPr="00132E0C">
        <w:rPr>
          <w:i w:val="0"/>
          <w:iCs w:val="0"/>
        </w:rPr>
        <w:t>, including Goods and Services Tax, Stamp Duty and Land Tax) appropriately accounted for in the current methodology for setting SDA Prices? If not, how can the methodology be improved?</w:t>
      </w:r>
    </w:p>
    <w:p w14:paraId="5F140463" w14:textId="2A21066C" w:rsidR="00253E95" w:rsidRPr="005A22C2" w:rsidRDefault="00253E95" w:rsidP="006720A0">
      <w:r w:rsidRPr="005A22C2">
        <w:t>Issues about tax costs were also raised in most of the Consultation Groups</w:t>
      </w:r>
      <w:r w:rsidR="0085474D" w:rsidRPr="005A22C2">
        <w:t>.</w:t>
      </w:r>
    </w:p>
    <w:p w14:paraId="6718C6F2" w14:textId="68A2CACE" w:rsidR="00D07368" w:rsidRPr="005A22C2" w:rsidRDefault="00D07368" w:rsidP="006720A0">
      <w:pPr>
        <w:pStyle w:val="Heading2"/>
      </w:pPr>
      <w:bookmarkStart w:id="180" w:name="_Toc129783598"/>
      <w:bookmarkStart w:id="181" w:name="_Toc136006886"/>
      <w:r w:rsidRPr="005A22C2">
        <w:t>Goods and Services Tax</w:t>
      </w:r>
      <w:r w:rsidR="002E19BF" w:rsidRPr="005A22C2">
        <w:t xml:space="preserve"> (GST)</w:t>
      </w:r>
      <w:bookmarkEnd w:id="180"/>
      <w:bookmarkEnd w:id="181"/>
    </w:p>
    <w:p w14:paraId="3BF4E554" w14:textId="06BBB0B0" w:rsidR="004E04DF" w:rsidRPr="005A22C2" w:rsidRDefault="00D07368" w:rsidP="006720A0">
      <w:pPr>
        <w:rPr>
          <w:color w:val="000000" w:themeColor="text1"/>
        </w:rPr>
      </w:pPr>
      <w:r w:rsidRPr="005A22C2">
        <w:t>Many stakeholders argued</w:t>
      </w:r>
      <w:r w:rsidR="00D43776" w:rsidRPr="005A22C2">
        <w:t xml:space="preserve"> </w:t>
      </w:r>
      <w:r w:rsidR="00253E95" w:rsidRPr="005A22C2">
        <w:t xml:space="preserve">in submissions and in the Consultation Groups </w:t>
      </w:r>
      <w:r w:rsidR="00D43776" w:rsidRPr="005A22C2">
        <w:t>that</w:t>
      </w:r>
      <w:r w:rsidRPr="005A22C2">
        <w:t xml:space="preserve"> the current pricing methodology for </w:t>
      </w:r>
      <w:r w:rsidR="0085474D" w:rsidRPr="005A22C2">
        <w:t>SDA</w:t>
      </w:r>
      <w:r w:rsidR="00F07D40" w:rsidRPr="005A22C2">
        <w:t xml:space="preserve"> </w:t>
      </w:r>
      <w:r w:rsidRPr="005A22C2">
        <w:t xml:space="preserve">was flawed as it assumed that </w:t>
      </w:r>
      <w:r w:rsidR="00D43776" w:rsidRPr="005A22C2">
        <w:t xml:space="preserve">Goods and Services Tax (GST) </w:t>
      </w:r>
      <w:r w:rsidR="00F07D40" w:rsidRPr="005A22C2">
        <w:t xml:space="preserve">credits </w:t>
      </w:r>
      <w:r w:rsidR="00C735C0" w:rsidRPr="005A22C2">
        <w:t>could</w:t>
      </w:r>
      <w:r w:rsidR="00F07D40" w:rsidRPr="005A22C2">
        <w:t xml:space="preserve"> be claimed by SDA developers for </w:t>
      </w:r>
      <w:r w:rsidR="00F07D40" w:rsidRPr="005A22C2">
        <w:rPr>
          <w:color w:val="000000" w:themeColor="text1"/>
        </w:rPr>
        <w:t>any GST costs that they incurred in building SDA dwellings.</w:t>
      </w:r>
      <w:r w:rsidR="00C735C0" w:rsidRPr="005A22C2">
        <w:rPr>
          <w:color w:val="000000" w:themeColor="text1"/>
        </w:rPr>
        <w:t xml:space="preserve"> </w:t>
      </w:r>
      <w:r w:rsidR="00F07D40" w:rsidRPr="005A22C2">
        <w:rPr>
          <w:color w:val="000000" w:themeColor="text1"/>
        </w:rPr>
        <w:t>Stakeholders reported that</w:t>
      </w:r>
      <w:r w:rsidR="00664747" w:rsidRPr="005A22C2">
        <w:rPr>
          <w:color w:val="000000" w:themeColor="text1"/>
        </w:rPr>
        <w:t>,</w:t>
      </w:r>
      <w:r w:rsidR="00F07D40" w:rsidRPr="005A22C2">
        <w:rPr>
          <w:color w:val="000000" w:themeColor="text1"/>
        </w:rPr>
        <w:t xml:space="preserve"> in fact, although the supply of SDA was determined to be GST-free by the </w:t>
      </w:r>
      <w:r w:rsidR="00F07D40" w:rsidRPr="005A22C2">
        <w:rPr>
          <w:i/>
          <w:iCs/>
          <w:color w:val="000000" w:themeColor="text1"/>
        </w:rPr>
        <w:t>A New Tax System (Goods and Services Tax) (GST</w:t>
      </w:r>
      <w:r w:rsidR="00F07D40" w:rsidRPr="005A22C2">
        <w:rPr>
          <w:rFonts w:ascii="Cambria Math" w:hAnsi="Cambria Math" w:cs="Cambria Math"/>
          <w:i/>
          <w:iCs/>
          <w:color w:val="000000" w:themeColor="text1"/>
        </w:rPr>
        <w:t>‑</w:t>
      </w:r>
      <w:r w:rsidR="00F07D40" w:rsidRPr="005A22C2">
        <w:rPr>
          <w:i/>
          <w:iCs/>
          <w:color w:val="000000" w:themeColor="text1"/>
        </w:rPr>
        <w:t>free Supply—National Disability Insurance Scheme Supports) Determination 2021</w:t>
      </w:r>
      <w:r w:rsidR="00F07D40" w:rsidRPr="005A22C2">
        <w:rPr>
          <w:color w:val="000000" w:themeColor="text1"/>
        </w:rPr>
        <w:t xml:space="preserve">, the Australian Taxation Office had ruled that </w:t>
      </w:r>
      <w:r w:rsidR="00253E95" w:rsidRPr="005A22C2">
        <w:rPr>
          <w:color w:val="000000" w:themeColor="text1"/>
        </w:rPr>
        <w:t xml:space="preserve">GST credits were only claimable </w:t>
      </w:r>
      <w:r w:rsidR="00664747" w:rsidRPr="005A22C2">
        <w:rPr>
          <w:color w:val="000000" w:themeColor="text1"/>
        </w:rPr>
        <w:t xml:space="preserve">under that Determination </w:t>
      </w:r>
      <w:r w:rsidR="00253E95" w:rsidRPr="005A22C2">
        <w:rPr>
          <w:color w:val="000000" w:themeColor="text1"/>
        </w:rPr>
        <w:t>when the provider of the SDA services was the owner of the dwelling.</w:t>
      </w:r>
      <w:r w:rsidR="00936FE4" w:rsidRPr="005A22C2">
        <w:rPr>
          <w:color w:val="000000" w:themeColor="text1"/>
        </w:rPr>
        <w:t xml:space="preserve"> </w:t>
      </w:r>
      <w:r w:rsidR="00664747" w:rsidRPr="005A22C2">
        <w:rPr>
          <w:color w:val="000000" w:themeColor="text1"/>
        </w:rPr>
        <w:t xml:space="preserve">Stakeholders also </w:t>
      </w:r>
      <w:r w:rsidR="00C735C0" w:rsidRPr="005A22C2">
        <w:rPr>
          <w:color w:val="000000" w:themeColor="text1"/>
        </w:rPr>
        <w:t>reported</w:t>
      </w:r>
      <w:r w:rsidR="00664747" w:rsidRPr="005A22C2">
        <w:rPr>
          <w:color w:val="000000" w:themeColor="text1"/>
        </w:rPr>
        <w:t xml:space="preserve"> that the general GST concessions provided to not-for-profit organisations also meant that different organisations (depending on how they were structured) faced different cost structures when they built SDA dwellings</w:t>
      </w:r>
      <w:r w:rsidR="004E04DF" w:rsidRPr="005A22C2">
        <w:rPr>
          <w:color w:val="000000" w:themeColor="text1"/>
        </w:rPr>
        <w:t xml:space="preserve">. A survey undertaken </w:t>
      </w:r>
      <w:r w:rsidR="004E04DF" w:rsidRPr="00871079">
        <w:rPr>
          <w:color w:val="000000" w:themeColor="text1"/>
        </w:rPr>
        <w:t xml:space="preserve">by the SDA </w:t>
      </w:r>
      <w:r w:rsidR="00811CF7" w:rsidRPr="00871079">
        <w:rPr>
          <w:color w:val="000000" w:themeColor="text1"/>
        </w:rPr>
        <w:t>A</w:t>
      </w:r>
      <w:r w:rsidR="004E04DF" w:rsidRPr="00871079">
        <w:rPr>
          <w:color w:val="000000" w:themeColor="text1"/>
        </w:rPr>
        <w:t xml:space="preserve">lliance </w:t>
      </w:r>
      <w:r w:rsidR="00C735C0" w:rsidRPr="00871079">
        <w:rPr>
          <w:color w:val="000000" w:themeColor="text1"/>
        </w:rPr>
        <w:t>found</w:t>
      </w:r>
      <w:r w:rsidR="004E04DF" w:rsidRPr="00871079">
        <w:rPr>
          <w:color w:val="000000" w:themeColor="text1"/>
        </w:rPr>
        <w:t xml:space="preserve"> that about one</w:t>
      </w:r>
      <w:r w:rsidR="00811CF7" w:rsidRPr="00871079">
        <w:rPr>
          <w:color w:val="000000" w:themeColor="text1"/>
        </w:rPr>
        <w:t>-</w:t>
      </w:r>
      <w:r w:rsidR="004E04DF" w:rsidRPr="00871079">
        <w:rPr>
          <w:color w:val="000000" w:themeColor="text1"/>
        </w:rPr>
        <w:t>third of SDA developments were able to claim GST credits,</w:t>
      </w:r>
      <w:r w:rsidR="004E04DF" w:rsidRPr="005A22C2">
        <w:rPr>
          <w:color w:val="000000" w:themeColor="text1"/>
        </w:rPr>
        <w:t xml:space="preserve"> </w:t>
      </w:r>
      <w:r w:rsidR="00811CF7" w:rsidRPr="005A22C2">
        <w:rPr>
          <w:color w:val="000000" w:themeColor="text1"/>
        </w:rPr>
        <w:t>while two-thirds</w:t>
      </w:r>
      <w:r w:rsidR="004E04DF" w:rsidRPr="005A22C2">
        <w:rPr>
          <w:color w:val="000000" w:themeColor="text1"/>
        </w:rPr>
        <w:t xml:space="preserve"> of developments required to absorb GST costs.</w:t>
      </w:r>
    </w:p>
    <w:p w14:paraId="3C2F35CE" w14:textId="489D28B9" w:rsidR="00936FE4" w:rsidRPr="005A22C2" w:rsidRDefault="00936FE4" w:rsidP="006720A0">
      <w:r w:rsidRPr="005A22C2">
        <w:t xml:space="preserve">One group of providers who were reported to face </w:t>
      </w:r>
      <w:proofErr w:type="gramStart"/>
      <w:r w:rsidRPr="005A22C2">
        <w:t>particular difficulties</w:t>
      </w:r>
      <w:proofErr w:type="gramEnd"/>
      <w:r w:rsidRPr="005A22C2">
        <w:t xml:space="preserve"> in accessing GST credits for SDA building costs were participants who were seeking to self-provide their </w:t>
      </w:r>
      <w:r w:rsidRPr="004352DD">
        <w:t xml:space="preserve">SDA. Prader-Willi Syndrome Australia </w:t>
      </w:r>
      <w:r w:rsidR="005361D4" w:rsidRPr="004352DD">
        <w:t>stated</w:t>
      </w:r>
      <w:r w:rsidRPr="004352DD">
        <w:t xml:space="preserve"> that, for families, it can be “onerous, complex, expensive and very impractical” to</w:t>
      </w:r>
      <w:r w:rsidRPr="005A22C2">
        <w:t xml:space="preserve"> register as an SDA provider and undertake the ongoing auditing processes. SDA+ stated that self-providers are also in a unique position whereby they are unable (or not easily able) to access GST-free status and are unable to overcome these barriers and offset the loss in revenues unlike larger SDA providers who experience economies of scale.</w:t>
      </w:r>
    </w:p>
    <w:p w14:paraId="59B418DE" w14:textId="3BBA2C5C" w:rsidR="0096455E" w:rsidRPr="005A22C2" w:rsidRDefault="004E04DF" w:rsidP="006720A0">
      <w:r w:rsidRPr="005A22C2">
        <w:t xml:space="preserve">Stakeholders </w:t>
      </w:r>
      <w:r w:rsidR="000E0C5C" w:rsidRPr="005A22C2">
        <w:t>consider</w:t>
      </w:r>
      <w:r w:rsidRPr="005A22C2">
        <w:t>ed that it was</w:t>
      </w:r>
      <w:r w:rsidR="00664747" w:rsidRPr="005A22C2">
        <w:t xml:space="preserve"> </w:t>
      </w:r>
      <w:r w:rsidR="00811CF7" w:rsidRPr="005A22C2">
        <w:t>problematic for the development of SDA</w:t>
      </w:r>
      <w:r w:rsidR="00664747" w:rsidRPr="005A22C2">
        <w:t xml:space="preserve"> that the current SDA pricing arrangements did not recognise these differences.</w:t>
      </w:r>
      <w:r w:rsidRPr="005A22C2">
        <w:t xml:space="preserve"> Some submissions argued that </w:t>
      </w:r>
      <w:r w:rsidR="00664747" w:rsidRPr="005A22C2">
        <w:t xml:space="preserve">the </w:t>
      </w:r>
      <w:r w:rsidR="0096455E" w:rsidRPr="005A22C2">
        <w:t>current differential</w:t>
      </w:r>
      <w:r w:rsidRPr="005A22C2">
        <w:t xml:space="preserve"> </w:t>
      </w:r>
      <w:r w:rsidR="00664747" w:rsidRPr="005A22C2">
        <w:t xml:space="preserve">treatment of GST for SDA </w:t>
      </w:r>
      <w:r w:rsidR="0096455E" w:rsidRPr="005A22C2">
        <w:t xml:space="preserve">(depending on organisational structure) </w:t>
      </w:r>
      <w:r w:rsidRPr="005A22C2">
        <w:t>was</w:t>
      </w:r>
      <w:r w:rsidR="00664747" w:rsidRPr="005A22C2">
        <w:t xml:space="preserve"> a barrier </w:t>
      </w:r>
      <w:r w:rsidRPr="005A22C2">
        <w:t>to</w:t>
      </w:r>
      <w:r w:rsidR="00664747" w:rsidRPr="005A22C2">
        <w:t xml:space="preserve"> effective competition, noting that it is unviable for many organisations to adopt business structures that are GST-exempt</w:t>
      </w:r>
      <w:r w:rsidRPr="005A22C2">
        <w:t>, and that</w:t>
      </w:r>
      <w:r w:rsidR="00C735C0" w:rsidRPr="005A22C2">
        <w:t xml:space="preserve"> </w:t>
      </w:r>
      <w:r w:rsidRPr="005A22C2">
        <w:t xml:space="preserve">investors often preferred to separate their investment risks from any </w:t>
      </w:r>
      <w:r w:rsidR="00811CF7" w:rsidRPr="005A22C2">
        <w:t xml:space="preserve">regulatory or reputational </w:t>
      </w:r>
      <w:r w:rsidRPr="005A22C2">
        <w:t>risks associated with operating the SDA properties.</w:t>
      </w:r>
    </w:p>
    <w:p w14:paraId="24EF5B8A" w14:textId="5BDA28DA" w:rsidR="00936FE4" w:rsidRPr="005A22C2" w:rsidRDefault="00D43776" w:rsidP="006720A0">
      <w:r w:rsidRPr="005A22C2">
        <w:lastRenderedPageBreak/>
        <w:t xml:space="preserve">Stakeholders recommended </w:t>
      </w:r>
      <w:r w:rsidR="004E04DF" w:rsidRPr="005A22C2">
        <w:t>that</w:t>
      </w:r>
      <w:r w:rsidR="0085474D" w:rsidRPr="005A22C2">
        <w:t>,</w:t>
      </w:r>
      <w:r w:rsidR="004E04DF" w:rsidRPr="005A22C2">
        <w:t xml:space="preserve"> in the short term</w:t>
      </w:r>
      <w:r w:rsidR="0085474D" w:rsidRPr="005A22C2">
        <w:t>,</w:t>
      </w:r>
      <w:r w:rsidR="004E04DF" w:rsidRPr="005A22C2">
        <w:t xml:space="preserve"> the NDIA’s SDA pricing methodology should be amended to </w:t>
      </w:r>
      <w:r w:rsidRPr="005A22C2">
        <w:t>recognise that not all developers and self-providers are eligible for GST credits</w:t>
      </w:r>
      <w:r w:rsidR="004E04DF" w:rsidRPr="005A22C2">
        <w:t xml:space="preserve">. </w:t>
      </w:r>
      <w:r w:rsidR="0096455E" w:rsidRPr="005A22C2">
        <w:t>This could be done by either</w:t>
      </w:r>
      <w:r w:rsidR="0085474D" w:rsidRPr="005A22C2">
        <w:t xml:space="preserve"> always </w:t>
      </w:r>
      <w:r w:rsidR="0096455E" w:rsidRPr="005A22C2">
        <w:t>including GST costs in the pricing methodology, which would overcompensate some providers, or by differentially pricing SDA based on whether GST credits had been claimed for the GST costs incurred in developing the dwelling.</w:t>
      </w:r>
    </w:p>
    <w:p w14:paraId="643480A1" w14:textId="068BE311" w:rsidR="00A47429" w:rsidRPr="005A22C2" w:rsidRDefault="004E04DF" w:rsidP="006720A0">
      <w:pPr>
        <w:rPr>
          <w:i/>
          <w:iCs/>
        </w:rPr>
      </w:pPr>
      <w:r w:rsidRPr="005A22C2">
        <w:t xml:space="preserve">In the longer term, stakeholders recommended that the Commonwealth and the States and Territories should </w:t>
      </w:r>
      <w:r w:rsidR="000E0C5C" w:rsidRPr="005A22C2">
        <w:t>consider</w:t>
      </w:r>
      <w:r w:rsidRPr="005A22C2">
        <w:t xml:space="preserve"> amending the GST legislation so </w:t>
      </w:r>
      <w:r w:rsidR="00515641" w:rsidRPr="005A22C2">
        <w:t xml:space="preserve">that </w:t>
      </w:r>
      <w:r w:rsidRPr="005A22C2">
        <w:t>all developers of SDA could access GST-credits on SDA building costs.</w:t>
      </w:r>
      <w:r w:rsidR="00811CF7" w:rsidRPr="005A22C2">
        <w:t xml:space="preserve"> </w:t>
      </w:r>
      <w:r w:rsidR="00515641" w:rsidRPr="005A22C2">
        <w:t>They argued that g</w:t>
      </w:r>
      <w:r w:rsidR="00811CF7" w:rsidRPr="005A22C2">
        <w:t xml:space="preserve">reater clarity would not only reduce costs for the funders of the NDIS but also provide more certainty to </w:t>
      </w:r>
      <w:r w:rsidR="00811CF7" w:rsidRPr="004352DD">
        <w:t>investors. Barwon Investment Partners</w:t>
      </w:r>
      <w:r w:rsidR="00515641" w:rsidRPr="004352DD">
        <w:t>, for</w:t>
      </w:r>
      <w:r w:rsidR="00515641" w:rsidRPr="005A22C2">
        <w:t xml:space="preserve"> example,</w:t>
      </w:r>
      <w:r w:rsidR="00811CF7" w:rsidRPr="005A22C2">
        <w:t xml:space="preserve"> suggested that a clear and consistent taxation framework would help to minimise hurdles and roadblocks associated with delivering SDA. </w:t>
      </w:r>
      <w:r w:rsidR="00606263" w:rsidRPr="00606263">
        <w:t>A</w:t>
      </w:r>
      <w:r w:rsidR="008D3F10" w:rsidRPr="00606263">
        <w:t xml:space="preserve"> confidential </w:t>
      </w:r>
      <w:r w:rsidR="00606263" w:rsidRPr="00606263">
        <w:t>submission</w:t>
      </w:r>
      <w:r w:rsidR="00811CF7" w:rsidRPr="005A22C2">
        <w:t xml:space="preserve"> </w:t>
      </w:r>
      <w:r w:rsidR="00515641" w:rsidRPr="005A22C2">
        <w:t>argued</w:t>
      </w:r>
      <w:r w:rsidR="00811CF7" w:rsidRPr="005A22C2">
        <w:t xml:space="preserve"> that </w:t>
      </w:r>
      <w:r w:rsidR="00515641" w:rsidRPr="005A22C2">
        <w:t>the</w:t>
      </w:r>
      <w:r w:rsidR="00811CF7" w:rsidRPr="005A22C2">
        <w:t xml:space="preserve"> lack of clarity in </w:t>
      </w:r>
      <w:r w:rsidR="00515641" w:rsidRPr="005A22C2">
        <w:t>the current</w:t>
      </w:r>
      <w:r w:rsidR="00811CF7" w:rsidRPr="005A22C2">
        <w:t xml:space="preserve"> legislation </w:t>
      </w:r>
      <w:r w:rsidR="00515641" w:rsidRPr="005A22C2">
        <w:t>was leading to</w:t>
      </w:r>
      <w:r w:rsidR="00811CF7" w:rsidRPr="005A22C2">
        <w:t xml:space="preserve"> inconsistencies, </w:t>
      </w:r>
      <w:r w:rsidR="0085474D" w:rsidRPr="005A22C2">
        <w:t>and</w:t>
      </w:r>
      <w:r w:rsidR="00811CF7" w:rsidRPr="005A22C2">
        <w:t xml:space="preserve"> to private rulings being obtained</w:t>
      </w:r>
      <w:r w:rsidR="00515641" w:rsidRPr="005A22C2">
        <w:t xml:space="preserve"> </w:t>
      </w:r>
      <w:r w:rsidR="00811CF7" w:rsidRPr="005A22C2">
        <w:t>at material cost and delay</w:t>
      </w:r>
      <w:r w:rsidR="00515641" w:rsidRPr="005A22C2">
        <w:t>.</w:t>
      </w:r>
    </w:p>
    <w:p w14:paraId="5E6A6F07" w14:textId="2B884E39" w:rsidR="00811CF7" w:rsidRPr="005A22C2" w:rsidRDefault="00515641" w:rsidP="006720A0">
      <w:r w:rsidRPr="005A22C2">
        <w:t xml:space="preserve">Stakeholders also identified </w:t>
      </w:r>
      <w:r w:rsidR="0096455E" w:rsidRPr="005A22C2">
        <w:t xml:space="preserve">that GST </w:t>
      </w:r>
      <w:r w:rsidRPr="005A22C2">
        <w:t xml:space="preserve">issues could arise in the future when SDA properties were sold, either to the general market or to another SDA investor or provider. </w:t>
      </w:r>
      <w:r w:rsidR="00606263">
        <w:t xml:space="preserve">A confidential submission </w:t>
      </w:r>
      <w:r w:rsidR="00811CF7" w:rsidRPr="005A22C2">
        <w:t xml:space="preserve">also </w:t>
      </w:r>
      <w:r w:rsidR="005361D4" w:rsidRPr="005A22C2">
        <w:t>stated</w:t>
      </w:r>
      <w:r w:rsidR="00811CF7" w:rsidRPr="005A22C2">
        <w:t xml:space="preserve"> that </w:t>
      </w:r>
      <w:r w:rsidR="0085474D" w:rsidRPr="005A22C2">
        <w:t xml:space="preserve">the </w:t>
      </w:r>
      <w:r w:rsidR="00811CF7" w:rsidRPr="005A22C2">
        <w:t>acquisition of brownfield sites for New Build SDA is typically from non-GST registered entities, and are therefore priced at GST-inclusive levels, without the ability to claim a GST refund under the GST-free supply determination that applies to SDA.</w:t>
      </w:r>
    </w:p>
    <w:p w14:paraId="34A81742" w14:textId="6FC2838E" w:rsidR="00811CF7" w:rsidRPr="005A22C2" w:rsidRDefault="00200B6A" w:rsidP="006720A0">
      <w:pPr>
        <w:pStyle w:val="Heading2"/>
      </w:pPr>
      <w:bookmarkStart w:id="182" w:name="_Toc129783599"/>
      <w:bookmarkStart w:id="183" w:name="_Toc136006887"/>
      <w:r w:rsidRPr="005A22C2">
        <w:t xml:space="preserve">Land </w:t>
      </w:r>
      <w:r w:rsidR="00811CF7" w:rsidRPr="005A22C2">
        <w:t>T</w:t>
      </w:r>
      <w:r w:rsidR="00482609" w:rsidRPr="005A22C2">
        <w:t>ax</w:t>
      </w:r>
      <w:r w:rsidR="0085474D" w:rsidRPr="005A22C2">
        <w:t>es</w:t>
      </w:r>
      <w:r w:rsidR="00482609" w:rsidRPr="005A22C2">
        <w:t xml:space="preserve"> </w:t>
      </w:r>
      <w:r w:rsidRPr="005A22C2">
        <w:t xml:space="preserve">and </w:t>
      </w:r>
      <w:r w:rsidR="00811CF7" w:rsidRPr="005A22C2">
        <w:t>S</w:t>
      </w:r>
      <w:r w:rsidRPr="005A22C2">
        <w:t xml:space="preserve">tamp </w:t>
      </w:r>
      <w:r w:rsidR="00811CF7" w:rsidRPr="005A22C2">
        <w:t>D</w:t>
      </w:r>
      <w:r w:rsidRPr="005A22C2">
        <w:t>ut</w:t>
      </w:r>
      <w:bookmarkEnd w:id="182"/>
      <w:r w:rsidR="0085474D" w:rsidRPr="005A22C2">
        <w:t>ies</w:t>
      </w:r>
      <w:bookmarkEnd w:id="183"/>
    </w:p>
    <w:p w14:paraId="08099773" w14:textId="14A7E91A" w:rsidR="001B3BCC" w:rsidRPr="005A22C2" w:rsidRDefault="00936FE4" w:rsidP="006720A0">
      <w:r w:rsidRPr="005A22C2">
        <w:t xml:space="preserve">Many stakeholders argued in submissions and in the Consultation Groups that the current pricing methodology for </w:t>
      </w:r>
      <w:r w:rsidR="0085474D" w:rsidRPr="005A22C2">
        <w:t>SDA</w:t>
      </w:r>
      <w:r w:rsidRPr="005A22C2">
        <w:t xml:space="preserve"> was </w:t>
      </w:r>
      <w:r w:rsidR="00D86E60" w:rsidRPr="005A22C2">
        <w:t xml:space="preserve">also </w:t>
      </w:r>
      <w:r w:rsidRPr="005A22C2">
        <w:t>flawed as it assumed that all providers faced the same land tax and stamp duty treatment</w:t>
      </w:r>
      <w:r w:rsidR="00D86E60" w:rsidRPr="005A22C2">
        <w:t xml:space="preserve">, whereas these treatments varied between for-profit and not-for-profit providers and </w:t>
      </w:r>
      <w:r w:rsidR="009D45AC" w:rsidRPr="005A22C2">
        <w:t>according to</w:t>
      </w:r>
      <w:r w:rsidR="00D86E60" w:rsidRPr="005A22C2">
        <w:t xml:space="preserve"> the state or territory in which the SDA dwelling was located.</w:t>
      </w:r>
      <w:r w:rsidR="0085474D" w:rsidRPr="005A22C2">
        <w:t xml:space="preserve"> </w:t>
      </w:r>
      <w:r w:rsidR="00A220D6" w:rsidRPr="005A22C2">
        <w:fldChar w:fldCharType="begin"/>
      </w:r>
      <w:r w:rsidR="00A220D6" w:rsidRPr="005A22C2">
        <w:instrText xml:space="preserve"> REF _Ref126101811 \h </w:instrText>
      </w:r>
      <w:r w:rsidR="00EF5856" w:rsidRPr="005A22C2">
        <w:instrText xml:space="preserve"> \* MERGEFORMAT </w:instrText>
      </w:r>
      <w:r w:rsidR="00A220D6" w:rsidRPr="005A22C2">
        <w:fldChar w:fldCharType="separate"/>
      </w:r>
      <w:r w:rsidR="00D3783C">
        <w:t>Table</w:t>
      </w:r>
      <w:r w:rsidR="006772C2" w:rsidRPr="006772C2">
        <w:t xml:space="preserve"> </w:t>
      </w:r>
      <w:r w:rsidR="006772C2" w:rsidRPr="006772C2">
        <w:rPr>
          <w:noProof/>
        </w:rPr>
        <w:t>7</w:t>
      </w:r>
      <w:r w:rsidR="00A220D6" w:rsidRPr="005A22C2">
        <w:fldChar w:fldCharType="end"/>
      </w:r>
      <w:r w:rsidR="00A220D6" w:rsidRPr="005A22C2">
        <w:t xml:space="preserve"> </w:t>
      </w:r>
      <w:r w:rsidR="00D86E60" w:rsidRPr="005A22C2">
        <w:t xml:space="preserve">below </w:t>
      </w:r>
      <w:r w:rsidR="003F6DB0" w:rsidRPr="005A22C2">
        <w:t>outlines</w:t>
      </w:r>
      <w:r w:rsidR="00F519C7" w:rsidRPr="005A22C2">
        <w:t xml:space="preserve"> the </w:t>
      </w:r>
      <w:r w:rsidR="001B3BCC" w:rsidRPr="005A22C2">
        <w:t xml:space="preserve">various </w:t>
      </w:r>
      <w:r w:rsidR="00F519C7" w:rsidRPr="005A22C2">
        <w:t>stamp duty and land tax rates across each of the states and territories</w:t>
      </w:r>
      <w:r w:rsidR="00D86E60" w:rsidRPr="005A22C2">
        <w:t xml:space="preserve"> </w:t>
      </w:r>
      <w:r w:rsidR="002E19BF" w:rsidRPr="005A22C2">
        <w:t xml:space="preserve">as reported in the </w:t>
      </w:r>
      <w:r w:rsidR="00D86E60" w:rsidRPr="005A22C2">
        <w:t>submissions</w:t>
      </w:r>
      <w:r w:rsidR="002E19BF" w:rsidRPr="005A22C2">
        <w:t xml:space="preserve"> received from stakeholders.</w:t>
      </w:r>
    </w:p>
    <w:p w14:paraId="288081E0" w14:textId="25B21FF0" w:rsidR="001B3BCC" w:rsidRPr="00444034" w:rsidRDefault="00F62A8C" w:rsidP="00F62A8C">
      <w:pPr>
        <w:pStyle w:val="Caption"/>
        <w:jc w:val="left"/>
        <w:rPr>
          <w:sz w:val="24"/>
          <w:szCs w:val="24"/>
        </w:rPr>
      </w:pPr>
      <w:bookmarkStart w:id="184" w:name="_Ref126101811"/>
      <w:r w:rsidRPr="00444034">
        <w:rPr>
          <w:sz w:val="24"/>
          <w:szCs w:val="24"/>
        </w:rPr>
        <w:t>Table 7</w:t>
      </w:r>
      <w:bookmarkEnd w:id="184"/>
      <w:r w:rsidR="001B3BCC" w:rsidRPr="00444034">
        <w:rPr>
          <w:sz w:val="24"/>
          <w:szCs w:val="24"/>
        </w:rPr>
        <w:t xml:space="preserve">: </w:t>
      </w:r>
      <w:r w:rsidR="00A220D6" w:rsidRPr="00444034">
        <w:rPr>
          <w:sz w:val="24"/>
          <w:szCs w:val="24"/>
        </w:rPr>
        <w:t>L</w:t>
      </w:r>
      <w:r w:rsidR="001B3BCC" w:rsidRPr="00444034">
        <w:rPr>
          <w:sz w:val="24"/>
          <w:szCs w:val="24"/>
        </w:rPr>
        <w:t>and tax and stamp duty</w:t>
      </w:r>
      <w:r w:rsidR="009D45AC" w:rsidRPr="00444034">
        <w:rPr>
          <w:sz w:val="24"/>
          <w:szCs w:val="24"/>
        </w:rPr>
        <w:t xml:space="preserve"> – Maximum General Rate</w:t>
      </w:r>
    </w:p>
    <w:tbl>
      <w:tblPr>
        <w:tblStyle w:val="GridTable4-Accent1"/>
        <w:tblW w:w="5000" w:type="pct"/>
        <w:tblLook w:val="0420" w:firstRow="1" w:lastRow="0" w:firstColumn="0" w:lastColumn="0" w:noHBand="0" w:noVBand="1"/>
      </w:tblPr>
      <w:tblGrid>
        <w:gridCol w:w="2664"/>
        <w:gridCol w:w="4998"/>
        <w:gridCol w:w="1398"/>
      </w:tblGrid>
      <w:tr w:rsidR="001B3BCC" w:rsidRPr="005A22C2" w14:paraId="669F63EF" w14:textId="77777777" w:rsidTr="00C735C0">
        <w:trPr>
          <w:cnfStyle w:val="100000000000" w:firstRow="1" w:lastRow="0" w:firstColumn="0" w:lastColumn="0" w:oddVBand="0" w:evenVBand="0" w:oddHBand="0" w:evenHBand="0" w:firstRowFirstColumn="0" w:firstRowLastColumn="0" w:lastRowFirstColumn="0" w:lastRowLastColumn="0"/>
          <w:tblHeader/>
        </w:trPr>
        <w:tc>
          <w:tcPr>
            <w:tcW w:w="0" w:type="auto"/>
          </w:tcPr>
          <w:p w14:paraId="65033F12" w14:textId="77777777" w:rsidR="001B3BCC" w:rsidRPr="005A22C2" w:rsidRDefault="001B3BCC" w:rsidP="006720A0">
            <w:r w:rsidRPr="005A22C2">
              <w:t>State</w:t>
            </w:r>
          </w:p>
        </w:tc>
        <w:tc>
          <w:tcPr>
            <w:tcW w:w="0" w:type="auto"/>
          </w:tcPr>
          <w:p w14:paraId="4897876E" w14:textId="38867830" w:rsidR="001B3BCC" w:rsidRPr="005A22C2" w:rsidRDefault="001B3BCC" w:rsidP="006720A0">
            <w:r w:rsidRPr="005A22C2">
              <w:t xml:space="preserve">Land </w:t>
            </w:r>
            <w:r w:rsidR="009D45AC" w:rsidRPr="005A22C2">
              <w:t>T</w:t>
            </w:r>
            <w:r w:rsidRPr="005A22C2">
              <w:t>ax</w:t>
            </w:r>
          </w:p>
        </w:tc>
        <w:tc>
          <w:tcPr>
            <w:tcW w:w="0" w:type="auto"/>
          </w:tcPr>
          <w:p w14:paraId="78336465" w14:textId="242AD899" w:rsidR="001B3BCC" w:rsidRPr="005A22C2" w:rsidRDefault="001B3BCC" w:rsidP="006720A0">
            <w:r w:rsidRPr="005A22C2">
              <w:t xml:space="preserve">Stamp </w:t>
            </w:r>
            <w:r w:rsidR="009D45AC" w:rsidRPr="005A22C2">
              <w:t>D</w:t>
            </w:r>
            <w:r w:rsidRPr="005A22C2">
              <w:t>uty</w:t>
            </w:r>
          </w:p>
        </w:tc>
      </w:tr>
      <w:tr w:rsidR="009D45AC" w:rsidRPr="005A22C2" w14:paraId="70CD8781" w14:textId="77777777" w:rsidTr="00C735C0">
        <w:trPr>
          <w:cnfStyle w:val="000000100000" w:firstRow="0" w:lastRow="0" w:firstColumn="0" w:lastColumn="0" w:oddVBand="0" w:evenVBand="0" w:oddHBand="1" w:evenHBand="0" w:firstRowFirstColumn="0" w:firstRowLastColumn="0" w:lastRowFirstColumn="0" w:lastRowLastColumn="0"/>
        </w:trPr>
        <w:tc>
          <w:tcPr>
            <w:tcW w:w="0" w:type="auto"/>
          </w:tcPr>
          <w:p w14:paraId="04853312" w14:textId="0E5852FC" w:rsidR="009D45AC" w:rsidRPr="005A22C2" w:rsidRDefault="009D45AC" w:rsidP="006720A0">
            <w:r w:rsidRPr="005A22C2">
              <w:t>New South Wales</w:t>
            </w:r>
          </w:p>
        </w:tc>
        <w:tc>
          <w:tcPr>
            <w:tcW w:w="0" w:type="auto"/>
          </w:tcPr>
          <w:p w14:paraId="0504FD21" w14:textId="402BCD03" w:rsidR="009D45AC" w:rsidRPr="005A22C2" w:rsidRDefault="009D45AC" w:rsidP="006720A0">
            <w:r w:rsidRPr="005A22C2">
              <w:t>2.0</w:t>
            </w:r>
            <w:r w:rsidR="005858B3" w:rsidRPr="005A22C2">
              <w:t>%</w:t>
            </w:r>
          </w:p>
        </w:tc>
        <w:tc>
          <w:tcPr>
            <w:tcW w:w="0" w:type="auto"/>
          </w:tcPr>
          <w:p w14:paraId="2B6F8852" w14:textId="11582C2D" w:rsidR="009D45AC" w:rsidRPr="005A22C2" w:rsidRDefault="009D45AC" w:rsidP="006720A0">
            <w:r w:rsidRPr="005A22C2">
              <w:t>5.5</w:t>
            </w:r>
            <w:r w:rsidR="005858B3" w:rsidRPr="005A22C2">
              <w:t>%</w:t>
            </w:r>
          </w:p>
        </w:tc>
      </w:tr>
      <w:tr w:rsidR="009D45AC" w:rsidRPr="005A22C2" w14:paraId="521E4AB4" w14:textId="77777777" w:rsidTr="00C735C0">
        <w:tc>
          <w:tcPr>
            <w:tcW w:w="0" w:type="auto"/>
          </w:tcPr>
          <w:p w14:paraId="0BC9C1BC" w14:textId="77777777" w:rsidR="009D45AC" w:rsidRPr="005A22C2" w:rsidRDefault="009D45AC" w:rsidP="006720A0">
            <w:r w:rsidRPr="005A22C2">
              <w:t>Victoria</w:t>
            </w:r>
          </w:p>
        </w:tc>
        <w:tc>
          <w:tcPr>
            <w:tcW w:w="0" w:type="auto"/>
          </w:tcPr>
          <w:p w14:paraId="561A1114" w14:textId="5D6B9853" w:rsidR="009D45AC" w:rsidRPr="005A22C2" w:rsidRDefault="009D45AC" w:rsidP="006720A0">
            <w:r w:rsidRPr="005A22C2">
              <w:t>2.55</w:t>
            </w:r>
            <w:r w:rsidR="005858B3" w:rsidRPr="005A22C2">
              <w:t>%</w:t>
            </w:r>
          </w:p>
        </w:tc>
        <w:tc>
          <w:tcPr>
            <w:tcW w:w="0" w:type="auto"/>
          </w:tcPr>
          <w:p w14:paraId="410E068E" w14:textId="6785A0F1" w:rsidR="009D45AC" w:rsidRPr="005A22C2" w:rsidRDefault="009D45AC" w:rsidP="006720A0">
            <w:r w:rsidRPr="005A22C2">
              <w:t>6.5</w:t>
            </w:r>
            <w:r w:rsidR="005858B3" w:rsidRPr="005A22C2">
              <w:t>%</w:t>
            </w:r>
          </w:p>
        </w:tc>
      </w:tr>
      <w:tr w:rsidR="009D45AC" w:rsidRPr="005A22C2" w14:paraId="1798C142" w14:textId="77777777" w:rsidTr="00C735C0">
        <w:trPr>
          <w:cnfStyle w:val="000000100000" w:firstRow="0" w:lastRow="0" w:firstColumn="0" w:lastColumn="0" w:oddVBand="0" w:evenVBand="0" w:oddHBand="1" w:evenHBand="0" w:firstRowFirstColumn="0" w:firstRowLastColumn="0" w:lastRowFirstColumn="0" w:lastRowLastColumn="0"/>
        </w:trPr>
        <w:tc>
          <w:tcPr>
            <w:tcW w:w="0" w:type="auto"/>
          </w:tcPr>
          <w:p w14:paraId="6F24C26A" w14:textId="49B9B2AD" w:rsidR="009D45AC" w:rsidRPr="005A22C2" w:rsidRDefault="009D45AC" w:rsidP="006720A0">
            <w:r w:rsidRPr="005A22C2">
              <w:t>Queensland</w:t>
            </w:r>
          </w:p>
        </w:tc>
        <w:tc>
          <w:tcPr>
            <w:tcW w:w="0" w:type="auto"/>
          </w:tcPr>
          <w:p w14:paraId="70435357" w14:textId="0FFBE49B" w:rsidR="009D45AC" w:rsidRPr="005A22C2" w:rsidRDefault="009D45AC" w:rsidP="006720A0">
            <w:r w:rsidRPr="005A22C2">
              <w:t>2.75</w:t>
            </w:r>
            <w:r w:rsidR="005858B3" w:rsidRPr="005A22C2">
              <w:t>%</w:t>
            </w:r>
          </w:p>
        </w:tc>
        <w:tc>
          <w:tcPr>
            <w:tcW w:w="0" w:type="auto"/>
          </w:tcPr>
          <w:p w14:paraId="61E1341A" w14:textId="6E6E7772" w:rsidR="009D45AC" w:rsidRPr="005A22C2" w:rsidRDefault="009D45AC" w:rsidP="006720A0">
            <w:r w:rsidRPr="005A22C2">
              <w:t>5.75</w:t>
            </w:r>
            <w:r w:rsidR="005858B3" w:rsidRPr="005A22C2">
              <w:t>%</w:t>
            </w:r>
          </w:p>
        </w:tc>
      </w:tr>
      <w:tr w:rsidR="009D45AC" w:rsidRPr="005A22C2" w14:paraId="708BBAEB" w14:textId="77777777" w:rsidTr="00C735C0">
        <w:tc>
          <w:tcPr>
            <w:tcW w:w="0" w:type="auto"/>
          </w:tcPr>
          <w:p w14:paraId="3D8A1069" w14:textId="77777777" w:rsidR="009D45AC" w:rsidRPr="005A22C2" w:rsidRDefault="009D45AC" w:rsidP="006720A0">
            <w:r w:rsidRPr="005A22C2">
              <w:t>South Australia</w:t>
            </w:r>
          </w:p>
        </w:tc>
        <w:tc>
          <w:tcPr>
            <w:tcW w:w="0" w:type="auto"/>
          </w:tcPr>
          <w:p w14:paraId="74A46AB3" w14:textId="74F7EF79" w:rsidR="009D45AC" w:rsidRPr="005A22C2" w:rsidRDefault="009D45AC" w:rsidP="006720A0">
            <w:r w:rsidRPr="005A22C2">
              <w:t>2.4</w:t>
            </w:r>
            <w:r w:rsidR="005858B3" w:rsidRPr="005A22C2">
              <w:t>%</w:t>
            </w:r>
          </w:p>
        </w:tc>
        <w:tc>
          <w:tcPr>
            <w:tcW w:w="0" w:type="auto"/>
          </w:tcPr>
          <w:p w14:paraId="629E5E12" w14:textId="47B155E3" w:rsidR="009D45AC" w:rsidRPr="005A22C2" w:rsidRDefault="009D45AC" w:rsidP="006720A0">
            <w:r w:rsidRPr="005A22C2">
              <w:t>5.5</w:t>
            </w:r>
            <w:r w:rsidR="005858B3" w:rsidRPr="005A22C2">
              <w:t>%</w:t>
            </w:r>
          </w:p>
        </w:tc>
      </w:tr>
      <w:tr w:rsidR="009D45AC" w:rsidRPr="005A22C2" w14:paraId="3F65DF1B" w14:textId="77777777" w:rsidTr="00C735C0">
        <w:trPr>
          <w:cnfStyle w:val="000000100000" w:firstRow="0" w:lastRow="0" w:firstColumn="0" w:lastColumn="0" w:oddVBand="0" w:evenVBand="0" w:oddHBand="1" w:evenHBand="0" w:firstRowFirstColumn="0" w:firstRowLastColumn="0" w:lastRowFirstColumn="0" w:lastRowLastColumn="0"/>
        </w:trPr>
        <w:tc>
          <w:tcPr>
            <w:tcW w:w="0" w:type="auto"/>
          </w:tcPr>
          <w:p w14:paraId="3B8EB62B" w14:textId="77777777" w:rsidR="009D45AC" w:rsidRPr="005A22C2" w:rsidRDefault="009D45AC" w:rsidP="006720A0">
            <w:r w:rsidRPr="005A22C2">
              <w:t>Western Australia</w:t>
            </w:r>
          </w:p>
        </w:tc>
        <w:tc>
          <w:tcPr>
            <w:tcW w:w="0" w:type="auto"/>
          </w:tcPr>
          <w:p w14:paraId="6CEF5F91" w14:textId="0EB7200A" w:rsidR="009D45AC" w:rsidRPr="005A22C2" w:rsidRDefault="009D45AC" w:rsidP="006720A0">
            <w:r w:rsidRPr="005A22C2">
              <w:t>2.67</w:t>
            </w:r>
            <w:r w:rsidR="005858B3" w:rsidRPr="005A22C2">
              <w:t>%</w:t>
            </w:r>
          </w:p>
        </w:tc>
        <w:tc>
          <w:tcPr>
            <w:tcW w:w="0" w:type="auto"/>
          </w:tcPr>
          <w:p w14:paraId="3632369C" w14:textId="2DBD4D9E" w:rsidR="009D45AC" w:rsidRPr="005A22C2" w:rsidRDefault="009D45AC" w:rsidP="006720A0">
            <w:r w:rsidRPr="005A22C2">
              <w:t>5.15</w:t>
            </w:r>
            <w:r w:rsidR="005858B3" w:rsidRPr="005A22C2">
              <w:t>%</w:t>
            </w:r>
          </w:p>
        </w:tc>
      </w:tr>
      <w:tr w:rsidR="009D45AC" w:rsidRPr="005A22C2" w14:paraId="1B1A4B49" w14:textId="77777777" w:rsidTr="00C735C0">
        <w:tc>
          <w:tcPr>
            <w:tcW w:w="0" w:type="auto"/>
          </w:tcPr>
          <w:p w14:paraId="052F599D" w14:textId="77777777" w:rsidR="009D45AC" w:rsidRPr="005A22C2" w:rsidRDefault="009D45AC" w:rsidP="006720A0">
            <w:r w:rsidRPr="005A22C2">
              <w:t>Tasmania</w:t>
            </w:r>
          </w:p>
        </w:tc>
        <w:tc>
          <w:tcPr>
            <w:tcW w:w="0" w:type="auto"/>
          </w:tcPr>
          <w:p w14:paraId="048D9D87" w14:textId="003608FA" w:rsidR="009D45AC" w:rsidRPr="005A22C2" w:rsidRDefault="009D45AC" w:rsidP="006720A0">
            <w:r w:rsidRPr="005A22C2">
              <w:t>1.5</w:t>
            </w:r>
            <w:r w:rsidR="005858B3" w:rsidRPr="005A22C2">
              <w:t>%</w:t>
            </w:r>
          </w:p>
        </w:tc>
        <w:tc>
          <w:tcPr>
            <w:tcW w:w="0" w:type="auto"/>
          </w:tcPr>
          <w:p w14:paraId="47E0EE14" w14:textId="743B06C8" w:rsidR="009D45AC" w:rsidRPr="005A22C2" w:rsidRDefault="009D45AC" w:rsidP="006720A0">
            <w:r w:rsidRPr="005A22C2">
              <w:t>4.5</w:t>
            </w:r>
            <w:r w:rsidR="005858B3" w:rsidRPr="005A22C2">
              <w:t>%</w:t>
            </w:r>
          </w:p>
        </w:tc>
      </w:tr>
      <w:tr w:rsidR="009D45AC" w:rsidRPr="005A22C2" w14:paraId="3C6EFE86" w14:textId="77777777" w:rsidTr="00C735C0">
        <w:trPr>
          <w:cnfStyle w:val="000000100000" w:firstRow="0" w:lastRow="0" w:firstColumn="0" w:lastColumn="0" w:oddVBand="0" w:evenVBand="0" w:oddHBand="1" w:evenHBand="0" w:firstRowFirstColumn="0" w:firstRowLastColumn="0" w:lastRowFirstColumn="0" w:lastRowLastColumn="0"/>
        </w:trPr>
        <w:tc>
          <w:tcPr>
            <w:tcW w:w="0" w:type="auto"/>
          </w:tcPr>
          <w:p w14:paraId="5516E196" w14:textId="77777777" w:rsidR="009D45AC" w:rsidRPr="005A22C2" w:rsidRDefault="009D45AC" w:rsidP="006720A0">
            <w:r w:rsidRPr="005A22C2">
              <w:t>Australian Capital Territory</w:t>
            </w:r>
          </w:p>
        </w:tc>
        <w:tc>
          <w:tcPr>
            <w:tcW w:w="0" w:type="auto"/>
          </w:tcPr>
          <w:p w14:paraId="69D91BAB" w14:textId="153ECD2D" w:rsidR="009D45AC" w:rsidRPr="005A22C2" w:rsidRDefault="009D45AC" w:rsidP="006720A0">
            <w:r w:rsidRPr="005A22C2">
              <w:t xml:space="preserve">Fixed charge </w:t>
            </w:r>
            <w:r w:rsidR="0015492D">
              <w:t>of</w:t>
            </w:r>
            <w:r w:rsidRPr="005A22C2">
              <w:t xml:space="preserve"> $1,392 plus a valuation charge</w:t>
            </w:r>
            <w:r w:rsidR="00E43241">
              <w:t xml:space="preserve"> of</w:t>
            </w:r>
            <w:r w:rsidRPr="005A22C2">
              <w:t>- 1.14</w:t>
            </w:r>
            <w:r w:rsidR="005858B3" w:rsidRPr="005A22C2">
              <w:t>%</w:t>
            </w:r>
          </w:p>
        </w:tc>
        <w:tc>
          <w:tcPr>
            <w:tcW w:w="0" w:type="auto"/>
          </w:tcPr>
          <w:p w14:paraId="490769B4" w14:textId="01A31D9E" w:rsidR="009D45AC" w:rsidRPr="005A22C2" w:rsidRDefault="009D45AC" w:rsidP="006720A0">
            <w:r w:rsidRPr="005A22C2">
              <w:t>5.0</w:t>
            </w:r>
            <w:r w:rsidR="005858B3" w:rsidRPr="005A22C2">
              <w:t>%</w:t>
            </w:r>
          </w:p>
        </w:tc>
      </w:tr>
      <w:tr w:rsidR="009D45AC" w:rsidRPr="005A22C2" w14:paraId="057FCE7B" w14:textId="77777777" w:rsidTr="00C735C0">
        <w:tc>
          <w:tcPr>
            <w:tcW w:w="0" w:type="auto"/>
          </w:tcPr>
          <w:p w14:paraId="79C9B0C5" w14:textId="77777777" w:rsidR="009D45AC" w:rsidRPr="005A22C2" w:rsidRDefault="009D45AC" w:rsidP="006720A0">
            <w:r w:rsidRPr="005A22C2">
              <w:lastRenderedPageBreak/>
              <w:t xml:space="preserve">Northern Territory </w:t>
            </w:r>
          </w:p>
        </w:tc>
        <w:tc>
          <w:tcPr>
            <w:tcW w:w="0" w:type="auto"/>
          </w:tcPr>
          <w:p w14:paraId="498F6A14" w14:textId="77777777" w:rsidR="009D45AC" w:rsidRPr="005A22C2" w:rsidRDefault="009D45AC" w:rsidP="006720A0">
            <w:r w:rsidRPr="005A22C2">
              <w:t>n/a</w:t>
            </w:r>
          </w:p>
        </w:tc>
        <w:tc>
          <w:tcPr>
            <w:tcW w:w="0" w:type="auto"/>
          </w:tcPr>
          <w:p w14:paraId="1DE56C7E" w14:textId="349BF982" w:rsidR="009D45AC" w:rsidRPr="005A22C2" w:rsidRDefault="009D45AC" w:rsidP="006720A0">
            <w:r w:rsidRPr="005A22C2">
              <w:t>5.95</w:t>
            </w:r>
            <w:r w:rsidR="005858B3" w:rsidRPr="005A22C2">
              <w:t>%</w:t>
            </w:r>
          </w:p>
        </w:tc>
      </w:tr>
    </w:tbl>
    <w:p w14:paraId="726286AF" w14:textId="06EDE74D" w:rsidR="001E19D0" w:rsidRPr="00444034" w:rsidRDefault="001E19D0" w:rsidP="001E19D0">
      <w:pPr>
        <w:pStyle w:val="Caption"/>
        <w:spacing w:before="0" w:after="0"/>
        <w:jc w:val="left"/>
        <w:rPr>
          <w:sz w:val="24"/>
          <w:szCs w:val="24"/>
        </w:rPr>
      </w:pPr>
      <w:r w:rsidRPr="00444034">
        <w:rPr>
          <w:sz w:val="24"/>
          <w:szCs w:val="24"/>
        </w:rPr>
        <w:t>End of Table 7</w:t>
      </w:r>
    </w:p>
    <w:p w14:paraId="593FE98C" w14:textId="3D7FFEE6" w:rsidR="009D45AC" w:rsidRPr="005A22C2" w:rsidRDefault="009D45AC" w:rsidP="006720A0">
      <w:r w:rsidRPr="005A22C2">
        <w:t xml:space="preserve">A stakeholder from the SDA Institutional Investors </w:t>
      </w:r>
      <w:r w:rsidR="00D84C52" w:rsidRPr="005A22C2">
        <w:t>Consultation Group</w:t>
      </w:r>
      <w:r w:rsidRPr="005A22C2">
        <w:t xml:space="preserve"> stated that there was a 60</w:t>
      </w:r>
      <w:r w:rsidR="000A4B66">
        <w:t xml:space="preserve"> to </w:t>
      </w:r>
      <w:r w:rsidRPr="005A22C2">
        <w:t>70 basis points difference on returns between states where a developer can receive a land tax exemption for SDA (such as Victoria) and those where they cannot. Another stakeholder reported that Queensland also offers land tax exemptions in some circumstances, but that these concessions are not commonly employed by SDA providers as it requires declaring properties as commercial builds, which goes against the intent of the NDIS.</w:t>
      </w:r>
    </w:p>
    <w:p w14:paraId="080A939C" w14:textId="05145A81" w:rsidR="002E19BF" w:rsidRPr="005A22C2" w:rsidRDefault="002E19BF" w:rsidP="006720A0">
      <w:r w:rsidRPr="005A22C2">
        <w:t xml:space="preserve">Several stakeholders </w:t>
      </w:r>
      <w:r w:rsidR="005361D4" w:rsidRPr="005A22C2">
        <w:t>stated</w:t>
      </w:r>
      <w:r w:rsidRPr="005A22C2">
        <w:t xml:space="preserve"> that if major investors are located offshore, they can be subject to surcharges on stamp duty and land tax, which can reduce returns further. </w:t>
      </w:r>
      <w:r w:rsidRPr="005A22C2">
        <w:fldChar w:fldCharType="begin"/>
      </w:r>
      <w:r w:rsidRPr="005A22C2">
        <w:instrText xml:space="preserve"> REF _Ref126336911 \h </w:instrText>
      </w:r>
      <w:r w:rsidR="00EF5856" w:rsidRPr="005A22C2">
        <w:instrText xml:space="preserve"> \* MERGEFORMAT </w:instrText>
      </w:r>
      <w:r w:rsidRPr="005A22C2">
        <w:fldChar w:fldCharType="separate"/>
      </w:r>
      <w:r w:rsidR="00E9383C">
        <w:t xml:space="preserve">Table </w:t>
      </w:r>
      <w:r w:rsidR="006772C2" w:rsidRPr="006772C2">
        <w:rPr>
          <w:noProof/>
        </w:rPr>
        <w:t>8</w:t>
      </w:r>
      <w:r w:rsidRPr="005A22C2">
        <w:fldChar w:fldCharType="end"/>
      </w:r>
      <w:r w:rsidRPr="005A22C2">
        <w:t xml:space="preserve"> below outlines the various foreign investment land tax and stamp duty surcharges across each of the states and territories as</w:t>
      </w:r>
      <w:r w:rsidR="00D137E2" w:rsidRPr="005A22C2">
        <w:t xml:space="preserve"> </w:t>
      </w:r>
      <w:r w:rsidRPr="005A22C2">
        <w:t>reported in the submissions received from stakeholders.</w:t>
      </w:r>
    </w:p>
    <w:p w14:paraId="37A4AF38" w14:textId="255946EA" w:rsidR="002E19BF" w:rsidRPr="00444034" w:rsidRDefault="001E19D0" w:rsidP="001E19D0">
      <w:pPr>
        <w:pStyle w:val="Caption"/>
        <w:jc w:val="left"/>
        <w:rPr>
          <w:sz w:val="24"/>
          <w:szCs w:val="24"/>
        </w:rPr>
      </w:pPr>
      <w:bookmarkStart w:id="185" w:name="_Ref126068915"/>
      <w:bookmarkStart w:id="186" w:name="_Ref126336911"/>
      <w:r w:rsidRPr="00444034">
        <w:rPr>
          <w:sz w:val="24"/>
          <w:szCs w:val="24"/>
        </w:rPr>
        <w:t>table 8</w:t>
      </w:r>
      <w:bookmarkEnd w:id="185"/>
      <w:bookmarkEnd w:id="186"/>
      <w:r w:rsidR="002E19BF" w:rsidRPr="00444034">
        <w:rPr>
          <w:sz w:val="24"/>
          <w:szCs w:val="24"/>
        </w:rPr>
        <w:t>: Foreign investment land tax and stamp duty foreign investment surcharges</w:t>
      </w:r>
    </w:p>
    <w:tbl>
      <w:tblPr>
        <w:tblStyle w:val="GridTable4-Accent1"/>
        <w:tblW w:w="5000" w:type="pct"/>
        <w:tblLook w:val="0420" w:firstRow="1" w:lastRow="0" w:firstColumn="0" w:lastColumn="0" w:noHBand="0" w:noVBand="1"/>
      </w:tblPr>
      <w:tblGrid>
        <w:gridCol w:w="3303"/>
        <w:gridCol w:w="2727"/>
        <w:gridCol w:w="3030"/>
      </w:tblGrid>
      <w:tr w:rsidR="002E19BF" w:rsidRPr="005A22C2" w14:paraId="672896A0" w14:textId="77777777" w:rsidTr="00C735C0">
        <w:trPr>
          <w:cnfStyle w:val="100000000000" w:firstRow="1" w:lastRow="0" w:firstColumn="0" w:lastColumn="0" w:oddVBand="0" w:evenVBand="0" w:oddHBand="0" w:evenHBand="0" w:firstRowFirstColumn="0" w:firstRowLastColumn="0" w:lastRowFirstColumn="0" w:lastRowLastColumn="0"/>
          <w:tblHeader/>
        </w:trPr>
        <w:tc>
          <w:tcPr>
            <w:tcW w:w="0" w:type="auto"/>
          </w:tcPr>
          <w:p w14:paraId="6D5FD207" w14:textId="77777777" w:rsidR="002E19BF" w:rsidRPr="005A22C2" w:rsidRDefault="002E19BF" w:rsidP="006720A0">
            <w:r w:rsidRPr="005A22C2">
              <w:t>State</w:t>
            </w:r>
          </w:p>
        </w:tc>
        <w:tc>
          <w:tcPr>
            <w:tcW w:w="0" w:type="auto"/>
          </w:tcPr>
          <w:p w14:paraId="100958C6" w14:textId="38955AE4" w:rsidR="002E19BF" w:rsidRPr="005A22C2" w:rsidRDefault="002E19BF" w:rsidP="0056520C">
            <w:pPr>
              <w:jc w:val="right"/>
            </w:pPr>
            <w:r w:rsidRPr="005A22C2">
              <w:t>Land Tax Surcharge</w:t>
            </w:r>
          </w:p>
        </w:tc>
        <w:tc>
          <w:tcPr>
            <w:tcW w:w="0" w:type="auto"/>
          </w:tcPr>
          <w:p w14:paraId="519F4BB7" w14:textId="121EFFF2" w:rsidR="002E19BF" w:rsidRPr="005A22C2" w:rsidRDefault="002E19BF" w:rsidP="0056520C">
            <w:pPr>
              <w:jc w:val="right"/>
            </w:pPr>
            <w:r w:rsidRPr="005A22C2">
              <w:t>Stamp Duty Surcharge</w:t>
            </w:r>
          </w:p>
        </w:tc>
      </w:tr>
      <w:tr w:rsidR="002E19BF" w:rsidRPr="005A22C2" w14:paraId="246F7AE2" w14:textId="77777777" w:rsidTr="00C735C0">
        <w:trPr>
          <w:cnfStyle w:val="000000100000" w:firstRow="0" w:lastRow="0" w:firstColumn="0" w:lastColumn="0" w:oddVBand="0" w:evenVBand="0" w:oddHBand="1" w:evenHBand="0" w:firstRowFirstColumn="0" w:firstRowLastColumn="0" w:lastRowFirstColumn="0" w:lastRowLastColumn="0"/>
        </w:trPr>
        <w:tc>
          <w:tcPr>
            <w:tcW w:w="0" w:type="auto"/>
          </w:tcPr>
          <w:p w14:paraId="1B276E97" w14:textId="77777777" w:rsidR="002E19BF" w:rsidRPr="005A22C2" w:rsidRDefault="002E19BF" w:rsidP="006720A0">
            <w:r w:rsidRPr="005A22C2">
              <w:t>New South Wales</w:t>
            </w:r>
          </w:p>
        </w:tc>
        <w:tc>
          <w:tcPr>
            <w:tcW w:w="0" w:type="auto"/>
          </w:tcPr>
          <w:p w14:paraId="52CA5100" w14:textId="51B5E215" w:rsidR="002E19BF" w:rsidRPr="005A22C2" w:rsidRDefault="002E19BF" w:rsidP="0056520C">
            <w:pPr>
              <w:jc w:val="right"/>
            </w:pPr>
            <w:r w:rsidRPr="005A22C2">
              <w:t>2.0</w:t>
            </w:r>
            <w:r w:rsidR="005858B3" w:rsidRPr="005A22C2">
              <w:t>%</w:t>
            </w:r>
          </w:p>
        </w:tc>
        <w:tc>
          <w:tcPr>
            <w:tcW w:w="0" w:type="auto"/>
          </w:tcPr>
          <w:p w14:paraId="3692450B" w14:textId="5E98F4F2" w:rsidR="002E19BF" w:rsidRPr="005A22C2" w:rsidRDefault="002E19BF" w:rsidP="0056520C">
            <w:pPr>
              <w:jc w:val="right"/>
            </w:pPr>
            <w:r w:rsidRPr="005A22C2">
              <w:t>8.0</w:t>
            </w:r>
            <w:r w:rsidR="005858B3" w:rsidRPr="005A22C2">
              <w:t>%</w:t>
            </w:r>
          </w:p>
        </w:tc>
      </w:tr>
      <w:tr w:rsidR="002E19BF" w:rsidRPr="005A22C2" w14:paraId="4259284B" w14:textId="77777777" w:rsidTr="00C735C0">
        <w:tc>
          <w:tcPr>
            <w:tcW w:w="0" w:type="auto"/>
          </w:tcPr>
          <w:p w14:paraId="63C9F94E" w14:textId="77777777" w:rsidR="002E19BF" w:rsidRPr="005A22C2" w:rsidRDefault="002E19BF" w:rsidP="006720A0">
            <w:r w:rsidRPr="005A22C2">
              <w:t>Victoria</w:t>
            </w:r>
          </w:p>
        </w:tc>
        <w:tc>
          <w:tcPr>
            <w:tcW w:w="0" w:type="auto"/>
          </w:tcPr>
          <w:p w14:paraId="566E10EF" w14:textId="041ABFD5" w:rsidR="002E19BF" w:rsidRPr="005A22C2" w:rsidRDefault="002E19BF" w:rsidP="0056520C">
            <w:pPr>
              <w:jc w:val="right"/>
            </w:pPr>
            <w:r w:rsidRPr="005A22C2">
              <w:t>2.0</w:t>
            </w:r>
            <w:r w:rsidR="005858B3" w:rsidRPr="005A22C2">
              <w:t>%</w:t>
            </w:r>
          </w:p>
        </w:tc>
        <w:tc>
          <w:tcPr>
            <w:tcW w:w="0" w:type="auto"/>
          </w:tcPr>
          <w:p w14:paraId="578C745E" w14:textId="13DF9477" w:rsidR="002E19BF" w:rsidRPr="005A22C2" w:rsidRDefault="002E19BF" w:rsidP="0056520C">
            <w:pPr>
              <w:jc w:val="right"/>
            </w:pPr>
            <w:r w:rsidRPr="005A22C2">
              <w:t>8.0</w:t>
            </w:r>
            <w:r w:rsidR="005858B3" w:rsidRPr="005A22C2">
              <w:t>%</w:t>
            </w:r>
          </w:p>
        </w:tc>
      </w:tr>
      <w:tr w:rsidR="002E19BF" w:rsidRPr="005A22C2" w14:paraId="5C7C683F" w14:textId="77777777" w:rsidTr="00C735C0">
        <w:trPr>
          <w:cnfStyle w:val="000000100000" w:firstRow="0" w:lastRow="0" w:firstColumn="0" w:lastColumn="0" w:oddVBand="0" w:evenVBand="0" w:oddHBand="1" w:evenHBand="0" w:firstRowFirstColumn="0" w:firstRowLastColumn="0" w:lastRowFirstColumn="0" w:lastRowLastColumn="0"/>
        </w:trPr>
        <w:tc>
          <w:tcPr>
            <w:tcW w:w="0" w:type="auto"/>
          </w:tcPr>
          <w:p w14:paraId="716B9F88" w14:textId="77777777" w:rsidR="002E19BF" w:rsidRPr="005A22C2" w:rsidRDefault="002E19BF" w:rsidP="006720A0">
            <w:r w:rsidRPr="005A22C2">
              <w:t>Queensland</w:t>
            </w:r>
          </w:p>
        </w:tc>
        <w:tc>
          <w:tcPr>
            <w:tcW w:w="0" w:type="auto"/>
          </w:tcPr>
          <w:p w14:paraId="48D41FE3" w14:textId="1577DF55" w:rsidR="002E19BF" w:rsidRPr="005A22C2" w:rsidRDefault="002E19BF" w:rsidP="0056520C">
            <w:pPr>
              <w:jc w:val="right"/>
            </w:pPr>
            <w:r w:rsidRPr="005A22C2">
              <w:t>2.0</w:t>
            </w:r>
            <w:r w:rsidR="005858B3" w:rsidRPr="005A22C2">
              <w:t>%</w:t>
            </w:r>
          </w:p>
        </w:tc>
        <w:tc>
          <w:tcPr>
            <w:tcW w:w="0" w:type="auto"/>
          </w:tcPr>
          <w:p w14:paraId="0CD82E7F" w14:textId="7754603D" w:rsidR="002E19BF" w:rsidRPr="005A22C2" w:rsidRDefault="002E19BF" w:rsidP="0056520C">
            <w:pPr>
              <w:jc w:val="right"/>
            </w:pPr>
            <w:r w:rsidRPr="005A22C2">
              <w:t>7.0</w:t>
            </w:r>
            <w:r w:rsidR="005858B3" w:rsidRPr="005A22C2">
              <w:t>%</w:t>
            </w:r>
          </w:p>
        </w:tc>
      </w:tr>
      <w:tr w:rsidR="002E19BF" w:rsidRPr="005A22C2" w14:paraId="313A11C0" w14:textId="77777777" w:rsidTr="00C735C0">
        <w:tc>
          <w:tcPr>
            <w:tcW w:w="0" w:type="auto"/>
          </w:tcPr>
          <w:p w14:paraId="2BB815E0" w14:textId="77777777" w:rsidR="002E19BF" w:rsidRPr="005A22C2" w:rsidRDefault="002E19BF" w:rsidP="006720A0">
            <w:r w:rsidRPr="005A22C2">
              <w:t>South Australia</w:t>
            </w:r>
          </w:p>
        </w:tc>
        <w:tc>
          <w:tcPr>
            <w:tcW w:w="0" w:type="auto"/>
          </w:tcPr>
          <w:p w14:paraId="502BF5CF" w14:textId="7D3C8F65" w:rsidR="002E19BF" w:rsidRPr="005A22C2" w:rsidRDefault="002E19BF" w:rsidP="0056520C">
            <w:pPr>
              <w:jc w:val="right"/>
            </w:pPr>
            <w:r w:rsidRPr="005A22C2">
              <w:t>n/a</w:t>
            </w:r>
          </w:p>
        </w:tc>
        <w:tc>
          <w:tcPr>
            <w:tcW w:w="0" w:type="auto"/>
          </w:tcPr>
          <w:p w14:paraId="4181F252" w14:textId="541C5DE1" w:rsidR="002E19BF" w:rsidRPr="005A22C2" w:rsidRDefault="002E19BF" w:rsidP="0056520C">
            <w:pPr>
              <w:jc w:val="right"/>
            </w:pPr>
            <w:r w:rsidRPr="005A22C2">
              <w:t>7.0</w:t>
            </w:r>
            <w:r w:rsidR="005858B3" w:rsidRPr="005A22C2">
              <w:t>%</w:t>
            </w:r>
          </w:p>
        </w:tc>
      </w:tr>
      <w:tr w:rsidR="002E19BF" w:rsidRPr="005A22C2" w14:paraId="35637B6F" w14:textId="77777777" w:rsidTr="00C735C0">
        <w:trPr>
          <w:cnfStyle w:val="000000100000" w:firstRow="0" w:lastRow="0" w:firstColumn="0" w:lastColumn="0" w:oddVBand="0" w:evenVBand="0" w:oddHBand="1" w:evenHBand="0" w:firstRowFirstColumn="0" w:firstRowLastColumn="0" w:lastRowFirstColumn="0" w:lastRowLastColumn="0"/>
        </w:trPr>
        <w:tc>
          <w:tcPr>
            <w:tcW w:w="0" w:type="auto"/>
          </w:tcPr>
          <w:p w14:paraId="1BC7C40D" w14:textId="77777777" w:rsidR="002E19BF" w:rsidRPr="005A22C2" w:rsidRDefault="002E19BF" w:rsidP="006720A0">
            <w:r w:rsidRPr="005A22C2">
              <w:t>Western Australia</w:t>
            </w:r>
          </w:p>
        </w:tc>
        <w:tc>
          <w:tcPr>
            <w:tcW w:w="0" w:type="auto"/>
          </w:tcPr>
          <w:p w14:paraId="59B8DD45" w14:textId="39121E50" w:rsidR="002E19BF" w:rsidRPr="005A22C2" w:rsidRDefault="002E19BF" w:rsidP="0056520C">
            <w:pPr>
              <w:jc w:val="right"/>
            </w:pPr>
            <w:r w:rsidRPr="005A22C2">
              <w:t>n/a</w:t>
            </w:r>
          </w:p>
        </w:tc>
        <w:tc>
          <w:tcPr>
            <w:tcW w:w="0" w:type="auto"/>
          </w:tcPr>
          <w:p w14:paraId="240D82E6" w14:textId="467583EA" w:rsidR="002E19BF" w:rsidRPr="005A22C2" w:rsidRDefault="002E19BF" w:rsidP="0056520C">
            <w:pPr>
              <w:jc w:val="right"/>
            </w:pPr>
            <w:r w:rsidRPr="005A22C2">
              <w:t>7.0</w:t>
            </w:r>
            <w:r w:rsidR="005858B3" w:rsidRPr="005A22C2">
              <w:t>%</w:t>
            </w:r>
          </w:p>
        </w:tc>
      </w:tr>
      <w:tr w:rsidR="002E19BF" w:rsidRPr="005A22C2" w14:paraId="56FB8DA2" w14:textId="77777777" w:rsidTr="00C735C0">
        <w:tc>
          <w:tcPr>
            <w:tcW w:w="0" w:type="auto"/>
          </w:tcPr>
          <w:p w14:paraId="44832EE9" w14:textId="77777777" w:rsidR="002E19BF" w:rsidRPr="005A22C2" w:rsidRDefault="002E19BF" w:rsidP="006720A0">
            <w:r w:rsidRPr="005A22C2">
              <w:t>Tasmania</w:t>
            </w:r>
          </w:p>
        </w:tc>
        <w:tc>
          <w:tcPr>
            <w:tcW w:w="0" w:type="auto"/>
          </w:tcPr>
          <w:p w14:paraId="77AB7576" w14:textId="7746131B" w:rsidR="002E19BF" w:rsidRPr="005A22C2" w:rsidRDefault="002E19BF" w:rsidP="0056520C">
            <w:pPr>
              <w:jc w:val="right"/>
            </w:pPr>
            <w:r w:rsidRPr="005A22C2">
              <w:t>n/a</w:t>
            </w:r>
          </w:p>
        </w:tc>
        <w:tc>
          <w:tcPr>
            <w:tcW w:w="0" w:type="auto"/>
          </w:tcPr>
          <w:p w14:paraId="07C62163" w14:textId="6A4EE7DD" w:rsidR="002E19BF" w:rsidRPr="005A22C2" w:rsidRDefault="002E19BF" w:rsidP="0056520C">
            <w:pPr>
              <w:jc w:val="right"/>
            </w:pPr>
            <w:r w:rsidRPr="005A22C2">
              <w:t>8.0</w:t>
            </w:r>
            <w:r w:rsidR="005858B3" w:rsidRPr="005A22C2">
              <w:t>%</w:t>
            </w:r>
          </w:p>
        </w:tc>
      </w:tr>
      <w:tr w:rsidR="002E19BF" w:rsidRPr="005A22C2" w14:paraId="71B54B5F" w14:textId="77777777" w:rsidTr="00C735C0">
        <w:trPr>
          <w:cnfStyle w:val="000000100000" w:firstRow="0" w:lastRow="0" w:firstColumn="0" w:lastColumn="0" w:oddVBand="0" w:evenVBand="0" w:oddHBand="1" w:evenHBand="0" w:firstRowFirstColumn="0" w:firstRowLastColumn="0" w:lastRowFirstColumn="0" w:lastRowLastColumn="0"/>
        </w:trPr>
        <w:tc>
          <w:tcPr>
            <w:tcW w:w="0" w:type="auto"/>
          </w:tcPr>
          <w:p w14:paraId="0B756250" w14:textId="77777777" w:rsidR="002E19BF" w:rsidRPr="005A22C2" w:rsidRDefault="002E19BF" w:rsidP="006720A0">
            <w:r w:rsidRPr="005A22C2">
              <w:t>Australian Capital Territory</w:t>
            </w:r>
          </w:p>
        </w:tc>
        <w:tc>
          <w:tcPr>
            <w:tcW w:w="0" w:type="auto"/>
          </w:tcPr>
          <w:p w14:paraId="31493E1A" w14:textId="60EA7F16" w:rsidR="002E19BF" w:rsidRPr="005A22C2" w:rsidRDefault="002E19BF" w:rsidP="0056520C">
            <w:pPr>
              <w:jc w:val="right"/>
            </w:pPr>
            <w:r w:rsidRPr="005A22C2">
              <w:t>0.75</w:t>
            </w:r>
            <w:r w:rsidR="005858B3" w:rsidRPr="005A22C2">
              <w:t>%</w:t>
            </w:r>
          </w:p>
        </w:tc>
        <w:tc>
          <w:tcPr>
            <w:tcW w:w="0" w:type="auto"/>
          </w:tcPr>
          <w:p w14:paraId="61E03745" w14:textId="11C6A3C1" w:rsidR="002E19BF" w:rsidRPr="005A22C2" w:rsidRDefault="002E19BF" w:rsidP="0056520C">
            <w:pPr>
              <w:jc w:val="right"/>
            </w:pPr>
            <w:r w:rsidRPr="005A22C2">
              <w:t>n/a</w:t>
            </w:r>
          </w:p>
        </w:tc>
      </w:tr>
      <w:tr w:rsidR="002E19BF" w:rsidRPr="005A22C2" w14:paraId="4755A9DD" w14:textId="77777777" w:rsidTr="00C735C0">
        <w:tc>
          <w:tcPr>
            <w:tcW w:w="0" w:type="auto"/>
          </w:tcPr>
          <w:p w14:paraId="53197EA3" w14:textId="77777777" w:rsidR="002E19BF" w:rsidRPr="005A22C2" w:rsidRDefault="002E19BF" w:rsidP="006720A0">
            <w:r w:rsidRPr="005A22C2">
              <w:t xml:space="preserve">Northern Territory </w:t>
            </w:r>
          </w:p>
        </w:tc>
        <w:tc>
          <w:tcPr>
            <w:tcW w:w="0" w:type="auto"/>
          </w:tcPr>
          <w:p w14:paraId="141C0843" w14:textId="77777777" w:rsidR="002E19BF" w:rsidRPr="005A22C2" w:rsidRDefault="002E19BF" w:rsidP="0056520C">
            <w:pPr>
              <w:jc w:val="right"/>
            </w:pPr>
            <w:r w:rsidRPr="005A22C2">
              <w:t>n/a</w:t>
            </w:r>
          </w:p>
        </w:tc>
        <w:tc>
          <w:tcPr>
            <w:tcW w:w="0" w:type="auto"/>
          </w:tcPr>
          <w:p w14:paraId="1275AC0A" w14:textId="0AF27030" w:rsidR="002E19BF" w:rsidRPr="005A22C2" w:rsidRDefault="002E19BF" w:rsidP="0056520C">
            <w:pPr>
              <w:jc w:val="right"/>
            </w:pPr>
            <w:r w:rsidRPr="005A22C2">
              <w:t>n/a</w:t>
            </w:r>
          </w:p>
        </w:tc>
      </w:tr>
    </w:tbl>
    <w:p w14:paraId="3973A74E" w14:textId="72044CD7" w:rsidR="001E19D0" w:rsidRPr="00444034" w:rsidRDefault="001E19D0" w:rsidP="001E19D0">
      <w:pPr>
        <w:pStyle w:val="Caption"/>
        <w:spacing w:before="0" w:after="0"/>
        <w:jc w:val="left"/>
        <w:rPr>
          <w:sz w:val="24"/>
          <w:szCs w:val="24"/>
        </w:rPr>
      </w:pPr>
      <w:r w:rsidRPr="00444034">
        <w:rPr>
          <w:sz w:val="24"/>
          <w:szCs w:val="24"/>
        </w:rPr>
        <w:t>End of table 8</w:t>
      </w:r>
    </w:p>
    <w:p w14:paraId="51739881" w14:textId="1A7C9BDA" w:rsidR="002E19BF" w:rsidRPr="005A22C2" w:rsidRDefault="009D45AC" w:rsidP="006720A0">
      <w:pPr>
        <w:rPr>
          <w:color w:val="000000" w:themeColor="text1"/>
        </w:rPr>
      </w:pPr>
      <w:r w:rsidRPr="005A22C2">
        <w:t xml:space="preserve">Stakeholders recommended that in the short term the NDIA’s SDA pricing methodology should be amended to recognise the differential application of land taxes and stamp duty. This could be </w:t>
      </w:r>
      <w:r w:rsidRPr="005A22C2">
        <w:rPr>
          <w:color w:val="000000" w:themeColor="text1"/>
        </w:rPr>
        <w:t>done by differentially pricing SDA based on whether these costs are incurred by the provider</w:t>
      </w:r>
      <w:r w:rsidR="002E19BF" w:rsidRPr="005A22C2">
        <w:rPr>
          <w:color w:val="000000" w:themeColor="text1"/>
        </w:rPr>
        <w:t xml:space="preserve"> and recognising the different rates applicable in each state and territory.</w:t>
      </w:r>
    </w:p>
    <w:p w14:paraId="695EC082" w14:textId="77777777" w:rsidR="00A47429" w:rsidRPr="005A22C2" w:rsidRDefault="009D45AC" w:rsidP="006720A0">
      <w:r w:rsidRPr="005A22C2">
        <w:t xml:space="preserve">In the longer term, stakeholders recommended that the Commonwealth and the States and Territories should </w:t>
      </w:r>
      <w:r w:rsidR="002E19BF" w:rsidRPr="005A22C2">
        <w:t>work together to</w:t>
      </w:r>
      <w:r w:rsidR="006F4238" w:rsidRPr="005A22C2">
        <w:t xml:space="preserve"> establish a consistent approach to the treatment of stamp duty and land tax </w:t>
      </w:r>
      <w:r w:rsidR="00E309C6" w:rsidRPr="005A22C2">
        <w:t>exemptions</w:t>
      </w:r>
      <w:r w:rsidR="006F4238" w:rsidRPr="005A22C2">
        <w:t xml:space="preserve"> for SDA.</w:t>
      </w:r>
    </w:p>
    <w:p w14:paraId="37BDE970" w14:textId="77777777" w:rsidR="00871079" w:rsidRDefault="00871079">
      <w:pPr>
        <w:rPr>
          <w:rFonts w:eastAsiaTheme="majorEastAsia" w:cstheme="majorBidi"/>
          <w:b/>
          <w:bCs/>
          <w:color w:val="000000" w:themeColor="text1"/>
          <w:szCs w:val="26"/>
        </w:rPr>
      </w:pPr>
      <w:bookmarkStart w:id="187" w:name="_Toc129783600"/>
      <w:bookmarkStart w:id="188" w:name="_Toc136006888"/>
      <w:r>
        <w:br w:type="page"/>
      </w:r>
    </w:p>
    <w:p w14:paraId="37A9B313" w14:textId="25D000DD" w:rsidR="002E19BF" w:rsidRPr="005A22C2" w:rsidRDefault="002E19BF" w:rsidP="006720A0">
      <w:pPr>
        <w:pStyle w:val="Heading2"/>
      </w:pPr>
      <w:r w:rsidRPr="005A22C2">
        <w:lastRenderedPageBreak/>
        <w:t>Other Taxes and Charges</w:t>
      </w:r>
      <w:bookmarkEnd w:id="187"/>
      <w:bookmarkEnd w:id="188"/>
    </w:p>
    <w:p w14:paraId="44F9392C" w14:textId="7191EC16" w:rsidR="00D07368" w:rsidRPr="005A22C2" w:rsidRDefault="00676BA4" w:rsidP="006720A0">
      <w:r w:rsidRPr="005A22C2">
        <w:t xml:space="preserve">A stakeholder </w:t>
      </w:r>
      <w:r w:rsidR="003B7BA7" w:rsidRPr="005A22C2">
        <w:t xml:space="preserve">from the Queensland </w:t>
      </w:r>
      <w:r w:rsidR="00D84C52" w:rsidRPr="005A22C2">
        <w:t>Consultation Group</w:t>
      </w:r>
      <w:r w:rsidRPr="005A22C2">
        <w:t xml:space="preserve"> stated that some</w:t>
      </w:r>
      <w:r w:rsidR="00282310" w:rsidRPr="005A22C2">
        <w:t xml:space="preserve"> local government authorities in Queensland also </w:t>
      </w:r>
      <w:r w:rsidR="00365247" w:rsidRPr="005A22C2">
        <w:t xml:space="preserve">offer </w:t>
      </w:r>
      <w:r w:rsidRPr="005A22C2">
        <w:t>reductions in infrastructure charges</w:t>
      </w:r>
      <w:r w:rsidR="006C6665" w:rsidRPr="005A22C2">
        <w:t xml:space="preserve"> for not-for-profit entities, which</w:t>
      </w:r>
      <w:r w:rsidR="004E5165" w:rsidRPr="005A22C2">
        <w:t xml:space="preserve"> can create an unequal </w:t>
      </w:r>
      <w:r w:rsidR="004C5516" w:rsidRPr="005A22C2">
        <w:t xml:space="preserve">playing field </w:t>
      </w:r>
      <w:r w:rsidR="004E5165" w:rsidRPr="005A22C2">
        <w:t>for developers,</w:t>
      </w:r>
      <w:r w:rsidR="004C5516" w:rsidRPr="005A22C2">
        <w:t xml:space="preserve"> which can be</w:t>
      </w:r>
      <w:r w:rsidR="00F41B52" w:rsidRPr="005A22C2">
        <w:t xml:space="preserve"> further</w:t>
      </w:r>
      <w:r w:rsidR="004E5165" w:rsidRPr="005A22C2">
        <w:t xml:space="preserve"> </w:t>
      </w:r>
      <w:r w:rsidR="009D50B3" w:rsidRPr="005A22C2">
        <w:t>exacerbated by other tax concessions offered for not-for-profit organisations</w:t>
      </w:r>
      <w:r w:rsidR="004E5165" w:rsidRPr="005A22C2">
        <w:t>.</w:t>
      </w:r>
    </w:p>
    <w:p w14:paraId="1D0513E1" w14:textId="77777777" w:rsidR="00C140AD" w:rsidRPr="005A22C2" w:rsidRDefault="00C140AD" w:rsidP="006720A0">
      <w:pPr>
        <w:pStyle w:val="Heading1"/>
        <w:sectPr w:rsidR="00C140AD" w:rsidRPr="005A22C2" w:rsidSect="00736B3B">
          <w:pgSz w:w="11906" w:h="16838" w:code="9"/>
          <w:pgMar w:top="1418" w:right="1418" w:bottom="1418" w:left="1418" w:header="709" w:footer="709" w:gutter="0"/>
          <w:cols w:space="708"/>
          <w:titlePg/>
          <w:docGrid w:linePitch="360"/>
        </w:sectPr>
      </w:pPr>
      <w:bookmarkStart w:id="189" w:name="_Ref122352693"/>
      <w:bookmarkStart w:id="190" w:name="_Toc129783601"/>
    </w:p>
    <w:p w14:paraId="09F71F5F" w14:textId="6CFD7647" w:rsidR="007B6FAA" w:rsidRPr="007071C2" w:rsidRDefault="007B6FAA" w:rsidP="006720A0">
      <w:pPr>
        <w:pStyle w:val="Heading1"/>
        <w:rPr>
          <w:color w:val="6B2976"/>
        </w:rPr>
      </w:pPr>
      <w:bookmarkStart w:id="191" w:name="_Toc136006889"/>
      <w:r w:rsidRPr="007071C2">
        <w:rPr>
          <w:color w:val="6B2976"/>
        </w:rPr>
        <w:lastRenderedPageBreak/>
        <w:t xml:space="preserve">Financing </w:t>
      </w:r>
      <w:bookmarkEnd w:id="189"/>
      <w:r w:rsidR="00C87E1B" w:rsidRPr="007071C2">
        <w:rPr>
          <w:color w:val="6B2976"/>
        </w:rPr>
        <w:t>C</w:t>
      </w:r>
      <w:r w:rsidRPr="007071C2">
        <w:rPr>
          <w:color w:val="6B2976"/>
        </w:rPr>
        <w:t>osts</w:t>
      </w:r>
      <w:bookmarkEnd w:id="190"/>
      <w:bookmarkEnd w:id="191"/>
    </w:p>
    <w:p w14:paraId="0B8FF85C" w14:textId="4A2F1D44" w:rsidR="00D137E2" w:rsidRPr="005A22C2" w:rsidRDefault="00D137E2" w:rsidP="006720A0">
      <w:r w:rsidRPr="005A22C2">
        <w:t xml:space="preserve">The </w:t>
      </w:r>
      <w:r w:rsidR="00C140AD" w:rsidRPr="005A22C2">
        <w:t xml:space="preserve">NDIA </w:t>
      </w:r>
      <w:r w:rsidRPr="005A22C2">
        <w:t xml:space="preserve">received 29 written submissions </w:t>
      </w:r>
      <w:r w:rsidR="005858B3" w:rsidRPr="005A22C2">
        <w:t xml:space="preserve">that responded </w:t>
      </w:r>
      <w:r w:rsidRPr="005A22C2">
        <w:t>to the following question</w:t>
      </w:r>
      <w:r w:rsidR="005E1AFF" w:rsidRPr="005A22C2">
        <w:t>s</w:t>
      </w:r>
      <w:r w:rsidRPr="005A22C2">
        <w:t xml:space="preserve"> in the </w:t>
      </w:r>
      <w:r w:rsidRPr="005A22C2">
        <w:rPr>
          <w:i/>
          <w:iCs/>
        </w:rPr>
        <w:t>SDA Pricing Review Consultation Paper</w:t>
      </w:r>
      <w:r w:rsidRPr="005A22C2">
        <w:t>:</w:t>
      </w:r>
    </w:p>
    <w:p w14:paraId="175DDACA" w14:textId="2FD856D8" w:rsidR="005E1AFF" w:rsidRPr="00132E0C" w:rsidRDefault="005E1AFF" w:rsidP="00132E0C">
      <w:pPr>
        <w:pStyle w:val="Quote"/>
        <w:numPr>
          <w:ilvl w:val="0"/>
          <w:numId w:val="35"/>
        </w:numPr>
        <w:rPr>
          <w:i w:val="0"/>
          <w:iCs w:val="0"/>
        </w:rPr>
      </w:pPr>
      <w:r w:rsidRPr="00132E0C">
        <w:rPr>
          <w:i w:val="0"/>
          <w:iCs w:val="0"/>
        </w:rPr>
        <w:t>What should the key parameters of the NDIA’s Capital Assets Pricing Model for SDA investments be, including the Equity Beta for SDA investments; the Gearing Ratio for SDA investments; and the extent to which the typical equity investor in SDA can use the franking credits attached to its dividends because of the payment of company tax</w:t>
      </w:r>
      <w:r w:rsidR="00C33E1B" w:rsidRPr="00132E0C">
        <w:rPr>
          <w:i w:val="0"/>
          <w:iCs w:val="0"/>
        </w:rPr>
        <w:t>?</w:t>
      </w:r>
    </w:p>
    <w:p w14:paraId="7F739BD2" w14:textId="77777777" w:rsidR="00A47429" w:rsidRPr="00132E0C" w:rsidRDefault="005E1AFF" w:rsidP="00132E0C">
      <w:pPr>
        <w:pStyle w:val="Quote"/>
        <w:numPr>
          <w:ilvl w:val="0"/>
          <w:numId w:val="35"/>
        </w:numPr>
        <w:rPr>
          <w:i w:val="0"/>
          <w:iCs w:val="0"/>
        </w:rPr>
      </w:pPr>
      <w:r w:rsidRPr="00132E0C">
        <w:rPr>
          <w:i w:val="0"/>
          <w:iCs w:val="0"/>
        </w:rPr>
        <w:t>Does the NDIA’s Capital Assets Pricing Model appropriately account for the costs incurred in drawing investment from a broad range of sources, including institutional investors? If not, how can the methodology be improved?</w:t>
      </w:r>
    </w:p>
    <w:p w14:paraId="2296DD1F" w14:textId="38250668" w:rsidR="005E1AFF" w:rsidRPr="00132E0C" w:rsidRDefault="005E1AFF" w:rsidP="00132E0C">
      <w:pPr>
        <w:pStyle w:val="Quote"/>
        <w:numPr>
          <w:ilvl w:val="0"/>
          <w:numId w:val="35"/>
        </w:numPr>
        <w:rPr>
          <w:i w:val="0"/>
          <w:iCs w:val="0"/>
        </w:rPr>
      </w:pPr>
      <w:r w:rsidRPr="00132E0C">
        <w:rPr>
          <w:i w:val="0"/>
          <w:iCs w:val="0"/>
        </w:rPr>
        <w:t>What typical gross rental yields can be expected from SDA type properties in the Australian economy? To what extent do gross rental yields significantly vary by Design Category, Building Type and Size, and Region?</w:t>
      </w:r>
    </w:p>
    <w:p w14:paraId="2E1D1D52" w14:textId="10918D63" w:rsidR="00D137E2" w:rsidRPr="005A22C2" w:rsidRDefault="00D137E2" w:rsidP="006720A0">
      <w:r w:rsidRPr="005A22C2">
        <w:t>Issues about financing costs were also raised in most of the Consultation Groups, including at the New South Wales and Australian Capital Territory Consultation Group; the Victoria Consultation Group; the Queensland Consultation Group; the South Australia and Northern Territory Consultation Group; the Tasmania Consultation Group; the SDA Banks and Funds Consultation Group; the SDA Builders and Developers Consultation Group; and the SDA Institutional Investors Consultation Group.</w:t>
      </w:r>
    </w:p>
    <w:p w14:paraId="4E5AEF89" w14:textId="0DAF406D" w:rsidR="006D1667" w:rsidRPr="005A22C2" w:rsidRDefault="00E63EF4" w:rsidP="006720A0">
      <w:pPr>
        <w:pStyle w:val="Heading2"/>
      </w:pPr>
      <w:bookmarkStart w:id="192" w:name="_Toc129783602"/>
      <w:bookmarkStart w:id="193" w:name="_Toc136006890"/>
      <w:bookmarkStart w:id="194" w:name="_Ref122082538"/>
      <w:r w:rsidRPr="005A22C2">
        <w:t>Risk</w:t>
      </w:r>
      <w:bookmarkEnd w:id="192"/>
      <w:bookmarkEnd w:id="193"/>
    </w:p>
    <w:p w14:paraId="5CC77F97" w14:textId="01618C72" w:rsidR="002231E2" w:rsidRPr="001F5230" w:rsidRDefault="00E52E18" w:rsidP="006720A0">
      <w:proofErr w:type="gramStart"/>
      <w:r w:rsidRPr="005A22C2">
        <w:t xml:space="preserve">A </w:t>
      </w:r>
      <w:r w:rsidR="005E1AFF" w:rsidRPr="005A22C2">
        <w:t>number</w:t>
      </w:r>
      <w:r w:rsidRPr="005A22C2">
        <w:t xml:space="preserve"> of</w:t>
      </w:r>
      <w:proofErr w:type="gramEnd"/>
      <w:r w:rsidRPr="005A22C2">
        <w:t xml:space="preserve"> stakeholders </w:t>
      </w:r>
      <w:r w:rsidR="005E1AFF" w:rsidRPr="005A22C2">
        <w:t>expressed</w:t>
      </w:r>
      <w:r w:rsidRPr="005A22C2">
        <w:t xml:space="preserve"> concerns </w:t>
      </w:r>
      <w:r w:rsidR="005E1AFF" w:rsidRPr="005A22C2">
        <w:t>about</w:t>
      </w:r>
      <w:r w:rsidRPr="005A22C2">
        <w:t xml:space="preserve"> how risks and risk premiums are </w:t>
      </w:r>
      <w:r w:rsidR="005E1AFF" w:rsidRPr="005A22C2">
        <w:t>accounted for</w:t>
      </w:r>
      <w:r w:rsidRPr="005A22C2">
        <w:t xml:space="preserve"> </w:t>
      </w:r>
      <w:r w:rsidR="005E1AFF" w:rsidRPr="005A22C2">
        <w:t>in the current</w:t>
      </w:r>
      <w:r w:rsidRPr="005A22C2">
        <w:t xml:space="preserve"> </w:t>
      </w:r>
      <w:r w:rsidR="005E1AFF" w:rsidRPr="005A22C2">
        <w:t>SDA pricing methodology</w:t>
      </w:r>
      <w:r w:rsidR="00E63EF4" w:rsidRPr="005A22C2">
        <w:t>. They argued</w:t>
      </w:r>
      <w:r w:rsidRPr="005A22C2">
        <w:t xml:space="preserve"> that</w:t>
      </w:r>
      <w:r w:rsidR="005721A9" w:rsidRPr="005A22C2">
        <w:t xml:space="preserve"> the risks </w:t>
      </w:r>
      <w:r w:rsidR="00962123" w:rsidRPr="005A22C2">
        <w:t xml:space="preserve">embedded in the market are </w:t>
      </w:r>
      <w:r w:rsidR="007761E2" w:rsidRPr="005A22C2">
        <w:t>more significant</w:t>
      </w:r>
      <w:r w:rsidR="00962123" w:rsidRPr="005A22C2">
        <w:t xml:space="preserve"> than </w:t>
      </w:r>
      <w:r w:rsidR="005E1AFF" w:rsidRPr="005A22C2">
        <w:t>is currently allowed for</w:t>
      </w:r>
      <w:r w:rsidR="00BC38BA" w:rsidRPr="005A22C2">
        <w:t xml:space="preserve"> in the assumptions and methodology that </w:t>
      </w:r>
      <w:r w:rsidR="007C1370" w:rsidRPr="005A22C2">
        <w:t xml:space="preserve">underpin </w:t>
      </w:r>
      <w:r w:rsidR="00042803" w:rsidRPr="005A22C2">
        <w:t>the current SDA prices</w:t>
      </w:r>
      <w:r w:rsidR="008A3FB7" w:rsidRPr="005A22C2">
        <w:t>.</w:t>
      </w:r>
      <w:r w:rsidR="00E63EF4" w:rsidRPr="005A22C2">
        <w:t xml:space="preserve"> </w:t>
      </w:r>
      <w:r w:rsidR="002231E2" w:rsidRPr="005A22C2">
        <w:t>Some stakeholders also argued that those risk were higher ow than they had been in the p</w:t>
      </w:r>
      <w:r w:rsidR="002231E2" w:rsidRPr="001F5230">
        <w:t>ast. A stakeholder from the SDA Banks and Funds Consultation Group stated that</w:t>
      </w:r>
      <w:r w:rsidR="003F083D" w:rsidRPr="001F5230">
        <w:t xml:space="preserve"> “</w:t>
      </w:r>
      <w:r w:rsidR="002231E2" w:rsidRPr="001F5230">
        <w:t>our observation in terms of the risks in reality that have existed over the last four to five years is that there’s been a magnification of risk, rather than a reduction of risk</w:t>
      </w:r>
      <w:r w:rsidR="003F083D" w:rsidRPr="001F5230">
        <w:t>”</w:t>
      </w:r>
      <w:r w:rsidR="002231E2" w:rsidRPr="001F5230">
        <w:t>.</w:t>
      </w:r>
    </w:p>
    <w:p w14:paraId="22A54F54" w14:textId="331C467F" w:rsidR="009377B8" w:rsidRPr="005A22C2" w:rsidRDefault="005E1AFF" w:rsidP="006720A0">
      <w:r w:rsidRPr="001F5230">
        <w:t>This view was not</w:t>
      </w:r>
      <w:r w:rsidRPr="005A22C2">
        <w:t xml:space="preserve">, however, </w:t>
      </w:r>
      <w:r w:rsidRPr="00570F1C">
        <w:t xml:space="preserve">universal. </w:t>
      </w:r>
      <w:r w:rsidR="00C735C0" w:rsidRPr="00570F1C">
        <w:t>The</w:t>
      </w:r>
      <w:r w:rsidR="00042803" w:rsidRPr="00570F1C">
        <w:t xml:space="preserve"> </w:t>
      </w:r>
      <w:r w:rsidR="009377B8" w:rsidRPr="00570F1C">
        <w:t>WAIG</w:t>
      </w:r>
      <w:r w:rsidR="00EF488D" w:rsidRPr="00570F1C">
        <w:t>ROUP</w:t>
      </w:r>
      <w:r w:rsidRPr="00570F1C">
        <w:t>, for</w:t>
      </w:r>
      <w:r w:rsidRPr="005A22C2">
        <w:t xml:space="preserve"> example,</w:t>
      </w:r>
      <w:r w:rsidR="009377B8" w:rsidRPr="005A22C2">
        <w:t xml:space="preserve"> </w:t>
      </w:r>
      <w:r w:rsidR="008C2048" w:rsidRPr="005A22C2">
        <w:t xml:space="preserve">indicated that they believed </w:t>
      </w:r>
      <w:r w:rsidR="00AE4306" w:rsidRPr="005A22C2">
        <w:t>that the level of</w:t>
      </w:r>
      <w:r w:rsidR="003F083D" w:rsidRPr="005A22C2">
        <w:t xml:space="preserve"> </w:t>
      </w:r>
      <w:r w:rsidR="00AE4306" w:rsidRPr="005A22C2">
        <w:t>SDA incentives generally provides a satisfactory framework to attract private investment</w:t>
      </w:r>
      <w:r w:rsidR="00DF01C5" w:rsidRPr="005A22C2">
        <w:t xml:space="preserve"> across the different design cate</w:t>
      </w:r>
      <w:r w:rsidR="002C27A5" w:rsidRPr="005A22C2">
        <w:t>g</w:t>
      </w:r>
      <w:r w:rsidR="00DF01C5" w:rsidRPr="005A22C2">
        <w:t>o</w:t>
      </w:r>
      <w:r w:rsidR="002C27A5" w:rsidRPr="005A22C2">
        <w:t>r</w:t>
      </w:r>
      <w:r w:rsidR="00DF01C5" w:rsidRPr="005A22C2">
        <w:t>ies and is sufficient to cover the efficient cost of providing accommodation over its full lifecycle</w:t>
      </w:r>
      <w:r w:rsidR="003F083D" w:rsidRPr="005A22C2">
        <w:t xml:space="preserve">. </w:t>
      </w:r>
      <w:r w:rsidR="00C735C0" w:rsidRPr="005A22C2">
        <w:lastRenderedPageBreak/>
        <w:t xml:space="preserve">The </w:t>
      </w:r>
      <w:r w:rsidRPr="00570F1C">
        <w:t>WAIGROUP</w:t>
      </w:r>
      <w:r w:rsidR="00AB57FC" w:rsidRPr="00570F1C">
        <w:t xml:space="preserve"> did</w:t>
      </w:r>
      <w:r w:rsidRPr="00570F1C">
        <w:t>,</w:t>
      </w:r>
      <w:r w:rsidR="00AB57FC" w:rsidRPr="00570F1C">
        <w:t xml:space="preserve"> however</w:t>
      </w:r>
      <w:r w:rsidRPr="005A22C2">
        <w:t>,</w:t>
      </w:r>
      <w:r w:rsidR="00AB57FC" w:rsidRPr="005A22C2">
        <w:t xml:space="preserve"> </w:t>
      </w:r>
      <w:r w:rsidRPr="005A22C2">
        <w:t>argue that current prices are</w:t>
      </w:r>
      <w:r w:rsidR="00853531" w:rsidRPr="005A22C2">
        <w:t xml:space="preserve"> not sufficient to </w:t>
      </w:r>
      <w:r w:rsidR="00E31FF0" w:rsidRPr="005A22C2">
        <w:t>cover the costs of replacement and can cause challenges for projects in regional areas and for the Robust design category.</w:t>
      </w:r>
    </w:p>
    <w:p w14:paraId="2100C47D" w14:textId="77777777" w:rsidR="00A47429" w:rsidRPr="005A22C2" w:rsidRDefault="00DE5F85" w:rsidP="006720A0">
      <w:r w:rsidRPr="005A22C2">
        <w:t xml:space="preserve">Stakeholders agreed there are a broad range of risks </w:t>
      </w:r>
      <w:r w:rsidR="00A933C8" w:rsidRPr="005A22C2">
        <w:t xml:space="preserve">present across the lifecycle of SDA, </w:t>
      </w:r>
      <w:r w:rsidR="005E1AFF" w:rsidRPr="005A22C2">
        <w:t xml:space="preserve">broadly falling into </w:t>
      </w:r>
      <w:r w:rsidR="00E63EF4" w:rsidRPr="005A22C2">
        <w:t>five</w:t>
      </w:r>
      <w:r w:rsidR="00A933C8" w:rsidRPr="005A22C2">
        <w:t xml:space="preserve"> </w:t>
      </w:r>
      <w:r w:rsidR="005E1AFF" w:rsidRPr="005A22C2">
        <w:t xml:space="preserve">categories: </w:t>
      </w:r>
      <w:r w:rsidR="004B4D42" w:rsidRPr="005A22C2">
        <w:t>Reputational risk</w:t>
      </w:r>
      <w:r w:rsidR="00756DD8" w:rsidRPr="005A22C2">
        <w:t>s</w:t>
      </w:r>
      <w:r w:rsidR="005E1AFF" w:rsidRPr="005A22C2">
        <w:t xml:space="preserve">; </w:t>
      </w:r>
      <w:r w:rsidR="004B4D42" w:rsidRPr="005A22C2">
        <w:t>Maturity and scale of the sector</w:t>
      </w:r>
      <w:r w:rsidR="005E1AFF" w:rsidRPr="005A22C2">
        <w:t xml:space="preserve">; </w:t>
      </w:r>
      <w:r w:rsidR="004B4D42" w:rsidRPr="005A22C2">
        <w:t>Regulatory risk</w:t>
      </w:r>
      <w:r w:rsidR="00756DD8" w:rsidRPr="005A22C2">
        <w:t>s</w:t>
      </w:r>
      <w:r w:rsidR="005E1AFF" w:rsidRPr="005A22C2">
        <w:t xml:space="preserve">; </w:t>
      </w:r>
      <w:r w:rsidR="004B4D42" w:rsidRPr="005A22C2">
        <w:t>Operational risk</w:t>
      </w:r>
      <w:r w:rsidR="00756DD8" w:rsidRPr="005A22C2">
        <w:t>s</w:t>
      </w:r>
      <w:r w:rsidR="005E1AFF" w:rsidRPr="005A22C2">
        <w:t>;</w:t>
      </w:r>
      <w:r w:rsidR="00E63EF4" w:rsidRPr="005A22C2">
        <w:t xml:space="preserve"> and</w:t>
      </w:r>
      <w:r w:rsidR="005E1AFF" w:rsidRPr="005A22C2">
        <w:t xml:space="preserve"> </w:t>
      </w:r>
      <w:r w:rsidR="00E63EF4" w:rsidRPr="005A22C2">
        <w:t>Competitive</w:t>
      </w:r>
      <w:r w:rsidR="004B4D42" w:rsidRPr="005A22C2">
        <w:t xml:space="preserve"> returns.</w:t>
      </w:r>
    </w:p>
    <w:p w14:paraId="27915D6E" w14:textId="112DB18A" w:rsidR="006D1667" w:rsidRPr="007071C2" w:rsidRDefault="00E13FE1" w:rsidP="006720A0">
      <w:pPr>
        <w:pStyle w:val="Heading3"/>
      </w:pPr>
      <w:bookmarkStart w:id="195" w:name="_Toc122454251"/>
      <w:bookmarkStart w:id="196" w:name="_Toc122527540"/>
      <w:bookmarkStart w:id="197" w:name="_Ref122538055"/>
      <w:bookmarkStart w:id="198" w:name="_Ref126238076"/>
      <w:bookmarkStart w:id="199" w:name="_Toc129783603"/>
      <w:r w:rsidRPr="007071C2">
        <w:t xml:space="preserve">Reputational </w:t>
      </w:r>
      <w:r w:rsidR="00C33E1B" w:rsidRPr="007071C2">
        <w:t>R</w:t>
      </w:r>
      <w:r w:rsidRPr="007071C2">
        <w:t>isk</w:t>
      </w:r>
      <w:bookmarkEnd w:id="195"/>
      <w:bookmarkEnd w:id="196"/>
      <w:bookmarkEnd w:id="197"/>
      <w:bookmarkEnd w:id="198"/>
      <w:bookmarkEnd w:id="199"/>
    </w:p>
    <w:p w14:paraId="75D1B849" w14:textId="1A188C86" w:rsidR="00D84C52" w:rsidRPr="005A22C2" w:rsidRDefault="00BD6206" w:rsidP="006720A0">
      <w:r w:rsidRPr="005A22C2">
        <w:t xml:space="preserve">Stakeholders from the SDA Institutional Investors </w:t>
      </w:r>
      <w:r w:rsidR="00E63EF4" w:rsidRPr="005A22C2">
        <w:t xml:space="preserve">Consultation Group </w:t>
      </w:r>
      <w:r w:rsidRPr="005A22C2">
        <w:t xml:space="preserve">and </w:t>
      </w:r>
      <w:r w:rsidR="00E63EF4" w:rsidRPr="005A22C2">
        <w:t xml:space="preserve">the </w:t>
      </w:r>
      <w:r w:rsidRPr="005A22C2">
        <w:t xml:space="preserve">SDA Banks and Funds </w:t>
      </w:r>
      <w:r w:rsidR="00D84C52" w:rsidRPr="005A22C2">
        <w:t>Consultation Group</w:t>
      </w:r>
      <w:r w:rsidR="00545218" w:rsidRPr="005A22C2">
        <w:t xml:space="preserve"> stated that</w:t>
      </w:r>
      <w:r w:rsidR="00D84C52" w:rsidRPr="005A22C2">
        <w:t>,</w:t>
      </w:r>
      <w:r w:rsidR="00545218" w:rsidRPr="005A22C2">
        <w:t xml:space="preserve"> </w:t>
      </w:r>
      <w:r w:rsidR="005731F0" w:rsidRPr="005A22C2">
        <w:t>in their experience</w:t>
      </w:r>
      <w:r w:rsidR="001D3397" w:rsidRPr="005A22C2">
        <w:t>,</w:t>
      </w:r>
      <w:r w:rsidR="005731F0" w:rsidRPr="005A22C2">
        <w:t xml:space="preserve"> </w:t>
      </w:r>
      <w:r w:rsidR="00545218" w:rsidRPr="005A22C2">
        <w:t>m</w:t>
      </w:r>
      <w:r w:rsidR="00E13FE1" w:rsidRPr="005A22C2">
        <w:t>any investors have a limited understanding of the SDA market, particularly as it is still in its nascency</w:t>
      </w:r>
      <w:r w:rsidR="00D84C52" w:rsidRPr="005A22C2">
        <w:t>. They also reported that i</w:t>
      </w:r>
      <w:r w:rsidR="00E13FE1" w:rsidRPr="005A22C2">
        <w:t>nvestors can be especially sensitive to the risk of being implicated in an incident</w:t>
      </w:r>
      <w:r w:rsidR="00D84C52" w:rsidRPr="005A22C2">
        <w:t xml:space="preserve">; and were also concerned that some of the options that are available to investors can be difficult to </w:t>
      </w:r>
      <w:r w:rsidR="00D84C52" w:rsidRPr="001F5230">
        <w:t>exercise when dealing with vulnerable people. One stakeholder expressed it as follows:</w:t>
      </w:r>
      <w:r w:rsidR="003F083D" w:rsidRPr="001F5230">
        <w:t xml:space="preserve"> “</w:t>
      </w:r>
      <w:r w:rsidR="00D84C52" w:rsidRPr="001F5230">
        <w:t>The reputational piece is a huge concern given we’re dealing with extremely vulnerable people and, you know, they cannot be removed from their dwellings</w:t>
      </w:r>
      <w:r w:rsidR="003F083D" w:rsidRPr="001F5230">
        <w:t>”</w:t>
      </w:r>
      <w:r w:rsidR="00D84C52" w:rsidRPr="001F5230">
        <w:t>.</w:t>
      </w:r>
    </w:p>
    <w:p w14:paraId="2E7B1DF0" w14:textId="77777777" w:rsidR="00A47429" w:rsidRPr="005A22C2" w:rsidRDefault="00E63EF4" w:rsidP="006720A0">
      <w:r w:rsidRPr="005A22C2">
        <w:t>A</w:t>
      </w:r>
      <w:r w:rsidR="006344D5" w:rsidRPr="005A22C2">
        <w:t>nother</w:t>
      </w:r>
      <w:r w:rsidR="00E13FE1" w:rsidRPr="005A22C2">
        <w:t xml:space="preserve"> stakeholder from the </w:t>
      </w:r>
      <w:r w:rsidR="00EA2126" w:rsidRPr="005A22C2">
        <w:t>SDA Banks</w:t>
      </w:r>
      <w:r w:rsidR="00D6227D" w:rsidRPr="005A22C2">
        <w:t xml:space="preserve"> and Funds</w:t>
      </w:r>
      <w:r w:rsidR="00E13FE1" w:rsidRPr="005A22C2">
        <w:t xml:space="preserve"> </w:t>
      </w:r>
      <w:r w:rsidR="00D84C52" w:rsidRPr="005A22C2">
        <w:t>Consultation Group</w:t>
      </w:r>
      <w:r w:rsidR="00E13FE1" w:rsidRPr="005A22C2">
        <w:t xml:space="preserve"> </w:t>
      </w:r>
      <w:r w:rsidR="005361D4" w:rsidRPr="005A22C2">
        <w:t>stated</w:t>
      </w:r>
      <w:r w:rsidR="00E13FE1" w:rsidRPr="005A22C2">
        <w:t xml:space="preserve"> that the immaturity of the market made it challenging to undertake qualitative assessments of the level of reputational risk associated with an investment.</w:t>
      </w:r>
    </w:p>
    <w:p w14:paraId="0AA31BDD" w14:textId="65A99F35" w:rsidR="00E13FE1" w:rsidRPr="005A22C2" w:rsidRDefault="00D84C52" w:rsidP="006720A0">
      <w:pPr>
        <w:rPr>
          <w:i/>
        </w:rPr>
      </w:pPr>
      <w:r w:rsidRPr="005A22C2">
        <w:t xml:space="preserve">Stakeholders also reported that the qualitative assessment of the level of reputational risk </w:t>
      </w:r>
      <w:r w:rsidR="00E13FE1" w:rsidRPr="005A22C2">
        <w:t xml:space="preserve">involves </w:t>
      </w:r>
      <w:r w:rsidR="000E0C5C" w:rsidRPr="005A22C2">
        <w:t>consider</w:t>
      </w:r>
      <w:r w:rsidR="00E13FE1" w:rsidRPr="005A22C2">
        <w:t>ing the experience of the SDA operator, their ability to deliver similar projects in similar timeframes, their capability, their historic timeframes to trade up, their closeness to the participants, and their connectivity to SIL providers.</w:t>
      </w:r>
      <w:r w:rsidRPr="005A22C2">
        <w:t xml:space="preserve"> </w:t>
      </w:r>
      <w:r w:rsidR="00E13FE1" w:rsidRPr="005A22C2">
        <w:t xml:space="preserve">Several stakeholders from the </w:t>
      </w:r>
      <w:r w:rsidR="00EA2126" w:rsidRPr="005A22C2">
        <w:t>SDA Banks and Funds</w:t>
      </w:r>
      <w:r w:rsidR="00E13FE1" w:rsidRPr="005A22C2">
        <w:t xml:space="preserve"> </w:t>
      </w:r>
      <w:r w:rsidRPr="005A22C2">
        <w:t>Consultation Group</w:t>
      </w:r>
      <w:r w:rsidR="00E13FE1" w:rsidRPr="005A22C2">
        <w:t xml:space="preserve"> indicated that from their organisation</w:t>
      </w:r>
      <w:r w:rsidR="00D02D9F" w:rsidRPr="005A22C2">
        <w:t>’</w:t>
      </w:r>
      <w:r w:rsidR="00E13FE1" w:rsidRPr="005A22C2">
        <w:t xml:space="preserve">s perspectives, the least risky investment involves </w:t>
      </w:r>
      <w:r w:rsidR="000E0C5C" w:rsidRPr="005A22C2">
        <w:t>consider</w:t>
      </w:r>
      <w:r w:rsidR="00E13FE1" w:rsidRPr="005A22C2">
        <w:t>ation of the</w:t>
      </w:r>
      <w:r w:rsidRPr="005A22C2">
        <w:t xml:space="preserve"> </w:t>
      </w:r>
      <w:r w:rsidR="00E13FE1" w:rsidRPr="005A22C2">
        <w:t>scale, operator, geographic diversification of the portfolio, scale of that portfolio and</w:t>
      </w:r>
      <w:r w:rsidR="00C735C0" w:rsidRPr="005A22C2">
        <w:t xml:space="preserve"> </w:t>
      </w:r>
      <w:r w:rsidR="00E13FE1" w:rsidRPr="005A22C2">
        <w:t xml:space="preserve">the experience of </w:t>
      </w:r>
      <w:r w:rsidR="006344D5" w:rsidRPr="005A22C2">
        <w:t>the</w:t>
      </w:r>
      <w:r w:rsidR="00E13FE1" w:rsidRPr="005A22C2">
        <w:t xml:space="preserve"> operator, and typically involve an</w:t>
      </w:r>
      <w:r w:rsidR="003F083D" w:rsidRPr="005A22C2">
        <w:t xml:space="preserve"> “</w:t>
      </w:r>
      <w:r w:rsidR="00E13FE1" w:rsidRPr="001F5230">
        <w:t>experienced scale provider who’s done it [SDA] across a geographic diversified footprint</w:t>
      </w:r>
      <w:r w:rsidR="003F083D" w:rsidRPr="001F5230">
        <w:t>”</w:t>
      </w:r>
      <w:r w:rsidR="00F65CE1" w:rsidRPr="001F5230">
        <w:t>.</w:t>
      </w:r>
    </w:p>
    <w:p w14:paraId="3CEEBDBD" w14:textId="3F0F40C3" w:rsidR="00A47429" w:rsidRPr="005A22C2" w:rsidRDefault="00CA5885" w:rsidP="006720A0">
      <w:r w:rsidRPr="005A22C2">
        <w:t xml:space="preserve">Stakeholders across several </w:t>
      </w:r>
      <w:r w:rsidR="00D84C52" w:rsidRPr="005A22C2">
        <w:t>Consultation Group</w:t>
      </w:r>
      <w:r w:rsidRPr="005A22C2">
        <w:t xml:space="preserve">s </w:t>
      </w:r>
      <w:r w:rsidR="00AE233C" w:rsidRPr="005A22C2">
        <w:t xml:space="preserve">discussed </w:t>
      </w:r>
      <w:r w:rsidR="00BF70D1" w:rsidRPr="005A22C2">
        <w:t>the challenges</w:t>
      </w:r>
      <w:r w:rsidR="00E63EF4" w:rsidRPr="005A22C2">
        <w:t xml:space="preserve"> that</w:t>
      </w:r>
      <w:r w:rsidR="00BF70D1" w:rsidRPr="005A22C2">
        <w:t xml:space="preserve"> they have experienced in accessing </w:t>
      </w:r>
      <w:r w:rsidR="008661A5" w:rsidRPr="005A22C2">
        <w:t xml:space="preserve">debt capital </w:t>
      </w:r>
      <w:r w:rsidR="00AE338D" w:rsidRPr="005A22C2">
        <w:t>from banks</w:t>
      </w:r>
      <w:r w:rsidR="00180F23" w:rsidRPr="005A22C2">
        <w:t xml:space="preserve">, due to the risk profile </w:t>
      </w:r>
      <w:r w:rsidR="004D331A" w:rsidRPr="005A22C2">
        <w:t>the big four banks place on SDA</w:t>
      </w:r>
      <w:r w:rsidR="00D84C52" w:rsidRPr="005A22C2">
        <w:t>.</w:t>
      </w:r>
      <w:r w:rsidR="00AE338D" w:rsidRPr="005A22C2">
        <w:t xml:space="preserve"> </w:t>
      </w:r>
      <w:r w:rsidR="00E13FE1" w:rsidRPr="005A22C2">
        <w:t xml:space="preserve">One stakeholder from the Tasmania </w:t>
      </w:r>
      <w:r w:rsidR="00D84C52" w:rsidRPr="005A22C2">
        <w:t>Consultation Group</w:t>
      </w:r>
      <w:r w:rsidR="00E13FE1" w:rsidRPr="005A22C2">
        <w:t xml:space="preserve"> relayed the conc</w:t>
      </w:r>
      <w:r w:rsidR="00E13FE1" w:rsidRPr="001F5230">
        <w:t xml:space="preserve">erns </w:t>
      </w:r>
      <w:r w:rsidR="00987118" w:rsidRPr="001F5230">
        <w:t xml:space="preserve">raised </w:t>
      </w:r>
      <w:r w:rsidR="00E13FE1" w:rsidRPr="001F5230">
        <w:t xml:space="preserve">by banks and </w:t>
      </w:r>
      <w:r w:rsidR="00FD0093" w:rsidRPr="001F5230">
        <w:t>institutional investors</w:t>
      </w:r>
      <w:r w:rsidR="00D852A1" w:rsidRPr="001F5230">
        <w:t xml:space="preserve">, which </w:t>
      </w:r>
      <w:r w:rsidR="00D84C52" w:rsidRPr="001F5230">
        <w:t>was reported as</w:t>
      </w:r>
      <w:r w:rsidR="003F083D" w:rsidRPr="001F5230">
        <w:t xml:space="preserve"> “</w:t>
      </w:r>
      <w:r w:rsidR="00E13FE1" w:rsidRPr="001F5230">
        <w:t>not sure how would we do that. What happens if something happens? You know, don't want to end up on the front page of the paper that we're kicking people out, you know, with a disability</w:t>
      </w:r>
      <w:r w:rsidR="003F083D" w:rsidRPr="001F5230">
        <w:t>”</w:t>
      </w:r>
      <w:r w:rsidR="00E13FE1" w:rsidRPr="001F5230">
        <w:t>.</w:t>
      </w:r>
    </w:p>
    <w:p w14:paraId="2E70A34F" w14:textId="44383FA7" w:rsidR="00E13FE1" w:rsidRPr="005A22C2" w:rsidRDefault="00E13FE1" w:rsidP="006720A0">
      <w:r w:rsidRPr="005A22C2">
        <w:t xml:space="preserve">Other stakeholders from the Tasmania and New South Wales and Australian Capital Territory </w:t>
      </w:r>
      <w:r w:rsidR="00D84C52" w:rsidRPr="005A22C2">
        <w:t>Consultation Group</w:t>
      </w:r>
      <w:r w:rsidRPr="005A22C2">
        <w:t>s suggested that unless they can provide evidence to convince banks that they have a solid track record of financial stability, high occupancy, scalability and established organisational processes, it can be challenging to obtain financing.</w:t>
      </w:r>
    </w:p>
    <w:p w14:paraId="067CFB70" w14:textId="26EA578A" w:rsidR="00A30C9B" w:rsidRPr="005A22C2" w:rsidRDefault="00A30C9B" w:rsidP="006720A0">
      <w:r w:rsidRPr="005A22C2">
        <w:lastRenderedPageBreak/>
        <w:t xml:space="preserve">A stakeholder from the Tasmania </w:t>
      </w:r>
      <w:r w:rsidR="00D84C52" w:rsidRPr="005A22C2">
        <w:t>Consultation Group</w:t>
      </w:r>
      <w:r w:rsidRPr="005A22C2">
        <w:t xml:space="preserve"> </w:t>
      </w:r>
      <w:r w:rsidR="00024C60" w:rsidRPr="005A22C2">
        <w:t>explained</w:t>
      </w:r>
      <w:r w:rsidR="00156041" w:rsidRPr="005A22C2">
        <w:t xml:space="preserve"> that they self-funded their </w:t>
      </w:r>
      <w:r w:rsidR="00156041" w:rsidRPr="001F5230">
        <w:t>first SDA investment after finding bank financing too restrictive</w:t>
      </w:r>
      <w:r w:rsidR="00024C60" w:rsidRPr="001F5230">
        <w:t>, noting</w:t>
      </w:r>
      <w:r w:rsidR="003F083D" w:rsidRPr="001F5230">
        <w:t xml:space="preserve"> that, “</w:t>
      </w:r>
      <w:r w:rsidR="00024C60" w:rsidRPr="001F5230">
        <w:t>w</w:t>
      </w:r>
      <w:r w:rsidR="00AB4491" w:rsidRPr="001F5230">
        <w:t xml:space="preserve">ith our first SDA development we had to self-fund. We eventually got some finance approved through ANZ but it was just a bit too restrictive and scary to be honest because at the time that was in 2017/ 2018 [and] there was just too much fear across </w:t>
      </w:r>
      <w:proofErr w:type="gramStart"/>
      <w:r w:rsidR="00AB4491" w:rsidRPr="001F5230">
        <w:t>all of</w:t>
      </w:r>
      <w:proofErr w:type="gramEnd"/>
      <w:r w:rsidR="00AB4491" w:rsidRPr="001F5230">
        <w:t xml:space="preserve"> the major banks, and so we sold a bunch of assets to self-fund</w:t>
      </w:r>
      <w:r w:rsidR="003F083D" w:rsidRPr="001F5230">
        <w:t>”</w:t>
      </w:r>
      <w:r w:rsidR="00F65CE1" w:rsidRPr="001F5230">
        <w:t>.</w:t>
      </w:r>
    </w:p>
    <w:p w14:paraId="2139EBA1" w14:textId="398B133C" w:rsidR="006A359B" w:rsidRPr="005A22C2" w:rsidRDefault="006A359B" w:rsidP="006720A0">
      <w:bookmarkStart w:id="200" w:name="_Ref122427574"/>
      <w:bookmarkStart w:id="201" w:name="_Toc122454252"/>
      <w:bookmarkStart w:id="202" w:name="_Toc122527541"/>
      <w:r w:rsidRPr="00570F1C">
        <w:t>Barwon Investment Partners</w:t>
      </w:r>
      <w:r w:rsidRPr="005A22C2">
        <w:t xml:space="preserve"> suggested that lifting barriers to entry for service providers may help to minimise the opportunity for reputational risks associated with </w:t>
      </w:r>
      <w:r w:rsidRPr="001F5230">
        <w:t xml:space="preserve">incidents as it would enable a scaled and liquid industry. In addition, they </w:t>
      </w:r>
      <w:r w:rsidR="005361D4" w:rsidRPr="001F5230">
        <w:t>stated</w:t>
      </w:r>
      <w:r w:rsidRPr="001F5230">
        <w:t xml:space="preserve"> the importance of</w:t>
      </w:r>
      <w:r w:rsidR="003F083D" w:rsidRPr="001F5230">
        <w:t xml:space="preserve"> “</w:t>
      </w:r>
      <w:r w:rsidRPr="001F5230">
        <w:t>ensuring that in the Public Relations efforts around the NDIS that it is communicated the importance of SDA in delivering the outcomes for Participants and in lowering care costs</w:t>
      </w:r>
      <w:r w:rsidR="003F083D" w:rsidRPr="001F5230">
        <w:t>”</w:t>
      </w:r>
      <w:r w:rsidRPr="001F5230">
        <w:t>.</w:t>
      </w:r>
    </w:p>
    <w:p w14:paraId="04A0588E" w14:textId="374FE766" w:rsidR="00E13FE1" w:rsidRPr="005A22C2" w:rsidRDefault="00E13FE1" w:rsidP="006720A0">
      <w:pPr>
        <w:pStyle w:val="Heading3"/>
      </w:pPr>
      <w:bookmarkStart w:id="203" w:name="_Ref125370644"/>
      <w:bookmarkStart w:id="204" w:name="_Toc129783604"/>
      <w:r w:rsidRPr="005A22C2">
        <w:t xml:space="preserve">Maturity </w:t>
      </w:r>
      <w:r w:rsidR="00A12DE5" w:rsidRPr="005A22C2">
        <w:t xml:space="preserve">and </w:t>
      </w:r>
      <w:r w:rsidR="00C33E1B" w:rsidRPr="005A22C2">
        <w:t>S</w:t>
      </w:r>
      <w:r w:rsidR="00A12DE5" w:rsidRPr="005A22C2">
        <w:t xml:space="preserve">cale </w:t>
      </w:r>
      <w:r w:rsidRPr="005A22C2">
        <w:t xml:space="preserve">of the </w:t>
      </w:r>
      <w:r w:rsidR="00C33E1B" w:rsidRPr="005A22C2">
        <w:t>M</w:t>
      </w:r>
      <w:r w:rsidRPr="005A22C2">
        <w:t>arket</w:t>
      </w:r>
      <w:bookmarkEnd w:id="200"/>
      <w:bookmarkEnd w:id="201"/>
      <w:bookmarkEnd w:id="202"/>
      <w:bookmarkEnd w:id="203"/>
      <w:bookmarkEnd w:id="204"/>
    </w:p>
    <w:p w14:paraId="3F317BD2" w14:textId="2A9BB810" w:rsidR="00D61C01" w:rsidRPr="005A22C2" w:rsidRDefault="00E13FE1" w:rsidP="006720A0">
      <w:r w:rsidRPr="005A22C2">
        <w:t xml:space="preserve">One stakeholder from the </w:t>
      </w:r>
      <w:r w:rsidR="0087532B" w:rsidRPr="005A22C2">
        <w:t>I</w:t>
      </w:r>
      <w:r w:rsidRPr="005A22C2">
        <w:t xml:space="preserve">nstitutional </w:t>
      </w:r>
      <w:r w:rsidR="0087532B" w:rsidRPr="005A22C2">
        <w:t>I</w:t>
      </w:r>
      <w:r w:rsidRPr="005A22C2">
        <w:t xml:space="preserve">nvestor </w:t>
      </w:r>
      <w:r w:rsidR="00D84C52" w:rsidRPr="005A22C2">
        <w:t>Consultation Group</w:t>
      </w:r>
      <w:r w:rsidRPr="005A22C2">
        <w:t xml:space="preserve"> </w:t>
      </w:r>
      <w:r w:rsidR="00435E0B" w:rsidRPr="005A22C2">
        <w:t xml:space="preserve">stated </w:t>
      </w:r>
      <w:r w:rsidRPr="005A22C2">
        <w:t xml:space="preserve">that the underlying metrics of the SDA market </w:t>
      </w:r>
      <w:r w:rsidR="00435E0B" w:rsidRPr="005A22C2">
        <w:t xml:space="preserve">highlight </w:t>
      </w:r>
      <w:r w:rsidRPr="005A22C2">
        <w:t>that it is still in its infancy, and investors are hesitant to allocate capital to the market without greater confidence.</w:t>
      </w:r>
      <w:r w:rsidR="003A4625" w:rsidRPr="005A22C2">
        <w:t xml:space="preserve"> </w:t>
      </w:r>
      <w:r w:rsidR="00E63EF4" w:rsidRPr="005A22C2">
        <w:t>A</w:t>
      </w:r>
      <w:r w:rsidRPr="005A22C2">
        <w:t xml:space="preserve"> stakeholder from the </w:t>
      </w:r>
      <w:r w:rsidR="00EA2126" w:rsidRPr="005A22C2">
        <w:t>SDA Banks and Funds</w:t>
      </w:r>
      <w:r w:rsidRPr="005A22C2">
        <w:t xml:space="preserve"> </w:t>
      </w:r>
      <w:r w:rsidR="00D84C52" w:rsidRPr="005A22C2">
        <w:t>Consultation Group</w:t>
      </w:r>
      <w:r w:rsidRPr="005A22C2">
        <w:t xml:space="preserve"> </w:t>
      </w:r>
      <w:r w:rsidR="00E63EF4" w:rsidRPr="005A22C2">
        <w:t xml:space="preserve">similarly </w:t>
      </w:r>
      <w:r w:rsidRPr="005A22C2">
        <w:t xml:space="preserve">suggested that the SDA market is currently </w:t>
      </w:r>
      <w:r w:rsidRPr="001F5230">
        <w:t>“a relatively skinny and illiquid market</w:t>
      </w:r>
      <w:r w:rsidR="00042803" w:rsidRPr="001F5230">
        <w:t>”</w:t>
      </w:r>
      <w:r w:rsidR="00F65CE1" w:rsidRPr="001F5230">
        <w:t>.</w:t>
      </w:r>
      <w:r w:rsidR="00042803" w:rsidRPr="001F5230">
        <w:t xml:space="preserve"> However, this view was not </w:t>
      </w:r>
      <w:r w:rsidR="00042803" w:rsidRPr="00570F1C">
        <w:t xml:space="preserve">universal., For example, </w:t>
      </w:r>
      <w:r w:rsidR="00E63EF4" w:rsidRPr="00570F1C">
        <w:t xml:space="preserve">Australian </w:t>
      </w:r>
      <w:r w:rsidR="00CA3E5A" w:rsidRPr="00570F1C">
        <w:t xml:space="preserve">Unity </w:t>
      </w:r>
      <w:r w:rsidR="00395AD2" w:rsidRPr="00570F1C">
        <w:t>stated</w:t>
      </w:r>
      <w:r w:rsidR="009E5C69" w:rsidRPr="001F5230">
        <w:t xml:space="preserve"> that</w:t>
      </w:r>
      <w:r w:rsidR="009E5C69" w:rsidRPr="005A22C2">
        <w:t xml:space="preserve"> they </w:t>
      </w:r>
      <w:r w:rsidR="000E0C5C" w:rsidRPr="005A22C2">
        <w:t>consider</w:t>
      </w:r>
      <w:r w:rsidR="00042803" w:rsidRPr="005A22C2">
        <w:t>ed</w:t>
      </w:r>
      <w:r w:rsidR="009E5C69" w:rsidRPr="005A22C2">
        <w:t xml:space="preserve"> the SDA market no longer nascent, and now in development</w:t>
      </w:r>
      <w:r w:rsidR="00395AD2" w:rsidRPr="005A22C2">
        <w:t xml:space="preserve">. </w:t>
      </w:r>
      <w:r w:rsidR="00E63EF4" w:rsidRPr="005A22C2">
        <w:t xml:space="preserve">Australian </w:t>
      </w:r>
      <w:r w:rsidR="00395AD2" w:rsidRPr="005A22C2">
        <w:t>Unity did argue, however,</w:t>
      </w:r>
      <w:r w:rsidR="00D131E6" w:rsidRPr="005A22C2">
        <w:t xml:space="preserve"> that </w:t>
      </w:r>
      <w:r w:rsidR="0051282A" w:rsidRPr="005A22C2">
        <w:t xml:space="preserve">the volatility experienced to date has resulted in </w:t>
      </w:r>
      <w:r w:rsidR="00E40766" w:rsidRPr="005A22C2">
        <w:t xml:space="preserve">hampered </w:t>
      </w:r>
      <w:r w:rsidR="00A20CC2" w:rsidRPr="005A22C2">
        <w:t xml:space="preserve">institutional </w:t>
      </w:r>
      <w:r w:rsidR="00E40766" w:rsidRPr="005A22C2">
        <w:t>investment</w:t>
      </w:r>
      <w:r w:rsidR="00A20CC2" w:rsidRPr="005A22C2">
        <w:t xml:space="preserve"> in the sector.</w:t>
      </w:r>
    </w:p>
    <w:p w14:paraId="6F9E5C54" w14:textId="3ACC219E" w:rsidR="003A4625" w:rsidRPr="005A22C2" w:rsidRDefault="003A4625" w:rsidP="006720A0">
      <w:r w:rsidRPr="005A22C2">
        <w:t>One issue that was raised by several stakeholders, was that (</w:t>
      </w:r>
      <w:r w:rsidR="00E13FE1" w:rsidRPr="005A22C2">
        <w:t>compared to other established regulated industries such as aged care</w:t>
      </w:r>
      <w:r w:rsidRPr="005A22C2">
        <w:t>)</w:t>
      </w:r>
      <w:r w:rsidR="00E13FE1" w:rsidRPr="005A22C2">
        <w:t xml:space="preserve"> the SDA market does not have the same level of scale </w:t>
      </w:r>
      <w:r w:rsidR="00E13FE1" w:rsidRPr="001F5230">
        <w:t xml:space="preserve">nor resource capabilities. </w:t>
      </w:r>
      <w:r w:rsidRPr="001F5230">
        <w:t>As o</w:t>
      </w:r>
      <w:r w:rsidR="00E13FE1" w:rsidRPr="001F5230">
        <w:t xml:space="preserve">ne stakeholder from the </w:t>
      </w:r>
      <w:r w:rsidR="00EA2126" w:rsidRPr="001F5230">
        <w:t>SDA Banks and Funds</w:t>
      </w:r>
      <w:r w:rsidR="00E13FE1" w:rsidRPr="001F5230">
        <w:t xml:space="preserve"> </w:t>
      </w:r>
      <w:r w:rsidR="00D84C52" w:rsidRPr="001F5230">
        <w:t>Consultation Group</w:t>
      </w:r>
      <w:r w:rsidR="00E13FE1" w:rsidRPr="001F5230">
        <w:t xml:space="preserve"> </w:t>
      </w:r>
      <w:r w:rsidR="005361D4" w:rsidRPr="001F5230">
        <w:t>stated</w:t>
      </w:r>
      <w:r w:rsidR="003F083D" w:rsidRPr="001F5230">
        <w:t xml:space="preserve"> “</w:t>
      </w:r>
      <w:r w:rsidR="00643E78" w:rsidRPr="001F5230">
        <w:t>t</w:t>
      </w:r>
      <w:r w:rsidR="00E13FE1" w:rsidRPr="001F5230">
        <w:t xml:space="preserve">here’s a lack of scale, there’s a lack of delivered projects at scale. </w:t>
      </w:r>
      <w:proofErr w:type="gramStart"/>
      <w:r w:rsidR="00E13FE1" w:rsidRPr="001F5230">
        <w:t>So</w:t>
      </w:r>
      <w:proofErr w:type="gramEnd"/>
      <w:r w:rsidR="00E13FE1" w:rsidRPr="001F5230">
        <w:t xml:space="preserve"> we’re way down on an efficient frontier curve, we’ve got a long way to go. And there’s a general lack of comprehension and understanding about the risks across the industry</w:t>
      </w:r>
      <w:r w:rsidR="003F083D" w:rsidRPr="001F5230">
        <w:t>”</w:t>
      </w:r>
      <w:r w:rsidRPr="001F5230">
        <w:t>.</w:t>
      </w:r>
    </w:p>
    <w:p w14:paraId="7A516F1B" w14:textId="0EEDFDB7" w:rsidR="00395AD2" w:rsidRPr="005A22C2" w:rsidRDefault="00395AD2" w:rsidP="006720A0">
      <w:r w:rsidRPr="005A22C2">
        <w:t>Stakeholders also pointed out</w:t>
      </w:r>
      <w:r w:rsidR="005D273B" w:rsidRPr="005A22C2">
        <w:t xml:space="preserve"> that</w:t>
      </w:r>
      <w:r w:rsidR="00AB1A85" w:rsidRPr="005A22C2">
        <w:t xml:space="preserve"> the SDA marke</w:t>
      </w:r>
      <w:r w:rsidR="00AB1A85" w:rsidRPr="001F5230">
        <w:t>t</w:t>
      </w:r>
      <w:r w:rsidR="005D273B" w:rsidRPr="001F5230">
        <w:t xml:space="preserve"> </w:t>
      </w:r>
      <w:r w:rsidR="00AB1A85" w:rsidRPr="001F5230">
        <w:t>“is competing for capital with other</w:t>
      </w:r>
      <w:r w:rsidR="000B3F7B" w:rsidRPr="001F5230">
        <w:t xml:space="preserve"> asset classes such as commercial real estate and social/affordable housing</w:t>
      </w:r>
      <w:r w:rsidRPr="001F5230">
        <w:t>” and that</w:t>
      </w:r>
      <w:r w:rsidR="00A53FE7" w:rsidRPr="001F5230">
        <w:t xml:space="preserve"> </w:t>
      </w:r>
      <w:r w:rsidR="00D87D08" w:rsidRPr="001F5230">
        <w:t>SDA has a limited pool of tenants (approximately 28,000) which</w:t>
      </w:r>
      <w:r w:rsidRPr="001F5230">
        <w:t>, they argued,</w:t>
      </w:r>
      <w:r w:rsidR="00410B11" w:rsidRPr="001F5230">
        <w:t xml:space="preserve"> suggests that </w:t>
      </w:r>
      <w:r w:rsidRPr="001F5230">
        <w:t xml:space="preserve">SDA will always be </w:t>
      </w:r>
      <w:r w:rsidR="00410B11" w:rsidRPr="001F5230">
        <w:t>a relatively</w:t>
      </w:r>
      <w:r w:rsidR="00410B11" w:rsidRPr="005A22C2">
        <w:t xml:space="preserve"> thin market that will be subject to a higher level of volatility, particularly in comparison to other residential accommodation variant markets.</w:t>
      </w:r>
    </w:p>
    <w:p w14:paraId="5268DD72" w14:textId="45A6129E" w:rsidR="00E13FE1" w:rsidRPr="005A22C2" w:rsidRDefault="00606263" w:rsidP="006720A0">
      <w:r>
        <w:t xml:space="preserve">A confidential submission </w:t>
      </w:r>
      <w:r w:rsidR="008911C1" w:rsidRPr="005A22C2">
        <w:t xml:space="preserve">also suggested that many underlying potential </w:t>
      </w:r>
      <w:r w:rsidR="006E3226" w:rsidRPr="005A22C2">
        <w:t xml:space="preserve">participants </w:t>
      </w:r>
      <w:r w:rsidR="00EF719C" w:rsidRPr="005A22C2">
        <w:t xml:space="preserve">in the SDA market </w:t>
      </w:r>
      <w:r w:rsidR="004742FA" w:rsidRPr="005A22C2">
        <w:t>“</w:t>
      </w:r>
      <w:r w:rsidR="00EF719C" w:rsidRPr="001F5230">
        <w:t xml:space="preserve">do not yet have </w:t>
      </w:r>
      <w:r w:rsidR="002A189B" w:rsidRPr="001F5230">
        <w:t>their SDA or support funding</w:t>
      </w:r>
      <w:r w:rsidR="00B24DC6" w:rsidRPr="001F5230">
        <w:t xml:space="preserve">, </w:t>
      </w:r>
      <w:r w:rsidR="00E149F8" w:rsidRPr="001F5230">
        <w:t>placing a limit</w:t>
      </w:r>
      <w:r w:rsidR="008030E9" w:rsidRPr="001F5230">
        <w:t xml:space="preserve"> to the effective size of the m</w:t>
      </w:r>
      <w:r w:rsidR="000327C7" w:rsidRPr="001F5230">
        <w:t>arket”</w:t>
      </w:r>
      <w:r w:rsidR="007E1EDB" w:rsidRPr="001F5230">
        <w:t>.</w:t>
      </w:r>
      <w:r w:rsidR="00395AD2" w:rsidRPr="001F5230">
        <w:t xml:space="preserve"> </w:t>
      </w:r>
      <w:r w:rsidR="00087F7C" w:rsidRPr="001F5230">
        <w:t xml:space="preserve">They </w:t>
      </w:r>
      <w:r w:rsidR="00395AD2" w:rsidRPr="001F5230">
        <w:t>stated</w:t>
      </w:r>
      <w:r w:rsidR="00087F7C" w:rsidRPr="001F5230">
        <w:t xml:space="preserve"> that </w:t>
      </w:r>
      <w:r w:rsidR="00B77720" w:rsidRPr="001F5230">
        <w:t>this is increasing the uncertainty surrounding current and forecast</w:t>
      </w:r>
      <w:r w:rsidR="00B77720" w:rsidRPr="005A22C2">
        <w:t xml:space="preserve"> demand, </w:t>
      </w:r>
      <w:r w:rsidR="00A61739" w:rsidRPr="005A22C2">
        <w:t xml:space="preserve">whereas other comparable markets </w:t>
      </w:r>
      <w:r w:rsidR="00BD1CBA" w:rsidRPr="005A22C2">
        <w:t xml:space="preserve">have </w:t>
      </w:r>
      <w:r w:rsidR="009F6B49" w:rsidRPr="005A22C2">
        <w:t xml:space="preserve">a </w:t>
      </w:r>
      <w:r w:rsidR="00BD1CBA" w:rsidRPr="005A22C2">
        <w:t>long</w:t>
      </w:r>
      <w:r w:rsidR="009F6B49" w:rsidRPr="005A22C2">
        <w:t xml:space="preserve"> history</w:t>
      </w:r>
      <w:r w:rsidR="00D10CE3" w:rsidRPr="005A22C2">
        <w:t xml:space="preserve"> </w:t>
      </w:r>
      <w:r w:rsidR="001861CD" w:rsidRPr="005A22C2">
        <w:t xml:space="preserve">and readily forecastable demand </w:t>
      </w:r>
      <w:r w:rsidR="00D10CE3" w:rsidRPr="005A22C2">
        <w:t>for their product</w:t>
      </w:r>
      <w:r w:rsidR="00395AD2" w:rsidRPr="005A22C2">
        <w:t>.</w:t>
      </w:r>
    </w:p>
    <w:p w14:paraId="30732E5D" w14:textId="58206B57" w:rsidR="00A47429" w:rsidRPr="005A22C2" w:rsidRDefault="00013EFF" w:rsidP="006720A0">
      <w:r w:rsidRPr="005A22C2">
        <w:lastRenderedPageBreak/>
        <w:t xml:space="preserve">Stakeholders </w:t>
      </w:r>
      <w:r w:rsidR="005361D4" w:rsidRPr="005A22C2">
        <w:t>stated</w:t>
      </w:r>
      <w:r w:rsidRPr="005A22C2">
        <w:t xml:space="preserve"> that t</w:t>
      </w:r>
      <w:r w:rsidR="00E13FE1" w:rsidRPr="005A22C2">
        <w:t>he SDA market currently does not have the same depth of transactions, level of investment capital or number/breadth of debt providers (including traditional bank debt and bond markets) as other established infrastructure markets.</w:t>
      </w:r>
      <w:r w:rsidR="008A3F0F" w:rsidRPr="005A22C2">
        <w:t xml:space="preserve"> </w:t>
      </w:r>
      <w:r w:rsidR="00E63CE8" w:rsidRPr="005A22C2">
        <w:t>A</w:t>
      </w:r>
      <w:r w:rsidR="00E13FE1" w:rsidRPr="005A22C2">
        <w:t xml:space="preserve"> stakeholder from the </w:t>
      </w:r>
      <w:r w:rsidR="00EA2126" w:rsidRPr="005A22C2">
        <w:t>SDA Banks</w:t>
      </w:r>
      <w:r w:rsidR="00D6227D" w:rsidRPr="005A22C2">
        <w:t xml:space="preserve"> and Funds</w:t>
      </w:r>
      <w:r w:rsidR="00E13FE1" w:rsidRPr="005A22C2">
        <w:t xml:space="preserve"> </w:t>
      </w:r>
      <w:r w:rsidR="00D84C52" w:rsidRPr="005A22C2">
        <w:t>Consultation Group</w:t>
      </w:r>
      <w:r w:rsidR="00E13FE1" w:rsidRPr="005A22C2">
        <w:t xml:space="preserve"> </w:t>
      </w:r>
      <w:r w:rsidR="008A3F0F" w:rsidRPr="005A22C2">
        <w:t>stated</w:t>
      </w:r>
      <w:r w:rsidR="00E13FE1" w:rsidRPr="005A22C2">
        <w:t xml:space="preserve"> </w:t>
      </w:r>
      <w:r w:rsidR="006F0488" w:rsidRPr="005A22C2">
        <w:t xml:space="preserve">that in time </w:t>
      </w:r>
      <w:r w:rsidR="00E13FE1" w:rsidRPr="005A22C2">
        <w:t xml:space="preserve">social bonds will be issued </w:t>
      </w:r>
      <w:r w:rsidR="006F0488" w:rsidRPr="005A22C2">
        <w:t>for the SDA</w:t>
      </w:r>
      <w:r w:rsidR="00E13FE1" w:rsidRPr="005A22C2">
        <w:t xml:space="preserve"> market, however greater experience, history</w:t>
      </w:r>
      <w:r w:rsidR="0075531C" w:rsidRPr="005A22C2">
        <w:t>,</w:t>
      </w:r>
      <w:r w:rsidR="00E13FE1" w:rsidRPr="005A22C2">
        <w:t xml:space="preserve"> and information transparency is required. The same </w:t>
      </w:r>
      <w:r w:rsidR="00D84C52" w:rsidRPr="005A22C2">
        <w:t>Consultation Group</w:t>
      </w:r>
      <w:r w:rsidR="00E13FE1" w:rsidRPr="005A22C2">
        <w:t xml:space="preserve"> also </w:t>
      </w:r>
      <w:r w:rsidR="005361D4" w:rsidRPr="005A22C2">
        <w:t>stated</w:t>
      </w:r>
      <w:r w:rsidR="00E13FE1" w:rsidRPr="005A22C2">
        <w:t xml:space="preserve"> that they have received </w:t>
      </w:r>
      <w:r w:rsidR="00E13FE1" w:rsidRPr="001F5230">
        <w:t>feedback from large Australian superannuation funds that investment in the SDA market is “…too early, there’s not enough traffic, [</w:t>
      </w:r>
      <w:r w:rsidR="00110AD9" w:rsidRPr="001F5230">
        <w:t xml:space="preserve">and </w:t>
      </w:r>
      <w:r w:rsidR="00E13FE1" w:rsidRPr="001F5230">
        <w:t>there is] regulatory risk</w:t>
      </w:r>
      <w:r w:rsidR="00F65CE1" w:rsidRPr="001F5230">
        <w:t>”</w:t>
      </w:r>
      <w:r w:rsidR="007E1EDB" w:rsidRPr="001F5230">
        <w:t>.</w:t>
      </w:r>
    </w:p>
    <w:p w14:paraId="3E3BD3F0" w14:textId="09BFB4CC" w:rsidR="008A3F0F" w:rsidRPr="005A22C2" w:rsidRDefault="00606263" w:rsidP="006720A0">
      <w:pPr>
        <w:rPr>
          <w:iCs/>
        </w:rPr>
      </w:pPr>
      <w:r>
        <w:t xml:space="preserve">A confidential submission </w:t>
      </w:r>
      <w:r w:rsidR="004E218B" w:rsidRPr="005A22C2">
        <w:t>suggested that there is</w:t>
      </w:r>
      <w:r w:rsidR="00BC71ED" w:rsidRPr="005A22C2">
        <w:t xml:space="preserve"> a perception of</w:t>
      </w:r>
      <w:r w:rsidR="004E218B" w:rsidRPr="005A22C2">
        <w:t xml:space="preserve"> </w:t>
      </w:r>
      <w:r w:rsidR="006A353E" w:rsidRPr="005A22C2">
        <w:t xml:space="preserve">uncertainty in government commitment </w:t>
      </w:r>
      <w:r w:rsidR="00D9504F" w:rsidRPr="005A22C2">
        <w:t>to new sectors and schem</w:t>
      </w:r>
      <w:r w:rsidR="00D9504F" w:rsidRPr="001F5230">
        <w:t>es</w:t>
      </w:r>
      <w:r w:rsidR="00A022FD" w:rsidRPr="001F5230">
        <w:t xml:space="preserve"> (such as </w:t>
      </w:r>
      <w:r w:rsidR="009B594C" w:rsidRPr="001F5230">
        <w:t>SDA</w:t>
      </w:r>
      <w:r w:rsidR="00A022FD" w:rsidRPr="001F5230">
        <w:t>)</w:t>
      </w:r>
      <w:r w:rsidR="00D9504F" w:rsidRPr="001F5230">
        <w:t>, “which has been reflected through protracted and challenging administrative practices”</w:t>
      </w:r>
      <w:r w:rsidR="007E1EDB" w:rsidRPr="001F5230">
        <w:t>.</w:t>
      </w:r>
      <w:r w:rsidR="00A53FE7" w:rsidRPr="001F5230">
        <w:t xml:space="preserve"> </w:t>
      </w:r>
      <w:r w:rsidR="00811B8D" w:rsidRPr="001F5230">
        <w:t>T</w:t>
      </w:r>
      <w:r w:rsidR="008A3F0F" w:rsidRPr="001F5230">
        <w:t xml:space="preserve">hey </w:t>
      </w:r>
      <w:r w:rsidR="008A3F0F" w:rsidRPr="005A22C2">
        <w:t>argue</w:t>
      </w:r>
      <w:r w:rsidR="007E1EDB" w:rsidRPr="005A22C2">
        <w:t>d</w:t>
      </w:r>
      <w:r w:rsidR="008A3F0F" w:rsidRPr="005A22C2">
        <w:t xml:space="preserve"> that t</w:t>
      </w:r>
      <w:r w:rsidR="00811B8D" w:rsidRPr="005A22C2">
        <w:t>his perception</w:t>
      </w:r>
      <w:r w:rsidR="00BC71ED" w:rsidRPr="005A22C2">
        <w:t xml:space="preserve"> has </w:t>
      </w:r>
      <w:r w:rsidR="00E62A1A" w:rsidRPr="005A22C2">
        <w:t>dissuaded investors</w:t>
      </w:r>
      <w:r w:rsidR="00E62A1A" w:rsidRPr="005A22C2">
        <w:rPr>
          <w:iCs/>
        </w:rPr>
        <w:t xml:space="preserve"> from wanting to be ‘</w:t>
      </w:r>
      <w:proofErr w:type="gramStart"/>
      <w:r w:rsidR="00E62A1A" w:rsidRPr="005A22C2">
        <w:rPr>
          <w:iCs/>
        </w:rPr>
        <w:t>first-movers</w:t>
      </w:r>
      <w:proofErr w:type="gramEnd"/>
      <w:r w:rsidR="00E62A1A" w:rsidRPr="005A22C2">
        <w:rPr>
          <w:iCs/>
        </w:rPr>
        <w:t>’</w:t>
      </w:r>
      <w:r w:rsidR="00F24401" w:rsidRPr="005A22C2">
        <w:rPr>
          <w:iCs/>
        </w:rPr>
        <w:t xml:space="preserve"> and waiting </w:t>
      </w:r>
      <w:r w:rsidR="00414E42" w:rsidRPr="005A22C2">
        <w:rPr>
          <w:iCs/>
        </w:rPr>
        <w:t xml:space="preserve">instead </w:t>
      </w:r>
      <w:r w:rsidR="00F24401" w:rsidRPr="005A22C2">
        <w:rPr>
          <w:iCs/>
        </w:rPr>
        <w:t>for a</w:t>
      </w:r>
      <w:r w:rsidR="00414E42" w:rsidRPr="005A22C2">
        <w:rPr>
          <w:iCs/>
        </w:rPr>
        <w:t>n established</w:t>
      </w:r>
      <w:r w:rsidR="00F24401" w:rsidRPr="005A22C2">
        <w:rPr>
          <w:iCs/>
        </w:rPr>
        <w:t xml:space="preserve"> track record</w:t>
      </w:r>
      <w:r w:rsidR="00526EF4" w:rsidRPr="005A22C2">
        <w:rPr>
          <w:iCs/>
        </w:rPr>
        <w:t xml:space="preserve"> of performance</w:t>
      </w:r>
      <w:r w:rsidR="00414E42" w:rsidRPr="005A22C2">
        <w:rPr>
          <w:iCs/>
        </w:rPr>
        <w:t xml:space="preserve"> before entering</w:t>
      </w:r>
      <w:r w:rsidR="00F24401" w:rsidRPr="005A22C2">
        <w:rPr>
          <w:iCs/>
        </w:rPr>
        <w:t>.</w:t>
      </w:r>
    </w:p>
    <w:p w14:paraId="61B4ABBC" w14:textId="62B531FF" w:rsidR="008A3F0F" w:rsidRPr="001F5230" w:rsidRDefault="00E13FE1" w:rsidP="006720A0">
      <w:r w:rsidRPr="005A22C2">
        <w:t xml:space="preserve">Stakeholders from the New South Wales and Australian Capital Territory </w:t>
      </w:r>
      <w:r w:rsidR="00D84C52" w:rsidRPr="005A22C2">
        <w:t>Consultation Group</w:t>
      </w:r>
      <w:r w:rsidRPr="005A22C2">
        <w:t xml:space="preserve"> supported the insights from the </w:t>
      </w:r>
      <w:r w:rsidR="005C7CDB" w:rsidRPr="005A22C2">
        <w:t>F</w:t>
      </w:r>
      <w:r w:rsidRPr="005A22C2">
        <w:t xml:space="preserve">unds and </w:t>
      </w:r>
      <w:r w:rsidR="005C7CDB" w:rsidRPr="005A22C2">
        <w:t>I</w:t>
      </w:r>
      <w:r w:rsidRPr="005A22C2">
        <w:t>nvesto</w:t>
      </w:r>
      <w:r w:rsidR="005C7CDB" w:rsidRPr="005A22C2">
        <w:t xml:space="preserve">r </w:t>
      </w:r>
      <w:r w:rsidR="00D84C52" w:rsidRPr="005A22C2">
        <w:t>Consultation Group</w:t>
      </w:r>
      <w:r w:rsidRPr="005A22C2">
        <w:t>, noting that</w:t>
      </w:r>
      <w:r w:rsidR="003F083D" w:rsidRPr="005A22C2">
        <w:t xml:space="preserve"> </w:t>
      </w:r>
      <w:r w:rsidR="003F083D" w:rsidRPr="001F5230">
        <w:t>“</w:t>
      </w:r>
      <w:r w:rsidRPr="001F5230">
        <w:t>larger banking groups are still not seeing a lot of SDA…[and] that level of the bank does find it challenging to do anything other than just value it [SDA] at market value</w:t>
      </w:r>
      <w:r w:rsidR="00AE4A6A" w:rsidRPr="001F5230">
        <w:t>”</w:t>
      </w:r>
      <w:r w:rsidR="00F65CE1" w:rsidRPr="001F5230">
        <w:t>.</w:t>
      </w:r>
    </w:p>
    <w:p w14:paraId="52CA726B" w14:textId="7FB11E34" w:rsidR="00A47429" w:rsidRPr="005A22C2" w:rsidRDefault="00E13FE1" w:rsidP="006720A0">
      <w:r w:rsidRPr="005A22C2">
        <w:t xml:space="preserve">Another stakeholder from the </w:t>
      </w:r>
      <w:r w:rsidR="00AF0E65" w:rsidRPr="005A22C2">
        <w:t xml:space="preserve">SDA </w:t>
      </w:r>
      <w:r w:rsidR="00BB1048" w:rsidRPr="005A22C2">
        <w:t>Self-Provider</w:t>
      </w:r>
      <w:r w:rsidR="00AF0E65" w:rsidRPr="005A22C2">
        <w:t xml:space="preserve"> </w:t>
      </w:r>
      <w:r w:rsidR="00D84C52" w:rsidRPr="005A22C2">
        <w:t>Consultation Group</w:t>
      </w:r>
      <w:r w:rsidRPr="005A22C2">
        <w:t xml:space="preserve"> suggested that the main lender typically won’t lend to SDA self-providers due to the small size of the market.</w:t>
      </w:r>
      <w:r w:rsidR="00AE4A6A" w:rsidRPr="005A22C2">
        <w:t xml:space="preserve"> </w:t>
      </w:r>
      <w:r w:rsidR="000918BC" w:rsidRPr="005A22C2">
        <w:t>SDA+ stated that only three out of 113 home loan financiers in Australia are currently prepared to lend to SDA self-providers</w:t>
      </w:r>
      <w:r w:rsidR="00FD5ABE" w:rsidRPr="005A22C2">
        <w:t>, which is significantly limiting the available financing options</w:t>
      </w:r>
      <w:r w:rsidR="008A3F0F" w:rsidRPr="005A22C2">
        <w:t>.</w:t>
      </w:r>
    </w:p>
    <w:p w14:paraId="4223853B" w14:textId="08DA6A75" w:rsidR="00E13FE1" w:rsidRPr="005A22C2" w:rsidRDefault="00E13FE1" w:rsidP="006720A0">
      <w:r w:rsidRPr="00570F1C">
        <w:t xml:space="preserve">M3 Property suggested that as the SDA market is immature and there is insufficient data to inform long-term trends, they must make educated judgements based on comparative asset classes </w:t>
      </w:r>
      <w:proofErr w:type="gramStart"/>
      <w:r w:rsidRPr="00570F1C">
        <w:t>in order to</w:t>
      </w:r>
      <w:proofErr w:type="gramEnd"/>
      <w:r w:rsidRPr="00570F1C">
        <w:t xml:space="preserve"> value assets.</w:t>
      </w:r>
      <w:r w:rsidR="00AE4A6A" w:rsidRPr="00570F1C">
        <w:t xml:space="preserve"> </w:t>
      </w:r>
      <w:bookmarkStart w:id="205" w:name="_Ref122082524"/>
      <w:r w:rsidRPr="00570F1C">
        <w:t xml:space="preserve">Stakeholders in the </w:t>
      </w:r>
      <w:r w:rsidR="00EA2126" w:rsidRPr="00570F1C">
        <w:t>SDA Institutional Investors</w:t>
      </w:r>
      <w:r w:rsidRPr="00570F1C">
        <w:t xml:space="preserve"> </w:t>
      </w:r>
      <w:r w:rsidR="00D84C52" w:rsidRPr="00570F1C">
        <w:t>Consultation Group</w:t>
      </w:r>
      <w:r w:rsidRPr="00570F1C">
        <w:t xml:space="preserve"> also suggested that </w:t>
      </w:r>
      <w:r w:rsidR="002D4A57" w:rsidRPr="00570F1C">
        <w:t>given the</w:t>
      </w:r>
      <w:r w:rsidRPr="00570F1C">
        <w:t xml:space="preserve"> inconsistent information pertaining to performance of the sector, the CAPM should include an illiquidity premium to acknowledge the immaturity of the sector.</w:t>
      </w:r>
      <w:r w:rsidR="00AE4A6A" w:rsidRPr="00570F1C">
        <w:t xml:space="preserve"> </w:t>
      </w:r>
      <w:r w:rsidR="00C21B02" w:rsidRPr="00570F1C">
        <w:t xml:space="preserve">Barwon Investment Partners </w:t>
      </w:r>
      <w:proofErr w:type="gramStart"/>
      <w:r w:rsidR="00C21B02" w:rsidRPr="00570F1C">
        <w:t>agreed, and</w:t>
      </w:r>
      <w:proofErr w:type="gramEnd"/>
      <w:r w:rsidR="00C21B02" w:rsidRPr="00570F1C">
        <w:t xml:space="preserve"> suggested that an illiquidity premium</w:t>
      </w:r>
      <w:r w:rsidR="00C21B02" w:rsidRPr="005A22C2">
        <w:t xml:space="preserve"> </w:t>
      </w:r>
      <w:r w:rsidR="00F87184" w:rsidRPr="005A22C2">
        <w:t xml:space="preserve">should be included to account for the unlisted nature of </w:t>
      </w:r>
      <w:r w:rsidR="00195CAA" w:rsidRPr="005A22C2">
        <w:t xml:space="preserve">investment in SDA, as listed assets, in comparison, have </w:t>
      </w:r>
      <w:r w:rsidR="00B7062B" w:rsidRPr="005A22C2">
        <w:t>large amounts of historical data</w:t>
      </w:r>
      <w:r w:rsidR="00C21B02" w:rsidRPr="005A22C2">
        <w:t xml:space="preserve"> </w:t>
      </w:r>
      <w:r w:rsidR="00365ABE" w:rsidRPr="005A22C2">
        <w:t xml:space="preserve">(or close </w:t>
      </w:r>
      <w:r w:rsidR="007F1EB7" w:rsidRPr="005A22C2">
        <w:t xml:space="preserve">proxies) </w:t>
      </w:r>
      <w:r w:rsidR="00FC0FB3" w:rsidRPr="005A22C2">
        <w:t xml:space="preserve">to inform the CAPM. </w:t>
      </w:r>
      <w:r w:rsidRPr="005A22C2">
        <w:t>In addition, as the SDA market does not have the same level of trading history as other comparable social infrastructure markets, it should have a higher risk classification and Equity Beta within the CAPM</w:t>
      </w:r>
      <w:bookmarkEnd w:id="205"/>
      <w:r w:rsidRPr="005A22C2">
        <w:t>.</w:t>
      </w:r>
    </w:p>
    <w:p w14:paraId="21004489" w14:textId="6E5BB6B2" w:rsidR="00E13FE1" w:rsidRPr="005A22C2" w:rsidRDefault="006122E8" w:rsidP="006720A0">
      <w:pPr>
        <w:pStyle w:val="Heading3"/>
      </w:pPr>
      <w:bookmarkStart w:id="206" w:name="_Toc122454253"/>
      <w:bookmarkStart w:id="207" w:name="_Toc122527542"/>
      <w:bookmarkStart w:id="208" w:name="_Toc129783605"/>
      <w:r w:rsidRPr="005A22C2">
        <w:t xml:space="preserve">Regulatory </w:t>
      </w:r>
      <w:r w:rsidR="00C33E1B" w:rsidRPr="005A22C2">
        <w:t>R</w:t>
      </w:r>
      <w:r w:rsidRPr="005A22C2">
        <w:t>isk</w:t>
      </w:r>
      <w:bookmarkEnd w:id="206"/>
      <w:bookmarkEnd w:id="207"/>
      <w:bookmarkEnd w:id="208"/>
    </w:p>
    <w:p w14:paraId="0B94C74B" w14:textId="77777777" w:rsidR="00A47429" w:rsidRPr="005A22C2" w:rsidRDefault="006122E8" w:rsidP="006720A0">
      <w:r w:rsidRPr="005A22C2">
        <w:t xml:space="preserve">Several stakeholders indicated that the outcomes of this </w:t>
      </w:r>
      <w:r w:rsidR="006344D5" w:rsidRPr="005A22C2">
        <w:t>SDA Pricing Review</w:t>
      </w:r>
      <w:r w:rsidRPr="005A22C2">
        <w:t xml:space="preserve"> (and to a broader extent, the NDIS Review) will be crucial for minimising the regulatory risks that are currently present in the SDA market. </w:t>
      </w:r>
      <w:r w:rsidR="00767755" w:rsidRPr="005A22C2">
        <w:t xml:space="preserve">Stakeholders </w:t>
      </w:r>
      <w:r w:rsidR="005361D4" w:rsidRPr="005A22C2">
        <w:t>stated</w:t>
      </w:r>
      <w:r w:rsidR="00767755" w:rsidRPr="005A22C2">
        <w:t xml:space="preserve"> that they </w:t>
      </w:r>
      <w:r w:rsidR="00ED68C4" w:rsidRPr="005A22C2">
        <w:t xml:space="preserve">are waiting to see how </w:t>
      </w:r>
      <w:r w:rsidR="00BF6093" w:rsidRPr="005A22C2">
        <w:t>this</w:t>
      </w:r>
      <w:r w:rsidR="00ED68C4" w:rsidRPr="005A22C2">
        <w:t xml:space="preserve"> </w:t>
      </w:r>
      <w:r w:rsidR="00075DB8" w:rsidRPr="005A22C2">
        <w:t xml:space="preserve">first </w:t>
      </w:r>
      <w:r w:rsidR="00BF6093" w:rsidRPr="005A22C2">
        <w:t>SDA</w:t>
      </w:r>
      <w:r w:rsidR="00ED68C4" w:rsidRPr="005A22C2">
        <w:t xml:space="preserve"> Pric</w:t>
      </w:r>
      <w:r w:rsidR="006344D5" w:rsidRPr="005A22C2">
        <w:t>ing</w:t>
      </w:r>
      <w:r w:rsidR="00ED68C4" w:rsidRPr="005A22C2">
        <w:t xml:space="preserve"> Review </w:t>
      </w:r>
      <w:r w:rsidR="001B210D" w:rsidRPr="005A22C2">
        <w:t>assesses the volatility and maturity of the market</w:t>
      </w:r>
      <w:r w:rsidR="00937CAE" w:rsidRPr="005A22C2">
        <w:t xml:space="preserve"> and </w:t>
      </w:r>
      <w:r w:rsidR="00640B3D" w:rsidRPr="005A22C2">
        <w:t xml:space="preserve">adjusts </w:t>
      </w:r>
      <w:r w:rsidR="0064643B" w:rsidRPr="005A22C2">
        <w:t xml:space="preserve">for this </w:t>
      </w:r>
      <w:r w:rsidR="006344D5" w:rsidRPr="005A22C2">
        <w:t>in the new SDA pricing arrangements</w:t>
      </w:r>
      <w:r w:rsidR="00040D45" w:rsidRPr="005A22C2">
        <w:t>.</w:t>
      </w:r>
    </w:p>
    <w:p w14:paraId="409E5655" w14:textId="77777777" w:rsidR="007E1EDB" w:rsidRPr="005A22C2" w:rsidRDefault="00F06A6C" w:rsidP="006720A0">
      <w:r w:rsidRPr="005A22C2">
        <w:lastRenderedPageBreak/>
        <w:t>Stakeholders</w:t>
      </w:r>
      <w:r w:rsidR="00AE4697" w:rsidRPr="005A22C2">
        <w:t xml:space="preserve"> (particularly those who invest in SDA)</w:t>
      </w:r>
      <w:r w:rsidRPr="005A22C2">
        <w:t xml:space="preserve"> </w:t>
      </w:r>
      <w:r w:rsidR="005361D4" w:rsidRPr="005A22C2">
        <w:t>stated</w:t>
      </w:r>
      <w:r w:rsidRPr="005A22C2">
        <w:t xml:space="preserve"> that w</w:t>
      </w:r>
      <w:r w:rsidR="00EB3459" w:rsidRPr="005A22C2">
        <w:t>hil</w:t>
      </w:r>
      <w:r w:rsidR="002A45BE" w:rsidRPr="005A22C2">
        <w:t>e</w:t>
      </w:r>
      <w:r w:rsidR="00EB3459" w:rsidRPr="005A22C2" w:rsidDel="00AE4697">
        <w:t xml:space="preserve"> </w:t>
      </w:r>
      <w:r w:rsidR="00AE4697" w:rsidRPr="005A22C2">
        <w:t xml:space="preserve">they </w:t>
      </w:r>
      <w:r w:rsidR="00EB3459" w:rsidRPr="005A22C2">
        <w:t xml:space="preserve">are </w:t>
      </w:r>
      <w:r w:rsidR="00451F5F" w:rsidRPr="005A22C2">
        <w:t xml:space="preserve">interested in how the </w:t>
      </w:r>
      <w:r w:rsidR="00701A21" w:rsidRPr="005A22C2">
        <w:t xml:space="preserve">SDA </w:t>
      </w:r>
      <w:r w:rsidR="00451F5F" w:rsidRPr="005A22C2">
        <w:t>Pric</w:t>
      </w:r>
      <w:r w:rsidR="006344D5" w:rsidRPr="005A22C2">
        <w:t>ing</w:t>
      </w:r>
      <w:r w:rsidR="00451F5F" w:rsidRPr="005A22C2">
        <w:t xml:space="preserve"> Review will </w:t>
      </w:r>
      <w:r w:rsidR="000617FD" w:rsidRPr="005A22C2">
        <w:t xml:space="preserve">change the </w:t>
      </w:r>
      <w:r w:rsidR="006344D5" w:rsidRPr="005A22C2">
        <w:t>pricing arrangements for SDA</w:t>
      </w:r>
      <w:r w:rsidR="000617FD" w:rsidRPr="005A22C2">
        <w:t xml:space="preserve">, </w:t>
      </w:r>
      <w:r w:rsidR="00A1336E" w:rsidRPr="005A22C2">
        <w:t xml:space="preserve">they also desire stability </w:t>
      </w:r>
      <w:r w:rsidR="00BD6AE2" w:rsidRPr="005A22C2">
        <w:t xml:space="preserve">in the regulation </w:t>
      </w:r>
      <w:r w:rsidR="00A1336E" w:rsidRPr="005A22C2">
        <w:t xml:space="preserve">of </w:t>
      </w:r>
      <w:r w:rsidR="00FE15B6" w:rsidRPr="005A22C2">
        <w:t>the</w:t>
      </w:r>
      <w:r w:rsidR="00A1336E" w:rsidRPr="005A22C2">
        <w:t xml:space="preserve"> pricing </w:t>
      </w:r>
      <w:r w:rsidR="00FE15B6" w:rsidRPr="005A22C2">
        <w:t>arrangements.</w:t>
      </w:r>
      <w:r w:rsidR="006344D5" w:rsidRPr="005A22C2">
        <w:t xml:space="preserve"> </w:t>
      </w:r>
      <w:r w:rsidR="00AE4697" w:rsidRPr="005A22C2">
        <w:t>Stakeholders stated that s</w:t>
      </w:r>
      <w:r w:rsidR="006122E8" w:rsidRPr="005A22C2">
        <w:t>ignificant changes to regulation of the sector may have wide reaching impacts on future investment decisions and investor entry into the market.</w:t>
      </w:r>
      <w:r w:rsidR="007E1EDB" w:rsidRPr="005A22C2">
        <w:t xml:space="preserve"> </w:t>
      </w:r>
    </w:p>
    <w:p w14:paraId="68F3B157" w14:textId="65106277" w:rsidR="00A47429" w:rsidRPr="005A22C2" w:rsidRDefault="00FA6868" w:rsidP="006720A0">
      <w:r w:rsidRPr="005A22C2">
        <w:t xml:space="preserve">Australian Unity </w:t>
      </w:r>
      <w:r w:rsidR="00F47A34" w:rsidRPr="005A22C2">
        <w:t xml:space="preserve">indicated that the volatility experienced in the </w:t>
      </w:r>
      <w:r w:rsidR="00512FBF" w:rsidRPr="005A22C2">
        <w:t xml:space="preserve">SDA </w:t>
      </w:r>
      <w:r w:rsidR="00F47A34" w:rsidRPr="005A22C2">
        <w:t xml:space="preserve">market to date has </w:t>
      </w:r>
      <w:r w:rsidR="00512FBF" w:rsidRPr="005A22C2">
        <w:t xml:space="preserve">reduced investor </w:t>
      </w:r>
      <w:proofErr w:type="gramStart"/>
      <w:r w:rsidR="00512FBF" w:rsidRPr="005A22C2">
        <w:t>confidence</w:t>
      </w:r>
      <w:r w:rsidR="002A0305" w:rsidRPr="005A22C2">
        <w:t>, and</w:t>
      </w:r>
      <w:proofErr w:type="gramEnd"/>
      <w:r w:rsidR="002A0305" w:rsidRPr="005A22C2">
        <w:t xml:space="preserve"> suggested that </w:t>
      </w:r>
      <w:r w:rsidR="006344D5" w:rsidRPr="005A22C2">
        <w:t>the</w:t>
      </w:r>
      <w:r w:rsidR="00AE4A6A" w:rsidRPr="005A22C2">
        <w:t xml:space="preserve"> </w:t>
      </w:r>
      <w:r w:rsidR="00AE4A6A" w:rsidRPr="001F5230">
        <w:t>“</w:t>
      </w:r>
      <w:r w:rsidR="002A0305" w:rsidRPr="001F5230">
        <w:t>2023 SDA Pricing Review is a fundamental point for SDA credibility across the institutional investment market</w:t>
      </w:r>
      <w:r w:rsidR="00AE4A6A" w:rsidRPr="001F5230">
        <w:t>”</w:t>
      </w:r>
      <w:r w:rsidR="006344D5" w:rsidRPr="001F5230">
        <w:t>.</w:t>
      </w:r>
    </w:p>
    <w:p w14:paraId="063AA23B" w14:textId="5D6889AC" w:rsidR="006344D5" w:rsidRPr="005A22C2" w:rsidRDefault="006344D5" w:rsidP="006720A0">
      <w:r w:rsidRPr="005A22C2">
        <w:t xml:space="preserve">They added that it would be challenging for SDA to reach its intended scale or impact due to a lack of </w:t>
      </w:r>
      <w:r w:rsidRPr="001F5230">
        <w:t>investment if</w:t>
      </w:r>
      <w:r w:rsidR="00AE4A6A" w:rsidRPr="001F5230">
        <w:t xml:space="preserve"> “</w:t>
      </w:r>
      <w:r w:rsidRPr="001F5230">
        <w:t>expected outcomes do not occur, investment fundamentals [are not] upheld or more uncertainty [is] introduced</w:t>
      </w:r>
      <w:r w:rsidR="00AE4A6A" w:rsidRPr="001F5230">
        <w:t>”</w:t>
      </w:r>
      <w:r w:rsidRPr="001F5230">
        <w:t>.</w:t>
      </w:r>
      <w:r w:rsidR="00AE4A6A" w:rsidRPr="001F5230">
        <w:t xml:space="preserve"> </w:t>
      </w:r>
      <w:r w:rsidR="00606263">
        <w:t xml:space="preserve">A confidential submission </w:t>
      </w:r>
      <w:r w:rsidR="00C81F46" w:rsidRPr="001F5230">
        <w:t>reiterated this point, suggesting that</w:t>
      </w:r>
      <w:r w:rsidR="00AE4A6A" w:rsidRPr="001F5230">
        <w:t xml:space="preserve"> “</w:t>
      </w:r>
      <w:r w:rsidRPr="001F5230">
        <w:t xml:space="preserve">the </w:t>
      </w:r>
      <w:r w:rsidR="00C81F46" w:rsidRPr="001F5230">
        <w:t xml:space="preserve">outcomes of this </w:t>
      </w:r>
      <w:r w:rsidRPr="001F5230">
        <w:t>SDA Pricing Review</w:t>
      </w:r>
      <w:r w:rsidR="00C81F46" w:rsidRPr="001F5230">
        <w:t xml:space="preserve"> will be a critical element to build investment confidence in the market and to invigorate the SDA market</w:t>
      </w:r>
      <w:r w:rsidR="00AE4A6A" w:rsidRPr="001F5230">
        <w:t>”</w:t>
      </w:r>
      <w:r w:rsidR="00C81F46" w:rsidRPr="001F5230">
        <w:t>.</w:t>
      </w:r>
    </w:p>
    <w:p w14:paraId="44F18031" w14:textId="70967869" w:rsidR="00CC1A4C" w:rsidRPr="00570F1C" w:rsidRDefault="006344D5" w:rsidP="006720A0">
      <w:r w:rsidRPr="005A22C2">
        <w:t>The importance of maintaining consistent and transparent pricing to attracting and maintaining investment in the m</w:t>
      </w:r>
      <w:r w:rsidR="00CC1A4C" w:rsidRPr="005A22C2">
        <w:t xml:space="preserve">arket was also emphasised in several of the </w:t>
      </w:r>
      <w:r w:rsidR="00D84C52" w:rsidRPr="005A22C2">
        <w:t>Consultation Group</w:t>
      </w:r>
      <w:r w:rsidR="00CC1A4C" w:rsidRPr="005A22C2">
        <w:t xml:space="preserve">s and in other submissions. </w:t>
      </w:r>
      <w:r w:rsidR="00250E48" w:rsidRPr="005A22C2">
        <w:t xml:space="preserve">Stakeholders suggested that </w:t>
      </w:r>
      <w:r w:rsidR="00CC1A4C" w:rsidRPr="005A22C2">
        <w:t>the</w:t>
      </w:r>
      <w:r w:rsidR="006122E8" w:rsidRPr="005A22C2">
        <w:t xml:space="preserve"> </w:t>
      </w:r>
      <w:r w:rsidRPr="005A22C2">
        <w:t>SDA Pricing Review</w:t>
      </w:r>
      <w:r w:rsidR="006122E8" w:rsidRPr="005A22C2">
        <w:t>, and particularly the level of information and transparency provided through the process, is an important component to providing investors with confidence, reducing perceived risk, and establishing SDA’s stability as an asset class</w:t>
      </w:r>
      <w:r w:rsidR="00CC1A4C" w:rsidRPr="005A22C2">
        <w:t>.</w:t>
      </w:r>
      <w:r w:rsidR="006122E8" w:rsidRPr="005A22C2">
        <w:rPr>
          <w:i/>
          <w:iCs/>
        </w:rPr>
        <w:t xml:space="preserve"> </w:t>
      </w:r>
      <w:r w:rsidR="00CC1A4C" w:rsidRPr="005A22C2">
        <w:t xml:space="preserve">For </w:t>
      </w:r>
      <w:r w:rsidR="00CC1A4C" w:rsidRPr="00570F1C">
        <w:t xml:space="preserve">example, </w:t>
      </w:r>
      <w:r w:rsidR="007B31A5" w:rsidRPr="00570F1C">
        <w:t>Barwon Investment Partners</w:t>
      </w:r>
      <w:r w:rsidR="00CC1A4C" w:rsidRPr="00570F1C">
        <w:t xml:space="preserve"> indicated</w:t>
      </w:r>
      <w:r w:rsidR="007B31A5" w:rsidRPr="00570F1C">
        <w:t xml:space="preserve"> that ensuring consistency, certainty and predictability </w:t>
      </w:r>
      <w:r w:rsidR="002249DE" w:rsidRPr="00570F1C">
        <w:t>is key to reducing the perception or actuality of risk for investors</w:t>
      </w:r>
      <w:r w:rsidR="00CC1A4C" w:rsidRPr="00570F1C">
        <w:t>.</w:t>
      </w:r>
    </w:p>
    <w:p w14:paraId="41C80B77" w14:textId="56718354" w:rsidR="00214A43" w:rsidRPr="005A22C2" w:rsidRDefault="00214A43" w:rsidP="006720A0">
      <w:r w:rsidRPr="00570F1C">
        <w:t>The need for transparency in the pricing arrangements was also emphasised in several submissions and Consultation Groups. For example,</w:t>
      </w:r>
      <w:r w:rsidR="002A687D" w:rsidRPr="00570F1C">
        <w:t xml:space="preserve"> </w:t>
      </w:r>
      <w:r w:rsidR="00CC1A4C" w:rsidRPr="00570F1C">
        <w:t>recommended that</w:t>
      </w:r>
      <w:r w:rsidR="00AE4A6A" w:rsidRPr="00570F1C">
        <w:t xml:space="preserve"> “</w:t>
      </w:r>
      <w:r w:rsidR="00CC1A4C" w:rsidRPr="00570F1C">
        <w:t>the NDIA clearly and explicitly outline its assumptions and decision-making processes at every stage of the price calculation</w:t>
      </w:r>
      <w:r w:rsidR="00AE4A6A" w:rsidRPr="00570F1C">
        <w:t xml:space="preserve">” </w:t>
      </w:r>
      <w:r w:rsidR="00CC1A4C" w:rsidRPr="00570F1C">
        <w:t>to</w:t>
      </w:r>
      <w:r w:rsidR="00CC1A4C" w:rsidRPr="00570F1C">
        <w:rPr>
          <w:iCs/>
        </w:rPr>
        <w:t xml:space="preserve"> provide transparency and certainty to help investors assess short term risks.</w:t>
      </w:r>
      <w:r w:rsidR="00AE4A6A" w:rsidRPr="00570F1C">
        <w:rPr>
          <w:iCs/>
        </w:rPr>
        <w:t xml:space="preserve"> </w:t>
      </w:r>
      <w:r w:rsidR="00FF52E3" w:rsidRPr="00570F1C">
        <w:rPr>
          <w:iCs/>
        </w:rPr>
        <w:t>Austral</w:t>
      </w:r>
      <w:r w:rsidR="00D042F2" w:rsidRPr="00570F1C">
        <w:rPr>
          <w:iCs/>
        </w:rPr>
        <w:t xml:space="preserve">ian Unity </w:t>
      </w:r>
      <w:r w:rsidR="00885D84" w:rsidRPr="00570F1C">
        <w:rPr>
          <w:iCs/>
        </w:rPr>
        <w:t>concurred</w:t>
      </w:r>
      <w:r w:rsidR="00AE4A6A" w:rsidRPr="00570F1C">
        <w:rPr>
          <w:iCs/>
        </w:rPr>
        <w:t xml:space="preserve"> </w:t>
      </w:r>
      <w:r w:rsidR="00885D84" w:rsidRPr="00570F1C">
        <w:rPr>
          <w:iCs/>
        </w:rPr>
        <w:t>and</w:t>
      </w:r>
      <w:r w:rsidR="00D042F2" w:rsidRPr="00570F1C">
        <w:rPr>
          <w:iCs/>
        </w:rPr>
        <w:t xml:space="preserve"> </w:t>
      </w:r>
      <w:r w:rsidR="00342249" w:rsidRPr="00570F1C">
        <w:rPr>
          <w:iCs/>
        </w:rPr>
        <w:t>recommended</w:t>
      </w:r>
      <w:r w:rsidR="00513151" w:rsidRPr="00570F1C">
        <w:rPr>
          <w:iCs/>
        </w:rPr>
        <w:t xml:space="preserve"> </w:t>
      </w:r>
      <w:r w:rsidRPr="00570F1C">
        <w:rPr>
          <w:iCs/>
        </w:rPr>
        <w:t xml:space="preserve">that any </w:t>
      </w:r>
      <w:r w:rsidR="00513151" w:rsidRPr="00570F1C">
        <w:rPr>
          <w:iCs/>
        </w:rPr>
        <w:t xml:space="preserve">changes </w:t>
      </w:r>
      <w:r w:rsidRPr="00570F1C">
        <w:rPr>
          <w:iCs/>
        </w:rPr>
        <w:t>that are</w:t>
      </w:r>
      <w:r w:rsidR="00CB14D1" w:rsidRPr="00570F1C">
        <w:rPr>
          <w:iCs/>
        </w:rPr>
        <w:t xml:space="preserve"> made to</w:t>
      </w:r>
      <w:r w:rsidR="00485D33" w:rsidRPr="00570F1C">
        <w:rPr>
          <w:iCs/>
        </w:rPr>
        <w:t xml:space="preserve"> the </w:t>
      </w:r>
      <w:r w:rsidRPr="00570F1C">
        <w:rPr>
          <w:iCs/>
        </w:rPr>
        <w:t>SDA pricing</w:t>
      </w:r>
      <w:r w:rsidRPr="005A22C2">
        <w:rPr>
          <w:iCs/>
        </w:rPr>
        <w:t xml:space="preserve"> arrangements should be</w:t>
      </w:r>
      <w:r w:rsidR="00CB14D1" w:rsidRPr="005A22C2">
        <w:rPr>
          <w:iCs/>
        </w:rPr>
        <w:t xml:space="preserve"> </w:t>
      </w:r>
      <w:r w:rsidR="00386336" w:rsidRPr="005A22C2">
        <w:rPr>
          <w:iCs/>
        </w:rPr>
        <w:t>based on clearly communicated methodologies and indexes</w:t>
      </w:r>
      <w:r w:rsidR="00C816C4" w:rsidRPr="005A22C2">
        <w:rPr>
          <w:iCs/>
        </w:rPr>
        <w:t xml:space="preserve"> so</w:t>
      </w:r>
      <w:r w:rsidR="0092754A" w:rsidRPr="005A22C2">
        <w:rPr>
          <w:iCs/>
        </w:rPr>
        <w:t xml:space="preserve"> </w:t>
      </w:r>
      <w:r w:rsidR="00286A94" w:rsidRPr="005A22C2">
        <w:rPr>
          <w:iCs/>
        </w:rPr>
        <w:t>t</w:t>
      </w:r>
      <w:r w:rsidR="00DE33CC" w:rsidRPr="005A22C2">
        <w:rPr>
          <w:iCs/>
        </w:rPr>
        <w:t>he</w:t>
      </w:r>
      <w:r w:rsidR="00286A94" w:rsidRPr="005A22C2">
        <w:rPr>
          <w:iCs/>
        </w:rPr>
        <w:t xml:space="preserve"> </w:t>
      </w:r>
      <w:r w:rsidR="00F84D6B" w:rsidRPr="005A22C2">
        <w:rPr>
          <w:iCs/>
        </w:rPr>
        <w:t>cha</w:t>
      </w:r>
      <w:r w:rsidR="00286A94" w:rsidRPr="005A22C2">
        <w:rPr>
          <w:iCs/>
        </w:rPr>
        <w:t>nge</w:t>
      </w:r>
      <w:r w:rsidR="00F84D6B" w:rsidRPr="005A22C2">
        <w:rPr>
          <w:iCs/>
        </w:rPr>
        <w:t xml:space="preserve">s can be maintained in future </w:t>
      </w:r>
      <w:r w:rsidR="007B6007" w:rsidRPr="005A22C2">
        <w:rPr>
          <w:iCs/>
        </w:rPr>
        <w:t>Pricing Review</w:t>
      </w:r>
      <w:r w:rsidR="00F84D6B" w:rsidRPr="005A22C2">
        <w:rPr>
          <w:iCs/>
        </w:rPr>
        <w:t>s</w:t>
      </w:r>
      <w:r w:rsidR="00276CC3" w:rsidRPr="005A22C2">
        <w:t>.</w:t>
      </w:r>
      <w:r w:rsidR="00AE4A6A" w:rsidRPr="005A22C2">
        <w:t xml:space="preserve"> </w:t>
      </w:r>
      <w:r w:rsidR="00606263">
        <w:t xml:space="preserve">A confidential submission </w:t>
      </w:r>
      <w:r w:rsidR="00757701" w:rsidRPr="005A22C2">
        <w:t xml:space="preserve">also </w:t>
      </w:r>
      <w:r w:rsidR="004165AA" w:rsidRPr="005A22C2">
        <w:t xml:space="preserve">highlighted </w:t>
      </w:r>
      <w:r w:rsidR="00C27CBC" w:rsidRPr="005A22C2">
        <w:t>the</w:t>
      </w:r>
      <w:r w:rsidR="0094274C" w:rsidRPr="005A22C2">
        <w:t xml:space="preserve">ir preference for </w:t>
      </w:r>
      <w:r w:rsidR="00C27CBC" w:rsidRPr="005A22C2">
        <w:t>the use of observable reference points</w:t>
      </w:r>
      <w:r w:rsidR="0094274C" w:rsidRPr="005A22C2">
        <w:t xml:space="preserve"> as opposed to long-term </w:t>
      </w:r>
      <w:r w:rsidR="001F32AE" w:rsidRPr="005A22C2">
        <w:t xml:space="preserve">assumptions as </w:t>
      </w:r>
      <w:r w:rsidR="00D0797A" w:rsidRPr="005A22C2">
        <w:t>they better inform the market</w:t>
      </w:r>
      <w:r w:rsidR="00813EF2" w:rsidRPr="005A22C2">
        <w:t xml:space="preserve"> and provide regulatory confidence.</w:t>
      </w:r>
    </w:p>
    <w:p w14:paraId="6796C4F0" w14:textId="1B679E71" w:rsidR="00214A43" w:rsidRPr="005A22C2" w:rsidRDefault="00214A43" w:rsidP="006720A0">
      <w:r w:rsidRPr="005A22C2">
        <w:t xml:space="preserve">Several stakeholders also emphasised that the SDA sector was subject to greater regulatory risk than other sectors due to the presence of multiple regulators such as the NDIA, the NDIS Quality and Safeguards Commission, the </w:t>
      </w:r>
      <w:r w:rsidR="001D5DEB" w:rsidRPr="005A22C2">
        <w:t>Australian Taxation Office</w:t>
      </w:r>
      <w:r w:rsidRPr="005A22C2">
        <w:t xml:space="preserve"> and regulators associated with fire safety regul</w:t>
      </w:r>
      <w:r w:rsidRPr="00570F1C">
        <w:t>ation.</w:t>
      </w:r>
      <w:r w:rsidR="002A687D" w:rsidRPr="00570F1C">
        <w:t xml:space="preserve"> </w:t>
      </w:r>
      <w:r w:rsidRPr="00570F1C">
        <w:t>Barwon Investment</w:t>
      </w:r>
      <w:r w:rsidRPr="005A22C2">
        <w:t xml:space="preserve"> Partners </w:t>
      </w:r>
      <w:r w:rsidR="00403D07" w:rsidRPr="005A22C2">
        <w:t>argued</w:t>
      </w:r>
      <w:r w:rsidRPr="005A22C2">
        <w:t xml:space="preserve"> that </w:t>
      </w:r>
      <w:r w:rsidR="00403D07" w:rsidRPr="005A22C2">
        <w:t>the SDA</w:t>
      </w:r>
      <w:r w:rsidRPr="005A22C2">
        <w:t xml:space="preserve"> sector has a comparatively greater reliance on government regulation than other real estate classes in Australia, which increases the perception of </w:t>
      </w:r>
      <w:r w:rsidR="00403D07" w:rsidRPr="005A22C2">
        <w:t xml:space="preserve">risk for </w:t>
      </w:r>
      <w:r w:rsidRPr="005A22C2">
        <w:t>investment.</w:t>
      </w:r>
    </w:p>
    <w:p w14:paraId="7B933954" w14:textId="7BAB6F64" w:rsidR="006122E8" w:rsidRPr="005A22C2" w:rsidRDefault="006122E8" w:rsidP="006720A0">
      <w:pPr>
        <w:pStyle w:val="Heading3"/>
      </w:pPr>
      <w:bookmarkStart w:id="209" w:name="_Toc122454254"/>
      <w:bookmarkStart w:id="210" w:name="_Toc122527543"/>
      <w:bookmarkStart w:id="211" w:name="_Toc129783606"/>
      <w:r w:rsidRPr="005A22C2">
        <w:lastRenderedPageBreak/>
        <w:t xml:space="preserve">Operational </w:t>
      </w:r>
      <w:r w:rsidR="00C33E1B" w:rsidRPr="005A22C2">
        <w:t>Ri</w:t>
      </w:r>
      <w:r w:rsidRPr="005A22C2">
        <w:t>sk</w:t>
      </w:r>
      <w:bookmarkEnd w:id="209"/>
      <w:bookmarkEnd w:id="210"/>
      <w:bookmarkEnd w:id="211"/>
    </w:p>
    <w:p w14:paraId="30649B99" w14:textId="77777777" w:rsidR="00A47429" w:rsidRPr="005A22C2" w:rsidRDefault="00EF5856" w:rsidP="006720A0">
      <w:pPr>
        <w:rPr>
          <w:color w:val="000000" w:themeColor="text1"/>
        </w:rPr>
      </w:pPr>
      <w:r w:rsidRPr="005A22C2">
        <w:t>A number of s</w:t>
      </w:r>
      <w:r w:rsidR="00A16479" w:rsidRPr="005A22C2">
        <w:t xml:space="preserve">takeholders </w:t>
      </w:r>
      <w:r w:rsidRPr="005A22C2">
        <w:t xml:space="preserve">argued </w:t>
      </w:r>
      <w:r w:rsidR="00A16479" w:rsidRPr="005A22C2">
        <w:t xml:space="preserve">that the operational risks present in the </w:t>
      </w:r>
      <w:r w:rsidRPr="005A22C2">
        <w:t xml:space="preserve">SDA </w:t>
      </w:r>
      <w:r w:rsidR="00A16479" w:rsidRPr="005A22C2">
        <w:t xml:space="preserve">market </w:t>
      </w:r>
      <w:r w:rsidRPr="005A22C2">
        <w:t>create</w:t>
      </w:r>
      <w:r w:rsidR="00A16479" w:rsidRPr="005A22C2">
        <w:t xml:space="preserve"> additional costs, volatility and distrust, particularly in comparison to other comparable </w:t>
      </w:r>
      <w:r w:rsidR="00A16479" w:rsidRPr="005A22C2">
        <w:rPr>
          <w:color w:val="000000" w:themeColor="text1"/>
        </w:rPr>
        <w:t>regulated asset classes.</w:t>
      </w:r>
      <w:r w:rsidR="00DA116F" w:rsidRPr="005A22C2">
        <w:rPr>
          <w:rStyle w:val="FootnoteReference"/>
          <w:color w:val="000000" w:themeColor="text1"/>
        </w:rPr>
        <w:t xml:space="preserve"> </w:t>
      </w:r>
      <w:r w:rsidRPr="005A22C2">
        <w:rPr>
          <w:color w:val="000000" w:themeColor="text1"/>
        </w:rPr>
        <w:t>These o</w:t>
      </w:r>
      <w:r w:rsidR="006122E8" w:rsidRPr="005A22C2">
        <w:rPr>
          <w:color w:val="000000" w:themeColor="text1"/>
        </w:rPr>
        <w:t>perational risks include</w:t>
      </w:r>
      <w:r w:rsidRPr="005A22C2">
        <w:rPr>
          <w:color w:val="000000" w:themeColor="text1"/>
        </w:rPr>
        <w:t>d</w:t>
      </w:r>
      <w:r w:rsidR="006122E8" w:rsidRPr="005A22C2">
        <w:rPr>
          <w:color w:val="000000" w:themeColor="text1"/>
        </w:rPr>
        <w:t xml:space="preserve"> a lack of insight and transparency into how funding decisions are made</w:t>
      </w:r>
      <w:r w:rsidRPr="005A22C2">
        <w:rPr>
          <w:color w:val="000000" w:themeColor="text1"/>
        </w:rPr>
        <w:t xml:space="preserve">; the </w:t>
      </w:r>
      <w:r w:rsidR="006122E8" w:rsidRPr="005A22C2">
        <w:rPr>
          <w:color w:val="000000" w:themeColor="text1"/>
        </w:rPr>
        <w:t>extended timeframes for decisions to be made or appealed</w:t>
      </w:r>
      <w:r w:rsidR="0053458A" w:rsidRPr="005A22C2">
        <w:rPr>
          <w:color w:val="000000" w:themeColor="text1"/>
        </w:rPr>
        <w:t>;</w:t>
      </w:r>
      <w:r w:rsidR="006122E8" w:rsidRPr="005A22C2">
        <w:rPr>
          <w:color w:val="000000" w:themeColor="text1"/>
        </w:rPr>
        <w:t xml:space="preserve"> delayed payment or errors in payments</w:t>
      </w:r>
      <w:r w:rsidR="0053458A" w:rsidRPr="005A22C2">
        <w:rPr>
          <w:color w:val="000000" w:themeColor="text1"/>
        </w:rPr>
        <w:t>;</w:t>
      </w:r>
      <w:r w:rsidR="005C15BC" w:rsidRPr="005A22C2">
        <w:rPr>
          <w:color w:val="000000" w:themeColor="text1"/>
        </w:rPr>
        <w:t xml:space="preserve"> applications being lost</w:t>
      </w:r>
      <w:r w:rsidR="0053458A" w:rsidRPr="005A22C2">
        <w:rPr>
          <w:color w:val="000000" w:themeColor="text1"/>
        </w:rPr>
        <w:t>;</w:t>
      </w:r>
      <w:r w:rsidR="007A6589" w:rsidRPr="005A22C2">
        <w:rPr>
          <w:color w:val="000000" w:themeColor="text1"/>
        </w:rPr>
        <w:t xml:space="preserve"> </w:t>
      </w:r>
      <w:r w:rsidR="00D251E4" w:rsidRPr="005A22C2">
        <w:rPr>
          <w:color w:val="000000" w:themeColor="text1"/>
        </w:rPr>
        <w:t>non-automatic plan renewal</w:t>
      </w:r>
      <w:r w:rsidR="0053458A" w:rsidRPr="005A22C2">
        <w:rPr>
          <w:color w:val="000000" w:themeColor="text1"/>
        </w:rPr>
        <w:t>s</w:t>
      </w:r>
      <w:r w:rsidR="00DA13F3" w:rsidRPr="005A22C2">
        <w:rPr>
          <w:color w:val="000000" w:themeColor="text1"/>
        </w:rPr>
        <w:t xml:space="preserve"> and</w:t>
      </w:r>
      <w:r w:rsidR="00D251E4" w:rsidRPr="005A22C2">
        <w:rPr>
          <w:color w:val="000000" w:themeColor="text1"/>
        </w:rPr>
        <w:t xml:space="preserve"> portal related delays</w:t>
      </w:r>
      <w:r w:rsidR="0053458A" w:rsidRPr="005A22C2">
        <w:rPr>
          <w:color w:val="000000" w:themeColor="text1"/>
        </w:rPr>
        <w:t>;</w:t>
      </w:r>
      <w:r w:rsidR="00D251E4" w:rsidRPr="005A22C2">
        <w:rPr>
          <w:color w:val="000000" w:themeColor="text1"/>
        </w:rPr>
        <w:t xml:space="preserve"> </w:t>
      </w:r>
      <w:r w:rsidR="007A6589" w:rsidRPr="005A22C2">
        <w:rPr>
          <w:color w:val="000000" w:themeColor="text1"/>
        </w:rPr>
        <w:t>and</w:t>
      </w:r>
      <w:r w:rsidR="005C15BC" w:rsidRPr="005A22C2">
        <w:rPr>
          <w:color w:val="000000" w:themeColor="text1"/>
        </w:rPr>
        <w:t xml:space="preserve"> </w:t>
      </w:r>
      <w:r w:rsidR="000E12F2" w:rsidRPr="005A22C2">
        <w:rPr>
          <w:color w:val="000000" w:themeColor="text1"/>
        </w:rPr>
        <w:t>slow</w:t>
      </w:r>
      <w:r w:rsidR="00B40354" w:rsidRPr="005A22C2">
        <w:rPr>
          <w:color w:val="000000" w:themeColor="text1"/>
        </w:rPr>
        <w:t xml:space="preserve"> (or no) response</w:t>
      </w:r>
      <w:r w:rsidR="00424DC4" w:rsidRPr="005A22C2">
        <w:rPr>
          <w:color w:val="000000" w:themeColor="text1"/>
        </w:rPr>
        <w:t xml:space="preserve">s </w:t>
      </w:r>
      <w:r w:rsidR="00403D07" w:rsidRPr="005A22C2">
        <w:rPr>
          <w:color w:val="000000" w:themeColor="text1"/>
        </w:rPr>
        <w:t xml:space="preserve">from the NDIA </w:t>
      </w:r>
      <w:r w:rsidR="00424DC4" w:rsidRPr="005A22C2">
        <w:rPr>
          <w:color w:val="000000" w:themeColor="text1"/>
        </w:rPr>
        <w:t>resulting in extended periods of non-communication</w:t>
      </w:r>
      <w:r w:rsidR="006122E8" w:rsidRPr="005A22C2">
        <w:rPr>
          <w:color w:val="000000" w:themeColor="text1"/>
        </w:rPr>
        <w:t>.</w:t>
      </w:r>
    </w:p>
    <w:p w14:paraId="307421DE" w14:textId="2B79CA63" w:rsidR="006122E8" w:rsidRPr="00570F1C" w:rsidRDefault="00F12C47" w:rsidP="006720A0">
      <w:r w:rsidRPr="00570F1C">
        <w:t>T</w:t>
      </w:r>
      <w:r w:rsidR="00EF5856" w:rsidRPr="00570F1C">
        <w:t xml:space="preserve">he </w:t>
      </w:r>
      <w:r w:rsidR="00DA13F3" w:rsidRPr="00570F1C">
        <w:t>Queensland Government Department of Senior</w:t>
      </w:r>
      <w:r w:rsidR="002C44D9" w:rsidRPr="00570F1C">
        <w:t xml:space="preserve">s, Disability Services and Aboriginal and Torres Strait Islander Partnerships </w:t>
      </w:r>
      <w:r w:rsidR="005D7629" w:rsidRPr="00570F1C">
        <w:t xml:space="preserve">highlighted </w:t>
      </w:r>
      <w:r w:rsidR="005F4058" w:rsidRPr="00570F1C">
        <w:t xml:space="preserve">one </w:t>
      </w:r>
      <w:r w:rsidR="005D7629" w:rsidRPr="00570F1C">
        <w:t>of the key points</w:t>
      </w:r>
      <w:r w:rsidR="00156351" w:rsidRPr="00570F1C">
        <w:t xml:space="preserve"> from</w:t>
      </w:r>
      <w:r w:rsidR="002C44D9" w:rsidRPr="00570F1C">
        <w:t xml:space="preserve"> the </w:t>
      </w:r>
      <w:r w:rsidR="008519D3" w:rsidRPr="00570F1C">
        <w:t>Queensland</w:t>
      </w:r>
      <w:r w:rsidR="000C56E6" w:rsidRPr="00570F1C">
        <w:t xml:space="preserve"> Productivity Commission’s Inquiry into the NDIS</w:t>
      </w:r>
      <w:r w:rsidR="00156351" w:rsidRPr="00570F1C">
        <w:t xml:space="preserve">, </w:t>
      </w:r>
      <w:r w:rsidR="00061721" w:rsidRPr="00570F1C">
        <w:t xml:space="preserve">which </w:t>
      </w:r>
      <w:r w:rsidR="00EF5856" w:rsidRPr="00570F1C">
        <w:t>was</w:t>
      </w:r>
      <w:r w:rsidR="004C6B21" w:rsidRPr="00570F1C">
        <w:t xml:space="preserve"> that</w:t>
      </w:r>
      <w:r w:rsidR="00AE4A6A" w:rsidRPr="00570F1C">
        <w:t xml:space="preserve"> “</w:t>
      </w:r>
      <w:r w:rsidR="005E7AA3" w:rsidRPr="00570F1C">
        <w:t>the SDA approval processes are fragmented, confusing, slow and interlinked</w:t>
      </w:r>
      <w:r w:rsidR="0026282F" w:rsidRPr="00570F1C">
        <w:t>, resulting in poorer outcomes for Queensland participants trying to access SDA</w:t>
      </w:r>
      <w:r w:rsidR="00AE4A6A" w:rsidRPr="00570F1C">
        <w:t>”</w:t>
      </w:r>
      <w:r w:rsidR="00B81699" w:rsidRPr="00570F1C">
        <w:t>.</w:t>
      </w:r>
    </w:p>
    <w:p w14:paraId="724407B4" w14:textId="4949B07D" w:rsidR="006122E8" w:rsidRPr="005A22C2" w:rsidRDefault="00403D07" w:rsidP="006720A0">
      <w:r w:rsidRPr="00570F1C">
        <w:rPr>
          <w:color w:val="000000" w:themeColor="text1"/>
        </w:rPr>
        <w:t xml:space="preserve">The submissions from </w:t>
      </w:r>
      <w:r w:rsidR="00507E4A" w:rsidRPr="00570F1C">
        <w:t xml:space="preserve">National Disability Services suggested that the lack of transparency </w:t>
      </w:r>
      <w:r w:rsidR="003B57DC" w:rsidRPr="00570F1C">
        <w:t>and guidance on</w:t>
      </w:r>
      <w:r w:rsidR="00507E4A" w:rsidRPr="00570F1C">
        <w:t xml:space="preserve"> how</w:t>
      </w:r>
      <w:r w:rsidR="002B3EBC" w:rsidRPr="00570F1C">
        <w:t xml:space="preserve"> </w:t>
      </w:r>
      <w:r w:rsidR="00E819E4" w:rsidRPr="00570F1C">
        <w:t xml:space="preserve">eligibility is </w:t>
      </w:r>
      <w:r w:rsidR="003B57DC" w:rsidRPr="00570F1C">
        <w:t>determined</w:t>
      </w:r>
      <w:r w:rsidR="003D330B" w:rsidRPr="005A22C2">
        <w:t xml:space="preserve"> has result</w:t>
      </w:r>
      <w:r w:rsidR="00816102" w:rsidRPr="005A22C2">
        <w:t>ed</w:t>
      </w:r>
      <w:r w:rsidR="003D330B" w:rsidRPr="005A22C2">
        <w:t xml:space="preserve"> in difficulties for </w:t>
      </w:r>
      <w:r w:rsidR="002967FD" w:rsidRPr="005A22C2">
        <w:t xml:space="preserve">participants, their families, and SDA providers </w:t>
      </w:r>
      <w:r w:rsidR="003D330B" w:rsidRPr="005A22C2">
        <w:t>in</w:t>
      </w:r>
      <w:r w:rsidR="0033456A" w:rsidRPr="005A22C2">
        <w:t xml:space="preserve"> understanding if </w:t>
      </w:r>
      <w:r w:rsidR="00BD56EB" w:rsidRPr="005A22C2">
        <w:t>individuals</w:t>
      </w:r>
      <w:r w:rsidR="0033456A" w:rsidRPr="005A22C2">
        <w:t xml:space="preserve"> are eligible for SDA, and at what </w:t>
      </w:r>
      <w:r w:rsidR="00BA45C4" w:rsidRPr="005A22C2">
        <w:t>funding category</w:t>
      </w:r>
      <w:r w:rsidR="0033456A" w:rsidRPr="005A22C2">
        <w:t>.</w:t>
      </w:r>
      <w:r w:rsidRPr="005A22C2">
        <w:t xml:space="preserve"> They argued that the </w:t>
      </w:r>
      <w:r w:rsidR="004E491A" w:rsidRPr="005A22C2">
        <w:t xml:space="preserve">absence of information delays </w:t>
      </w:r>
      <w:r w:rsidR="000E0C5C" w:rsidRPr="005A22C2">
        <w:t>consider</w:t>
      </w:r>
      <w:r w:rsidR="004E491A" w:rsidRPr="005A22C2">
        <w:t>ation of housing options and building decisions</w:t>
      </w:r>
      <w:r w:rsidRPr="005A22C2">
        <w:t xml:space="preserve"> </w:t>
      </w:r>
      <w:r w:rsidR="00CA69F7" w:rsidRPr="005A22C2">
        <w:t xml:space="preserve">and suggested that </w:t>
      </w:r>
      <w:r w:rsidR="008F7BDC" w:rsidRPr="005A22C2">
        <w:t xml:space="preserve">there needed to be greater </w:t>
      </w:r>
      <w:r w:rsidR="00CF3720" w:rsidRPr="005A22C2">
        <w:t xml:space="preserve">transparency </w:t>
      </w:r>
      <w:r w:rsidR="00396B47" w:rsidRPr="005A22C2">
        <w:t xml:space="preserve">and clarity </w:t>
      </w:r>
      <w:r w:rsidR="00CF3720" w:rsidRPr="005A22C2">
        <w:t xml:space="preserve">in the assessment and approval processes </w:t>
      </w:r>
      <w:r w:rsidR="002016D2" w:rsidRPr="005A22C2">
        <w:t>to reduce the confusion for participants and SDA providers</w:t>
      </w:r>
      <w:r w:rsidR="008F7BDC" w:rsidRPr="005A22C2">
        <w:t>.</w:t>
      </w:r>
    </w:p>
    <w:p w14:paraId="36E87E3A" w14:textId="19290C9D" w:rsidR="006122E8" w:rsidRPr="005A22C2" w:rsidRDefault="00403D07" w:rsidP="006720A0">
      <w:r w:rsidRPr="005A22C2">
        <w:t>In general, stakeholders argued that</w:t>
      </w:r>
      <w:r w:rsidR="006122E8" w:rsidRPr="005A22C2">
        <w:t xml:space="preserve"> greater accuracy, transparency and </w:t>
      </w:r>
      <w:r w:rsidRPr="005A22C2">
        <w:t xml:space="preserve">more </w:t>
      </w:r>
      <w:r w:rsidR="006122E8" w:rsidRPr="005A22C2">
        <w:t xml:space="preserve">detailed information </w:t>
      </w:r>
      <w:r w:rsidRPr="005A22C2">
        <w:t>would</w:t>
      </w:r>
      <w:r w:rsidR="006122E8" w:rsidRPr="005A22C2">
        <w:t xml:space="preserve"> enable directed and bespoke decisions about the location of assets, build types, desired features, intensity of supports required and the standard to which new developments should be built.</w:t>
      </w:r>
    </w:p>
    <w:p w14:paraId="12C82167" w14:textId="3E6DFE26" w:rsidR="00A47429" w:rsidRPr="005A22C2" w:rsidRDefault="00403D07" w:rsidP="006720A0">
      <w:r w:rsidRPr="005A22C2">
        <w:t>Several submissions indicated that some current Agency processes were unnecessarily increasing operational costs for providers.</w:t>
      </w:r>
      <w:r w:rsidR="002A687D" w:rsidRPr="005A22C2">
        <w:t xml:space="preserve"> </w:t>
      </w:r>
      <w:r w:rsidR="00703468">
        <w:t xml:space="preserve">One stakeholder </w:t>
      </w:r>
      <w:r w:rsidRPr="005A22C2">
        <w:t>argued</w:t>
      </w:r>
      <w:r w:rsidR="006122E8" w:rsidRPr="005A22C2">
        <w:t xml:space="preserve"> that consistency of cashflows can be </w:t>
      </w:r>
      <w:r w:rsidR="006122E8" w:rsidRPr="00A33FC6">
        <w:t>a challenge, noting that</w:t>
      </w:r>
      <w:r w:rsidR="00AE4A6A" w:rsidRPr="00A33FC6">
        <w:t xml:space="preserve"> “</w:t>
      </w:r>
      <w:r w:rsidR="006122E8" w:rsidRPr="00A33FC6">
        <w:t>it takes a long time to get your initial payment and then once you've got your initial payment, the payments are always in arrears after that</w:t>
      </w:r>
      <w:r w:rsidR="00AE4A6A" w:rsidRPr="00A33FC6">
        <w:t>”</w:t>
      </w:r>
      <w:r w:rsidR="006122E8" w:rsidRPr="00A33FC6">
        <w:t>.</w:t>
      </w:r>
    </w:p>
    <w:p w14:paraId="6F968BD8" w14:textId="524A28BB" w:rsidR="00C4466C" w:rsidRPr="005A22C2" w:rsidRDefault="000A119B" w:rsidP="006720A0">
      <w:r w:rsidRPr="00570F1C">
        <w:t xml:space="preserve">Liveable Homes </w:t>
      </w:r>
      <w:r w:rsidR="006D34C5" w:rsidRPr="00570F1C">
        <w:t>Australia</w:t>
      </w:r>
      <w:r w:rsidR="00403D07" w:rsidRPr="00570F1C">
        <w:t xml:space="preserve"> stated</w:t>
      </w:r>
      <w:r w:rsidR="00DD4FCE" w:rsidRPr="005A22C2">
        <w:t xml:space="preserve"> that</w:t>
      </w:r>
      <w:r w:rsidR="00C62CC6" w:rsidRPr="005A22C2">
        <w:t xml:space="preserve"> at one point,</w:t>
      </w:r>
      <w:r w:rsidR="00DD4FCE" w:rsidRPr="005A22C2">
        <w:t xml:space="preserve"> they </w:t>
      </w:r>
      <w:r w:rsidR="00C62CC6" w:rsidRPr="005A22C2">
        <w:t>were</w:t>
      </w:r>
      <w:r w:rsidR="00DD4FCE" w:rsidRPr="005A22C2">
        <w:t xml:space="preserve"> owed $40,000 </w:t>
      </w:r>
      <w:r w:rsidR="00A0268F" w:rsidRPr="005A22C2">
        <w:t>from the Agency</w:t>
      </w:r>
      <w:r w:rsidR="00DD4FCE" w:rsidRPr="005A22C2">
        <w:t xml:space="preserve"> </w:t>
      </w:r>
      <w:r w:rsidR="00B447CC" w:rsidRPr="005A22C2">
        <w:t>while waiting for missing service bookings</w:t>
      </w:r>
      <w:r w:rsidR="00C62CC6" w:rsidRPr="005A22C2">
        <w:t xml:space="preserve"> to be rectified</w:t>
      </w:r>
      <w:r w:rsidR="00B447CC" w:rsidRPr="005A22C2">
        <w:t xml:space="preserve"> and </w:t>
      </w:r>
      <w:r w:rsidR="00C62CC6" w:rsidRPr="005A22C2">
        <w:t xml:space="preserve">issues with </w:t>
      </w:r>
      <w:r w:rsidR="00B447CC" w:rsidRPr="005A22C2">
        <w:t>back</w:t>
      </w:r>
      <w:r w:rsidR="00A0268F" w:rsidRPr="005A22C2">
        <w:t xml:space="preserve"> </w:t>
      </w:r>
      <w:r w:rsidR="00B447CC" w:rsidRPr="005A22C2">
        <w:t>payment</w:t>
      </w:r>
      <w:r w:rsidR="00A0268F" w:rsidRPr="005A22C2">
        <w:t>s</w:t>
      </w:r>
      <w:r w:rsidR="00B447CC" w:rsidRPr="005A22C2">
        <w:t xml:space="preserve"> </w:t>
      </w:r>
      <w:r w:rsidR="00C62CC6" w:rsidRPr="005A22C2">
        <w:t>to be sorted</w:t>
      </w:r>
      <w:r w:rsidR="00B447CC" w:rsidRPr="005A22C2">
        <w:t>.</w:t>
      </w:r>
      <w:r w:rsidR="002A687D" w:rsidRPr="005A22C2">
        <w:t xml:space="preserve"> </w:t>
      </w:r>
      <w:r w:rsidR="00606263">
        <w:t xml:space="preserve">A confidential submission </w:t>
      </w:r>
      <w:r w:rsidR="005361D4" w:rsidRPr="005A22C2">
        <w:rPr>
          <w:rFonts w:cs="Arial"/>
        </w:rPr>
        <w:t>stated</w:t>
      </w:r>
      <w:r w:rsidR="005B766A" w:rsidRPr="005A22C2">
        <w:rPr>
          <w:rFonts w:cs="Arial"/>
        </w:rPr>
        <w:t xml:space="preserve"> that on average, </w:t>
      </w:r>
      <w:r w:rsidR="0048315E" w:rsidRPr="005A22C2">
        <w:rPr>
          <w:rFonts w:cs="Arial"/>
        </w:rPr>
        <w:t xml:space="preserve">it takes </w:t>
      </w:r>
      <w:r w:rsidR="00D32C35" w:rsidRPr="005A22C2">
        <w:rPr>
          <w:rFonts w:cs="Arial"/>
        </w:rPr>
        <w:t xml:space="preserve">35 days between lodgement of claims </w:t>
      </w:r>
      <w:r w:rsidR="00F9182E" w:rsidRPr="005A22C2">
        <w:rPr>
          <w:rFonts w:cs="Arial"/>
        </w:rPr>
        <w:t>and payment</w:t>
      </w:r>
      <w:r w:rsidR="00A228B6" w:rsidRPr="005A22C2">
        <w:rPr>
          <w:rFonts w:cs="Arial"/>
        </w:rPr>
        <w:t xml:space="preserve"> to be received</w:t>
      </w:r>
      <w:r w:rsidR="00F9182E" w:rsidRPr="005A22C2">
        <w:rPr>
          <w:rFonts w:cs="Arial"/>
        </w:rPr>
        <w:t>.</w:t>
      </w:r>
      <w:r w:rsidR="00A53FE7" w:rsidRPr="005A22C2">
        <w:rPr>
          <w:rFonts w:cs="Arial"/>
        </w:rPr>
        <w:t xml:space="preserve"> </w:t>
      </w:r>
      <w:r w:rsidR="00900700" w:rsidRPr="005A22C2">
        <w:rPr>
          <w:rFonts w:cs="Arial"/>
        </w:rPr>
        <w:t>Several other stakeholders agreed with this figure, noting they had estimated the average level of arrears to be 1.2 months</w:t>
      </w:r>
      <w:r w:rsidR="00531251" w:rsidRPr="005A22C2">
        <w:rPr>
          <w:rFonts w:cs="Arial"/>
        </w:rPr>
        <w:t xml:space="preserve">, which </w:t>
      </w:r>
      <w:r w:rsidR="00F95583" w:rsidRPr="005A22C2">
        <w:rPr>
          <w:rFonts w:cs="Arial"/>
        </w:rPr>
        <w:t xml:space="preserve">would reduce </w:t>
      </w:r>
      <w:r w:rsidR="003B2B96" w:rsidRPr="005A22C2">
        <w:rPr>
          <w:rFonts w:cs="Arial"/>
        </w:rPr>
        <w:t>investor returns by around 0.5</w:t>
      </w:r>
      <w:r w:rsidR="001A78B9">
        <w:rPr>
          <w:rFonts w:cs="Arial"/>
        </w:rPr>
        <w:t>%</w:t>
      </w:r>
      <w:r w:rsidR="00900700" w:rsidRPr="005A22C2">
        <w:rPr>
          <w:rFonts w:cs="Arial"/>
        </w:rPr>
        <w:t>.</w:t>
      </w:r>
    </w:p>
    <w:p w14:paraId="0F475C39" w14:textId="77777777" w:rsidR="00377D9C" w:rsidRDefault="006122E8" w:rsidP="006720A0">
      <w:r w:rsidRPr="005A22C2">
        <w:t xml:space="preserve">A stakeholder from the </w:t>
      </w:r>
      <w:r w:rsidR="00EA2126" w:rsidRPr="005A22C2">
        <w:t>SDA Banks and Funds</w:t>
      </w:r>
      <w:r w:rsidRPr="005A22C2">
        <w:t xml:space="preserve"> </w:t>
      </w:r>
      <w:r w:rsidR="00D84C52" w:rsidRPr="005A22C2">
        <w:t>Consultation Group</w:t>
      </w:r>
      <w:r w:rsidRPr="005A22C2">
        <w:t xml:space="preserve"> provided data </w:t>
      </w:r>
      <w:r w:rsidR="00403D07" w:rsidRPr="005A22C2">
        <w:t>that</w:t>
      </w:r>
      <w:r w:rsidRPr="005A22C2">
        <w:t xml:space="preserve"> indicated that on average, it takes approximately 266 days for a participant to move into a property from the start of their SDA journey.</w:t>
      </w:r>
      <w:r w:rsidR="00EF5856" w:rsidRPr="005A22C2">
        <w:t xml:space="preserve"> </w:t>
      </w:r>
      <w:r w:rsidR="00E95BF1" w:rsidRPr="005A22C2">
        <w:t>This figure was supp</w:t>
      </w:r>
      <w:r w:rsidR="00E95BF1" w:rsidRPr="00606263">
        <w:t>orted by</w:t>
      </w:r>
      <w:r w:rsidR="002A687D" w:rsidRPr="00606263">
        <w:t xml:space="preserve"> </w:t>
      </w:r>
      <w:r w:rsidR="00606263" w:rsidRPr="00606263">
        <w:t xml:space="preserve">a confidential submission </w:t>
      </w:r>
      <w:r w:rsidR="007B0778" w:rsidRPr="00606263">
        <w:t>who</w:t>
      </w:r>
      <w:r w:rsidR="0068648C" w:rsidRPr="005A22C2">
        <w:t xml:space="preserve"> </w:t>
      </w:r>
      <w:r w:rsidR="00971EFC" w:rsidRPr="005A22C2">
        <w:t xml:space="preserve">quoted </w:t>
      </w:r>
      <w:r w:rsidR="00635284" w:rsidRPr="005A22C2">
        <w:t xml:space="preserve">a total of 151 days for a tenant to receive an </w:t>
      </w:r>
      <w:r w:rsidR="00635284" w:rsidRPr="005A22C2">
        <w:lastRenderedPageBreak/>
        <w:t>SDA outcome and an additional 115 days (on average)</w:t>
      </w:r>
      <w:r w:rsidR="00677556" w:rsidRPr="005A22C2">
        <w:t xml:space="preserve"> to move into an SDA</w:t>
      </w:r>
      <w:r w:rsidR="00A40817" w:rsidRPr="005A22C2">
        <w:t>.</w:t>
      </w:r>
      <w:r w:rsidR="00EF5856" w:rsidRPr="005A22C2">
        <w:t xml:space="preserve"> </w:t>
      </w:r>
      <w:r w:rsidR="00A40817" w:rsidRPr="005A22C2">
        <w:t xml:space="preserve">Delays </w:t>
      </w:r>
      <w:r w:rsidR="004409FF" w:rsidRPr="005A22C2">
        <w:t>with</w:t>
      </w:r>
      <w:r w:rsidR="00A40817" w:rsidRPr="005A22C2">
        <w:t xml:space="preserve"> moving into SDA were suggested to be</w:t>
      </w:r>
      <w:r w:rsidR="00677556" w:rsidRPr="005A22C2">
        <w:t xml:space="preserve"> due to logistical constraints </w:t>
      </w:r>
      <w:r w:rsidR="00A40817" w:rsidRPr="005A22C2">
        <w:t>but also</w:t>
      </w:r>
      <w:r w:rsidR="00677556" w:rsidRPr="005A22C2">
        <w:t xml:space="preserve"> </w:t>
      </w:r>
      <w:r w:rsidR="00D131AF" w:rsidRPr="005A22C2">
        <w:t xml:space="preserve">administrative delays with </w:t>
      </w:r>
      <w:r w:rsidR="00D20F0D" w:rsidRPr="005A22C2">
        <w:t xml:space="preserve">other approvals, such as for </w:t>
      </w:r>
      <w:r w:rsidR="00E9200A" w:rsidRPr="005A22C2">
        <w:t>SIL</w:t>
      </w:r>
      <w:r w:rsidR="00A40817" w:rsidRPr="005A22C2">
        <w:t xml:space="preserve"> or </w:t>
      </w:r>
      <w:r w:rsidR="00EB678E" w:rsidRPr="005A22C2">
        <w:t>A</w:t>
      </w:r>
      <w:r w:rsidR="00A40817" w:rsidRPr="005A22C2">
        <w:t xml:space="preserve">ssistive </w:t>
      </w:r>
      <w:r w:rsidR="00EB678E" w:rsidRPr="005A22C2">
        <w:t>T</w:t>
      </w:r>
      <w:r w:rsidR="00A40817" w:rsidRPr="005A22C2">
        <w:t>echnology funding.</w:t>
      </w:r>
      <w:r w:rsidR="00EF5856" w:rsidRPr="005A22C2">
        <w:t xml:space="preserve"> </w:t>
      </w:r>
      <w:r w:rsidR="00A17275" w:rsidRPr="005A22C2">
        <w:t xml:space="preserve">These timelines were broadly supported by other written submissions, which suggested delays of </w:t>
      </w:r>
      <w:r w:rsidR="005A02DC" w:rsidRPr="005A22C2">
        <w:t xml:space="preserve">between </w:t>
      </w:r>
      <w:r w:rsidR="00737E5A" w:rsidRPr="005A22C2">
        <w:t xml:space="preserve">three </w:t>
      </w:r>
      <w:r w:rsidR="00A26357" w:rsidRPr="005A22C2">
        <w:t xml:space="preserve">months and up </w:t>
      </w:r>
      <w:r w:rsidR="00737E5A" w:rsidRPr="005A22C2">
        <w:t xml:space="preserve">to 12 months </w:t>
      </w:r>
      <w:r w:rsidR="00834C47" w:rsidRPr="005A22C2">
        <w:t>from enrolment of a</w:t>
      </w:r>
      <w:r w:rsidR="00747802" w:rsidRPr="005A22C2">
        <w:t>n</w:t>
      </w:r>
      <w:r w:rsidR="00834C47" w:rsidRPr="005A22C2">
        <w:t xml:space="preserve"> </w:t>
      </w:r>
      <w:r w:rsidR="00744BDE" w:rsidRPr="005A22C2">
        <w:t xml:space="preserve">SDA to </w:t>
      </w:r>
      <w:r w:rsidR="00F23BD5" w:rsidRPr="005A22C2">
        <w:t>the move</w:t>
      </w:r>
      <w:r w:rsidR="009B56F8" w:rsidRPr="005A22C2">
        <w:t xml:space="preserve"> in of a </w:t>
      </w:r>
      <w:r w:rsidR="009B56F8" w:rsidRPr="00570F1C">
        <w:t>participant</w:t>
      </w:r>
      <w:r w:rsidR="00AC47BC" w:rsidRPr="00570F1C">
        <w:t>.</w:t>
      </w:r>
      <w:r w:rsidR="002A687D" w:rsidRPr="00570F1C">
        <w:t xml:space="preserve"> </w:t>
      </w:r>
    </w:p>
    <w:p w14:paraId="623558E3" w14:textId="092944F7" w:rsidR="00A17275" w:rsidRPr="005A22C2" w:rsidRDefault="00AC47BC" w:rsidP="006720A0">
      <w:r w:rsidRPr="00570F1C">
        <w:t>NDISP suggested that delays are sometimes caused by participants not being approved at the correct</w:t>
      </w:r>
      <w:r w:rsidRPr="005A22C2">
        <w:t xml:space="preserve"> level</w:t>
      </w:r>
      <w:r w:rsidR="00D1720B" w:rsidRPr="005A22C2">
        <w:t xml:space="preserve">, which requires </w:t>
      </w:r>
      <w:r w:rsidR="00A22DF0" w:rsidRPr="005A22C2">
        <w:t>appeal</w:t>
      </w:r>
      <w:r w:rsidR="000F4ECB" w:rsidRPr="005A22C2">
        <w:t>s to be made</w:t>
      </w:r>
      <w:r w:rsidR="00E12132" w:rsidRPr="005A22C2">
        <w:t>,</w:t>
      </w:r>
      <w:r w:rsidR="000F4ECB" w:rsidRPr="005A22C2">
        <w:t xml:space="preserve"> </w:t>
      </w:r>
      <w:r w:rsidR="005F7ECD" w:rsidRPr="005A22C2">
        <w:t>during which time</w:t>
      </w:r>
      <w:r w:rsidR="000F4ECB" w:rsidRPr="005A22C2">
        <w:t xml:space="preserve"> SDA providers </w:t>
      </w:r>
      <w:r w:rsidR="005F7ECD" w:rsidRPr="005A22C2">
        <w:t>are still not receiving income.</w:t>
      </w:r>
      <w:r w:rsidR="00387537" w:rsidRPr="005A22C2">
        <w:t xml:space="preserve"> They </w:t>
      </w:r>
      <w:r w:rsidR="00A25081" w:rsidRPr="005A22C2">
        <w:t>also indicated that even once a participant</w:t>
      </w:r>
      <w:r w:rsidR="00FA591B" w:rsidRPr="005A22C2">
        <w:t xml:space="preserve"> is occupying an SDA, it typically takes two months </w:t>
      </w:r>
      <w:r w:rsidR="00CE0890" w:rsidRPr="005A22C2">
        <w:t xml:space="preserve">to receive a service booking and </w:t>
      </w:r>
      <w:r w:rsidR="00AD6BCE" w:rsidRPr="005A22C2">
        <w:t>be able to make claims</w:t>
      </w:r>
      <w:r w:rsidR="00304EF9" w:rsidRPr="005A22C2">
        <w:t xml:space="preserve"> (but </w:t>
      </w:r>
      <w:r w:rsidR="002C1608" w:rsidRPr="005A22C2">
        <w:t>claim</w:t>
      </w:r>
      <w:r w:rsidR="00304EF9" w:rsidRPr="005A22C2">
        <w:t xml:space="preserve"> it has taken up to eight months in the past)</w:t>
      </w:r>
      <w:r w:rsidR="00AD6BCE" w:rsidRPr="005A22C2">
        <w:t>.</w:t>
      </w:r>
    </w:p>
    <w:p w14:paraId="5F025C9A" w14:textId="3B3C7964" w:rsidR="006122E8" w:rsidRPr="005A22C2" w:rsidRDefault="006122E8" w:rsidP="006720A0">
      <w:pPr>
        <w:pStyle w:val="Heading3"/>
      </w:pPr>
      <w:bookmarkStart w:id="212" w:name="_Toc122454255"/>
      <w:bookmarkStart w:id="213" w:name="_Toc122527544"/>
      <w:bookmarkStart w:id="214" w:name="_Toc129783607"/>
      <w:r w:rsidRPr="005A22C2">
        <w:t xml:space="preserve">Comparative </w:t>
      </w:r>
      <w:r w:rsidR="00C33E1B" w:rsidRPr="005A22C2">
        <w:t>R</w:t>
      </w:r>
      <w:r w:rsidRPr="005A22C2">
        <w:t>eturns</w:t>
      </w:r>
      <w:bookmarkEnd w:id="212"/>
      <w:bookmarkEnd w:id="213"/>
      <w:bookmarkEnd w:id="214"/>
    </w:p>
    <w:p w14:paraId="5B772DD7" w14:textId="69C31F8A" w:rsidR="00E63EF4" w:rsidRPr="005A22C2" w:rsidRDefault="00E63EF4" w:rsidP="006720A0">
      <w:r w:rsidRPr="005A22C2">
        <w:t xml:space="preserve">A stakeholder from the SDA Banks and Funds Consultation Group suggested that there is no shared understanding of where SDA fits with the traditional asset classes, and </w:t>
      </w:r>
      <w:proofErr w:type="gramStart"/>
      <w:r w:rsidRPr="005A22C2">
        <w:t>in particular if</w:t>
      </w:r>
      <w:proofErr w:type="gramEnd"/>
      <w:r w:rsidRPr="005A22C2">
        <w:t xml:space="preserve"> SDA should be </w:t>
      </w:r>
      <w:r w:rsidR="000E0C5C" w:rsidRPr="005A22C2">
        <w:t>consider</w:t>
      </w:r>
      <w:r w:rsidRPr="005A22C2">
        <w:t>ed to be part of the residential sector or as social infrastructure</w:t>
      </w:r>
      <w:r w:rsidRPr="005A22C2">
        <w:rPr>
          <w:i/>
          <w:iCs/>
        </w:rPr>
        <w:t>.</w:t>
      </w:r>
    </w:p>
    <w:p w14:paraId="7D434A80" w14:textId="115E1E21" w:rsidR="00656F1B" w:rsidRPr="005A22C2" w:rsidRDefault="0014685C" w:rsidP="006720A0">
      <w:r w:rsidRPr="005A22C2">
        <w:t xml:space="preserve">In general, stakeholders across the </w:t>
      </w:r>
      <w:r w:rsidR="00D84C52" w:rsidRPr="005A22C2">
        <w:t>Consultation Group</w:t>
      </w:r>
      <w:r w:rsidRPr="005A22C2">
        <w:t>s</w:t>
      </w:r>
      <w:r w:rsidR="001E310C" w:rsidRPr="005A22C2">
        <w:t xml:space="preserve"> and written submissions</w:t>
      </w:r>
      <w:r w:rsidRPr="005A22C2">
        <w:t xml:space="preserve"> </w:t>
      </w:r>
      <w:r w:rsidR="00A47266" w:rsidRPr="005A22C2">
        <w:t xml:space="preserve">recommended </w:t>
      </w:r>
      <w:r w:rsidR="002231E2" w:rsidRPr="005A22C2">
        <w:t xml:space="preserve">that </w:t>
      </w:r>
      <w:r w:rsidR="00A47266" w:rsidRPr="005A22C2">
        <w:t xml:space="preserve">the </w:t>
      </w:r>
      <w:r w:rsidR="00A673FC" w:rsidRPr="005A22C2">
        <w:t xml:space="preserve">Agency review the </w:t>
      </w:r>
      <w:r w:rsidR="00A47EC5" w:rsidRPr="005A22C2">
        <w:t xml:space="preserve">risk premiums associated with the SDA market (and by extension, the Equity Beta) to ensure </w:t>
      </w:r>
      <w:r w:rsidR="00CB0934" w:rsidRPr="005A22C2">
        <w:t>they are</w:t>
      </w:r>
      <w:r w:rsidR="00A47EC5" w:rsidRPr="005A22C2">
        <w:t xml:space="preserve"> appropriate</w:t>
      </w:r>
      <w:r w:rsidR="00C8146A" w:rsidRPr="005A22C2">
        <w:t xml:space="preserve"> </w:t>
      </w:r>
      <w:r w:rsidR="005C04C4" w:rsidRPr="005A22C2">
        <w:t>to attract investors</w:t>
      </w:r>
      <w:r w:rsidR="00ED72E1" w:rsidRPr="005A22C2">
        <w:t>,</w:t>
      </w:r>
      <w:r w:rsidR="005C04C4" w:rsidRPr="005A22C2">
        <w:t xml:space="preserve"> recognising the </w:t>
      </w:r>
      <w:proofErr w:type="gramStart"/>
      <w:r w:rsidR="005C04C4" w:rsidRPr="005A22C2">
        <w:t>comparatively larger</w:t>
      </w:r>
      <w:proofErr w:type="gramEnd"/>
      <w:r w:rsidR="005C04C4" w:rsidRPr="005A22C2">
        <w:t xml:space="preserve"> risks associated with the </w:t>
      </w:r>
      <w:r w:rsidR="00841DD0" w:rsidRPr="005A22C2">
        <w:t xml:space="preserve">SDA </w:t>
      </w:r>
      <w:r w:rsidR="005C04C4" w:rsidRPr="005A22C2">
        <w:t>market</w:t>
      </w:r>
      <w:r w:rsidR="00AB3F49" w:rsidRPr="005A22C2">
        <w:t xml:space="preserve"> in comparison to other asset classes</w:t>
      </w:r>
      <w:r w:rsidR="005C04C4" w:rsidRPr="005A22C2">
        <w:t>.</w:t>
      </w:r>
    </w:p>
    <w:p w14:paraId="0AF376AB" w14:textId="53B5C2D4" w:rsidR="006122E8" w:rsidRPr="00570F1C" w:rsidRDefault="00EF5856" w:rsidP="006720A0">
      <w:r w:rsidRPr="005A22C2">
        <w:t>The submissions reported that</w:t>
      </w:r>
      <w:r w:rsidR="00436575" w:rsidRPr="005A22C2">
        <w:t xml:space="preserve"> comparative asset classes such as the residential aged care and supported accommodation markets are </w:t>
      </w:r>
      <w:r w:rsidR="00EC5E1A" w:rsidRPr="005A22C2">
        <w:t xml:space="preserve">perceived by stakeholders to be </w:t>
      </w:r>
      <w:r w:rsidR="001C76A1" w:rsidRPr="005A22C2">
        <w:t>less risky due to their maturity, volatility, consistency and appropriateness of regula</w:t>
      </w:r>
      <w:r w:rsidR="001C76A1" w:rsidRPr="00570F1C">
        <w:t>tion, and scale.</w:t>
      </w:r>
      <w:r w:rsidR="002A687D" w:rsidRPr="00570F1C">
        <w:t xml:space="preserve"> </w:t>
      </w:r>
      <w:r w:rsidR="00013F20" w:rsidRPr="00570F1C">
        <w:t>Barwon Investment Partners</w:t>
      </w:r>
      <w:r w:rsidRPr="00570F1C">
        <w:t>, fo</w:t>
      </w:r>
      <w:r w:rsidR="002231E2" w:rsidRPr="00570F1C">
        <w:t>r</w:t>
      </w:r>
      <w:r w:rsidRPr="00570F1C">
        <w:t xml:space="preserve"> example, </w:t>
      </w:r>
      <w:r w:rsidR="00013F20" w:rsidRPr="00570F1C">
        <w:t xml:space="preserve">suggested that </w:t>
      </w:r>
      <w:r w:rsidRPr="00570F1C">
        <w:t>SDA prices need</w:t>
      </w:r>
      <w:r w:rsidR="00B13067" w:rsidRPr="00570F1C">
        <w:t xml:space="preserve"> to be set at a level where </w:t>
      </w:r>
      <w:r w:rsidR="00274CC0" w:rsidRPr="00570F1C">
        <w:t xml:space="preserve">the sector can </w:t>
      </w:r>
      <w:r w:rsidRPr="00570F1C">
        <w:t>“</w:t>
      </w:r>
      <w:r w:rsidR="00274CC0" w:rsidRPr="00570F1C">
        <w:t>provide attractive returns against other more established sectors”</w:t>
      </w:r>
      <w:r w:rsidR="00202B9C" w:rsidRPr="00570F1C">
        <w:t xml:space="preserve"> and </w:t>
      </w:r>
      <w:r w:rsidR="002A3C1A" w:rsidRPr="00570F1C">
        <w:t>can compete with other residential and development purchases to enable the p</w:t>
      </w:r>
      <w:r w:rsidR="00202B9C" w:rsidRPr="00570F1C">
        <w:t>urchase of land</w:t>
      </w:r>
      <w:r w:rsidR="002A3C1A" w:rsidRPr="00570F1C">
        <w:t>.</w:t>
      </w:r>
    </w:p>
    <w:p w14:paraId="4339C01A" w14:textId="42B2C760" w:rsidR="00A47429" w:rsidRPr="00570F1C" w:rsidRDefault="002231E2" w:rsidP="006720A0">
      <w:r w:rsidRPr="00570F1C">
        <w:t>However, some stakeholders saw advantages in the SDA asset class. A</w:t>
      </w:r>
      <w:r w:rsidR="00FA54D7" w:rsidRPr="00570F1C">
        <w:t xml:space="preserve"> stakeholder in the South Australia and Northern Territory </w:t>
      </w:r>
      <w:r w:rsidR="00D84C52" w:rsidRPr="00570F1C">
        <w:t>Consultation Group</w:t>
      </w:r>
      <w:r w:rsidRPr="00570F1C">
        <w:t>, for example,</w:t>
      </w:r>
      <w:r w:rsidR="00FA54D7" w:rsidRPr="00570F1C">
        <w:t xml:space="preserve"> </w:t>
      </w:r>
      <w:r w:rsidR="00242C28" w:rsidRPr="00570F1C">
        <w:t xml:space="preserve">suggested that SDA is more feasible than other social housing alternatives, where only </w:t>
      </w:r>
      <w:r w:rsidR="001D1E9E" w:rsidRPr="00570F1C">
        <w:t>25</w:t>
      </w:r>
      <w:r w:rsidR="009B15DA" w:rsidRPr="00570F1C">
        <w:t>%</w:t>
      </w:r>
      <w:r w:rsidR="001D1E9E" w:rsidRPr="00570F1C">
        <w:t xml:space="preserve"> of a resident’s income can be used to pay rent for accommodation.</w:t>
      </w:r>
    </w:p>
    <w:p w14:paraId="734EAA17" w14:textId="291F87C2" w:rsidR="00AB2173" w:rsidRPr="005A22C2" w:rsidRDefault="00AB2173" w:rsidP="006720A0">
      <w:r w:rsidRPr="00570F1C">
        <w:t>M3 Property suggested that SDA</w:t>
      </w:r>
      <w:r w:rsidR="002231E2" w:rsidRPr="00570F1C">
        <w:t xml:space="preserve"> investors</w:t>
      </w:r>
      <w:r w:rsidRPr="00570F1C">
        <w:t xml:space="preserve"> can </w:t>
      </w:r>
      <w:r w:rsidR="002231E2" w:rsidRPr="00570F1C">
        <w:t xml:space="preserve">currently </w:t>
      </w:r>
      <w:r w:rsidR="006C2FDE" w:rsidRPr="00570F1C">
        <w:t>achieve</w:t>
      </w:r>
      <w:r w:rsidRPr="00570F1C">
        <w:t xml:space="preserve"> a good return</w:t>
      </w:r>
      <w:r w:rsidR="00E13614" w:rsidRPr="00570F1C">
        <w:t xml:space="preserve"> of around </w:t>
      </w:r>
      <w:r w:rsidR="00EC1022" w:rsidRPr="00570F1C">
        <w:t>7</w:t>
      </w:r>
      <w:r w:rsidR="006B550B" w:rsidRPr="00570F1C">
        <w:t>%</w:t>
      </w:r>
      <w:r w:rsidR="006E3BBD" w:rsidRPr="00570F1C">
        <w:t xml:space="preserve"> to </w:t>
      </w:r>
      <w:r w:rsidR="00EC1022" w:rsidRPr="00570F1C">
        <w:t>8</w:t>
      </w:r>
      <w:r w:rsidR="009B15DA" w:rsidRPr="00570F1C">
        <w:t>%</w:t>
      </w:r>
      <w:r w:rsidR="00EC1022" w:rsidRPr="00570F1C">
        <w:t xml:space="preserve">, which when compared to </w:t>
      </w:r>
      <w:r w:rsidR="00660342" w:rsidRPr="00570F1C">
        <w:t>the return on a standard residential asset (usually around 2</w:t>
      </w:r>
      <w:r w:rsidR="006B550B" w:rsidRPr="00570F1C">
        <w:t>%</w:t>
      </w:r>
      <w:r w:rsidR="006E3BBD" w:rsidRPr="00570F1C">
        <w:t xml:space="preserve"> to </w:t>
      </w:r>
      <w:r w:rsidR="00660342" w:rsidRPr="00570F1C">
        <w:t>5</w:t>
      </w:r>
      <w:r w:rsidR="009B15DA" w:rsidRPr="00570F1C">
        <w:t>%</w:t>
      </w:r>
      <w:r w:rsidR="00660342" w:rsidRPr="00570F1C">
        <w:t xml:space="preserve">), suggests that SDA is a stable </w:t>
      </w:r>
      <w:r w:rsidR="002231E2" w:rsidRPr="00570F1C">
        <w:t xml:space="preserve">and investable </w:t>
      </w:r>
      <w:r w:rsidR="00660342" w:rsidRPr="00570F1C">
        <w:t>asset class.</w:t>
      </w:r>
      <w:r w:rsidR="00EF5856" w:rsidRPr="00570F1C">
        <w:t xml:space="preserve"> </w:t>
      </w:r>
      <w:r w:rsidR="00CB0934" w:rsidRPr="00570F1C">
        <w:t xml:space="preserve">One stakeholder from the New South Wales and Australian Capital Territory </w:t>
      </w:r>
      <w:r w:rsidR="00D84C52" w:rsidRPr="00570F1C">
        <w:t>Consultation Group</w:t>
      </w:r>
      <w:r w:rsidR="00CB0934" w:rsidRPr="00570F1C">
        <w:t xml:space="preserve"> </w:t>
      </w:r>
      <w:r w:rsidR="00815C11" w:rsidRPr="00570F1C">
        <w:t xml:space="preserve">similarly </w:t>
      </w:r>
      <w:r w:rsidR="005361D4" w:rsidRPr="00570F1C">
        <w:t>stated</w:t>
      </w:r>
      <w:r w:rsidR="00CB0934" w:rsidRPr="00570F1C">
        <w:t xml:space="preserve"> that external investors usually look for a rate of return </w:t>
      </w:r>
      <w:r w:rsidR="00815C11" w:rsidRPr="00570F1C">
        <w:t>of</w:t>
      </w:r>
      <w:r w:rsidR="00CB0934" w:rsidRPr="00570F1C">
        <w:t xml:space="preserve"> around 8</w:t>
      </w:r>
      <w:r w:rsidR="006B550B" w:rsidRPr="00570F1C">
        <w:t>%</w:t>
      </w:r>
      <w:r w:rsidR="006E3BBD" w:rsidRPr="00570F1C">
        <w:t xml:space="preserve"> to </w:t>
      </w:r>
      <w:r w:rsidR="00CB0934" w:rsidRPr="00570F1C">
        <w:t>9</w:t>
      </w:r>
      <w:r w:rsidR="009B15DA" w:rsidRPr="00570F1C">
        <w:t>%</w:t>
      </w:r>
      <w:r w:rsidR="00CB0934" w:rsidRPr="00570F1C">
        <w:t>.</w:t>
      </w:r>
      <w:r w:rsidR="002A687D" w:rsidRPr="00570F1C">
        <w:t xml:space="preserve"> </w:t>
      </w:r>
      <w:r w:rsidR="00815C11" w:rsidRPr="00570F1C">
        <w:t xml:space="preserve">M3 Property </w:t>
      </w:r>
      <w:r w:rsidR="003F2D39" w:rsidRPr="00570F1C">
        <w:t>highlighted</w:t>
      </w:r>
      <w:r w:rsidR="001A4395" w:rsidRPr="005A22C2">
        <w:t xml:space="preserve"> that some investors </w:t>
      </w:r>
      <w:r w:rsidR="001644B1" w:rsidRPr="005A22C2">
        <w:t>seek returns closer to 12</w:t>
      </w:r>
      <w:r w:rsidR="006B550B">
        <w:t>%</w:t>
      </w:r>
      <w:r w:rsidR="006E3BBD">
        <w:t xml:space="preserve"> to </w:t>
      </w:r>
      <w:r w:rsidR="001644B1" w:rsidRPr="005A22C2">
        <w:t>15</w:t>
      </w:r>
      <w:r w:rsidR="009B15DA">
        <w:t>%</w:t>
      </w:r>
      <w:r w:rsidR="001644B1" w:rsidRPr="005A22C2">
        <w:t xml:space="preserve">, however </w:t>
      </w:r>
      <w:r w:rsidR="002231E2" w:rsidRPr="005A22C2">
        <w:t xml:space="preserve">they stated that </w:t>
      </w:r>
      <w:r w:rsidR="001644B1" w:rsidRPr="005A22C2">
        <w:t>th</w:t>
      </w:r>
      <w:r w:rsidR="00B4502F" w:rsidRPr="005A22C2">
        <w:t xml:space="preserve">ose returns are neither feasible </w:t>
      </w:r>
      <w:r w:rsidR="00302B60" w:rsidRPr="005A22C2">
        <w:t>n</w:t>
      </w:r>
      <w:r w:rsidR="00B4502F" w:rsidRPr="005A22C2">
        <w:t>or justifiable</w:t>
      </w:r>
      <w:r w:rsidR="002231E2" w:rsidRPr="005A22C2">
        <w:t xml:space="preserve"> in this asset class</w:t>
      </w:r>
      <w:r w:rsidR="00B4502F" w:rsidRPr="005A22C2">
        <w:t>.</w:t>
      </w:r>
    </w:p>
    <w:p w14:paraId="13050D63" w14:textId="77777777" w:rsidR="00A47429" w:rsidRPr="005A22C2" w:rsidRDefault="00BC1AC5" w:rsidP="006720A0">
      <w:pPr>
        <w:pStyle w:val="Heading2"/>
      </w:pPr>
      <w:bookmarkStart w:id="215" w:name="_Toc129783608"/>
      <w:bookmarkStart w:id="216" w:name="_Toc136006891"/>
      <w:r w:rsidRPr="005A22C2">
        <w:lastRenderedPageBreak/>
        <w:t xml:space="preserve">Availability and </w:t>
      </w:r>
      <w:r w:rsidR="00C33E1B" w:rsidRPr="005A22C2">
        <w:t>A</w:t>
      </w:r>
      <w:r w:rsidRPr="005A22C2">
        <w:t>ccuracy</w:t>
      </w:r>
      <w:r w:rsidR="001879AE" w:rsidRPr="005A22C2">
        <w:t xml:space="preserve"> of </w:t>
      </w:r>
      <w:r w:rsidR="00C33E1B" w:rsidRPr="005A22C2">
        <w:t>De</w:t>
      </w:r>
      <w:r w:rsidR="001879AE" w:rsidRPr="005A22C2">
        <w:t xml:space="preserve">mand and </w:t>
      </w:r>
      <w:r w:rsidR="00C33E1B" w:rsidRPr="005A22C2">
        <w:t>S</w:t>
      </w:r>
      <w:r w:rsidR="001879AE" w:rsidRPr="005A22C2">
        <w:t>upply</w:t>
      </w:r>
      <w:r w:rsidRPr="005A22C2">
        <w:t xml:space="preserve"> </w:t>
      </w:r>
      <w:r w:rsidR="00C33E1B" w:rsidRPr="005A22C2">
        <w:t>D</w:t>
      </w:r>
      <w:r w:rsidRPr="005A22C2">
        <w:t>ata</w:t>
      </w:r>
      <w:bookmarkEnd w:id="194"/>
      <w:bookmarkEnd w:id="215"/>
      <w:bookmarkEnd w:id="216"/>
    </w:p>
    <w:p w14:paraId="2419B3BD" w14:textId="5546AA6D" w:rsidR="00A47429" w:rsidRPr="005A22C2" w:rsidRDefault="00045619" w:rsidP="006720A0">
      <w:r w:rsidRPr="005A22C2">
        <w:t>S</w:t>
      </w:r>
      <w:r w:rsidR="00025489" w:rsidRPr="005A22C2">
        <w:t xml:space="preserve">takeholders </w:t>
      </w:r>
      <w:r w:rsidR="00EF5856" w:rsidRPr="005A22C2">
        <w:t>in</w:t>
      </w:r>
      <w:r w:rsidR="00CB60EB" w:rsidRPr="005A22C2">
        <w:t xml:space="preserve"> </w:t>
      </w:r>
      <w:r w:rsidRPr="005A22C2">
        <w:t xml:space="preserve">several </w:t>
      </w:r>
      <w:r w:rsidR="00D84C52" w:rsidRPr="005A22C2">
        <w:t>Consultation Group</w:t>
      </w:r>
      <w:r w:rsidRPr="005A22C2">
        <w:t>s</w:t>
      </w:r>
      <w:r w:rsidR="00CB60EB" w:rsidRPr="005A22C2">
        <w:t xml:space="preserve"> </w:t>
      </w:r>
      <w:r w:rsidR="002633FA" w:rsidRPr="005A22C2">
        <w:t xml:space="preserve">and </w:t>
      </w:r>
      <w:r w:rsidR="00EF5856" w:rsidRPr="005A22C2">
        <w:t xml:space="preserve">in </w:t>
      </w:r>
      <w:r w:rsidR="002633FA" w:rsidRPr="005A22C2">
        <w:t xml:space="preserve">written submissions </w:t>
      </w:r>
      <w:r w:rsidR="00EF5856" w:rsidRPr="005A22C2">
        <w:t>argued</w:t>
      </w:r>
      <w:r w:rsidR="00025489" w:rsidRPr="005A22C2">
        <w:t xml:space="preserve"> that there is currently a lack of accurate information about demand and supply of SDA</w:t>
      </w:r>
      <w:r w:rsidR="00717C64" w:rsidRPr="005A22C2">
        <w:t xml:space="preserve">, </w:t>
      </w:r>
      <w:r w:rsidR="00EF5856" w:rsidRPr="005A22C2">
        <w:t>and that this</w:t>
      </w:r>
      <w:r w:rsidR="00717C64" w:rsidRPr="005A22C2">
        <w:t xml:space="preserve"> is </w:t>
      </w:r>
      <w:r w:rsidR="00AB1F3A" w:rsidRPr="005A22C2">
        <w:t xml:space="preserve">impacting the ability </w:t>
      </w:r>
      <w:r w:rsidR="00E37EA5" w:rsidRPr="005A22C2">
        <w:t>of SDA providers, developers</w:t>
      </w:r>
      <w:r w:rsidR="000534A6" w:rsidRPr="005A22C2">
        <w:t>,</w:t>
      </w:r>
      <w:r w:rsidR="00E37EA5" w:rsidRPr="005A22C2">
        <w:t xml:space="preserve"> and investors </w:t>
      </w:r>
      <w:r w:rsidR="00AB1F3A" w:rsidRPr="005A22C2">
        <w:t xml:space="preserve">to make </w:t>
      </w:r>
      <w:r w:rsidR="003A545B" w:rsidRPr="005A22C2">
        <w:t>financing decisions</w:t>
      </w:r>
      <w:r w:rsidR="00025489" w:rsidRPr="005A22C2">
        <w:t>.</w:t>
      </w:r>
      <w:r w:rsidR="00EF5856" w:rsidRPr="005A22C2">
        <w:t xml:space="preserve"> </w:t>
      </w:r>
      <w:r w:rsidR="00A318EA" w:rsidRPr="005A22C2">
        <w:t xml:space="preserve">They recommended </w:t>
      </w:r>
      <w:r w:rsidR="0083305D" w:rsidRPr="005A22C2">
        <w:t xml:space="preserve">that </w:t>
      </w:r>
      <w:r w:rsidR="00A318EA" w:rsidRPr="005A22C2">
        <w:t>th</w:t>
      </w:r>
      <w:r w:rsidR="00BF4E5C" w:rsidRPr="005A22C2">
        <w:t xml:space="preserve">e </w:t>
      </w:r>
      <w:r w:rsidR="0083305D" w:rsidRPr="005A22C2">
        <w:t>NDIA should</w:t>
      </w:r>
      <w:r w:rsidR="00BF4E5C" w:rsidRPr="005A22C2">
        <w:t xml:space="preserve"> provide </w:t>
      </w:r>
      <w:r w:rsidR="009B0428" w:rsidRPr="005A22C2">
        <w:t>supply and demand</w:t>
      </w:r>
      <w:r w:rsidR="00BF4E5C" w:rsidRPr="005A22C2">
        <w:t xml:space="preserve"> forecast data</w:t>
      </w:r>
      <w:r w:rsidR="009B0428" w:rsidRPr="005A22C2" w:rsidDel="00BF4E5C">
        <w:t xml:space="preserve"> </w:t>
      </w:r>
      <w:r w:rsidR="009B0428" w:rsidRPr="005A22C2">
        <w:t xml:space="preserve">to inform </w:t>
      </w:r>
      <w:r w:rsidR="00D66F6A" w:rsidRPr="005A22C2">
        <w:t xml:space="preserve">and support </w:t>
      </w:r>
      <w:r w:rsidR="00CC1855" w:rsidRPr="005A22C2">
        <w:t>development decisions</w:t>
      </w:r>
      <w:r w:rsidR="000A476D" w:rsidRPr="005A22C2">
        <w:t xml:space="preserve">, </w:t>
      </w:r>
      <w:r w:rsidR="00CC1855" w:rsidRPr="005A22C2">
        <w:t>valuation assumptions</w:t>
      </w:r>
      <w:r w:rsidR="000A476D" w:rsidRPr="005A22C2">
        <w:t xml:space="preserve">, and ultimately </w:t>
      </w:r>
      <w:r w:rsidR="00324769" w:rsidRPr="005A22C2">
        <w:t>provide investor confidence.</w:t>
      </w:r>
    </w:p>
    <w:p w14:paraId="2AF8C3A6" w14:textId="59689E95" w:rsidR="00BE0905" w:rsidRPr="005A22C2" w:rsidRDefault="0076222F" w:rsidP="006720A0">
      <w:r w:rsidRPr="00570F1C">
        <w:t>T</w:t>
      </w:r>
      <w:r w:rsidR="00F4559D" w:rsidRPr="00570F1C">
        <w:t>he</w:t>
      </w:r>
      <w:r w:rsidR="00F4559D" w:rsidRPr="00570F1C">
        <w:rPr>
          <w:i/>
          <w:iCs/>
        </w:rPr>
        <w:t xml:space="preserve"> </w:t>
      </w:r>
      <w:r w:rsidR="00EB6C80" w:rsidRPr="00570F1C">
        <w:t xml:space="preserve">M3 Property </w:t>
      </w:r>
      <w:r w:rsidR="00F4559D" w:rsidRPr="00570F1C">
        <w:t>acknowledged</w:t>
      </w:r>
      <w:r w:rsidR="00734907" w:rsidRPr="00570F1C">
        <w:t xml:space="preserve"> that the </w:t>
      </w:r>
      <w:r w:rsidR="0000153E" w:rsidRPr="00570F1C">
        <w:t xml:space="preserve">quality and depth of information that is available </w:t>
      </w:r>
      <w:r w:rsidR="00475A98" w:rsidRPr="00570F1C">
        <w:t>has</w:t>
      </w:r>
      <w:r w:rsidR="0000153E" w:rsidRPr="00570F1C">
        <w:t xml:space="preserve"> </w:t>
      </w:r>
      <w:r w:rsidR="006A47EF" w:rsidRPr="00570F1C">
        <w:t xml:space="preserve">improved </w:t>
      </w:r>
      <w:r w:rsidR="001D5F87" w:rsidRPr="00570F1C">
        <w:t>over recent years</w:t>
      </w:r>
      <w:r w:rsidR="006A47EF" w:rsidRPr="00570F1C">
        <w:t xml:space="preserve">, </w:t>
      </w:r>
      <w:r w:rsidR="00F4559D" w:rsidRPr="00570F1C">
        <w:t>however</w:t>
      </w:r>
      <w:r w:rsidR="00B06719" w:rsidRPr="00570F1C">
        <w:t xml:space="preserve"> </w:t>
      </w:r>
      <w:r w:rsidR="00F4559D" w:rsidRPr="00570F1C">
        <w:t xml:space="preserve">they stated that </w:t>
      </w:r>
      <w:r w:rsidR="00F80203" w:rsidRPr="00570F1C">
        <w:t>securing demand</w:t>
      </w:r>
      <w:r w:rsidR="00895053" w:rsidRPr="00570F1C">
        <w:t xml:space="preserve"> and matching participants to supply </w:t>
      </w:r>
      <w:r w:rsidR="00F4559D" w:rsidRPr="00570F1C">
        <w:t>was still</w:t>
      </w:r>
      <w:r w:rsidR="00895053" w:rsidRPr="00570F1C">
        <w:t xml:space="preserve"> a time consuming and costly </w:t>
      </w:r>
      <w:r w:rsidR="002B1B71" w:rsidRPr="00570F1C">
        <w:t>endeavo</w:t>
      </w:r>
      <w:r w:rsidR="00BB54AE" w:rsidRPr="00570F1C">
        <w:t>u</w:t>
      </w:r>
      <w:r w:rsidR="002B1B71" w:rsidRPr="00570F1C">
        <w:t>r</w:t>
      </w:r>
      <w:r w:rsidR="00895053" w:rsidRPr="00570F1C">
        <w:t>.</w:t>
      </w:r>
      <w:r w:rsidR="00C33E1B" w:rsidRPr="00570F1C">
        <w:t xml:space="preserve"> </w:t>
      </w:r>
      <w:r w:rsidR="0074078E" w:rsidRPr="00570F1C">
        <w:t xml:space="preserve">Several stakeholders in the SDA Banks and Funds </w:t>
      </w:r>
      <w:r w:rsidR="00D84C52" w:rsidRPr="00570F1C">
        <w:t>Consultation Group</w:t>
      </w:r>
      <w:r w:rsidR="000F40A8" w:rsidRPr="00570F1C">
        <w:t>s</w:t>
      </w:r>
      <w:r w:rsidR="0074078E" w:rsidRPr="00570F1C">
        <w:t xml:space="preserve"> </w:t>
      </w:r>
      <w:r w:rsidR="007F6388" w:rsidRPr="00570F1C">
        <w:t>were complementary</w:t>
      </w:r>
      <w:r w:rsidR="0074078E" w:rsidRPr="00570F1C">
        <w:t xml:space="preserve"> </w:t>
      </w:r>
      <w:r w:rsidR="007361A4" w:rsidRPr="00570F1C">
        <w:t>of</w:t>
      </w:r>
      <w:r w:rsidR="0074078E" w:rsidRPr="00570F1C">
        <w:t xml:space="preserve"> the demand activation work being undertaken by the Agency</w:t>
      </w:r>
      <w:r w:rsidR="00B12B43" w:rsidRPr="00570F1C">
        <w:t xml:space="preserve">, stating that </w:t>
      </w:r>
      <w:r w:rsidR="0074078E" w:rsidRPr="00570F1C">
        <w:t xml:space="preserve">it </w:t>
      </w:r>
      <w:r w:rsidR="00537D3F" w:rsidRPr="00570F1C">
        <w:t xml:space="preserve">contributed </w:t>
      </w:r>
      <w:r w:rsidR="00F9396D" w:rsidRPr="00570F1C">
        <w:t>addressing</w:t>
      </w:r>
      <w:r w:rsidR="0074078E" w:rsidRPr="00570F1C">
        <w:t xml:space="preserve"> insufficiencies </w:t>
      </w:r>
      <w:r w:rsidR="00FC23B0" w:rsidRPr="00570F1C">
        <w:t>of</w:t>
      </w:r>
      <w:r w:rsidR="0074078E" w:rsidRPr="00570F1C">
        <w:t xml:space="preserve"> the data. However, </w:t>
      </w:r>
      <w:r w:rsidR="009E6EDE" w:rsidRPr="00570F1C">
        <w:t xml:space="preserve">several </w:t>
      </w:r>
      <w:r w:rsidR="0074078E" w:rsidRPr="00570F1C">
        <w:t>written</w:t>
      </w:r>
      <w:r w:rsidR="00D37921" w:rsidRPr="00570F1C">
        <w:t xml:space="preserve"> </w:t>
      </w:r>
      <w:r w:rsidR="009E6EDE" w:rsidRPr="00570F1C">
        <w:t>submissions</w:t>
      </w:r>
      <w:r w:rsidR="00D37921" w:rsidRPr="00570F1C">
        <w:t xml:space="preserve"> </w:t>
      </w:r>
      <w:r w:rsidR="0074078E" w:rsidRPr="00570F1C">
        <w:t xml:space="preserve">suggested </w:t>
      </w:r>
      <w:r w:rsidR="0030277D" w:rsidRPr="00570F1C">
        <w:t xml:space="preserve">that they </w:t>
      </w:r>
      <w:r w:rsidR="00296974" w:rsidRPr="00570F1C">
        <w:t xml:space="preserve">would like </w:t>
      </w:r>
      <w:r w:rsidR="009E6EDE" w:rsidRPr="00570F1C">
        <w:t>additional</w:t>
      </w:r>
      <w:r w:rsidR="00567404" w:rsidRPr="00570F1C">
        <w:t xml:space="preserve"> data </w:t>
      </w:r>
      <w:r w:rsidR="00876624" w:rsidRPr="00570F1C">
        <w:t xml:space="preserve">to be </w:t>
      </w:r>
      <w:r w:rsidR="0074078E" w:rsidRPr="00570F1C">
        <w:t>provided relating to supply, demand and vacancies</w:t>
      </w:r>
      <w:r w:rsidR="00876624" w:rsidRPr="00570F1C">
        <w:t xml:space="preserve">. </w:t>
      </w:r>
      <w:r w:rsidR="00760969" w:rsidRPr="00570F1C">
        <w:t>For example,</w:t>
      </w:r>
      <w:r w:rsidR="002A687D" w:rsidRPr="00570F1C">
        <w:t xml:space="preserve"> </w:t>
      </w:r>
      <w:r w:rsidR="00F4559D" w:rsidRPr="00570F1C">
        <w:t xml:space="preserve">the </w:t>
      </w:r>
      <w:r w:rsidR="007E4E72" w:rsidRPr="00570F1C">
        <w:t>WAIGROUP</w:t>
      </w:r>
      <w:r w:rsidR="00010B3F" w:rsidRPr="00570F1C">
        <w:t xml:space="preserve"> </w:t>
      </w:r>
      <w:r w:rsidR="00760969" w:rsidRPr="00570F1C">
        <w:t>suggested</w:t>
      </w:r>
      <w:r w:rsidR="00760969" w:rsidRPr="005A22C2">
        <w:t xml:space="preserve"> </w:t>
      </w:r>
      <w:r w:rsidR="00F4559D" w:rsidRPr="005A22C2">
        <w:t xml:space="preserve">that </w:t>
      </w:r>
      <w:r w:rsidR="00760969" w:rsidRPr="005A22C2">
        <w:t>the following information</w:t>
      </w:r>
      <w:r w:rsidR="002956B4" w:rsidRPr="005A22C2">
        <w:t xml:space="preserve"> is provided to the market</w:t>
      </w:r>
      <w:r w:rsidR="00760969" w:rsidRPr="005A22C2">
        <w:t>:</w:t>
      </w:r>
    </w:p>
    <w:p w14:paraId="43220856" w14:textId="75D90184" w:rsidR="00B3359F" w:rsidRPr="005A22C2" w:rsidRDefault="00BE0905" w:rsidP="006720A0">
      <w:pPr>
        <w:pStyle w:val="DotPoint"/>
      </w:pPr>
      <w:r w:rsidRPr="005A22C2">
        <w:rPr>
          <w:b/>
        </w:rPr>
        <w:t>Unmet SDA demand</w:t>
      </w:r>
      <w:r w:rsidR="00D279B2" w:rsidRPr="005A22C2">
        <w:t>:</w:t>
      </w:r>
      <w:r w:rsidRPr="005A22C2">
        <w:t xml:space="preserve"> r</w:t>
      </w:r>
      <w:r w:rsidR="00B3359F" w:rsidRPr="005A22C2">
        <w:t>olling 3-year estimates by locality, design category and building type</w:t>
      </w:r>
      <w:r w:rsidR="00F4559D" w:rsidRPr="005A22C2">
        <w:t>.</w:t>
      </w:r>
    </w:p>
    <w:p w14:paraId="452A09CA" w14:textId="738D9485" w:rsidR="00B3359F" w:rsidRPr="005A22C2" w:rsidRDefault="00BE0905" w:rsidP="006720A0">
      <w:pPr>
        <w:pStyle w:val="DotPoint"/>
      </w:pPr>
      <w:r w:rsidRPr="005A22C2">
        <w:rPr>
          <w:b/>
        </w:rPr>
        <w:t>S</w:t>
      </w:r>
      <w:r w:rsidR="00B3359F" w:rsidRPr="005A22C2">
        <w:rPr>
          <w:b/>
        </w:rPr>
        <w:t>ource</w:t>
      </w:r>
      <w:r w:rsidRPr="005A22C2">
        <w:rPr>
          <w:b/>
        </w:rPr>
        <w:t>s</w:t>
      </w:r>
      <w:r w:rsidR="00B3359F" w:rsidRPr="005A22C2">
        <w:rPr>
          <w:b/>
        </w:rPr>
        <w:t xml:space="preserve"> of demand</w:t>
      </w:r>
      <w:r w:rsidR="00D279B2" w:rsidRPr="005A22C2">
        <w:t xml:space="preserve">: </w:t>
      </w:r>
      <w:r w:rsidR="00900EC1" w:rsidRPr="005A22C2">
        <w:t>f</w:t>
      </w:r>
      <w:r w:rsidR="00D279B2" w:rsidRPr="005A22C2">
        <w:t>or example,</w:t>
      </w:r>
      <w:r w:rsidR="00B3359F" w:rsidRPr="005A22C2">
        <w:t xml:space="preserve"> older existing and legacy dwellings, new demand from the Young People Residing in Nursing Home cohort, people </w:t>
      </w:r>
      <w:r w:rsidR="00EF0FD7" w:rsidRPr="005A22C2">
        <w:t>currently in</w:t>
      </w:r>
      <w:r w:rsidR="007D505E" w:rsidRPr="005A22C2">
        <w:t xml:space="preserve"> other</w:t>
      </w:r>
      <w:r w:rsidR="00B3359F" w:rsidRPr="005A22C2">
        <w:t xml:space="preserve"> inappropriate housing options</w:t>
      </w:r>
      <w:r w:rsidR="008411C7" w:rsidRPr="005A22C2">
        <w:t>, hospital exits</w:t>
      </w:r>
      <w:r w:rsidR="00F4559D" w:rsidRPr="005A22C2">
        <w:t>.</w:t>
      </w:r>
    </w:p>
    <w:p w14:paraId="20D6D190" w14:textId="3C0C5F85" w:rsidR="00B3359F" w:rsidRPr="005A22C2" w:rsidRDefault="00B3359F" w:rsidP="006720A0">
      <w:pPr>
        <w:pStyle w:val="DotPoint"/>
      </w:pPr>
      <w:r w:rsidRPr="005A22C2">
        <w:rPr>
          <w:b/>
        </w:rPr>
        <w:t>Point in time data on vacancy rates</w:t>
      </w:r>
      <w:r w:rsidR="004559CC" w:rsidRPr="005A22C2">
        <w:t>:</w:t>
      </w:r>
      <w:r w:rsidR="0054263A" w:rsidRPr="005A22C2">
        <w:t xml:space="preserve"> </w:t>
      </w:r>
      <w:r w:rsidRPr="005A22C2">
        <w:t>by dwelling type, design</w:t>
      </w:r>
      <w:r w:rsidR="00BC7691" w:rsidRPr="005A22C2">
        <w:t xml:space="preserve"> </w:t>
      </w:r>
      <w:r w:rsidRPr="005A22C2">
        <w:t>category and locality</w:t>
      </w:r>
      <w:r w:rsidR="00F4559D" w:rsidRPr="005A22C2">
        <w:t>.</w:t>
      </w:r>
    </w:p>
    <w:p w14:paraId="66D7AADB" w14:textId="695CA8EE" w:rsidR="00B3359F" w:rsidRPr="005A22C2" w:rsidRDefault="00B3359F" w:rsidP="006720A0">
      <w:pPr>
        <w:pStyle w:val="DotPoint"/>
      </w:pPr>
      <w:r w:rsidRPr="005A22C2">
        <w:rPr>
          <w:b/>
        </w:rPr>
        <w:t>Analysis of supply</w:t>
      </w:r>
      <w:r w:rsidR="00BD7CE4" w:rsidRPr="005A22C2">
        <w:rPr>
          <w:b/>
        </w:rPr>
        <w:t>/</w:t>
      </w:r>
      <w:r w:rsidRPr="005A22C2">
        <w:rPr>
          <w:b/>
        </w:rPr>
        <w:t>demand gaps</w:t>
      </w:r>
      <w:r w:rsidR="00900EC1" w:rsidRPr="005A22C2">
        <w:t>:</w:t>
      </w:r>
      <w:r w:rsidRPr="005A22C2">
        <w:t xml:space="preserve"> by locality, dwelling type</w:t>
      </w:r>
      <w:r w:rsidR="00AF183C" w:rsidRPr="005A22C2">
        <w:t>,</w:t>
      </w:r>
      <w:r w:rsidRPr="005A22C2">
        <w:t xml:space="preserve"> and design category</w:t>
      </w:r>
      <w:r w:rsidR="00F4559D" w:rsidRPr="005A22C2">
        <w:t>.</w:t>
      </w:r>
    </w:p>
    <w:p w14:paraId="2E964E26" w14:textId="02442D21" w:rsidR="00EF6D0D" w:rsidRPr="005A22C2" w:rsidRDefault="00F73B4A" w:rsidP="006720A0">
      <w:pPr>
        <w:pStyle w:val="DotPoint"/>
      </w:pPr>
      <w:r w:rsidRPr="005A22C2">
        <w:rPr>
          <w:b/>
        </w:rPr>
        <w:t>A</w:t>
      </w:r>
      <w:r w:rsidR="00B3359F" w:rsidRPr="005A22C2">
        <w:rPr>
          <w:b/>
        </w:rPr>
        <w:t>ctual SDA tenancy allocations</w:t>
      </w:r>
      <w:r w:rsidR="00900EC1" w:rsidRPr="005A22C2">
        <w:t>:</w:t>
      </w:r>
      <w:r w:rsidR="00B3359F" w:rsidRPr="005A22C2">
        <w:t xml:space="preserve"> </w:t>
      </w:r>
      <w:proofErr w:type="gramStart"/>
      <w:r w:rsidR="00B3359F" w:rsidRPr="005A22C2">
        <w:t>specifically</w:t>
      </w:r>
      <w:proofErr w:type="gramEnd"/>
      <w:r w:rsidR="00B3359F" w:rsidRPr="005A22C2">
        <w:t xml:space="preserve"> the funded category of participants </w:t>
      </w:r>
      <w:r w:rsidR="00EF6D0D" w:rsidRPr="005A22C2">
        <w:t>in SDA</w:t>
      </w:r>
      <w:r w:rsidR="00B3359F" w:rsidRPr="005A22C2">
        <w:t xml:space="preserve"> </w:t>
      </w:r>
      <w:r w:rsidR="00EF6D0D" w:rsidRPr="005A22C2">
        <w:t>compared to</w:t>
      </w:r>
      <w:r w:rsidR="00B3359F" w:rsidRPr="005A22C2">
        <w:t xml:space="preserve"> the enrolled </w:t>
      </w:r>
      <w:r w:rsidR="00EF6D0D" w:rsidRPr="005A22C2">
        <w:t>SDA</w:t>
      </w:r>
      <w:r w:rsidR="00B3359F" w:rsidRPr="005A22C2">
        <w:t xml:space="preserve"> classification</w:t>
      </w:r>
      <w:r w:rsidR="00A61F2C" w:rsidRPr="005A22C2">
        <w:t>.</w:t>
      </w:r>
    </w:p>
    <w:p w14:paraId="1CDCCD9F" w14:textId="44A73413" w:rsidR="00F4559D" w:rsidRPr="005A22C2" w:rsidRDefault="00A61F2C" w:rsidP="006720A0">
      <w:r w:rsidRPr="005A22C2">
        <w:t>Stakeholders suggested that t</w:t>
      </w:r>
      <w:r w:rsidR="00697629" w:rsidRPr="005A22C2">
        <w:t xml:space="preserve">here are several locations around Australia that have </w:t>
      </w:r>
      <w:r w:rsidR="007B6EA9" w:rsidRPr="005A22C2">
        <w:t xml:space="preserve">notable </w:t>
      </w:r>
      <w:r w:rsidR="00CB6515" w:rsidRPr="005A22C2">
        <w:t>mismatch</w:t>
      </w:r>
      <w:r w:rsidR="005E0770" w:rsidRPr="005A22C2">
        <w:t xml:space="preserve">es between </w:t>
      </w:r>
      <w:r w:rsidR="007B6EA9" w:rsidRPr="005A22C2">
        <w:t>the</w:t>
      </w:r>
      <w:r w:rsidR="005E0770" w:rsidRPr="005A22C2">
        <w:t xml:space="preserve"> supply and demand</w:t>
      </w:r>
      <w:r w:rsidR="00697629" w:rsidRPr="005A22C2">
        <w:t xml:space="preserve"> </w:t>
      </w:r>
      <w:r w:rsidR="007B6EA9" w:rsidRPr="005A22C2">
        <w:t xml:space="preserve">for </w:t>
      </w:r>
      <w:r w:rsidR="00A21B74" w:rsidRPr="005A22C2">
        <w:t>SDA</w:t>
      </w:r>
      <w:r w:rsidR="00C33E1B" w:rsidRPr="005A22C2">
        <w:t>.</w:t>
      </w:r>
      <w:r w:rsidR="002A687D" w:rsidRPr="005A22C2">
        <w:t xml:space="preserve"> </w:t>
      </w:r>
      <w:r w:rsidR="00276DD2" w:rsidRPr="00FA72BF">
        <w:rPr>
          <w:u w:val="single"/>
        </w:rPr>
        <w:t>Barwon Investment</w:t>
      </w:r>
      <w:r w:rsidR="00276DD2" w:rsidRPr="005A22C2">
        <w:t xml:space="preserve"> Partners </w:t>
      </w:r>
      <w:r w:rsidR="00745B99" w:rsidRPr="005A22C2">
        <w:t>identified</w:t>
      </w:r>
      <w:r w:rsidR="005A0217" w:rsidRPr="005A22C2">
        <w:t xml:space="preserve"> that </w:t>
      </w:r>
      <w:r w:rsidR="00745B99" w:rsidRPr="005A22C2">
        <w:t xml:space="preserve">south-east </w:t>
      </w:r>
      <w:r w:rsidR="00745B99" w:rsidRPr="00A33FC6">
        <w:t>Queensland</w:t>
      </w:r>
      <w:r w:rsidR="00AE4A6A" w:rsidRPr="00A33FC6">
        <w:t xml:space="preserve"> “</w:t>
      </w:r>
      <w:r w:rsidR="00E117B4" w:rsidRPr="00A33FC6">
        <w:t xml:space="preserve">has nearly twice the supply of place[s] than the number of Participant’s [sic] registered with SDA in their plans </w:t>
      </w:r>
      <w:r w:rsidR="001478E1" w:rsidRPr="00A33FC6">
        <w:t>while</w:t>
      </w:r>
      <w:r w:rsidR="00E117B4" w:rsidRPr="00A33FC6">
        <w:t xml:space="preserve"> other areas are chronically undersupplied</w:t>
      </w:r>
      <w:r w:rsidR="00AE4A6A" w:rsidRPr="00A33FC6">
        <w:t>”</w:t>
      </w:r>
      <w:r w:rsidR="00E117B4" w:rsidRPr="00A33FC6">
        <w:t>.</w:t>
      </w:r>
    </w:p>
    <w:p w14:paraId="72481A4F" w14:textId="77777777" w:rsidR="00A47429" w:rsidRPr="005A22C2" w:rsidRDefault="00697B62" w:rsidP="006720A0">
      <w:r w:rsidRPr="005A22C2">
        <w:t xml:space="preserve">Stakeholders from the </w:t>
      </w:r>
      <w:r w:rsidR="003B5D6B" w:rsidRPr="005A22C2">
        <w:t>SDA I</w:t>
      </w:r>
      <w:r w:rsidRPr="005A22C2">
        <w:t xml:space="preserve">nstitutional </w:t>
      </w:r>
      <w:r w:rsidR="003B5D6B" w:rsidRPr="005A22C2">
        <w:t>I</w:t>
      </w:r>
      <w:r w:rsidRPr="005A22C2">
        <w:t>nvestor</w:t>
      </w:r>
      <w:r w:rsidR="00632DE7" w:rsidRPr="005A22C2">
        <w:t xml:space="preserve"> and </w:t>
      </w:r>
      <w:r w:rsidR="00EA2126" w:rsidRPr="005A22C2">
        <w:t>SDA Banks and Funds</w:t>
      </w:r>
      <w:r w:rsidR="00632DE7" w:rsidRPr="005A22C2">
        <w:t xml:space="preserve"> </w:t>
      </w:r>
      <w:r w:rsidR="00D84C52" w:rsidRPr="005A22C2">
        <w:t>Consultation Group</w:t>
      </w:r>
      <w:r w:rsidR="00632DE7" w:rsidRPr="005A22C2">
        <w:t>s</w:t>
      </w:r>
      <w:r w:rsidR="009F30BC" w:rsidRPr="005A22C2">
        <w:t xml:space="preserve"> suggested that transparen</w:t>
      </w:r>
      <w:r w:rsidR="00CC5DAA" w:rsidRPr="005A22C2">
        <w:t>t</w:t>
      </w:r>
      <w:r w:rsidR="009F30BC" w:rsidRPr="005A22C2">
        <w:t xml:space="preserve"> </w:t>
      </w:r>
      <w:r w:rsidR="00020714" w:rsidRPr="005A22C2">
        <w:t>and accura</w:t>
      </w:r>
      <w:r w:rsidR="00CC5DAA" w:rsidRPr="005A22C2">
        <w:t>te</w:t>
      </w:r>
      <w:r w:rsidR="009F30BC" w:rsidRPr="005A22C2">
        <w:t xml:space="preserve"> </w:t>
      </w:r>
      <w:r w:rsidR="00F76EAC" w:rsidRPr="005A22C2">
        <w:t>projected demand</w:t>
      </w:r>
      <w:r w:rsidR="00020714" w:rsidRPr="005A22C2">
        <w:t xml:space="preserve"> and supply</w:t>
      </w:r>
      <w:r w:rsidR="00F76EAC" w:rsidRPr="005A22C2">
        <w:t xml:space="preserve"> </w:t>
      </w:r>
      <w:r w:rsidR="009F30BC" w:rsidRPr="005A22C2">
        <w:t xml:space="preserve">data </w:t>
      </w:r>
      <w:r w:rsidR="001D2B97" w:rsidRPr="005A22C2">
        <w:t xml:space="preserve">is </w:t>
      </w:r>
      <w:r w:rsidR="00AF3B58" w:rsidRPr="005A22C2">
        <w:t>key to driving better investment decisions</w:t>
      </w:r>
      <w:r w:rsidR="002239F7" w:rsidRPr="005A22C2">
        <w:t xml:space="preserve"> </w:t>
      </w:r>
      <w:r w:rsidR="00ED1F2C" w:rsidRPr="005A22C2">
        <w:t>by ensuring</w:t>
      </w:r>
      <w:r w:rsidR="002239F7" w:rsidRPr="005A22C2">
        <w:t xml:space="preserve"> the market is well informe</w:t>
      </w:r>
      <w:r w:rsidR="00C33E1B" w:rsidRPr="005A22C2">
        <w:t>d.</w:t>
      </w:r>
    </w:p>
    <w:p w14:paraId="7E20DF2A" w14:textId="78692E01" w:rsidR="00A47429" w:rsidRPr="005A22C2" w:rsidRDefault="007D40FB" w:rsidP="006720A0">
      <w:r w:rsidRPr="00570F1C">
        <w:t xml:space="preserve">MC Two </w:t>
      </w:r>
      <w:r w:rsidR="00BA4A11" w:rsidRPr="00570F1C">
        <w:t>questioned</w:t>
      </w:r>
      <w:r w:rsidR="00BA4A11" w:rsidRPr="005A22C2">
        <w:t xml:space="preserve"> the pricing model and </w:t>
      </w:r>
      <w:r w:rsidR="005361D4" w:rsidRPr="005A22C2">
        <w:t>stated</w:t>
      </w:r>
      <w:r w:rsidR="00BA4A11" w:rsidRPr="005A22C2">
        <w:t xml:space="preserve"> that the SDA market</w:t>
      </w:r>
      <w:r w:rsidR="00AE4A6A" w:rsidRPr="005A22C2">
        <w:t xml:space="preserve"> “</w:t>
      </w:r>
      <w:r w:rsidR="00BA4A11" w:rsidRPr="005A22C2">
        <w:t>is not an open market but a set of opportunities open to investors and developers to select the ones [</w:t>
      </w:r>
      <w:r w:rsidR="00C26C75" w:rsidRPr="005A22C2">
        <w:t>SDA</w:t>
      </w:r>
      <w:r w:rsidR="00BC6FBF" w:rsidRPr="005A22C2">
        <w:t xml:space="preserve"> design category, building type and size, location] they </w:t>
      </w:r>
      <w:r w:rsidR="000E0C5C" w:rsidRPr="005A22C2">
        <w:t>consider</w:t>
      </w:r>
      <w:r w:rsidR="00BC6FBF" w:rsidRPr="005A22C2">
        <w:t xml:space="preserve"> to be most </w:t>
      </w:r>
      <w:r w:rsidR="00BC6FBF" w:rsidRPr="00AE6A8C">
        <w:lastRenderedPageBreak/>
        <w:t>profitable</w:t>
      </w:r>
      <w:r w:rsidR="00F4559D" w:rsidRPr="00AE6A8C">
        <w:t xml:space="preserve"> … [and this has led</w:t>
      </w:r>
      <w:r w:rsidR="00C87A34" w:rsidRPr="00AE6A8C">
        <w:t xml:space="preserve"> to</w:t>
      </w:r>
      <w:r w:rsidR="00F4559D" w:rsidRPr="00AE6A8C">
        <w:t>] … gaps, oversupplies, shortfalls and housing that is not appropriate</w:t>
      </w:r>
      <w:r w:rsidR="00AE4A6A" w:rsidRPr="00AE6A8C">
        <w:t>”</w:t>
      </w:r>
      <w:r w:rsidR="00F4559D" w:rsidRPr="00AE6A8C">
        <w:t>.</w:t>
      </w:r>
    </w:p>
    <w:p w14:paraId="78425E3D" w14:textId="54429CC5" w:rsidR="00A47429" w:rsidRPr="004F660A" w:rsidRDefault="00F70A71" w:rsidP="006720A0">
      <w:r w:rsidRPr="004F660A">
        <w:t xml:space="preserve">JFA Purple Orange </w:t>
      </w:r>
      <w:r w:rsidR="000503F8" w:rsidRPr="004F660A">
        <w:t xml:space="preserve">also </w:t>
      </w:r>
      <w:r w:rsidR="002D0F0A" w:rsidRPr="004F660A">
        <w:t>observed</w:t>
      </w:r>
      <w:r w:rsidR="000503F8" w:rsidRPr="004F660A">
        <w:t xml:space="preserve"> that</w:t>
      </w:r>
      <w:r w:rsidR="00AE4A6A" w:rsidRPr="004F660A">
        <w:t xml:space="preserve"> “</w:t>
      </w:r>
      <w:r w:rsidR="002D0F0A" w:rsidRPr="004F660A">
        <w:t>it appears that the mismatched supply is being driven by both perverse incentives in the current SDA approach and a lack of clear information about what demand there currently is and there will be in the future</w:t>
      </w:r>
      <w:r w:rsidR="00AE4A6A" w:rsidRPr="004F660A">
        <w:t>”</w:t>
      </w:r>
      <w:r w:rsidR="002D0F0A" w:rsidRPr="004F660A">
        <w:t>.</w:t>
      </w:r>
    </w:p>
    <w:p w14:paraId="32DB47C6" w14:textId="2AF6FE15" w:rsidR="00A47429" w:rsidRPr="004F660A" w:rsidRDefault="00AE4A6A" w:rsidP="006720A0">
      <w:r w:rsidRPr="004F660A">
        <w:t>T</w:t>
      </w:r>
      <w:r w:rsidR="00F4559D" w:rsidRPr="004F660A">
        <w:t xml:space="preserve">he </w:t>
      </w:r>
      <w:r w:rsidR="001E633B" w:rsidRPr="004F660A">
        <w:t>WAIGROUP</w:t>
      </w:r>
      <w:r w:rsidR="00926A42" w:rsidRPr="004F660A">
        <w:t xml:space="preserve"> recommen</w:t>
      </w:r>
      <w:r w:rsidR="004F70ED" w:rsidRPr="004F660A">
        <w:t>d</w:t>
      </w:r>
      <w:r w:rsidR="00F4559D" w:rsidRPr="004F660A">
        <w:t>ed</w:t>
      </w:r>
      <w:r w:rsidR="00926A42" w:rsidRPr="004F660A">
        <w:t xml:space="preserve"> that </w:t>
      </w:r>
      <w:r w:rsidR="00D90530" w:rsidRPr="004F660A">
        <w:t xml:space="preserve">the </w:t>
      </w:r>
      <w:r w:rsidR="00F4559D" w:rsidRPr="004F660A">
        <w:t>NDIA</w:t>
      </w:r>
      <w:r w:rsidR="00D90530" w:rsidRPr="004F660A">
        <w:t xml:space="preserve"> should make a clear statement to </w:t>
      </w:r>
      <w:r w:rsidR="005C6A30" w:rsidRPr="004F660A">
        <w:t xml:space="preserve">the market regarding their position on approving and </w:t>
      </w:r>
      <w:r w:rsidR="00866819" w:rsidRPr="004F660A">
        <w:t xml:space="preserve">funding single resident SDA </w:t>
      </w:r>
      <w:r w:rsidR="005D1D52" w:rsidRPr="004F660A">
        <w:t>apartments and villas</w:t>
      </w:r>
      <w:r w:rsidR="0050286A" w:rsidRPr="004F660A">
        <w:t xml:space="preserve">. </w:t>
      </w:r>
      <w:r w:rsidR="002A40D7" w:rsidRPr="004F660A">
        <w:t xml:space="preserve">It was also suggested that </w:t>
      </w:r>
      <w:r w:rsidR="00457154" w:rsidRPr="004F660A">
        <w:t>more comprehensive information should be released on demand, need, supply and vacancy data</w:t>
      </w:r>
      <w:r w:rsidR="002138CD" w:rsidRPr="004F660A">
        <w:t xml:space="preserve"> to try </w:t>
      </w:r>
      <w:r w:rsidR="00B20CE8" w:rsidRPr="004F660A">
        <w:t xml:space="preserve">to </w:t>
      </w:r>
      <w:r w:rsidR="002138CD" w:rsidRPr="004F660A">
        <w:t>reduce risks.</w:t>
      </w:r>
    </w:p>
    <w:p w14:paraId="1DFF73C7" w14:textId="18215284" w:rsidR="00A16C1D" w:rsidRPr="005A22C2" w:rsidRDefault="00726137" w:rsidP="006720A0">
      <w:r w:rsidRPr="004F660A">
        <w:t>JFA Purple Orange recommended</w:t>
      </w:r>
      <w:r w:rsidRPr="005A22C2">
        <w:t xml:space="preserve"> testing alternative approaches to more accurately align</w:t>
      </w:r>
      <w:r w:rsidR="00561D4E" w:rsidRPr="005A22C2">
        <w:t>ing</w:t>
      </w:r>
      <w:r w:rsidRPr="005A22C2">
        <w:t xml:space="preserve"> supply and demand</w:t>
      </w:r>
      <w:r w:rsidR="001F046D" w:rsidRPr="005A22C2">
        <w:t>, such as</w:t>
      </w:r>
      <w:r w:rsidR="00AE4A6A" w:rsidRPr="005A22C2">
        <w:t xml:space="preserve"> “</w:t>
      </w:r>
      <w:r w:rsidR="001F046D" w:rsidRPr="005A22C2">
        <w:t xml:space="preserve">the NDIA [putting] out </w:t>
      </w:r>
      <w:r w:rsidR="00424087" w:rsidRPr="005A22C2">
        <w:t>tender calls to marke</w:t>
      </w:r>
      <w:r w:rsidR="00A61E8D" w:rsidRPr="005A22C2">
        <w:t>t</w:t>
      </w:r>
      <w:r w:rsidR="00424087" w:rsidRPr="005A22C2">
        <w:t xml:space="preserve"> for specific developments in specific areas for specific people, and the market resolves its best price in each case</w:t>
      </w:r>
      <w:r w:rsidR="00AE4A6A" w:rsidRPr="005A22C2">
        <w:t>”</w:t>
      </w:r>
      <w:r w:rsidR="00424087" w:rsidRPr="005A22C2">
        <w:t>.</w:t>
      </w:r>
    </w:p>
    <w:p w14:paraId="0FE595CC" w14:textId="77777777" w:rsidR="00A47429" w:rsidRPr="005A22C2" w:rsidRDefault="00347E31" w:rsidP="006720A0">
      <w:pPr>
        <w:pStyle w:val="Heading3"/>
      </w:pPr>
      <w:bookmarkStart w:id="217" w:name="_Ref122352683"/>
      <w:bookmarkStart w:id="218" w:name="_Ref122352689"/>
      <w:bookmarkStart w:id="219" w:name="_Toc129783609"/>
      <w:r w:rsidRPr="005A22C2">
        <w:t xml:space="preserve">Development and </w:t>
      </w:r>
      <w:r w:rsidR="00C33E1B" w:rsidRPr="005A22C2">
        <w:t>C</w:t>
      </w:r>
      <w:r w:rsidRPr="005A22C2">
        <w:t xml:space="preserve">onstruction </w:t>
      </w:r>
      <w:r w:rsidR="00C33E1B" w:rsidRPr="005A22C2">
        <w:t>M</w:t>
      </w:r>
      <w:r w:rsidR="00071892" w:rsidRPr="005A22C2">
        <w:t>argins</w:t>
      </w:r>
      <w:bookmarkEnd w:id="217"/>
      <w:bookmarkEnd w:id="218"/>
      <w:bookmarkEnd w:id="219"/>
    </w:p>
    <w:p w14:paraId="7A1203DD" w14:textId="39A7EE8D" w:rsidR="00DC5CC7" w:rsidRPr="00BC197F" w:rsidRDefault="00DC5CC7" w:rsidP="006720A0">
      <w:r w:rsidRPr="005A22C2">
        <w:t xml:space="preserve">Several submissions raised a concern that the methodology currently used to set SDA prices does not account for </w:t>
      </w:r>
      <w:r w:rsidR="00F85998" w:rsidRPr="005A22C2">
        <w:t xml:space="preserve">development risk and </w:t>
      </w:r>
      <w:r w:rsidR="00F85998" w:rsidRPr="00E577B8">
        <w:t>return</w:t>
      </w:r>
      <w:r w:rsidR="00481FDD" w:rsidRPr="00E577B8">
        <w:t>s</w:t>
      </w:r>
      <w:r w:rsidRPr="00E577B8">
        <w:t>.</w:t>
      </w:r>
      <w:r w:rsidR="002A687D" w:rsidRPr="00E577B8">
        <w:t xml:space="preserve"> </w:t>
      </w:r>
      <w:r w:rsidR="00F05EDC" w:rsidRPr="00E577B8">
        <w:t>M3 Property</w:t>
      </w:r>
      <w:r w:rsidRPr="00E577B8">
        <w:t>, for</w:t>
      </w:r>
      <w:r w:rsidRPr="005A22C2">
        <w:t xml:space="preserve"> example, </w:t>
      </w:r>
      <w:r w:rsidR="00F05EDC" w:rsidRPr="005A22C2">
        <w:t xml:space="preserve">emphasised the difference between </w:t>
      </w:r>
      <w:r w:rsidR="0059713C" w:rsidRPr="005A22C2">
        <w:t xml:space="preserve">development returns and ongoing returns, and </w:t>
      </w:r>
      <w:r w:rsidR="005361D4" w:rsidRPr="005A22C2">
        <w:t>stated</w:t>
      </w:r>
      <w:r w:rsidR="0059713C" w:rsidRPr="005A22C2">
        <w:t xml:space="preserve"> that </w:t>
      </w:r>
      <w:r w:rsidR="00916CE2" w:rsidRPr="005A22C2">
        <w:t>developers are currentl</w:t>
      </w:r>
      <w:r w:rsidR="00957B30" w:rsidRPr="005A22C2">
        <w:t>y seeking a development return of around 15</w:t>
      </w:r>
      <w:r w:rsidR="006B550B">
        <w:t>%</w:t>
      </w:r>
      <w:r w:rsidR="006C0E81">
        <w:t xml:space="preserve"> to </w:t>
      </w:r>
      <w:r w:rsidR="00957B30" w:rsidRPr="005A22C2">
        <w:t>20</w:t>
      </w:r>
      <w:r w:rsidR="009B15DA" w:rsidRPr="00BC197F">
        <w:t>%</w:t>
      </w:r>
      <w:r w:rsidRPr="00BC197F">
        <w:t>.</w:t>
      </w:r>
      <w:r w:rsidR="002A687D" w:rsidRPr="00BC197F">
        <w:t xml:space="preserve"> </w:t>
      </w:r>
      <w:proofErr w:type="spellStart"/>
      <w:r w:rsidR="002B2685" w:rsidRPr="00BC197F">
        <w:t>BlueCHP</w:t>
      </w:r>
      <w:proofErr w:type="spellEnd"/>
      <w:r w:rsidR="00E5002C" w:rsidRPr="00BC197F">
        <w:t xml:space="preserve"> suggested</w:t>
      </w:r>
      <w:r w:rsidRPr="00BC197F">
        <w:t xml:space="preserve"> that a</w:t>
      </w:r>
      <w:r w:rsidR="00E5002C" w:rsidRPr="00BC197F">
        <w:t xml:space="preserve"> developer margin should be </w:t>
      </w:r>
      <w:r w:rsidR="00CA6F2F" w:rsidRPr="00BC197F">
        <w:t>included</w:t>
      </w:r>
      <w:r w:rsidR="00E5002C" w:rsidRPr="00BC197F">
        <w:t xml:space="preserve"> </w:t>
      </w:r>
      <w:r w:rsidRPr="00BC197F">
        <w:t>in the methodology that sets SDA prices.</w:t>
      </w:r>
    </w:p>
    <w:p w14:paraId="33BCBB30" w14:textId="53699D06" w:rsidR="007C3B1C" w:rsidRPr="00BC197F" w:rsidRDefault="00DC5CC7" w:rsidP="006720A0">
      <w:r w:rsidRPr="00BC197F">
        <w:rPr>
          <w:iCs/>
        </w:rPr>
        <w:t>The</w:t>
      </w:r>
      <w:r w:rsidR="00454690" w:rsidRPr="00BC197F">
        <w:t xml:space="preserve"> </w:t>
      </w:r>
      <w:r w:rsidR="00264BE0" w:rsidRPr="00BC197F">
        <w:t>Summer Foundation</w:t>
      </w:r>
      <w:r w:rsidR="00FE67E7" w:rsidRPr="00BC197F">
        <w:t xml:space="preserve"> </w:t>
      </w:r>
      <w:r w:rsidR="00A121BB" w:rsidRPr="00BC197F">
        <w:t xml:space="preserve">also </w:t>
      </w:r>
      <w:r w:rsidR="00B5068E" w:rsidRPr="00BC197F">
        <w:t>recommended</w:t>
      </w:r>
      <w:r w:rsidRPr="00BC197F">
        <w:t xml:space="preserve"> that a</w:t>
      </w:r>
      <w:r w:rsidR="009D47BC" w:rsidRPr="00BC197F">
        <w:t xml:space="preserve"> developer margin </w:t>
      </w:r>
      <w:r w:rsidRPr="00BC197F">
        <w:t xml:space="preserve">should </w:t>
      </w:r>
      <w:r w:rsidR="00B5068E" w:rsidRPr="00BC197F">
        <w:t xml:space="preserve">be </w:t>
      </w:r>
      <w:r w:rsidR="000E0C5C" w:rsidRPr="00BC197F">
        <w:t>consider</w:t>
      </w:r>
      <w:r w:rsidR="00B5068E" w:rsidRPr="00BC197F">
        <w:t xml:space="preserve">ed </w:t>
      </w:r>
      <w:r w:rsidR="009D47BC" w:rsidRPr="00BC197F">
        <w:t xml:space="preserve">and </w:t>
      </w:r>
      <w:r w:rsidR="005361D4" w:rsidRPr="00BC197F">
        <w:t>stated</w:t>
      </w:r>
      <w:r w:rsidR="009D47BC" w:rsidRPr="00BC197F">
        <w:t xml:space="preserve"> th</w:t>
      </w:r>
      <w:r w:rsidR="00ED4DB5" w:rsidRPr="00BC197F">
        <w:t xml:space="preserve">at </w:t>
      </w:r>
      <w:r w:rsidR="002F7342" w:rsidRPr="00BC197F">
        <w:t>developers</w:t>
      </w:r>
      <w:r w:rsidR="00ED4DB5" w:rsidRPr="00BC197F">
        <w:t xml:space="preserve"> typically require a margin of around 20</w:t>
      </w:r>
      <w:r w:rsidR="009B15DA" w:rsidRPr="00BC197F">
        <w:t>%</w:t>
      </w:r>
      <w:r w:rsidR="00E94ECE" w:rsidRPr="00BC197F">
        <w:t xml:space="preserve"> of the total cost for the land and the building</w:t>
      </w:r>
      <w:r w:rsidRPr="00BC197F">
        <w:t xml:space="preserve">. They argued that this </w:t>
      </w:r>
      <w:r w:rsidR="00E94ECE" w:rsidRPr="00BC197F">
        <w:t>margin</w:t>
      </w:r>
      <w:r w:rsidRPr="00BC197F">
        <w:t xml:space="preserve">, which </w:t>
      </w:r>
      <w:r w:rsidR="00E94ECE" w:rsidRPr="00BC197F">
        <w:t>reflect</w:t>
      </w:r>
      <w:r w:rsidRPr="00BC197F">
        <w:t>s</w:t>
      </w:r>
      <w:r w:rsidR="00E94ECE" w:rsidRPr="00BC197F">
        <w:t xml:space="preserve"> the costs </w:t>
      </w:r>
      <w:r w:rsidR="00E961B9" w:rsidRPr="00BC197F">
        <w:t>o</w:t>
      </w:r>
      <w:r w:rsidR="00E94ECE" w:rsidRPr="00BC197F">
        <w:t xml:space="preserve">f the development as well as the </w:t>
      </w:r>
      <w:r w:rsidR="00A043F8" w:rsidRPr="00BC197F">
        <w:t xml:space="preserve">associated </w:t>
      </w:r>
      <w:r w:rsidR="00E94ECE" w:rsidRPr="00BC197F">
        <w:t>risks</w:t>
      </w:r>
      <w:r w:rsidR="00AE4A6A" w:rsidRPr="00BC197F">
        <w:t xml:space="preserve"> “</w:t>
      </w:r>
      <w:r w:rsidR="006E76BE" w:rsidRPr="00BC197F">
        <w:t>is a direct input cost to SDA investors and is certainly not a component of their investment return</w:t>
      </w:r>
      <w:r w:rsidR="00AE4A6A" w:rsidRPr="00BC197F">
        <w:t>”</w:t>
      </w:r>
      <w:r w:rsidR="006E76BE" w:rsidRPr="00BC197F">
        <w:t>.</w:t>
      </w:r>
    </w:p>
    <w:p w14:paraId="0F27EE75" w14:textId="3B701E84" w:rsidR="00A47429" w:rsidRPr="005A22C2" w:rsidRDefault="002A687D" w:rsidP="006720A0">
      <w:r w:rsidRPr="00BC197F">
        <w:t>The</w:t>
      </w:r>
      <w:r w:rsidR="00DC5CC7" w:rsidRPr="00BC197F">
        <w:t xml:space="preserve"> </w:t>
      </w:r>
      <w:r w:rsidR="00264BE0" w:rsidRPr="00BC197F">
        <w:t>Summer Foundation</w:t>
      </w:r>
      <w:r w:rsidR="00B43A88" w:rsidRPr="00BC197F">
        <w:t xml:space="preserve"> </w:t>
      </w:r>
      <w:r w:rsidRPr="00BC197F">
        <w:t>further</w:t>
      </w:r>
      <w:r w:rsidRPr="005A22C2">
        <w:t xml:space="preserve"> </w:t>
      </w:r>
      <w:r w:rsidR="00B43A88" w:rsidRPr="005A22C2">
        <w:t>suggested that SDA providers also bear project management costs, and pass these on to investors on top of the developer margin, which typically adds an additional 5</w:t>
      </w:r>
      <w:r w:rsidR="00D46196">
        <w:t>%</w:t>
      </w:r>
      <w:r w:rsidR="006C0E81">
        <w:t xml:space="preserve"> to 1</w:t>
      </w:r>
      <w:r w:rsidR="00B43A88" w:rsidRPr="005A22C2">
        <w:t>0</w:t>
      </w:r>
      <w:r w:rsidR="00D46196">
        <w:t>%</w:t>
      </w:r>
      <w:r w:rsidR="00DC5CC7" w:rsidRPr="005A22C2">
        <w:t>.</w:t>
      </w:r>
    </w:p>
    <w:p w14:paraId="4757406D" w14:textId="77777777" w:rsidR="00A47429" w:rsidRPr="005A22C2" w:rsidRDefault="007C3B1C" w:rsidP="006720A0">
      <w:pPr>
        <w:pStyle w:val="Heading2"/>
      </w:pPr>
      <w:bookmarkStart w:id="220" w:name="_Toc129783610"/>
      <w:bookmarkStart w:id="221" w:name="_Toc136006892"/>
      <w:r w:rsidRPr="005A22C2">
        <w:t>Uncertainty of valuation methods</w:t>
      </w:r>
      <w:bookmarkEnd w:id="220"/>
      <w:bookmarkEnd w:id="221"/>
    </w:p>
    <w:p w14:paraId="7839446F" w14:textId="77777777" w:rsidR="00A47429" w:rsidRPr="005A22C2" w:rsidRDefault="00826D24" w:rsidP="006720A0">
      <w:r w:rsidRPr="005A22C2">
        <w:t xml:space="preserve">Several stakeholders indicated that </w:t>
      </w:r>
      <w:r w:rsidR="00B147A5" w:rsidRPr="005A22C2">
        <w:t>there are few valuers that understand the SDA market</w:t>
      </w:r>
      <w:r w:rsidR="00F03484" w:rsidRPr="005A22C2">
        <w:t xml:space="preserve"> </w:t>
      </w:r>
      <w:r w:rsidR="00852BDF" w:rsidRPr="005A22C2">
        <w:t xml:space="preserve">and </w:t>
      </w:r>
      <w:r w:rsidR="00057A3A" w:rsidRPr="005A22C2">
        <w:t xml:space="preserve">the </w:t>
      </w:r>
      <w:r w:rsidR="00057A3A" w:rsidRPr="005A22C2">
        <w:rPr>
          <w:i/>
          <w:iCs/>
        </w:rPr>
        <w:t>NDIS Pricing Arrangements for SDA</w:t>
      </w:r>
      <w:r w:rsidR="00852BDF" w:rsidRPr="005A22C2">
        <w:t xml:space="preserve"> and as such, are undervaluing SDA properties.</w:t>
      </w:r>
    </w:p>
    <w:p w14:paraId="4F46D294" w14:textId="618FC1D2" w:rsidR="00071892" w:rsidRPr="00E577B8" w:rsidRDefault="00AF0878" w:rsidP="006720A0">
      <w:pPr>
        <w:rPr>
          <w:i/>
        </w:rPr>
      </w:pPr>
      <w:r w:rsidRPr="005A22C2">
        <w:t>Stakeh</w:t>
      </w:r>
      <w:r w:rsidR="00BB153F" w:rsidRPr="005A22C2">
        <w:t xml:space="preserve">olders from the </w:t>
      </w:r>
      <w:r w:rsidRPr="005A22C2">
        <w:t xml:space="preserve">Queensland, </w:t>
      </w:r>
      <w:r w:rsidR="00BB153F" w:rsidRPr="005A22C2">
        <w:t xml:space="preserve">New South Wales and Australian Capital Territory, </w:t>
      </w:r>
      <w:r w:rsidR="007D61DA" w:rsidRPr="005A22C2">
        <w:t xml:space="preserve">Western Australia and the </w:t>
      </w:r>
      <w:r w:rsidR="00AF0E65" w:rsidRPr="005A22C2">
        <w:t xml:space="preserve">SDA </w:t>
      </w:r>
      <w:r w:rsidR="00BB1048" w:rsidRPr="005A22C2">
        <w:t xml:space="preserve">Self-Providers </w:t>
      </w:r>
      <w:r w:rsidR="00D84C52" w:rsidRPr="005A22C2">
        <w:t>Consultation Group</w:t>
      </w:r>
      <w:r w:rsidR="007D61DA" w:rsidRPr="005A22C2">
        <w:t xml:space="preserve">s indicated that </w:t>
      </w:r>
      <w:r w:rsidR="00EE7BB8" w:rsidRPr="005A22C2">
        <w:t xml:space="preserve">lenders typically </w:t>
      </w:r>
      <w:r w:rsidR="00D17954" w:rsidRPr="005A22C2">
        <w:t>value SDA properties as residential properties</w:t>
      </w:r>
      <w:r w:rsidR="005367C9" w:rsidRPr="005A22C2">
        <w:t xml:space="preserve">, which is </w:t>
      </w:r>
      <w:r w:rsidR="004B63C3" w:rsidRPr="005A22C2">
        <w:t xml:space="preserve">generating a </w:t>
      </w:r>
      <w:r w:rsidR="000E0C5C" w:rsidRPr="00FF4B28">
        <w:t>consider</w:t>
      </w:r>
      <w:r w:rsidR="004B63C3" w:rsidRPr="00FF4B28">
        <w:t>able difference to the true value of the SDA and the return that it provides in c</w:t>
      </w:r>
      <w:r w:rsidR="004B63C3" w:rsidRPr="00E577B8">
        <w:t xml:space="preserve">omparison to a residential </w:t>
      </w:r>
      <w:r w:rsidR="009D7216" w:rsidRPr="00E577B8">
        <w:t xml:space="preserve">home. </w:t>
      </w:r>
      <w:r w:rsidR="00C8462F" w:rsidRPr="00E577B8">
        <w:t xml:space="preserve">Perth Design and Construct also </w:t>
      </w:r>
      <w:r w:rsidR="00C8462F" w:rsidRPr="00E577B8">
        <w:lastRenderedPageBreak/>
        <w:t>agreed, noting that</w:t>
      </w:r>
      <w:r w:rsidR="00AE4A6A" w:rsidRPr="00E577B8">
        <w:t xml:space="preserve"> “</w:t>
      </w:r>
      <w:r w:rsidR="00535715" w:rsidRPr="00E577B8">
        <w:t>banks tend to value on standard rent for the area which doesn’t stack up against the price of the build</w:t>
      </w:r>
      <w:r w:rsidR="00AE4A6A" w:rsidRPr="00E577B8">
        <w:t>”</w:t>
      </w:r>
      <w:r w:rsidR="004A6BD6" w:rsidRPr="00E577B8">
        <w:t>.</w:t>
      </w:r>
    </w:p>
    <w:p w14:paraId="75B83E5D" w14:textId="77777777" w:rsidR="003D11D1" w:rsidRDefault="00544C99" w:rsidP="006720A0">
      <w:proofErr w:type="spellStart"/>
      <w:r w:rsidRPr="00E577B8">
        <w:t>Synergis</w:t>
      </w:r>
      <w:proofErr w:type="spellEnd"/>
      <w:r w:rsidRPr="00E577B8">
        <w:t xml:space="preserve"> </w:t>
      </w:r>
      <w:r w:rsidR="00264BE0" w:rsidRPr="00E577B8">
        <w:t>Fund</w:t>
      </w:r>
      <w:r w:rsidRPr="00E577B8">
        <w:t xml:space="preserve"> </w:t>
      </w:r>
      <w:r w:rsidR="002A687D" w:rsidRPr="00E577B8">
        <w:t>stated</w:t>
      </w:r>
      <w:r w:rsidR="00823015" w:rsidRPr="00E577B8">
        <w:t xml:space="preserve"> that there are </w:t>
      </w:r>
      <w:r w:rsidR="00C84437" w:rsidRPr="00E577B8">
        <w:t>multiple methods that can be used to value SDA</w:t>
      </w:r>
      <w:r w:rsidR="00DD0091" w:rsidRPr="00E577B8">
        <w:t>, which can affect the level of gearing</w:t>
      </w:r>
      <w:r w:rsidR="009A6BA2" w:rsidRPr="00E577B8">
        <w:t xml:space="preserve">, and </w:t>
      </w:r>
      <w:r w:rsidR="005361D4" w:rsidRPr="00E577B8">
        <w:t>stated</w:t>
      </w:r>
      <w:r w:rsidR="009A6BA2" w:rsidRPr="00E577B8">
        <w:t xml:space="preserve"> that their valuer bases its valuation on the discounted value of rental cash flows for their SDA</w:t>
      </w:r>
      <w:r w:rsidR="005C00BA" w:rsidRPr="00E577B8">
        <w:t>.</w:t>
      </w:r>
      <w:r w:rsidR="00216121" w:rsidRPr="00E577B8">
        <w:t xml:space="preserve"> </w:t>
      </w:r>
    </w:p>
    <w:p w14:paraId="602A93CC" w14:textId="422738BB" w:rsidR="00257C9A" w:rsidRPr="00E577B8" w:rsidRDefault="00216121" w:rsidP="006720A0">
      <w:r w:rsidRPr="00E577B8">
        <w:t xml:space="preserve">NDISP </w:t>
      </w:r>
      <w:r w:rsidR="005C00BA" w:rsidRPr="00E577B8">
        <w:t>concurred</w:t>
      </w:r>
      <w:r w:rsidR="00715E23" w:rsidRPr="00E577B8">
        <w:t>, stating</w:t>
      </w:r>
      <w:r w:rsidRPr="00E577B8">
        <w:t xml:space="preserve"> that valuations </w:t>
      </w:r>
      <w:r w:rsidR="009A6BA2" w:rsidRPr="00E577B8">
        <w:t xml:space="preserve">for SDA </w:t>
      </w:r>
      <w:r w:rsidR="00521179" w:rsidRPr="00E577B8">
        <w:t>can be</w:t>
      </w:r>
      <w:r w:rsidR="000748D9" w:rsidRPr="00E577B8">
        <w:t xml:space="preserve"> mar</w:t>
      </w:r>
      <w:r w:rsidR="00E62E3E" w:rsidRPr="00E577B8">
        <w:t xml:space="preserve">ked down </w:t>
      </w:r>
      <w:r w:rsidR="00521179" w:rsidRPr="00E577B8">
        <w:t>due to uncertainties and risks in the market.</w:t>
      </w:r>
      <w:r w:rsidR="00D4650D" w:rsidRPr="00E577B8">
        <w:t xml:space="preserve"> </w:t>
      </w:r>
      <w:r w:rsidR="00521179" w:rsidRPr="00E577B8">
        <w:t xml:space="preserve">They </w:t>
      </w:r>
      <w:r w:rsidR="005361D4" w:rsidRPr="00E577B8">
        <w:t>stated</w:t>
      </w:r>
      <w:r w:rsidR="00521179" w:rsidRPr="00E577B8">
        <w:t xml:space="preserve"> that this causes lenders to have low confidence in the market, which </w:t>
      </w:r>
      <w:r w:rsidR="00E62E3E" w:rsidRPr="00E577B8">
        <w:t xml:space="preserve">often </w:t>
      </w:r>
      <w:r w:rsidR="00521179" w:rsidRPr="00E577B8">
        <w:t>results</w:t>
      </w:r>
      <w:r w:rsidR="00E62E3E" w:rsidRPr="00E577B8">
        <w:t xml:space="preserve"> in higher interest rates or denial of finance</w:t>
      </w:r>
      <w:r w:rsidR="003E7DE4" w:rsidRPr="00E577B8">
        <w:t xml:space="preserve">. </w:t>
      </w:r>
      <w:r w:rsidR="00D94FDC" w:rsidRPr="00E577B8">
        <w:t xml:space="preserve">NDISP also </w:t>
      </w:r>
      <w:r w:rsidR="005361D4" w:rsidRPr="00E577B8">
        <w:t>stated</w:t>
      </w:r>
      <w:r w:rsidR="00D94FDC" w:rsidRPr="00E577B8">
        <w:t xml:space="preserve"> that when</w:t>
      </w:r>
      <w:r w:rsidR="00AE4A6A" w:rsidRPr="00E577B8">
        <w:t xml:space="preserve"> “</w:t>
      </w:r>
      <w:r w:rsidR="00D94FDC" w:rsidRPr="00E577B8">
        <w:t>2</w:t>
      </w:r>
      <w:r w:rsidR="00D94FDC" w:rsidRPr="00E577B8">
        <w:rPr>
          <w:vertAlign w:val="superscript"/>
        </w:rPr>
        <w:t>nd</w:t>
      </w:r>
      <w:r w:rsidR="00D94FDC" w:rsidRPr="00E577B8">
        <w:t xml:space="preserve"> or 3</w:t>
      </w:r>
      <w:r w:rsidR="00D94FDC" w:rsidRPr="00E577B8">
        <w:rPr>
          <w:vertAlign w:val="superscript"/>
        </w:rPr>
        <w:t>rd</w:t>
      </w:r>
      <w:r w:rsidR="00D94FDC" w:rsidRPr="00E577B8">
        <w:t xml:space="preserve"> tier lenders [are used], the cost of that finance is typically double</w:t>
      </w:r>
      <w:r w:rsidR="00AE4A6A" w:rsidRPr="00E577B8">
        <w:t>”.</w:t>
      </w:r>
    </w:p>
    <w:p w14:paraId="40AE66B9" w14:textId="77777777" w:rsidR="00A47429" w:rsidRPr="00E577B8" w:rsidRDefault="00257C9A" w:rsidP="006720A0">
      <w:r w:rsidRPr="00E577B8">
        <w:t xml:space="preserve">One stakeholder from the New South Wales and Australian Capital Territory </w:t>
      </w:r>
      <w:r w:rsidR="00D84C52" w:rsidRPr="00E577B8">
        <w:t>Consultation Group</w:t>
      </w:r>
      <w:r w:rsidRPr="00E577B8">
        <w:t xml:space="preserve"> </w:t>
      </w:r>
      <w:r w:rsidR="002A687D" w:rsidRPr="00E577B8">
        <w:t>reported</w:t>
      </w:r>
      <w:r w:rsidRPr="00E577B8">
        <w:t xml:space="preserve"> that they have found it challenging to demonstrate to the banks and advocate for an alternative commercial-type valuation model such as a 20-year discounted cashflows model rather than a residential-type market rate model.</w:t>
      </w:r>
    </w:p>
    <w:p w14:paraId="6BC417AC" w14:textId="633F4B7C" w:rsidR="00257C9A" w:rsidRPr="00E577B8" w:rsidRDefault="003E48C8" w:rsidP="006720A0">
      <w:r w:rsidRPr="00E577B8">
        <w:t>SDA+</w:t>
      </w:r>
      <w:r w:rsidR="00851CEA" w:rsidRPr="00E577B8">
        <w:t xml:space="preserve"> </w:t>
      </w:r>
      <w:r w:rsidR="005361D4" w:rsidRPr="00E577B8">
        <w:t>stated</w:t>
      </w:r>
      <w:r w:rsidR="00851CEA" w:rsidRPr="00E577B8">
        <w:t xml:space="preserve"> that </w:t>
      </w:r>
      <w:r w:rsidR="0078492A" w:rsidRPr="00E577B8">
        <w:t>banks typically don’t recognise SDA payments as income</w:t>
      </w:r>
      <w:r w:rsidR="00567112" w:rsidRPr="00E577B8">
        <w:t>, which results in limited options for SDA self-providers to fund home loans for their own SDA</w:t>
      </w:r>
      <w:r w:rsidR="00D4650D" w:rsidRPr="00E577B8">
        <w:t xml:space="preserve">. </w:t>
      </w:r>
      <w:r w:rsidR="005B316C" w:rsidRPr="00E577B8">
        <w:t xml:space="preserve">SDA+ </w:t>
      </w:r>
      <w:r w:rsidR="009B229B" w:rsidRPr="00E577B8">
        <w:t xml:space="preserve">recommended </w:t>
      </w:r>
      <w:r w:rsidR="0019784B" w:rsidRPr="00E577B8">
        <w:t xml:space="preserve">the </w:t>
      </w:r>
      <w:r w:rsidR="002A687D" w:rsidRPr="00E577B8">
        <w:t>NDIA should provide</w:t>
      </w:r>
      <w:r w:rsidR="00AB47D0" w:rsidRPr="00E577B8">
        <w:t xml:space="preserve"> a</w:t>
      </w:r>
      <w:r w:rsidR="00AE4A6A" w:rsidRPr="00E577B8">
        <w:t xml:space="preserve"> “</w:t>
      </w:r>
      <w:r w:rsidR="00AB47D0" w:rsidRPr="00E577B8">
        <w:t>strong market signal to</w:t>
      </w:r>
      <w:r w:rsidR="00584613" w:rsidRPr="00E577B8">
        <w:t xml:space="preserve"> home loan </w:t>
      </w:r>
      <w:r w:rsidR="005108FE" w:rsidRPr="00E577B8">
        <w:t>providers</w:t>
      </w:r>
      <w:r w:rsidR="00584613" w:rsidRPr="00E577B8">
        <w:t xml:space="preserve"> </w:t>
      </w:r>
      <w:r w:rsidR="005108FE" w:rsidRPr="00E577B8">
        <w:t>urging</w:t>
      </w:r>
      <w:r w:rsidR="00584613" w:rsidRPr="00E577B8">
        <w:t xml:space="preserve"> them to update their lending policies to recognise a participant’s access to SDA funding as being equivalent to the Disability Support Pension for home loan assessment purposes</w:t>
      </w:r>
      <w:r w:rsidR="00AE4A6A" w:rsidRPr="00E577B8">
        <w:t>”.</w:t>
      </w:r>
    </w:p>
    <w:p w14:paraId="16B56F47" w14:textId="4DE5D318" w:rsidR="00AF7362" w:rsidRPr="005A22C2" w:rsidRDefault="002238B4" w:rsidP="006720A0">
      <w:r w:rsidRPr="00E577B8">
        <w:t xml:space="preserve">M3 Property </w:t>
      </w:r>
      <w:r w:rsidR="002A687D" w:rsidRPr="00E577B8">
        <w:t>also reported</w:t>
      </w:r>
      <w:r w:rsidRPr="00E577B8">
        <w:t xml:space="preserve"> that there are few valuers who </w:t>
      </w:r>
      <w:r w:rsidR="003C572A" w:rsidRPr="00E577B8">
        <w:t>are accredited by the Australian Property</w:t>
      </w:r>
      <w:r w:rsidR="003C572A" w:rsidRPr="005A22C2">
        <w:t xml:space="preserve"> Institute </w:t>
      </w:r>
      <w:r w:rsidR="00201567" w:rsidRPr="005A22C2">
        <w:t xml:space="preserve">and sufficiently </w:t>
      </w:r>
      <w:r w:rsidR="00065B19" w:rsidRPr="005A22C2">
        <w:t xml:space="preserve">understand the sector </w:t>
      </w:r>
      <w:r w:rsidR="00201567" w:rsidRPr="005A22C2">
        <w:t>to</w:t>
      </w:r>
      <w:r w:rsidR="00065B19" w:rsidRPr="005A22C2">
        <w:t xml:space="preserve"> create unique valuations for SDA</w:t>
      </w:r>
      <w:r w:rsidR="007B42D4" w:rsidRPr="005A22C2">
        <w:t>.</w:t>
      </w:r>
      <w:r w:rsidR="00D4650D" w:rsidRPr="005A22C2">
        <w:t xml:space="preserve"> </w:t>
      </w:r>
      <w:r w:rsidR="00A14E4D" w:rsidRPr="005A22C2">
        <w:t>They stated that o</w:t>
      </w:r>
      <w:r w:rsidR="00DF42A0" w:rsidRPr="005A22C2">
        <w:t>ther valuation firms are adopting standard residential valuation methodologies</w:t>
      </w:r>
      <w:r w:rsidR="00555794" w:rsidRPr="005A22C2">
        <w:t xml:space="preserve"> and use a below the line adjustment for gross rent, however this excludes any ownership costs such as maintenance </w:t>
      </w:r>
      <w:r w:rsidR="00F556F3" w:rsidRPr="005A22C2">
        <w:t>or service costs.</w:t>
      </w:r>
      <w:r w:rsidR="00D4650D" w:rsidRPr="005A22C2">
        <w:t xml:space="preserve"> </w:t>
      </w:r>
      <w:r w:rsidR="00D10F69" w:rsidRPr="005A22C2">
        <w:t xml:space="preserve">In addition, </w:t>
      </w:r>
      <w:r w:rsidR="00744B96" w:rsidRPr="005A22C2">
        <w:t xml:space="preserve">they </w:t>
      </w:r>
      <w:r w:rsidR="005361D4" w:rsidRPr="005A22C2">
        <w:t>stated</w:t>
      </w:r>
      <w:r w:rsidR="00744B96" w:rsidRPr="005A22C2">
        <w:t xml:space="preserve"> that </w:t>
      </w:r>
      <w:r w:rsidR="00D10F69" w:rsidRPr="005A22C2">
        <w:t xml:space="preserve">these valuation firms tend to lack </w:t>
      </w:r>
      <w:r w:rsidR="00B62862" w:rsidRPr="005A22C2">
        <w:t>sales evidence and information about the costs of running an SDA</w:t>
      </w:r>
      <w:r w:rsidR="00B62862" w:rsidRPr="00E577B8">
        <w:t xml:space="preserve">. </w:t>
      </w:r>
      <w:r w:rsidR="00141BAB" w:rsidRPr="00E577B8">
        <w:t>M3 Property recommended</w:t>
      </w:r>
      <w:r w:rsidR="00141BAB" w:rsidRPr="005A22C2">
        <w:t xml:space="preserve"> that </w:t>
      </w:r>
      <w:r w:rsidR="001D5DEB" w:rsidRPr="005A22C2">
        <w:t>the Australian Property Institute</w:t>
      </w:r>
      <w:r w:rsidR="00141BAB" w:rsidRPr="005A22C2">
        <w:t xml:space="preserve"> </w:t>
      </w:r>
      <w:r w:rsidR="002A687D" w:rsidRPr="005A22C2">
        <w:t xml:space="preserve">should </w:t>
      </w:r>
      <w:r w:rsidR="00141BAB" w:rsidRPr="005A22C2">
        <w:t xml:space="preserve">monitor the performance of valuation firms to ensure quality and accuracy of valuations across the </w:t>
      </w:r>
      <w:proofErr w:type="gramStart"/>
      <w:r w:rsidR="00141BAB" w:rsidRPr="005A22C2">
        <w:t>sector, and</w:t>
      </w:r>
      <w:proofErr w:type="gramEnd"/>
      <w:r w:rsidR="00141BAB" w:rsidRPr="005A22C2">
        <w:t xml:space="preserve"> enforces compliance actions of valuers that adopt</w:t>
      </w:r>
      <w:r w:rsidR="008F1542" w:rsidRPr="005A22C2">
        <w:t xml:space="preserve"> inappropriate methodologies to produce valuations. They also recommended that valuations should be build off actual data rather than benchmarks.</w:t>
      </w:r>
    </w:p>
    <w:p w14:paraId="7D039797" w14:textId="5647469A" w:rsidR="00987AFD" w:rsidRPr="005A22C2" w:rsidRDefault="00D21A4A" w:rsidP="006720A0">
      <w:r w:rsidRPr="005A22C2">
        <w:t xml:space="preserve">A stakeholder from the Western Australia </w:t>
      </w:r>
      <w:r w:rsidR="00D84C52" w:rsidRPr="005A22C2">
        <w:t>Consultation Group</w:t>
      </w:r>
      <w:r w:rsidRPr="005A22C2">
        <w:t xml:space="preserve"> consultation also </w:t>
      </w:r>
      <w:r w:rsidR="005361D4" w:rsidRPr="005A22C2">
        <w:t>stated</w:t>
      </w:r>
      <w:r w:rsidRPr="005A22C2">
        <w:t xml:space="preserve"> that </w:t>
      </w:r>
      <w:r w:rsidR="00363E53" w:rsidRPr="005A22C2">
        <w:t>the</w:t>
      </w:r>
      <w:r w:rsidR="002A687D" w:rsidRPr="005A22C2">
        <w:t xml:space="preserve"> </w:t>
      </w:r>
      <w:r w:rsidR="004C5126" w:rsidRPr="005A22C2">
        <w:t>lack of valuers may contribute to higher valuation cost</w:t>
      </w:r>
      <w:r w:rsidR="002A687D" w:rsidRPr="005A22C2">
        <w:t xml:space="preserve">. </w:t>
      </w:r>
      <w:r w:rsidR="00191F2E" w:rsidRPr="005A22C2">
        <w:t xml:space="preserve">This sentiment was supported by a stakeholder from the Victoria </w:t>
      </w:r>
      <w:r w:rsidR="00D84C52" w:rsidRPr="005A22C2">
        <w:t>Consultation Group</w:t>
      </w:r>
      <w:r w:rsidR="00191F2E" w:rsidRPr="005A22C2">
        <w:t xml:space="preserve"> who </w:t>
      </w:r>
      <w:r w:rsidR="002A3266" w:rsidRPr="005A22C2">
        <w:t>suggested that the cost of valuing an SDA asse</w:t>
      </w:r>
      <w:r w:rsidR="00FE5388" w:rsidRPr="005A22C2">
        <w:t>t is generally 5</w:t>
      </w:r>
      <w:r w:rsidR="00D46196">
        <w:t>%</w:t>
      </w:r>
      <w:r w:rsidR="006C0E81">
        <w:t xml:space="preserve"> to </w:t>
      </w:r>
      <w:r w:rsidR="00FE5388" w:rsidRPr="005A22C2">
        <w:t>10</w:t>
      </w:r>
      <w:r w:rsidR="00D46196">
        <w:t>%</w:t>
      </w:r>
      <w:r w:rsidR="00FE5388" w:rsidRPr="005A22C2">
        <w:t xml:space="preserve"> higher than for a standard residential </w:t>
      </w:r>
      <w:r w:rsidR="00002B17" w:rsidRPr="005A22C2">
        <w:t>valuation as the components and assessments processes themselves have become more onerous.</w:t>
      </w:r>
    </w:p>
    <w:p w14:paraId="54CE25BC" w14:textId="0CE23675" w:rsidR="008D54FE" w:rsidRPr="005A22C2" w:rsidRDefault="00DE5CD4" w:rsidP="006720A0">
      <w:pPr>
        <w:pStyle w:val="Heading2"/>
      </w:pPr>
      <w:bookmarkStart w:id="222" w:name="_Toc129783611"/>
      <w:bookmarkStart w:id="223" w:name="_Toc136006893"/>
      <w:r w:rsidRPr="005A22C2">
        <w:lastRenderedPageBreak/>
        <w:t xml:space="preserve">Franking </w:t>
      </w:r>
      <w:r w:rsidR="00D4650D" w:rsidRPr="005A22C2">
        <w:t>C</w:t>
      </w:r>
      <w:r w:rsidRPr="005A22C2">
        <w:t>redits</w:t>
      </w:r>
      <w:bookmarkEnd w:id="222"/>
      <w:bookmarkEnd w:id="223"/>
    </w:p>
    <w:p w14:paraId="7D60CAD5" w14:textId="267611C1" w:rsidR="00781438" w:rsidRPr="005A22C2" w:rsidRDefault="00FD4A08" w:rsidP="006720A0">
      <w:proofErr w:type="gramStart"/>
      <w:r w:rsidRPr="005A22C2">
        <w:t>A number of</w:t>
      </w:r>
      <w:proofErr w:type="gramEnd"/>
      <w:r w:rsidRPr="005A22C2">
        <w:t xml:space="preserve"> </w:t>
      </w:r>
      <w:r w:rsidR="0025098C" w:rsidRPr="005A22C2">
        <w:t>submissions</w:t>
      </w:r>
      <w:r w:rsidRPr="005A22C2">
        <w:t xml:space="preserve">, including the submissions </w:t>
      </w:r>
      <w:r w:rsidRPr="00E577B8">
        <w:t>from Australian Unity</w:t>
      </w:r>
      <w:r w:rsidRPr="005A22C2">
        <w:t xml:space="preserve"> and the </w:t>
      </w:r>
      <w:r w:rsidRPr="00BC197F">
        <w:t>SDA Alliance, pointed</w:t>
      </w:r>
      <w:r w:rsidRPr="005A22C2">
        <w:t xml:space="preserve"> </w:t>
      </w:r>
      <w:r w:rsidR="0025098C" w:rsidRPr="005A22C2">
        <w:t xml:space="preserve">that </w:t>
      </w:r>
      <w:r w:rsidR="00BE356B" w:rsidRPr="005A22C2">
        <w:t xml:space="preserve">many major institutional investment funds </w:t>
      </w:r>
      <w:r w:rsidR="00406158" w:rsidRPr="005A22C2">
        <w:t xml:space="preserve">in the SDA market </w:t>
      </w:r>
      <w:r w:rsidR="005121A0" w:rsidRPr="005A22C2">
        <w:t>are</w:t>
      </w:r>
      <w:r w:rsidR="00B74433" w:rsidRPr="005A22C2">
        <w:t xml:space="preserve"> unlisted managed investment trust</w:t>
      </w:r>
      <w:r w:rsidR="00406158" w:rsidRPr="005A22C2">
        <w:t>s,</w:t>
      </w:r>
      <w:r w:rsidR="005121A0" w:rsidRPr="005A22C2">
        <w:t xml:space="preserve"> </w:t>
      </w:r>
      <w:r w:rsidR="00DF564B" w:rsidRPr="005A22C2">
        <w:t xml:space="preserve">and hence </w:t>
      </w:r>
      <w:r w:rsidR="00AF628F" w:rsidRPr="005A22C2">
        <w:t xml:space="preserve">the </w:t>
      </w:r>
      <w:r w:rsidR="00DF564B" w:rsidRPr="005A22C2">
        <w:t>inclusion</w:t>
      </w:r>
      <w:r w:rsidR="00AF628F" w:rsidRPr="005A22C2">
        <w:t xml:space="preserve"> of </w:t>
      </w:r>
      <w:r w:rsidR="005121A0" w:rsidRPr="005A22C2">
        <w:t xml:space="preserve">franking credits </w:t>
      </w:r>
      <w:r w:rsidR="004F01F9" w:rsidRPr="005A22C2">
        <w:t>in the</w:t>
      </w:r>
      <w:r w:rsidRPr="005A22C2">
        <w:t xml:space="preserve"> calculation of SDA prices was</w:t>
      </w:r>
      <w:r w:rsidR="00AF628F" w:rsidRPr="005A22C2">
        <w:t xml:space="preserve"> not relevant</w:t>
      </w:r>
      <w:r w:rsidR="00473675" w:rsidRPr="005A22C2">
        <w:t xml:space="preserve"> as no company tax is paid by the trust and </w:t>
      </w:r>
      <w:r w:rsidR="003E3442" w:rsidRPr="005A22C2">
        <w:t>income is distributed to investors pre-tax.</w:t>
      </w:r>
      <w:r w:rsidRPr="005A22C2">
        <w:t xml:space="preserve"> The </w:t>
      </w:r>
      <w:r w:rsidR="00781438" w:rsidRPr="005A22C2">
        <w:t>submissions recommend</w:t>
      </w:r>
      <w:r w:rsidRPr="005A22C2">
        <w:t>ed</w:t>
      </w:r>
      <w:r w:rsidR="00781438" w:rsidRPr="005A22C2">
        <w:t xml:space="preserve"> </w:t>
      </w:r>
      <w:r w:rsidRPr="005A22C2">
        <w:t>that</w:t>
      </w:r>
      <w:r w:rsidR="00781438" w:rsidRPr="005A22C2">
        <w:t xml:space="preserve"> the </w:t>
      </w:r>
      <w:r w:rsidR="00AE2B23" w:rsidRPr="005A22C2">
        <w:t xml:space="preserve">current assumption of a ‘zero’ factor for </w:t>
      </w:r>
      <w:r w:rsidR="00781438" w:rsidRPr="005A22C2">
        <w:t>imputation credits</w:t>
      </w:r>
      <w:r w:rsidR="00F2332B" w:rsidRPr="005A22C2">
        <w:t xml:space="preserve"> should be maintained in the calculation of SDA prices</w:t>
      </w:r>
      <w:r w:rsidR="00781438" w:rsidRPr="005A22C2">
        <w:t>.</w:t>
      </w:r>
    </w:p>
    <w:p w14:paraId="4527D7C0" w14:textId="77777777" w:rsidR="00A47429" w:rsidRPr="005A22C2" w:rsidRDefault="00DE5CD4" w:rsidP="006720A0">
      <w:pPr>
        <w:pStyle w:val="Heading2"/>
      </w:pPr>
      <w:bookmarkStart w:id="224" w:name="_Toc129783612"/>
      <w:bookmarkStart w:id="225" w:name="_Toc136006894"/>
      <w:r w:rsidRPr="005A22C2">
        <w:t xml:space="preserve">Gross </w:t>
      </w:r>
      <w:r w:rsidR="00D4650D" w:rsidRPr="005A22C2">
        <w:t>R</w:t>
      </w:r>
      <w:r w:rsidRPr="005A22C2">
        <w:t xml:space="preserve">ental </w:t>
      </w:r>
      <w:r w:rsidR="00D4650D" w:rsidRPr="005A22C2">
        <w:t>Y</w:t>
      </w:r>
      <w:r w:rsidRPr="005A22C2">
        <w:t>ields</w:t>
      </w:r>
      <w:bookmarkEnd w:id="224"/>
      <w:bookmarkEnd w:id="225"/>
    </w:p>
    <w:p w14:paraId="4718566E" w14:textId="1781DDE5" w:rsidR="00A47429" w:rsidRPr="00E577B8" w:rsidRDefault="00B40D72" w:rsidP="006720A0">
      <w:pPr>
        <w:rPr>
          <w:i/>
        </w:rPr>
      </w:pPr>
      <w:proofErr w:type="spellStart"/>
      <w:r w:rsidRPr="00E577B8">
        <w:t>Synergis</w:t>
      </w:r>
      <w:proofErr w:type="spellEnd"/>
      <w:r w:rsidRPr="00E577B8">
        <w:t xml:space="preserve"> </w:t>
      </w:r>
      <w:r w:rsidR="00F53947" w:rsidRPr="00E577B8">
        <w:t>Fund</w:t>
      </w:r>
      <w:r w:rsidRPr="00E577B8">
        <w:t xml:space="preserve"> </w:t>
      </w:r>
      <w:r w:rsidR="00AD2191" w:rsidRPr="00E577B8">
        <w:t>stated</w:t>
      </w:r>
      <w:r w:rsidR="0052267F" w:rsidRPr="00E577B8">
        <w:t xml:space="preserve"> that </w:t>
      </w:r>
      <w:r w:rsidR="00D55B64" w:rsidRPr="00E577B8">
        <w:t xml:space="preserve">although they do not look at gross rental yield directly as they lease SDA directly to SDA providers under a head lease, they do </w:t>
      </w:r>
      <w:r w:rsidR="00755EB1" w:rsidRPr="00E577B8">
        <w:t xml:space="preserve">have target </w:t>
      </w:r>
      <w:r w:rsidR="0052267F" w:rsidRPr="00E577B8">
        <w:t>head lease yields</w:t>
      </w:r>
      <w:r w:rsidR="00EB1C3A" w:rsidRPr="00E577B8">
        <w:t xml:space="preserve"> which</w:t>
      </w:r>
      <w:r w:rsidR="00A478DF" w:rsidRPr="00E577B8">
        <w:t xml:space="preserve"> are </w:t>
      </w:r>
      <w:r w:rsidR="00EB1C3A" w:rsidRPr="00E577B8">
        <w:t>used</w:t>
      </w:r>
      <w:r w:rsidR="00A478DF" w:rsidRPr="00E577B8">
        <w:t xml:space="preserve"> determine</w:t>
      </w:r>
      <w:r w:rsidR="00755EB1" w:rsidRPr="00E577B8">
        <w:t xml:space="preserve"> the viability of a project</w:t>
      </w:r>
      <w:r w:rsidR="00A478DF" w:rsidRPr="00E577B8">
        <w:t xml:space="preserve"> based on the acceptable operating margin being earned by the SDA provider.</w:t>
      </w:r>
      <w:r w:rsidR="00147ACD" w:rsidRPr="00E577B8">
        <w:t xml:space="preserve"> For metropolitan and capital city </w:t>
      </w:r>
      <w:r w:rsidR="00BC2BCE" w:rsidRPr="00E577B8">
        <w:t>areas</w:t>
      </w:r>
      <w:r w:rsidR="00147ACD" w:rsidRPr="00E577B8">
        <w:t>, the minimum target yield is 7.00</w:t>
      </w:r>
      <w:r w:rsidR="00D46196" w:rsidRPr="00E577B8">
        <w:t>%</w:t>
      </w:r>
      <w:r w:rsidR="00147ACD" w:rsidRPr="00E577B8">
        <w:t xml:space="preserve">, and for regional </w:t>
      </w:r>
      <w:r w:rsidR="00BC2BCE" w:rsidRPr="00E577B8">
        <w:t>areas, the minimum target yield is 8.00</w:t>
      </w:r>
      <w:r w:rsidR="00D46196" w:rsidRPr="00E577B8">
        <w:t>%</w:t>
      </w:r>
      <w:r w:rsidR="00BC2BCE" w:rsidRPr="00E577B8">
        <w:t>.</w:t>
      </w:r>
      <w:r w:rsidR="001F52E2" w:rsidRPr="00E577B8">
        <w:t xml:space="preserve"> </w:t>
      </w:r>
      <w:r w:rsidR="00542E6C" w:rsidRPr="00E577B8">
        <w:t>They suggested that r</w:t>
      </w:r>
      <w:r w:rsidR="00D33218" w:rsidRPr="00E577B8">
        <w:t xml:space="preserve">egional areas require a higher </w:t>
      </w:r>
      <w:r w:rsidR="00B14E5F" w:rsidRPr="00E577B8">
        <w:t xml:space="preserve">return </w:t>
      </w:r>
      <w:proofErr w:type="gramStart"/>
      <w:r w:rsidR="00B14E5F" w:rsidRPr="00E577B8">
        <w:t>as a result of</w:t>
      </w:r>
      <w:proofErr w:type="gramEnd"/>
      <w:r w:rsidR="00B14E5F" w:rsidRPr="00E577B8">
        <w:t xml:space="preserve"> a potentially lower target pool of participants, </w:t>
      </w:r>
      <w:r w:rsidR="003A708C" w:rsidRPr="00E577B8">
        <w:t>potentially lower appreciation of the underlying land</w:t>
      </w:r>
      <w:r w:rsidR="00542E6C" w:rsidRPr="00E577B8">
        <w:t>,</w:t>
      </w:r>
      <w:r w:rsidR="003A708C" w:rsidRPr="00E577B8">
        <w:t xml:space="preserve"> and the significant premium placed on developing SDA compared to the alternate use of the land</w:t>
      </w:r>
      <w:r w:rsidR="00ED09D3" w:rsidRPr="00E577B8">
        <w:t xml:space="preserve"> (and construction).</w:t>
      </w:r>
      <w:r w:rsidR="00F2332B" w:rsidRPr="00E577B8">
        <w:t xml:space="preserve"> They also </w:t>
      </w:r>
      <w:r w:rsidR="000E0C5C" w:rsidRPr="00E577B8">
        <w:t>consider</w:t>
      </w:r>
      <w:r w:rsidR="00F2332B" w:rsidRPr="00E577B8">
        <w:t>ed that a</w:t>
      </w:r>
      <w:r w:rsidR="00BC2BCE" w:rsidRPr="00E577B8">
        <w:t>partments also require</w:t>
      </w:r>
      <w:r w:rsidR="00F2332B" w:rsidRPr="00E577B8">
        <w:t>d</w:t>
      </w:r>
      <w:r w:rsidR="00BC2BCE" w:rsidRPr="00E577B8">
        <w:t xml:space="preserve"> a </w:t>
      </w:r>
      <w:r w:rsidR="00D33218" w:rsidRPr="00E577B8">
        <w:t>50-basis</w:t>
      </w:r>
      <w:r w:rsidR="00756A5F" w:rsidRPr="00E577B8">
        <w:t xml:space="preserve"> point premium over the geographic minimum yields due to the oversaturation of these </w:t>
      </w:r>
      <w:r w:rsidR="00E33194" w:rsidRPr="00E577B8">
        <w:t>building typologies.</w:t>
      </w:r>
    </w:p>
    <w:p w14:paraId="77C4CE5A" w14:textId="7A775F3A" w:rsidR="00C74EA9" w:rsidRPr="005A22C2" w:rsidRDefault="00837AD1" w:rsidP="006720A0">
      <w:r w:rsidRPr="00E577B8">
        <w:t xml:space="preserve">Barwon Investment Partners suggested that </w:t>
      </w:r>
      <w:r w:rsidR="003528D2" w:rsidRPr="00E577B8">
        <w:t>a gross rental yield of 11</w:t>
      </w:r>
      <w:r w:rsidR="006B550B" w:rsidRPr="00E577B8">
        <w:t>%</w:t>
      </w:r>
      <w:r w:rsidR="00154981" w:rsidRPr="00E577B8">
        <w:t xml:space="preserve"> to </w:t>
      </w:r>
      <w:r w:rsidR="003528D2" w:rsidRPr="00E577B8">
        <w:t>15</w:t>
      </w:r>
      <w:r w:rsidR="00210585" w:rsidRPr="00E577B8">
        <w:t>%</w:t>
      </w:r>
      <w:r w:rsidR="00FF02B8" w:rsidRPr="00E577B8">
        <w:t xml:space="preserve"> for a fully occupied SDA</w:t>
      </w:r>
      <w:r w:rsidR="003528D2" w:rsidRPr="00E577B8">
        <w:t xml:space="preserve"> is desirable </w:t>
      </w:r>
      <w:proofErr w:type="gramStart"/>
      <w:r w:rsidR="003528D2" w:rsidRPr="00E577B8">
        <w:t>in order to</w:t>
      </w:r>
      <w:proofErr w:type="gramEnd"/>
      <w:r w:rsidR="003528D2" w:rsidRPr="00E577B8">
        <w:t xml:space="preserve"> maintain</w:t>
      </w:r>
      <w:r w:rsidR="00863AE1" w:rsidRPr="00E577B8">
        <w:t xml:space="preserve"> the required</w:t>
      </w:r>
      <w:r w:rsidR="003528D2" w:rsidRPr="00E577B8">
        <w:t xml:space="preserve"> returns for equity providers. They</w:t>
      </w:r>
      <w:r w:rsidR="003528D2" w:rsidRPr="005A22C2">
        <w:t xml:space="preserve"> highlighted that the return to equity providers can however change </w:t>
      </w:r>
      <w:r w:rsidR="00FF02B8" w:rsidRPr="005A22C2">
        <w:t xml:space="preserve">drastically </w:t>
      </w:r>
      <w:proofErr w:type="gramStart"/>
      <w:r w:rsidR="00FF02B8" w:rsidRPr="005A22C2">
        <w:t>as a result of</w:t>
      </w:r>
      <w:proofErr w:type="gramEnd"/>
      <w:r w:rsidR="00FF02B8" w:rsidRPr="005A22C2">
        <w:t xml:space="preserve"> the total debt costs (which is contingent on the BBSY rate and the bank’s margin). </w:t>
      </w:r>
      <w:r w:rsidR="00391C8B" w:rsidRPr="005A22C2">
        <w:t xml:space="preserve">Additionally, </w:t>
      </w:r>
      <w:r w:rsidR="00F91EDF" w:rsidRPr="005A22C2">
        <w:t xml:space="preserve">a sufficient return for equity investors may depend on the location (as </w:t>
      </w:r>
      <w:r w:rsidR="005361D4" w:rsidRPr="005A22C2">
        <w:t>stated</w:t>
      </w:r>
      <w:r w:rsidR="00F91EDF" w:rsidRPr="005A22C2">
        <w:t xml:space="preserve"> above, metropolitan vs </w:t>
      </w:r>
      <w:r w:rsidR="0075539F" w:rsidRPr="005A22C2">
        <w:t xml:space="preserve">regional areas, as well as the level of amenity surrounding a development), the building type, the participant category </w:t>
      </w:r>
      <w:r w:rsidR="00676444" w:rsidRPr="005A22C2">
        <w:t>(for example HPS may be riskier than IL) and the local demand and supply dynamics.</w:t>
      </w:r>
    </w:p>
    <w:p w14:paraId="7D97F99B" w14:textId="73C27A6B" w:rsidR="00071892" w:rsidRPr="005A22C2" w:rsidRDefault="002A687D" w:rsidP="006720A0">
      <w:pPr>
        <w:pStyle w:val="Heading2"/>
      </w:pPr>
      <w:bookmarkStart w:id="226" w:name="_Ref122428419"/>
      <w:bookmarkStart w:id="227" w:name="_Toc129783613"/>
      <w:bookmarkStart w:id="228" w:name="_Toc136006895"/>
      <w:r w:rsidRPr="005A22C2">
        <w:t>Capital Assets Pricing</w:t>
      </w:r>
      <w:r w:rsidR="001F3A97" w:rsidRPr="005A22C2">
        <w:t xml:space="preserve"> </w:t>
      </w:r>
      <w:r w:rsidR="00551B3E" w:rsidRPr="005A22C2">
        <w:t>M</w:t>
      </w:r>
      <w:bookmarkEnd w:id="226"/>
      <w:r w:rsidR="001F3A97" w:rsidRPr="005A22C2">
        <w:t>odel</w:t>
      </w:r>
      <w:bookmarkEnd w:id="227"/>
      <w:r w:rsidRPr="005A22C2">
        <w:t xml:space="preserve"> (C</w:t>
      </w:r>
      <w:r w:rsidR="0053112C">
        <w:t>A</w:t>
      </w:r>
      <w:r w:rsidRPr="005A22C2">
        <w:t>PM)</w:t>
      </w:r>
      <w:bookmarkEnd w:id="228"/>
    </w:p>
    <w:p w14:paraId="606B9450" w14:textId="6B99C81D" w:rsidR="00551B3E" w:rsidRPr="007071C2" w:rsidRDefault="00551B3E" w:rsidP="006720A0">
      <w:pPr>
        <w:pStyle w:val="Heading3"/>
      </w:pPr>
      <w:bookmarkStart w:id="229" w:name="_Toc122454261"/>
      <w:bookmarkStart w:id="230" w:name="_Toc122527550"/>
      <w:bookmarkStart w:id="231" w:name="_Toc129783616"/>
      <w:r w:rsidRPr="007071C2">
        <w:t>Gearing ratios</w:t>
      </w:r>
      <w:bookmarkEnd w:id="229"/>
      <w:bookmarkEnd w:id="230"/>
      <w:bookmarkEnd w:id="231"/>
    </w:p>
    <w:p w14:paraId="24FF2255" w14:textId="637DE5AC" w:rsidR="00A47429" w:rsidRPr="005A22C2" w:rsidRDefault="00F61579" w:rsidP="006720A0">
      <w:r w:rsidRPr="005A22C2">
        <w:t>It was widely agreed amongst stakeholders that an appropriate gearing ratio</w:t>
      </w:r>
      <w:r w:rsidR="003A4625" w:rsidRPr="005A22C2">
        <w:t xml:space="preserve"> (debt as a share of debt and equity)</w:t>
      </w:r>
      <w:r w:rsidRPr="005A22C2">
        <w:t xml:space="preserve"> </w:t>
      </w:r>
      <w:r w:rsidR="00F4559D" w:rsidRPr="005A22C2">
        <w:t xml:space="preserve">for the SDA sector </w:t>
      </w:r>
      <w:r w:rsidRPr="005A22C2">
        <w:t xml:space="preserve">is </w:t>
      </w:r>
      <w:r w:rsidR="003A4625" w:rsidRPr="005A22C2">
        <w:t>between</w:t>
      </w:r>
      <w:r w:rsidR="00667D6B" w:rsidRPr="005A22C2">
        <w:t xml:space="preserve"> 20</w:t>
      </w:r>
      <w:r w:rsidR="00210585">
        <w:t>%</w:t>
      </w:r>
      <w:r w:rsidR="003A4625" w:rsidRPr="005A22C2">
        <w:t xml:space="preserve"> and </w:t>
      </w:r>
      <w:r w:rsidR="00B54D2A" w:rsidRPr="005A22C2">
        <w:t>5</w:t>
      </w:r>
      <w:r w:rsidRPr="005A22C2">
        <w:t>0</w:t>
      </w:r>
      <w:r w:rsidR="00210585">
        <w:t>%</w:t>
      </w:r>
      <w:r w:rsidR="003A4625" w:rsidRPr="005A22C2">
        <w:t>. H</w:t>
      </w:r>
      <w:r w:rsidR="00134742" w:rsidRPr="005A22C2">
        <w:t>owever</w:t>
      </w:r>
      <w:r w:rsidR="00F4559D" w:rsidRPr="005A22C2">
        <w:t>,</w:t>
      </w:r>
      <w:r w:rsidR="00134742" w:rsidRPr="005A22C2">
        <w:t xml:space="preserve"> there were</w:t>
      </w:r>
      <w:r w:rsidR="001F5990" w:rsidRPr="005A22C2">
        <w:t xml:space="preserve"> several</w:t>
      </w:r>
      <w:r w:rsidR="00134742" w:rsidRPr="005A22C2">
        <w:t xml:space="preserve"> </w:t>
      </w:r>
      <w:r w:rsidR="00800B4B" w:rsidRPr="005A22C2">
        <w:t xml:space="preserve">stakeholders </w:t>
      </w:r>
      <w:r w:rsidR="00F4559D" w:rsidRPr="005A22C2">
        <w:t>who fav</w:t>
      </w:r>
      <w:r w:rsidR="0092002C" w:rsidRPr="005A22C2">
        <w:t>o</w:t>
      </w:r>
      <w:r w:rsidR="00F4559D" w:rsidRPr="005A22C2">
        <w:t>ured</w:t>
      </w:r>
      <w:r w:rsidR="00134742" w:rsidRPr="005A22C2">
        <w:t xml:space="preserve"> </w:t>
      </w:r>
      <w:r w:rsidR="00FB4DDD" w:rsidRPr="005A22C2">
        <w:t xml:space="preserve">gearing ratios </w:t>
      </w:r>
      <w:r w:rsidR="00677C56" w:rsidRPr="005A22C2">
        <w:t>closer to 60</w:t>
      </w:r>
      <w:r w:rsidR="00210585">
        <w:t>%</w:t>
      </w:r>
      <w:r w:rsidR="00677C56" w:rsidRPr="005A22C2">
        <w:t>.</w:t>
      </w:r>
    </w:p>
    <w:p w14:paraId="54ADD126" w14:textId="71D2C7C6" w:rsidR="00B440AD" w:rsidRPr="00BC197F" w:rsidRDefault="00484E9F" w:rsidP="006720A0">
      <w:r w:rsidRPr="005A22C2">
        <w:t xml:space="preserve">There were several comments made during the SDA Institutional Investors </w:t>
      </w:r>
      <w:r w:rsidR="00D84C52" w:rsidRPr="005A22C2">
        <w:t>Consultation Group</w:t>
      </w:r>
      <w:r w:rsidRPr="005A22C2">
        <w:t xml:space="preserve"> which discussed the link between gearing ratios and vacancy rates. </w:t>
      </w:r>
      <w:r w:rsidR="00EC2E8D" w:rsidRPr="005A22C2">
        <w:t>I</w:t>
      </w:r>
      <w:r w:rsidR="000975BB" w:rsidRPr="005A22C2">
        <w:t xml:space="preserve">t was </w:t>
      </w:r>
      <w:r w:rsidR="00756FD8" w:rsidRPr="005A22C2">
        <w:t xml:space="preserve">identified that debt financiers have been placing both interest </w:t>
      </w:r>
      <w:r w:rsidR="00696AB3" w:rsidRPr="005A22C2">
        <w:t xml:space="preserve">cover ratio </w:t>
      </w:r>
      <w:r w:rsidR="00756FD8" w:rsidRPr="005A22C2">
        <w:t>and loan-to-value covenants on their loans to account for risks associated with vacancy rates</w:t>
      </w:r>
      <w:r w:rsidR="00511A33" w:rsidRPr="005A22C2">
        <w:t xml:space="preserve"> (</w:t>
      </w:r>
      <w:r w:rsidR="00EC2E8D" w:rsidRPr="005A22C2">
        <w:t>i</w:t>
      </w:r>
      <w:r w:rsidR="00756FD8" w:rsidRPr="005A22C2">
        <w:t xml:space="preserve">n </w:t>
      </w:r>
      <w:r w:rsidR="00222F19" w:rsidRPr="005A22C2">
        <w:t xml:space="preserve">a low-vacancy scenario, it is possible to breach the interest </w:t>
      </w:r>
      <w:r w:rsidR="00222F19" w:rsidRPr="005A22C2">
        <w:lastRenderedPageBreak/>
        <w:t>covenant</w:t>
      </w:r>
      <w:r w:rsidR="00511A33" w:rsidRPr="005A22C2">
        <w:t>)</w:t>
      </w:r>
      <w:r w:rsidR="00222F19" w:rsidRPr="005A22C2">
        <w:t>.</w:t>
      </w:r>
      <w:r w:rsidR="00433398" w:rsidRPr="005A22C2">
        <w:t xml:space="preserve"> </w:t>
      </w:r>
      <w:r w:rsidR="00433398" w:rsidRPr="004750AD">
        <w:t xml:space="preserve">Another stakeholder from the </w:t>
      </w:r>
      <w:r w:rsidR="00EA2126" w:rsidRPr="004750AD">
        <w:t>SDA Banks</w:t>
      </w:r>
      <w:r w:rsidR="00D6227D" w:rsidRPr="004750AD">
        <w:t xml:space="preserve"> and Funds</w:t>
      </w:r>
      <w:r w:rsidR="00433398" w:rsidRPr="004750AD">
        <w:t xml:space="preserve"> </w:t>
      </w:r>
      <w:r w:rsidR="00D84C52" w:rsidRPr="004750AD">
        <w:t>Consultation Group</w:t>
      </w:r>
      <w:r w:rsidR="00433398" w:rsidRPr="004750AD">
        <w:t xml:space="preserve"> </w:t>
      </w:r>
      <w:r w:rsidR="00355DB9" w:rsidRPr="004750AD">
        <w:t xml:space="preserve">concurred with this </w:t>
      </w:r>
      <w:r w:rsidR="00355DB9" w:rsidRPr="00253125">
        <w:t>point</w:t>
      </w:r>
      <w:r w:rsidR="003831C9" w:rsidRPr="00253125">
        <w:t xml:space="preserve">, saying </w:t>
      </w:r>
      <w:r w:rsidR="00F94039" w:rsidRPr="00253125">
        <w:t>“…previously, you</w:t>
      </w:r>
      <w:r w:rsidR="00F94039" w:rsidRPr="004750AD">
        <w:t xml:space="preserve"> might have constrained the amount of debt by a gearing ratio. Now I think it’s just pure serviceability”</w:t>
      </w:r>
      <w:r w:rsidR="00ED3387" w:rsidRPr="004750AD">
        <w:t xml:space="preserve"> </w:t>
      </w:r>
      <w:r w:rsidR="000D243E" w:rsidRPr="004750AD">
        <w:t xml:space="preserve">and </w:t>
      </w:r>
      <w:r w:rsidR="005361D4" w:rsidRPr="004750AD">
        <w:t>stated</w:t>
      </w:r>
      <w:r w:rsidR="000D243E" w:rsidRPr="004750AD">
        <w:t xml:space="preserve"> that the gearing ratio is not always the constraining factor, but it could be the interest cover ratio or </w:t>
      </w:r>
      <w:r w:rsidR="00BC1E4E" w:rsidRPr="004750AD">
        <w:t>loan-to-value ratio (</w:t>
      </w:r>
      <w:r w:rsidR="000D243E" w:rsidRPr="004750AD">
        <w:t>LVR</w:t>
      </w:r>
      <w:r w:rsidR="00BC1E4E" w:rsidRPr="004750AD">
        <w:t>)</w:t>
      </w:r>
      <w:r w:rsidR="000D243E" w:rsidRPr="004750AD">
        <w:t xml:space="preserve">. </w:t>
      </w:r>
      <w:r w:rsidR="002F43D2" w:rsidRPr="00BC197F">
        <w:t xml:space="preserve">SDA Alliance concurred with this point, </w:t>
      </w:r>
      <w:r w:rsidR="009B350E" w:rsidRPr="00BC197F">
        <w:t xml:space="preserve">and provided a worked example </w:t>
      </w:r>
      <w:r w:rsidR="00D0454D" w:rsidRPr="00BC197F">
        <w:t xml:space="preserve">for a three-bedroom HPS SDA </w:t>
      </w:r>
      <w:r w:rsidR="009B350E" w:rsidRPr="00BC197F">
        <w:t>which suggest</w:t>
      </w:r>
      <w:r w:rsidR="00D0454D" w:rsidRPr="00BC197F">
        <w:t>s</w:t>
      </w:r>
      <w:r w:rsidR="009B350E" w:rsidRPr="00BC197F">
        <w:t xml:space="preserve"> the</w:t>
      </w:r>
      <w:r w:rsidR="00886F32" w:rsidRPr="00BC197F">
        <w:t xml:space="preserve"> interest cover ratio would be breached </w:t>
      </w:r>
      <w:r w:rsidR="00206D0F" w:rsidRPr="00BC197F">
        <w:t>prior to the LVR being reached</w:t>
      </w:r>
      <w:r w:rsidR="004C76A4" w:rsidRPr="00BC197F">
        <w:t>.</w:t>
      </w:r>
      <w:r w:rsidR="00771637" w:rsidRPr="00BC197F">
        <w:t xml:space="preserve"> </w:t>
      </w:r>
    </w:p>
    <w:p w14:paraId="71086900" w14:textId="35B50799" w:rsidR="000D13BD" w:rsidRPr="005A22C2" w:rsidRDefault="004F6550" w:rsidP="006720A0">
      <w:r w:rsidRPr="00BC197F">
        <w:t xml:space="preserve">A stakeholder in the Victoria </w:t>
      </w:r>
      <w:r w:rsidR="00D84C52" w:rsidRPr="00BC197F">
        <w:t>Consultation Group</w:t>
      </w:r>
      <w:r w:rsidRPr="00BC197F">
        <w:t xml:space="preserve"> consultation indicated that before interest rates increased, banks were looking for two-times the interest rate for lending coverage, and as interest rates have increased, so too have the coverage amounts which currently sit around 11</w:t>
      </w:r>
      <w:r w:rsidR="006B550B" w:rsidRPr="00BC197F">
        <w:t>%</w:t>
      </w:r>
      <w:r w:rsidR="00154981" w:rsidRPr="00BC197F">
        <w:t xml:space="preserve"> to </w:t>
      </w:r>
      <w:r w:rsidRPr="00BC197F">
        <w:t>12</w:t>
      </w:r>
      <w:r w:rsidR="00210585" w:rsidRPr="00BC197F">
        <w:t>%</w:t>
      </w:r>
      <w:r w:rsidRPr="00BC197F">
        <w:t xml:space="preserve">. </w:t>
      </w:r>
      <w:r w:rsidR="00993051" w:rsidRPr="00BC197F">
        <w:t>National Australia Bank</w:t>
      </w:r>
      <w:r w:rsidR="00080BE4" w:rsidRPr="00BC197F">
        <w:t xml:space="preserve"> </w:t>
      </w:r>
      <w:r w:rsidR="005361D4" w:rsidRPr="00BC197F">
        <w:t>stated</w:t>
      </w:r>
      <w:r w:rsidR="00080BE4" w:rsidRPr="00BC197F">
        <w:t xml:space="preserve"> that </w:t>
      </w:r>
      <w:r w:rsidR="00F359EC" w:rsidRPr="00BC197F">
        <w:t xml:space="preserve">with the increasing interest rates, </w:t>
      </w:r>
      <w:r w:rsidR="00760A86" w:rsidRPr="00BC197F">
        <w:t xml:space="preserve">“gearing has become increasing constrained </w:t>
      </w:r>
      <w:r w:rsidR="006A170D" w:rsidRPr="00BC197F">
        <w:t xml:space="preserve">by the ability to achieve the targeted ICR [interest cover ratio], reducing gearing.” </w:t>
      </w:r>
      <w:r w:rsidR="00811FC5" w:rsidRPr="00BC197F">
        <w:t>Another stakeholder added w</w:t>
      </w:r>
      <w:r w:rsidR="0051195C" w:rsidRPr="00BC197F">
        <w:t>ith low interest rates</w:t>
      </w:r>
      <w:r w:rsidR="0051195C" w:rsidRPr="00253125">
        <w:t xml:space="preserve"> it was less of an issue, but now that they are rising,</w:t>
      </w:r>
      <w:r w:rsidR="00460687" w:rsidRPr="00253125">
        <w:t xml:space="preserve"> </w:t>
      </w:r>
      <w:r w:rsidR="00DD0481" w:rsidRPr="00253125">
        <w:t xml:space="preserve">the </w:t>
      </w:r>
      <w:r w:rsidR="004F2037" w:rsidRPr="00253125">
        <w:t xml:space="preserve">interaction between the </w:t>
      </w:r>
      <w:r w:rsidR="00DD0481" w:rsidRPr="00253125">
        <w:t xml:space="preserve">interest cover ratio and high vacancy rates are </w:t>
      </w:r>
      <w:r w:rsidR="003C04DB" w:rsidRPr="00253125">
        <w:t xml:space="preserve">increasing the risk of </w:t>
      </w:r>
      <w:r w:rsidR="00DD0481" w:rsidRPr="00253125">
        <w:t xml:space="preserve">default. </w:t>
      </w:r>
      <w:r w:rsidR="00A31374" w:rsidRPr="00253125">
        <w:t>“You can go into default because your occupancy is not where it needs to be. So</w:t>
      </w:r>
      <w:r w:rsidR="00811FC5">
        <w:t>,</w:t>
      </w:r>
      <w:r w:rsidR="00A31374" w:rsidRPr="00253125">
        <w:t xml:space="preserve"> you’re going to manage which assets are in your collateral pool. Because you’re not leased up, that occupancy is a problem unto itself. Your interest cover ratio’s a problem unto itself</w:t>
      </w:r>
      <w:r w:rsidR="00F65CE1" w:rsidRPr="00253125">
        <w:t>.”</w:t>
      </w:r>
      <w:r w:rsidR="00FD4A08" w:rsidRPr="00253125">
        <w:t xml:space="preserve"> </w:t>
      </w:r>
      <w:r w:rsidR="00DE3057">
        <w:t>A</w:t>
      </w:r>
      <w:r w:rsidR="00606263">
        <w:t xml:space="preserve"> c</w:t>
      </w:r>
      <w:r w:rsidR="006B7B99">
        <w:t>onfidential submission</w:t>
      </w:r>
      <w:r w:rsidR="006F4D10" w:rsidRPr="00253125">
        <w:t xml:space="preserve"> </w:t>
      </w:r>
      <w:r w:rsidR="005361D4" w:rsidRPr="00253125">
        <w:t>stated</w:t>
      </w:r>
      <w:r w:rsidR="006F4D10" w:rsidRPr="00253125">
        <w:t xml:space="preserve"> that using the assumed occupancy rates in the NDIS Pricing Arrangements for SDA and applying a </w:t>
      </w:r>
      <w:r w:rsidR="009974BD" w:rsidRPr="00253125">
        <w:t>two-times</w:t>
      </w:r>
      <w:r w:rsidR="006F4D10" w:rsidRPr="00253125">
        <w:t xml:space="preserve"> interest cover ratio (which is typical of the major banks currently), the interest covenant would be breached</w:t>
      </w:r>
      <w:r w:rsidR="00FD4A08" w:rsidRPr="005A22C2">
        <w:t>.</w:t>
      </w:r>
    </w:p>
    <w:p w14:paraId="2CD208F3" w14:textId="6A1460A7" w:rsidR="006F4D10" w:rsidRPr="00E577B8" w:rsidRDefault="005C0742" w:rsidP="006720A0">
      <w:pPr>
        <w:rPr>
          <w:i/>
        </w:rPr>
      </w:pPr>
      <w:r w:rsidRPr="005A22C2">
        <w:t xml:space="preserve">Multiple stakeholders </w:t>
      </w:r>
      <w:r w:rsidR="005361D4" w:rsidRPr="005A22C2">
        <w:t>stated</w:t>
      </w:r>
      <w:r w:rsidRPr="005A22C2">
        <w:t xml:space="preserve"> that </w:t>
      </w:r>
      <w:r w:rsidR="00520FA6" w:rsidRPr="005A22C2">
        <w:t>a</w:t>
      </w:r>
      <w:r w:rsidR="006F4D10" w:rsidRPr="005A22C2">
        <w:t xml:space="preserve"> gearing ratio of 20</w:t>
      </w:r>
      <w:r w:rsidR="006B550B">
        <w:t>%</w:t>
      </w:r>
      <w:r w:rsidR="00154981">
        <w:t xml:space="preserve"> to </w:t>
      </w:r>
      <w:r w:rsidR="00783F89" w:rsidRPr="005A22C2">
        <w:t>5</w:t>
      </w:r>
      <w:r w:rsidR="006F4D10" w:rsidRPr="005A22C2">
        <w:t>0</w:t>
      </w:r>
      <w:r w:rsidR="00507EEC">
        <w:t>%</w:t>
      </w:r>
      <w:r w:rsidR="006F4D10" w:rsidRPr="005A22C2">
        <w:t xml:space="preserve"> is consistent with approaches used for other social infrastructure and is reflective of the absence of a long-term track record of low vacancy and risk in the market.</w:t>
      </w:r>
      <w:r w:rsidR="00FD4A08" w:rsidRPr="005A22C2">
        <w:t xml:space="preserve"> </w:t>
      </w:r>
      <w:r w:rsidR="00AE1C07" w:rsidRPr="005A22C2">
        <w:t xml:space="preserve">Several written submissions </w:t>
      </w:r>
      <w:r w:rsidR="00F20BB2" w:rsidRPr="005A22C2">
        <w:t>recommended</w:t>
      </w:r>
      <w:r w:rsidR="00AE1C07" w:rsidRPr="005A22C2">
        <w:t xml:space="preserve"> that as </w:t>
      </w:r>
      <w:r w:rsidR="009B6BF5" w:rsidRPr="005A22C2">
        <w:t>occupancy is below</w:t>
      </w:r>
      <w:r w:rsidR="000A01F5" w:rsidRPr="005A22C2">
        <w:t xml:space="preserve"> what is assumed in the </w:t>
      </w:r>
      <w:r w:rsidR="000A01F5" w:rsidRPr="005A22C2">
        <w:rPr>
          <w:i/>
        </w:rPr>
        <w:t xml:space="preserve">NDIS Pricing Arrangements for SDA, </w:t>
      </w:r>
      <w:r w:rsidR="000A01F5" w:rsidRPr="005A22C2">
        <w:t xml:space="preserve">and </w:t>
      </w:r>
      <w:r w:rsidR="00501DCA" w:rsidRPr="005A22C2">
        <w:t xml:space="preserve">in practice, is subject to volatility, </w:t>
      </w:r>
      <w:r w:rsidR="00F20BB2" w:rsidRPr="005A22C2">
        <w:t>a 50</w:t>
      </w:r>
      <w:r w:rsidR="00507EEC">
        <w:t>%</w:t>
      </w:r>
      <w:r w:rsidR="00407E5F" w:rsidRPr="005A22C2">
        <w:t xml:space="preserve"> gearing ratio would be appropriate.</w:t>
      </w:r>
      <w:r w:rsidR="00AE1C07" w:rsidRPr="005A22C2">
        <w:t xml:space="preserve"> </w:t>
      </w:r>
      <w:r w:rsidR="006F4D10" w:rsidRPr="005A22C2">
        <w:t xml:space="preserve">A stakeholder from the SDA Institutional Investors </w:t>
      </w:r>
      <w:r w:rsidR="00D84C52" w:rsidRPr="005A22C2">
        <w:t>Consultation Group</w:t>
      </w:r>
      <w:r w:rsidR="006F4D10" w:rsidRPr="005A22C2">
        <w:t xml:space="preserve"> </w:t>
      </w:r>
      <w:r w:rsidR="00EB0A6D" w:rsidRPr="005A22C2">
        <w:t xml:space="preserve">went </w:t>
      </w:r>
      <w:r w:rsidR="006F4D10" w:rsidRPr="005A22C2">
        <w:t>even</w:t>
      </w:r>
      <w:r w:rsidR="00EB0A6D" w:rsidRPr="005A22C2">
        <w:t xml:space="preserve"> further and</w:t>
      </w:r>
      <w:r w:rsidR="006F4D10" w:rsidRPr="005A22C2">
        <w:t xml:space="preserve"> suggested that a gearing ratio of 40</w:t>
      </w:r>
      <w:r w:rsidR="00507EEC">
        <w:t>%</w:t>
      </w:r>
      <w:r w:rsidR="006F4D10" w:rsidRPr="005A22C2">
        <w:t xml:space="preserve"> is high based on current vacancy rates</w:t>
      </w:r>
      <w:r w:rsidR="006F4D10" w:rsidRPr="00A46696">
        <w:t>.</w:t>
      </w:r>
      <w:r w:rsidR="00FD4A08" w:rsidRPr="00A46696">
        <w:t xml:space="preserve"> </w:t>
      </w:r>
      <w:r w:rsidR="00563CDE" w:rsidRPr="00A46696">
        <w:t>SDA Alliance agreed</w:t>
      </w:r>
      <w:r w:rsidR="00563CDE" w:rsidRPr="005A22C2">
        <w:t>, and recommended the gearing ratio be reduced to a maximum of 40</w:t>
      </w:r>
      <w:r w:rsidR="00507EEC">
        <w:t>%</w:t>
      </w:r>
      <w:r w:rsidR="00563CDE" w:rsidRPr="005A22C2">
        <w:t xml:space="preserve"> to align with investor preference and lender limitations</w:t>
      </w:r>
      <w:r w:rsidR="00563CDE" w:rsidRPr="00E577B8">
        <w:t>.</w:t>
      </w:r>
      <w:r w:rsidR="00FD4A08" w:rsidRPr="00E577B8">
        <w:t xml:space="preserve"> </w:t>
      </w:r>
      <w:r w:rsidR="009C5ABF" w:rsidRPr="00E577B8">
        <w:t xml:space="preserve">Barwon Investment Partners similarly suggested that </w:t>
      </w:r>
      <w:r w:rsidR="004C38DE" w:rsidRPr="00E577B8">
        <w:t>a gearing ratio of closer to 25</w:t>
      </w:r>
      <w:r w:rsidR="006B550B" w:rsidRPr="00E577B8">
        <w:t>%</w:t>
      </w:r>
      <w:r w:rsidR="00573761" w:rsidRPr="00E577B8">
        <w:t xml:space="preserve"> to </w:t>
      </w:r>
      <w:r w:rsidR="004C38DE" w:rsidRPr="00E577B8">
        <w:t>45</w:t>
      </w:r>
      <w:r w:rsidR="00507EEC" w:rsidRPr="00E577B8">
        <w:t>%</w:t>
      </w:r>
      <w:r w:rsidR="004C38DE" w:rsidRPr="00E577B8">
        <w:t xml:space="preserve"> is appropriate </w:t>
      </w:r>
      <w:r w:rsidR="00C52BD4" w:rsidRPr="00E577B8">
        <w:t xml:space="preserve">to avoid breaching </w:t>
      </w:r>
      <w:r w:rsidR="00B54758" w:rsidRPr="00E577B8">
        <w:t>interest cover ratio covenants in the event of vacancy.</w:t>
      </w:r>
    </w:p>
    <w:p w14:paraId="0E2E851F" w14:textId="0EC52D16" w:rsidR="0010141A" w:rsidRPr="005A22C2" w:rsidRDefault="00B955A0" w:rsidP="006720A0">
      <w:r w:rsidRPr="00E577B8">
        <w:t xml:space="preserve">One stakeholder from the </w:t>
      </w:r>
      <w:r w:rsidR="00EA2126" w:rsidRPr="00E577B8">
        <w:t>SDA Banks and Funds</w:t>
      </w:r>
      <w:r w:rsidRPr="00E577B8">
        <w:t xml:space="preserve"> </w:t>
      </w:r>
      <w:r w:rsidR="00D84C52" w:rsidRPr="00E577B8">
        <w:t>Consultation Group</w:t>
      </w:r>
      <w:r w:rsidRPr="00E577B8">
        <w:t xml:space="preserve"> indicated that they “…commonly have a requirement in </w:t>
      </w:r>
      <w:r w:rsidR="00A35E47" w:rsidRPr="00E577B8">
        <w:t>[their lending</w:t>
      </w:r>
      <w:r w:rsidR="00A24FF3" w:rsidRPr="00E577B8">
        <w:t xml:space="preserve"> </w:t>
      </w:r>
      <w:r w:rsidR="00771DF8" w:rsidRPr="00E577B8">
        <w:t>agreements</w:t>
      </w:r>
      <w:r w:rsidR="007A0899" w:rsidRPr="00E577B8">
        <w:t>]</w:t>
      </w:r>
      <w:r w:rsidR="00A35E47" w:rsidRPr="00E577B8">
        <w:t xml:space="preserve"> </w:t>
      </w:r>
      <w:r w:rsidRPr="00E577B8">
        <w:t>that debt to total development cost is probably no more than 50</w:t>
      </w:r>
      <w:r w:rsidR="00507EEC" w:rsidRPr="00E577B8">
        <w:t>%</w:t>
      </w:r>
      <w:r w:rsidRPr="00E577B8">
        <w:t>, which means that the provider is actually targeting gearing much lower than that</w:t>
      </w:r>
      <w:r w:rsidR="00F65CE1" w:rsidRPr="00E577B8">
        <w:t>”</w:t>
      </w:r>
      <w:r w:rsidR="00185066" w:rsidRPr="00E577B8">
        <w:t>.</w:t>
      </w:r>
      <w:r w:rsidRPr="00E577B8">
        <w:t xml:space="preserve"> </w:t>
      </w:r>
      <w:proofErr w:type="spellStart"/>
      <w:r w:rsidR="00795FA7" w:rsidRPr="00E577B8">
        <w:t>Synergis</w:t>
      </w:r>
      <w:proofErr w:type="spellEnd"/>
      <w:r w:rsidR="00795FA7" w:rsidRPr="00E577B8">
        <w:t xml:space="preserve"> </w:t>
      </w:r>
      <w:r w:rsidR="009A16B7" w:rsidRPr="00E577B8">
        <w:t>Fund</w:t>
      </w:r>
      <w:r w:rsidR="00795FA7" w:rsidRPr="00E577B8">
        <w:t xml:space="preserve"> </w:t>
      </w:r>
      <w:r w:rsidR="008C151B" w:rsidRPr="00E577B8">
        <w:t xml:space="preserve">clearly stated in their submission that </w:t>
      </w:r>
      <w:r w:rsidR="0047241A" w:rsidRPr="00E577B8">
        <w:t>they have a draw</w:t>
      </w:r>
      <w:r w:rsidR="0047241A" w:rsidRPr="005A22C2">
        <w:t xml:space="preserve"> st</w:t>
      </w:r>
      <w:r w:rsidR="00724316" w:rsidRPr="005A22C2">
        <w:t xml:space="preserve">op </w:t>
      </w:r>
      <w:r w:rsidR="0034649F" w:rsidRPr="005A22C2">
        <w:t>set at 55</w:t>
      </w:r>
      <w:r w:rsidR="00507EEC">
        <w:t>%</w:t>
      </w:r>
      <w:r w:rsidR="003E50FC" w:rsidRPr="005A22C2">
        <w:t xml:space="preserve"> LVR</w:t>
      </w:r>
      <w:r w:rsidR="00460FD6" w:rsidRPr="005A22C2">
        <w:t xml:space="preserve"> to “</w:t>
      </w:r>
      <w:r w:rsidR="003A5DFB" w:rsidRPr="005A22C2">
        <w:t>…</w:t>
      </w:r>
      <w:r w:rsidR="00460FD6" w:rsidRPr="005A22C2">
        <w:t xml:space="preserve">ensure that </w:t>
      </w:r>
      <w:r w:rsidR="00B63C3F" w:rsidRPr="005A22C2">
        <w:t xml:space="preserve">debt cannot be drawn over a certain level set below the covenant” </w:t>
      </w:r>
      <w:r w:rsidR="00B37A8B" w:rsidRPr="005A22C2">
        <w:t xml:space="preserve">which is based on the </w:t>
      </w:r>
      <w:r w:rsidR="00B37A8B" w:rsidRPr="00E577B8">
        <w:t>valu</w:t>
      </w:r>
      <w:r w:rsidR="00585E3A" w:rsidRPr="00E577B8">
        <w:t xml:space="preserve">ation of their properties </w:t>
      </w:r>
      <w:r w:rsidR="00B42D7C" w:rsidRPr="00E577B8">
        <w:t xml:space="preserve">but </w:t>
      </w:r>
      <w:r w:rsidR="00D67970" w:rsidRPr="00E577B8">
        <w:t>also</w:t>
      </w:r>
      <w:r w:rsidR="00B42D7C" w:rsidRPr="00E577B8">
        <w:t xml:space="preserve"> have a long-term </w:t>
      </w:r>
      <w:r w:rsidR="00D67970" w:rsidRPr="00E577B8">
        <w:t>gearing target of 30</w:t>
      </w:r>
      <w:r w:rsidR="006B550B" w:rsidRPr="00E577B8">
        <w:t>%</w:t>
      </w:r>
      <w:r w:rsidR="00573761" w:rsidRPr="00E577B8">
        <w:t xml:space="preserve"> to </w:t>
      </w:r>
      <w:r w:rsidR="00D67970" w:rsidRPr="00E577B8">
        <w:t>35</w:t>
      </w:r>
      <w:r w:rsidR="00581617" w:rsidRPr="00E577B8">
        <w:t>%</w:t>
      </w:r>
      <w:r w:rsidR="00440A8A" w:rsidRPr="00E577B8">
        <w:t>.</w:t>
      </w:r>
      <w:r w:rsidR="00D225B9" w:rsidRPr="00E577B8">
        <w:t xml:space="preserve"> </w:t>
      </w:r>
      <w:r w:rsidR="00C418B6" w:rsidRPr="00E577B8">
        <w:t>Similarly, Australian Unity suggested that institutional property funds typically have gearing targets between 20</w:t>
      </w:r>
      <w:r w:rsidR="006B550B" w:rsidRPr="00E577B8">
        <w:t>%</w:t>
      </w:r>
      <w:r w:rsidR="00573761" w:rsidRPr="00E577B8">
        <w:t xml:space="preserve"> to </w:t>
      </w:r>
      <w:r w:rsidR="00C418B6" w:rsidRPr="00E577B8">
        <w:t>35</w:t>
      </w:r>
      <w:r w:rsidR="00581617" w:rsidRPr="00E577B8">
        <w:t>%</w:t>
      </w:r>
      <w:r w:rsidR="00191A23" w:rsidRPr="00E577B8">
        <w:t>, with a gearing covenant at or above the target</w:t>
      </w:r>
      <w:r w:rsidR="00C418B6" w:rsidRPr="00E577B8">
        <w:t xml:space="preserve">. </w:t>
      </w:r>
      <w:r w:rsidR="00770B3A" w:rsidRPr="00E577B8">
        <w:t>The Australian Unity SDA</w:t>
      </w:r>
      <w:r w:rsidR="00770B3A" w:rsidRPr="005A22C2">
        <w:t xml:space="preserve"> Fund</w:t>
      </w:r>
      <w:r w:rsidR="001B1AC1" w:rsidRPr="005A22C2">
        <w:t>’s debt facility has a gearing covenant set at 50</w:t>
      </w:r>
      <w:r w:rsidR="00581617">
        <w:t>%</w:t>
      </w:r>
      <w:r w:rsidR="001B1AC1" w:rsidRPr="005A22C2">
        <w:t xml:space="preserve">, but </w:t>
      </w:r>
      <w:r w:rsidR="001B1AC1" w:rsidRPr="00A46696">
        <w:lastRenderedPageBreak/>
        <w:t xml:space="preserve">currently achieves gearing </w:t>
      </w:r>
      <w:r w:rsidR="00E151CD" w:rsidRPr="00A46696">
        <w:t>in the order of 30</w:t>
      </w:r>
      <w:r w:rsidR="00581617" w:rsidRPr="00A46696">
        <w:t>%</w:t>
      </w:r>
      <w:r w:rsidR="005824F1" w:rsidRPr="00A46696">
        <w:t xml:space="preserve">, and they </w:t>
      </w:r>
      <w:r w:rsidR="005361D4" w:rsidRPr="00A46696">
        <w:t>stated</w:t>
      </w:r>
      <w:r w:rsidR="005824F1" w:rsidRPr="00A46696">
        <w:t xml:space="preserve"> that a </w:t>
      </w:r>
      <w:r w:rsidR="009E0C61" w:rsidRPr="00A46696">
        <w:t xml:space="preserve">gearing </w:t>
      </w:r>
      <w:r w:rsidR="00F97F45" w:rsidRPr="00A46696">
        <w:t xml:space="preserve">ratio </w:t>
      </w:r>
      <w:r w:rsidR="009E0C61" w:rsidRPr="00A46696">
        <w:t>around or above 40</w:t>
      </w:r>
      <w:r w:rsidR="00581617" w:rsidRPr="00A46696">
        <w:t>%</w:t>
      </w:r>
      <w:r w:rsidR="009E0C61" w:rsidRPr="00A46696">
        <w:t xml:space="preserve"> would </w:t>
      </w:r>
      <w:r w:rsidR="00110843" w:rsidRPr="00A46696">
        <w:t>be likely to result in an interest cover ratio breach.</w:t>
      </w:r>
      <w:r w:rsidR="00D34AAA" w:rsidRPr="00A46696">
        <w:t xml:space="preserve"> SDA Alliance reiterated the above points and suggested that the major inst</w:t>
      </w:r>
      <w:r w:rsidR="00455B9B" w:rsidRPr="00A46696">
        <w:t>it</w:t>
      </w:r>
      <w:r w:rsidR="00D34AAA" w:rsidRPr="00A46696">
        <w:t xml:space="preserve">utional investment funds for the SDA Alliance (which include </w:t>
      </w:r>
      <w:proofErr w:type="spellStart"/>
      <w:r w:rsidR="00D34AAA" w:rsidRPr="00A46696">
        <w:t>Synergis</w:t>
      </w:r>
      <w:proofErr w:type="spellEnd"/>
      <w:r w:rsidR="00D34AAA" w:rsidRPr="00A46696">
        <w:t xml:space="preserve"> Fund and Australian Unity as above, but also </w:t>
      </w:r>
      <w:r w:rsidR="00455B9B" w:rsidRPr="00A46696">
        <w:t>Conscious Investment</w:t>
      </w:r>
      <w:r w:rsidR="00455B9B" w:rsidRPr="00E577B8">
        <w:t xml:space="preserve"> Management and Inspire Impact) </w:t>
      </w:r>
      <w:r w:rsidR="008208E3" w:rsidRPr="00E577B8">
        <w:t>aim for a gearing ratio less than 60</w:t>
      </w:r>
      <w:r w:rsidR="00581617" w:rsidRPr="00E577B8">
        <w:t>%</w:t>
      </w:r>
      <w:r w:rsidR="008208E3" w:rsidRPr="00E577B8">
        <w:t xml:space="preserve"> (generally maximum of 50</w:t>
      </w:r>
      <w:r w:rsidR="00581617" w:rsidRPr="00E577B8">
        <w:t>%</w:t>
      </w:r>
      <w:r w:rsidR="008208E3" w:rsidRPr="00E577B8">
        <w:t>) and a long-term gearing target of 30</w:t>
      </w:r>
      <w:r w:rsidR="00581617" w:rsidRPr="00E577B8">
        <w:t>%</w:t>
      </w:r>
      <w:r w:rsidR="008208E3" w:rsidRPr="00E577B8">
        <w:t>.</w:t>
      </w:r>
    </w:p>
    <w:p w14:paraId="0760DA22" w14:textId="6586E06B" w:rsidR="00B955A0" w:rsidRPr="005A22C2" w:rsidRDefault="00500690" w:rsidP="006720A0">
      <w:r w:rsidRPr="005A22C2">
        <w:t xml:space="preserve">Several factors affect the </w:t>
      </w:r>
      <w:r w:rsidR="0095700F" w:rsidRPr="005A22C2">
        <w:t xml:space="preserve">level of gearing </w:t>
      </w:r>
      <w:r w:rsidR="00EB401A" w:rsidRPr="005A22C2">
        <w:t xml:space="preserve">deemed appropriate and sustainable by investors, which includes the valuation methodology, the interest cover ratio, </w:t>
      </w:r>
      <w:r w:rsidR="00A641CA" w:rsidRPr="005A22C2">
        <w:t xml:space="preserve">the </w:t>
      </w:r>
      <w:r w:rsidR="00DD6413" w:rsidRPr="005A22C2">
        <w:t>LVR</w:t>
      </w:r>
      <w:r w:rsidR="00A641CA" w:rsidRPr="005A22C2">
        <w:t xml:space="preserve"> covenant </w:t>
      </w:r>
      <w:r w:rsidR="00D02458" w:rsidRPr="005A22C2">
        <w:t>and the gearing target.</w:t>
      </w:r>
      <w:r w:rsidR="00E35705" w:rsidRPr="005A22C2">
        <w:t xml:space="preserve"> </w:t>
      </w:r>
      <w:r w:rsidR="00B955A0" w:rsidRPr="005A22C2">
        <w:t xml:space="preserve">Stakeholders in the Victoria </w:t>
      </w:r>
      <w:r w:rsidR="00D84C52" w:rsidRPr="005A22C2">
        <w:t>Consultation Group</w:t>
      </w:r>
      <w:r w:rsidR="00B955A0" w:rsidRPr="005A22C2">
        <w:t xml:space="preserve"> disclosed that the gearing ratios have varied based on the location of the asset, type of SDA and banks appetite to lend, but have typically sat between 45</w:t>
      </w:r>
      <w:r w:rsidR="006B550B">
        <w:t>%</w:t>
      </w:r>
      <w:r w:rsidR="00573761">
        <w:t xml:space="preserve"> to </w:t>
      </w:r>
      <w:r w:rsidR="00B955A0" w:rsidRPr="005A22C2">
        <w:t>65</w:t>
      </w:r>
      <w:r w:rsidR="00472A66">
        <w:t>%</w:t>
      </w:r>
      <w:r w:rsidR="00A443D8" w:rsidRPr="005A22C2">
        <w:t>, h</w:t>
      </w:r>
      <w:r w:rsidR="00B955A0" w:rsidRPr="005A22C2">
        <w:t xml:space="preserve">owever, the gearing ratio is discounted to account for vacancy risk and GST. Another stakeholder from the Tasmania </w:t>
      </w:r>
      <w:r w:rsidR="00D84C52" w:rsidRPr="005A22C2">
        <w:t>Consultation Group</w:t>
      </w:r>
      <w:r w:rsidR="00B955A0" w:rsidRPr="005A22C2">
        <w:t xml:space="preserve"> </w:t>
      </w:r>
      <w:r w:rsidR="005361D4" w:rsidRPr="005A22C2">
        <w:t>stated</w:t>
      </w:r>
      <w:r w:rsidR="00B955A0" w:rsidRPr="005A22C2">
        <w:t xml:space="preserve"> that </w:t>
      </w:r>
      <w:r w:rsidR="00B955A0" w:rsidRPr="00253125">
        <w:rPr>
          <w:iCs/>
        </w:rPr>
        <w:t>“</w:t>
      </w:r>
      <w:r w:rsidR="00024C60" w:rsidRPr="00253125">
        <w:rPr>
          <w:iCs/>
        </w:rPr>
        <w:t>…</w:t>
      </w:r>
      <w:r w:rsidR="00B955A0" w:rsidRPr="00253125">
        <w:rPr>
          <w:iCs/>
        </w:rPr>
        <w:t>our gearing ratio is much lower than other commercial investments. In terms of a new project, [the gearing ratio is] probably more like 50/50 but blended across the whole portfolio…I think banks fear that the value of an SDA property is lower than the cost. So even though they may say we'll go to 60</w:t>
      </w:r>
      <w:r w:rsidR="00472A66">
        <w:rPr>
          <w:iCs/>
        </w:rPr>
        <w:t>%</w:t>
      </w:r>
      <w:r w:rsidR="00B955A0" w:rsidRPr="00253125">
        <w:rPr>
          <w:iCs/>
        </w:rPr>
        <w:t xml:space="preserve"> or even 65</w:t>
      </w:r>
      <w:r w:rsidR="00472A66">
        <w:rPr>
          <w:iCs/>
        </w:rPr>
        <w:t>%</w:t>
      </w:r>
      <w:r w:rsidR="00B955A0" w:rsidRPr="00253125">
        <w:rPr>
          <w:iCs/>
        </w:rPr>
        <w:t>, they'll discount the valuation which will kind of bring it back to about 50</w:t>
      </w:r>
      <w:r w:rsidR="003F6214">
        <w:rPr>
          <w:iCs/>
        </w:rPr>
        <w:t>%</w:t>
      </w:r>
      <w:r w:rsidR="00B955A0" w:rsidRPr="00253125">
        <w:rPr>
          <w:iCs/>
        </w:rPr>
        <w:t>.”</w:t>
      </w:r>
    </w:p>
    <w:p w14:paraId="031B7770" w14:textId="77777777" w:rsidR="00A47429" w:rsidRPr="005A22C2" w:rsidRDefault="004E53C5" w:rsidP="006720A0">
      <w:r w:rsidRPr="005A22C2">
        <w:t xml:space="preserve">A stakeholder from the </w:t>
      </w:r>
      <w:r w:rsidR="00EA2126" w:rsidRPr="005A22C2">
        <w:t>SDA Institutional Investors</w:t>
      </w:r>
      <w:r w:rsidRPr="005A22C2">
        <w:t xml:space="preserve"> </w:t>
      </w:r>
      <w:r w:rsidR="00D84C52" w:rsidRPr="005A22C2">
        <w:t>Consultation Group</w:t>
      </w:r>
      <w:r w:rsidRPr="005A22C2">
        <w:t xml:space="preserve"> also </w:t>
      </w:r>
      <w:r w:rsidR="00F7041F" w:rsidRPr="005A22C2">
        <w:t>raised that lenders commonly rely upon alternate best use values to determine appropriate gearing ratios</w:t>
      </w:r>
      <w:r w:rsidR="00794469" w:rsidRPr="005A22C2">
        <w:t>. Th</w:t>
      </w:r>
      <w:r w:rsidR="00DE4AF7" w:rsidRPr="005A22C2">
        <w:t xml:space="preserve">ese data points are not the most accurate benchmarks as they fail to </w:t>
      </w:r>
      <w:r w:rsidR="000E0C5C" w:rsidRPr="005A22C2">
        <w:t>consider</w:t>
      </w:r>
      <w:r w:rsidR="00DE4AF7" w:rsidRPr="005A22C2">
        <w:t xml:space="preserve"> the revenue</w:t>
      </w:r>
      <w:r w:rsidR="00201598" w:rsidRPr="005A22C2">
        <w:t xml:space="preserve"> from the SDA asset itself</w:t>
      </w:r>
      <w:r w:rsidR="00E94136" w:rsidRPr="005A22C2">
        <w:t>, or the total value of the asset</w:t>
      </w:r>
      <w:r w:rsidR="00420E54" w:rsidRPr="005A22C2">
        <w:t xml:space="preserve"> and its inclusions. </w:t>
      </w:r>
      <w:r w:rsidR="000B3994" w:rsidRPr="00E577B8">
        <w:t>M3 Property also</w:t>
      </w:r>
      <w:r w:rsidR="000B3994" w:rsidRPr="005A22C2">
        <w:t xml:space="preserve"> indicated that banks have been seeking gearing ratios based on the value of the residential property, not of the value of the SDA build on the land.</w:t>
      </w:r>
    </w:p>
    <w:p w14:paraId="42E741A7" w14:textId="6193330F" w:rsidR="00C9564F" w:rsidRPr="005A22C2" w:rsidRDefault="001015A8" w:rsidP="006720A0">
      <w:r w:rsidRPr="00B80A32">
        <w:t>National Australia Bank</w:t>
      </w:r>
      <w:r w:rsidR="00C9564F" w:rsidRPr="00B80A32">
        <w:t xml:space="preserve"> recommended</w:t>
      </w:r>
      <w:r w:rsidR="00C9564F" w:rsidRPr="005A22C2">
        <w:t xml:space="preserve"> that the </w:t>
      </w:r>
      <w:r w:rsidR="006344D5" w:rsidRPr="005A22C2">
        <w:t>SDA Pricing Review</w:t>
      </w:r>
      <w:r w:rsidR="00C9564F" w:rsidRPr="005A22C2">
        <w:t xml:space="preserve"> </w:t>
      </w:r>
      <w:r w:rsidR="000E0C5C" w:rsidRPr="005A22C2">
        <w:t>consider</w:t>
      </w:r>
      <w:r w:rsidR="00C9564F" w:rsidRPr="005A22C2">
        <w:t xml:space="preserve">s “gearing in relation to the cashflow/yields generated by Design Categories such as Fully Accessible and Robust, where debt capacity is already </w:t>
      </w:r>
      <w:r w:rsidR="000E0C5C" w:rsidRPr="005A22C2">
        <w:t>consider</w:t>
      </w:r>
      <w:r w:rsidR="00C9564F" w:rsidRPr="005A22C2">
        <w:t>ed constrained due to the lower SDA payment level”</w:t>
      </w:r>
      <w:r w:rsidR="001F52E2" w:rsidRPr="005A22C2">
        <w:t>.</w:t>
      </w:r>
    </w:p>
    <w:p w14:paraId="37CA0B6E" w14:textId="19E98E86" w:rsidR="0020260A" w:rsidRPr="005A22C2" w:rsidRDefault="001934D1" w:rsidP="006720A0">
      <w:r w:rsidRPr="005A22C2">
        <w:t xml:space="preserve">Several stakeholders across </w:t>
      </w:r>
      <w:proofErr w:type="gramStart"/>
      <w:r w:rsidRPr="005A22C2">
        <w:t>a number of</w:t>
      </w:r>
      <w:proofErr w:type="gramEnd"/>
      <w:r w:rsidRPr="005A22C2">
        <w:t xml:space="preserve"> </w:t>
      </w:r>
      <w:r w:rsidR="00D84C52" w:rsidRPr="005A22C2">
        <w:t>Consultation Group</w:t>
      </w:r>
      <w:r w:rsidRPr="005A22C2">
        <w:t xml:space="preserve">s including the </w:t>
      </w:r>
      <w:r w:rsidR="00906A84" w:rsidRPr="005A22C2">
        <w:t>SDA Self-Providers</w:t>
      </w:r>
      <w:r w:rsidR="0020260A" w:rsidRPr="005A22C2">
        <w:t xml:space="preserve"> </w:t>
      </w:r>
      <w:r w:rsidR="00D84C52" w:rsidRPr="005A22C2">
        <w:t>Consultation Group</w:t>
      </w:r>
      <w:r w:rsidR="0020260A" w:rsidRPr="005A22C2">
        <w:t xml:space="preserve"> </w:t>
      </w:r>
      <w:r w:rsidRPr="005A22C2">
        <w:t>and the Qu</w:t>
      </w:r>
      <w:r w:rsidR="00922695" w:rsidRPr="005A22C2">
        <w:t xml:space="preserve">eensland </w:t>
      </w:r>
      <w:r w:rsidR="00D84C52" w:rsidRPr="005A22C2">
        <w:t>Consultation Group</w:t>
      </w:r>
      <w:r w:rsidR="00922695" w:rsidRPr="005A22C2">
        <w:t xml:space="preserve"> </w:t>
      </w:r>
      <w:r w:rsidR="00D477F4" w:rsidRPr="005A22C2">
        <w:t xml:space="preserve">and the written submission from </w:t>
      </w:r>
      <w:r w:rsidR="00700045">
        <w:t xml:space="preserve">an individual stakeholder </w:t>
      </w:r>
      <w:r w:rsidR="00922695" w:rsidRPr="005A22C2">
        <w:t xml:space="preserve">indicated that </w:t>
      </w:r>
      <w:r w:rsidR="0020260A" w:rsidRPr="005A22C2">
        <w:t>from their own experiences</w:t>
      </w:r>
      <w:r w:rsidR="00922695" w:rsidRPr="005A22C2">
        <w:t>,</w:t>
      </w:r>
      <w:r w:rsidR="0020260A" w:rsidRPr="005A22C2">
        <w:t xml:space="preserve"> </w:t>
      </w:r>
      <w:r w:rsidR="001D4A0D" w:rsidRPr="005A22C2">
        <w:t>there are few banks who will provide loans for SDA</w:t>
      </w:r>
      <w:r w:rsidR="00CF016C" w:rsidRPr="005A22C2">
        <w:t xml:space="preserve"> self-providers</w:t>
      </w:r>
      <w:r w:rsidR="000D3AD9" w:rsidRPr="005A22C2">
        <w:t xml:space="preserve">. Bank Australia was </w:t>
      </w:r>
      <w:r w:rsidR="005361D4" w:rsidRPr="005A22C2">
        <w:t>stated</w:t>
      </w:r>
      <w:r w:rsidR="007E7DFE" w:rsidRPr="005A22C2">
        <w:t xml:space="preserve"> as </w:t>
      </w:r>
      <w:r w:rsidR="007E7DFE" w:rsidRPr="00253125">
        <w:t xml:space="preserve">the only bank who would lend </w:t>
      </w:r>
      <w:r w:rsidR="005A248F" w:rsidRPr="00253125">
        <w:t xml:space="preserve">based on the future SDA payments to individuals, however they require </w:t>
      </w:r>
      <w:r w:rsidR="001F0BC9" w:rsidRPr="00253125">
        <w:t>a 20</w:t>
      </w:r>
      <w:r w:rsidR="00472A66">
        <w:t>%</w:t>
      </w:r>
      <w:r w:rsidR="001F0BC9" w:rsidRPr="00253125">
        <w:t xml:space="preserve"> deposit</w:t>
      </w:r>
      <w:r w:rsidR="00C522C3" w:rsidRPr="00253125">
        <w:t xml:space="preserve"> on the valuation of the property, not the build. </w:t>
      </w:r>
      <w:r w:rsidR="00617576" w:rsidRPr="00253125">
        <w:t>“For some people, it’s been as high as like 40</w:t>
      </w:r>
      <w:r w:rsidR="00472A66">
        <w:t>%</w:t>
      </w:r>
      <w:r w:rsidR="00617576" w:rsidRPr="00253125">
        <w:t>, the deposit they’ve had to put in</w:t>
      </w:r>
      <w:r w:rsidR="00F65CE1" w:rsidRPr="00253125">
        <w:t>.”</w:t>
      </w:r>
      <w:r w:rsidR="0017228E" w:rsidRPr="00253125">
        <w:t xml:space="preserve"> </w:t>
      </w:r>
      <w:r w:rsidR="00CD4FDA" w:rsidRPr="00253125">
        <w:t xml:space="preserve">In relation to building Robust SDA, </w:t>
      </w:r>
      <w:r w:rsidR="00816293">
        <w:t xml:space="preserve">the individual stakeholder </w:t>
      </w:r>
      <w:r w:rsidR="00CD4FDA" w:rsidRPr="00253125">
        <w:t xml:space="preserve">stated </w:t>
      </w:r>
      <w:r w:rsidR="00D477F4" w:rsidRPr="00253125">
        <w:t>that Bank Australia require “…a 40</w:t>
      </w:r>
      <w:r w:rsidR="00342692">
        <w:t>%</w:t>
      </w:r>
      <w:r w:rsidR="00D477F4" w:rsidRPr="00253125">
        <w:t xml:space="preserve"> deposit due to the extra cost of building a Robust Home</w:t>
      </w:r>
      <w:r w:rsidR="00E03CA7" w:rsidRPr="00253125">
        <w:t>…</w:t>
      </w:r>
      <w:r w:rsidR="00CD4FDA" w:rsidRPr="00253125">
        <w:t>”</w:t>
      </w:r>
      <w:r w:rsidR="00972417" w:rsidRPr="00253125">
        <w:t xml:space="preserve"> and </w:t>
      </w:r>
      <w:r w:rsidR="005361D4" w:rsidRPr="00253125">
        <w:t>stated</w:t>
      </w:r>
      <w:r w:rsidR="00972417" w:rsidRPr="00253125">
        <w:t xml:space="preserve"> that they will not lend based on SDA payments as it cannot be used as income until a participant</w:t>
      </w:r>
      <w:r w:rsidR="00972417" w:rsidRPr="005A22C2">
        <w:t xml:space="preserve"> moves in.</w:t>
      </w:r>
      <w:r w:rsidR="0017228E" w:rsidRPr="005A22C2">
        <w:t xml:space="preserve"> Another stakeholder from the South Australia and Northern Territory </w:t>
      </w:r>
      <w:r w:rsidR="00D84C52" w:rsidRPr="005A22C2">
        <w:t>Consultation Group</w:t>
      </w:r>
      <w:r w:rsidR="0017228E" w:rsidRPr="005A22C2">
        <w:t xml:space="preserve"> </w:t>
      </w:r>
      <w:r w:rsidR="00112688" w:rsidRPr="005A22C2">
        <w:t>indicated that it was not only banks requiring these high deposits, s</w:t>
      </w:r>
      <w:r w:rsidR="0058187D" w:rsidRPr="005A22C2">
        <w:t xml:space="preserve">tating that </w:t>
      </w:r>
      <w:r w:rsidR="00112688" w:rsidRPr="005A22C2">
        <w:t xml:space="preserve">private investors are also </w:t>
      </w:r>
      <w:r w:rsidR="00112688" w:rsidRPr="005A22C2">
        <w:lastRenderedPageBreak/>
        <w:t>seeking deposits of 30</w:t>
      </w:r>
      <w:r w:rsidR="00B372D4">
        <w:t xml:space="preserve"> to </w:t>
      </w:r>
      <w:r w:rsidR="00112688" w:rsidRPr="005A22C2">
        <w:t>40</w:t>
      </w:r>
      <w:r w:rsidR="00342692">
        <w:t>%</w:t>
      </w:r>
      <w:r w:rsidR="00112688" w:rsidRPr="005A22C2">
        <w:t xml:space="preserve">. </w:t>
      </w:r>
      <w:r w:rsidR="00176290" w:rsidRPr="005A22C2">
        <w:t>S</w:t>
      </w:r>
      <w:r w:rsidR="00E56B17" w:rsidRPr="005A22C2">
        <w:t xml:space="preserve">takeholders from the Western Australia and New South Wales and Australian Capital Territory </w:t>
      </w:r>
      <w:r w:rsidR="00D84C52" w:rsidRPr="005A22C2">
        <w:t>Consultation Group</w:t>
      </w:r>
      <w:r w:rsidR="00E56B17" w:rsidRPr="005A22C2">
        <w:t xml:space="preserve">s </w:t>
      </w:r>
      <w:r w:rsidR="005361D4" w:rsidRPr="005A22C2">
        <w:t>stated</w:t>
      </w:r>
      <w:r w:rsidR="004E14C7" w:rsidRPr="005A22C2">
        <w:t xml:space="preserve"> that the banks have typically been using </w:t>
      </w:r>
      <w:r w:rsidR="005D4BE9" w:rsidRPr="005A22C2">
        <w:t>LVR</w:t>
      </w:r>
      <w:r w:rsidR="000C345E" w:rsidRPr="005A22C2">
        <w:t xml:space="preserve">’s around </w:t>
      </w:r>
      <w:r w:rsidR="00192388" w:rsidRPr="005A22C2">
        <w:t>60</w:t>
      </w:r>
      <w:r w:rsidR="003F6214">
        <w:t>%</w:t>
      </w:r>
      <w:r w:rsidR="00B372D4">
        <w:t xml:space="preserve"> to </w:t>
      </w:r>
      <w:r w:rsidR="000C345E" w:rsidRPr="005A22C2">
        <w:t>65</w:t>
      </w:r>
      <w:r w:rsidR="00342692">
        <w:t>%</w:t>
      </w:r>
      <w:r w:rsidR="00E24182" w:rsidRPr="005A22C2">
        <w:t>.</w:t>
      </w:r>
    </w:p>
    <w:p w14:paraId="4358AD75" w14:textId="17AB2AA8" w:rsidR="00551B3E" w:rsidRPr="005A22C2" w:rsidRDefault="00551B3E" w:rsidP="006720A0">
      <w:pPr>
        <w:pStyle w:val="Heading3"/>
      </w:pPr>
      <w:bookmarkStart w:id="232" w:name="_Toc122454262"/>
      <w:bookmarkStart w:id="233" w:name="_Toc122527551"/>
      <w:bookmarkStart w:id="234" w:name="_Toc129783617"/>
      <w:r w:rsidRPr="005A22C2">
        <w:t xml:space="preserve">Debt </w:t>
      </w:r>
      <w:r w:rsidRPr="007071C2">
        <w:t>rate assumptions</w:t>
      </w:r>
      <w:bookmarkEnd w:id="232"/>
      <w:bookmarkEnd w:id="233"/>
      <w:bookmarkEnd w:id="234"/>
    </w:p>
    <w:p w14:paraId="55911873" w14:textId="77777777" w:rsidR="00A47429" w:rsidRPr="005A22C2" w:rsidRDefault="007A37DF" w:rsidP="006720A0">
      <w:r w:rsidRPr="005A22C2">
        <w:t xml:space="preserve">Several stakeholders </w:t>
      </w:r>
      <w:r w:rsidR="00487EA3" w:rsidRPr="005A22C2">
        <w:t xml:space="preserve">challenged the accuracy of the current debt rate assumption in the </w:t>
      </w:r>
      <w:r w:rsidR="0072109F" w:rsidRPr="005A22C2">
        <w:t>methodology</w:t>
      </w:r>
      <w:r w:rsidR="00487EA3" w:rsidRPr="005A22C2">
        <w:t xml:space="preserve"> that </w:t>
      </w:r>
      <w:r w:rsidR="0072109F" w:rsidRPr="005A22C2">
        <w:t xml:space="preserve">underpins the </w:t>
      </w:r>
      <w:r w:rsidR="00E0111F" w:rsidRPr="005A22C2">
        <w:rPr>
          <w:i/>
        </w:rPr>
        <w:t xml:space="preserve">NDIS Pricing Arrangements for </w:t>
      </w:r>
      <w:proofErr w:type="gramStart"/>
      <w:r w:rsidR="00E0111F" w:rsidRPr="005A22C2">
        <w:rPr>
          <w:i/>
        </w:rPr>
        <w:t>SDA</w:t>
      </w:r>
      <w:r w:rsidR="00487EA3" w:rsidRPr="005A22C2">
        <w:t>, and</w:t>
      </w:r>
      <w:proofErr w:type="gramEnd"/>
      <w:r w:rsidR="00487EA3" w:rsidRPr="005A22C2">
        <w:t xml:space="preserve"> suggested that it is too low. </w:t>
      </w:r>
      <w:r w:rsidR="00A31FC7" w:rsidRPr="005A22C2">
        <w:t xml:space="preserve">Several </w:t>
      </w:r>
      <w:r w:rsidR="0025289D" w:rsidRPr="005A22C2">
        <w:t>stakeholder</w:t>
      </w:r>
      <w:r w:rsidR="00A31FC7" w:rsidRPr="005A22C2">
        <w:t>s</w:t>
      </w:r>
      <w:r w:rsidR="0025289D" w:rsidRPr="005A22C2">
        <w:t xml:space="preserve"> also suggested that the </w:t>
      </w:r>
      <w:r w:rsidR="00780BD0" w:rsidRPr="005A22C2">
        <w:t xml:space="preserve">cost of debt should also include other </w:t>
      </w:r>
      <w:r w:rsidR="00E34357" w:rsidRPr="005A22C2">
        <w:t>debt costs and fees</w:t>
      </w:r>
      <w:r w:rsidR="00A31FC7" w:rsidRPr="005A22C2">
        <w:t xml:space="preserve"> such as establishment fees, facility holding costs and other ancillary costs.</w:t>
      </w:r>
    </w:p>
    <w:p w14:paraId="228D1D54" w14:textId="64F5FF14" w:rsidR="00551B3E" w:rsidRPr="005A22C2" w:rsidRDefault="00487EA3" w:rsidP="006720A0">
      <w:r w:rsidRPr="005A22C2">
        <w:t xml:space="preserve">The current </w:t>
      </w:r>
      <w:r w:rsidR="007A37DF" w:rsidRPr="005A22C2">
        <w:t>debt rate assumption</w:t>
      </w:r>
      <w:r w:rsidR="005F09EC" w:rsidRPr="005A22C2">
        <w:t xml:space="preserve"> </w:t>
      </w:r>
      <w:r w:rsidR="009E3040" w:rsidRPr="005A22C2">
        <w:t>(</w:t>
      </w:r>
      <w:proofErr w:type="spellStart"/>
      <w:r w:rsidR="009E3040" w:rsidRPr="005A22C2">
        <w:t>r</w:t>
      </w:r>
      <w:r w:rsidR="002E7025" w:rsidRPr="005A22C2">
        <w:rPr>
          <w:vertAlign w:val="subscript"/>
        </w:rPr>
        <w:t>d</w:t>
      </w:r>
      <w:proofErr w:type="spellEnd"/>
      <w:r w:rsidR="002E7025" w:rsidRPr="005A22C2">
        <w:t>)</w:t>
      </w:r>
      <w:r w:rsidR="00184331" w:rsidRPr="005A22C2">
        <w:t xml:space="preserve"> </w:t>
      </w:r>
      <w:r w:rsidR="005F09EC" w:rsidRPr="005A22C2">
        <w:t xml:space="preserve">in </w:t>
      </w:r>
      <w:r w:rsidR="008D587A" w:rsidRPr="005A22C2">
        <w:t xml:space="preserve">the </w:t>
      </w:r>
      <w:r w:rsidR="008D587A" w:rsidRPr="005A22C2">
        <w:rPr>
          <w:i/>
          <w:iCs/>
        </w:rPr>
        <w:t>NDIS Pricing Arrangements for SDA</w:t>
      </w:r>
      <w:r w:rsidR="00237C38" w:rsidRPr="005A22C2">
        <w:t xml:space="preserve"> </w:t>
      </w:r>
      <w:r w:rsidR="00D77608" w:rsidRPr="005A22C2">
        <w:t>is 5.2</w:t>
      </w:r>
      <w:r w:rsidR="00971DC4">
        <w:t>%</w:t>
      </w:r>
      <w:r w:rsidR="00D77608" w:rsidRPr="005A22C2">
        <w:t xml:space="preserve">, which is based </w:t>
      </w:r>
      <w:r w:rsidR="00BC210E" w:rsidRPr="005A22C2">
        <w:t xml:space="preserve">on the 10-year Commonwealth Bond rate </w:t>
      </w:r>
      <w:r w:rsidR="007A1D43" w:rsidRPr="005A22C2">
        <w:t>(r</w:t>
      </w:r>
      <w:r w:rsidR="007A1D43" w:rsidRPr="005A22C2">
        <w:rPr>
          <w:vertAlign w:val="subscript"/>
        </w:rPr>
        <w:t>f</w:t>
      </w:r>
      <w:r w:rsidR="007A1D43" w:rsidRPr="005A22C2">
        <w:t xml:space="preserve">) </w:t>
      </w:r>
      <w:r w:rsidR="00BC210E" w:rsidRPr="005A22C2">
        <w:t>and a 2.5</w:t>
      </w:r>
      <w:r w:rsidR="00342692">
        <w:t>%</w:t>
      </w:r>
      <w:r w:rsidR="00BC210E" w:rsidRPr="005A22C2">
        <w:t xml:space="preserve"> debt margin</w:t>
      </w:r>
      <w:r w:rsidR="00D06C65" w:rsidRPr="005A22C2">
        <w:t xml:space="preserve"> (DRP)</w:t>
      </w:r>
      <w:r w:rsidR="00E51CC6" w:rsidRPr="005A22C2">
        <w:t>. H</w:t>
      </w:r>
      <w:r w:rsidR="008A18AC" w:rsidRPr="005A22C2">
        <w:t>owever</w:t>
      </w:r>
      <w:r w:rsidR="00971DC4">
        <w:t>,</w:t>
      </w:r>
      <w:r w:rsidR="008A18AC" w:rsidRPr="005A22C2">
        <w:t xml:space="preserve"> one stakeholder from the </w:t>
      </w:r>
      <w:r w:rsidR="00EA2126" w:rsidRPr="005A22C2">
        <w:t>SDA Banks</w:t>
      </w:r>
      <w:r w:rsidR="00D6227D" w:rsidRPr="005A22C2">
        <w:t xml:space="preserve"> and Funds</w:t>
      </w:r>
      <w:r w:rsidR="008A18AC" w:rsidRPr="005A22C2">
        <w:t xml:space="preserve"> </w:t>
      </w:r>
      <w:r w:rsidR="00D84C52" w:rsidRPr="005A22C2">
        <w:t>Consultation Group</w:t>
      </w:r>
      <w:r w:rsidR="008A18AC" w:rsidRPr="005A22C2">
        <w:t xml:space="preserve"> suggested that their average debt rate is around 6.85</w:t>
      </w:r>
      <w:r w:rsidR="00971DC4">
        <w:t>%</w:t>
      </w:r>
      <w:r w:rsidR="0099095B" w:rsidRPr="005A22C2">
        <w:t xml:space="preserve"> (although acknowledged that it is a spectrum)</w:t>
      </w:r>
      <w:r w:rsidR="008A18AC" w:rsidRPr="005A22C2">
        <w:t xml:space="preserve">. </w:t>
      </w:r>
      <w:r w:rsidR="0099095B" w:rsidRPr="005A22C2">
        <w:t>Th</w:t>
      </w:r>
      <w:r w:rsidR="005C4FF1" w:rsidRPr="005A22C2">
        <w:t>eir debt rate is comprised of the Bank Bill Swap Bid Rate (BBSY) forward curve (which is currently around 3.8</w:t>
      </w:r>
      <w:r w:rsidR="00342692">
        <w:t>%</w:t>
      </w:r>
      <w:r w:rsidR="005C4FF1" w:rsidRPr="005A22C2">
        <w:t xml:space="preserve">) and a debt margin. They </w:t>
      </w:r>
      <w:r w:rsidR="0023736C" w:rsidRPr="005A22C2">
        <w:t xml:space="preserve">use a higher margin than is currently assumed in the </w:t>
      </w:r>
      <w:r w:rsidR="00237C38" w:rsidRPr="005A22C2">
        <w:rPr>
          <w:i/>
        </w:rPr>
        <w:t>NDIS Pricing Arrangements for SDA</w:t>
      </w:r>
      <w:r w:rsidR="0023736C" w:rsidRPr="005A22C2">
        <w:t xml:space="preserve"> due to the uncertainties and risks present in the </w:t>
      </w:r>
      <w:r w:rsidR="006B44F5" w:rsidRPr="005A22C2">
        <w:t>market such as vacancy risks</w:t>
      </w:r>
      <w:r w:rsidR="005C0470" w:rsidRPr="005A22C2">
        <w:t>.</w:t>
      </w:r>
      <w:r w:rsidR="005C0470" w:rsidRPr="005A22C2">
        <w:rPr>
          <w:rStyle w:val="FootnoteReference"/>
        </w:rPr>
        <w:t xml:space="preserve"> </w:t>
      </w:r>
      <w:r w:rsidR="00B357B4" w:rsidRPr="002B10BC">
        <w:t>Conversely</w:t>
      </w:r>
      <w:r w:rsidR="00F67B0B" w:rsidRPr="002B10BC">
        <w:t>, Barwon Investment Partners</w:t>
      </w:r>
      <w:r w:rsidR="00F67B0B" w:rsidRPr="005A22C2">
        <w:t xml:space="preserve"> suggested the </w:t>
      </w:r>
      <w:r w:rsidR="00DF7E01" w:rsidRPr="005A22C2">
        <w:t>debt margin of 2.5</w:t>
      </w:r>
      <w:r w:rsidR="00971DC4">
        <w:t>%</w:t>
      </w:r>
      <w:r w:rsidR="00DF7E01" w:rsidRPr="005A22C2">
        <w:t xml:space="preserve"> is consistent with their current experience. </w:t>
      </w:r>
      <w:r w:rsidR="00811FC5">
        <w:t xml:space="preserve">In a confidential submission, one major bank </w:t>
      </w:r>
      <w:r w:rsidR="00955AB1" w:rsidRPr="005A22C2">
        <w:t xml:space="preserve">also </w:t>
      </w:r>
      <w:r w:rsidR="007F79A0" w:rsidRPr="005A22C2">
        <w:t xml:space="preserve">estimated the cost of debt, which similarly included </w:t>
      </w:r>
      <w:r w:rsidR="00DA08CA" w:rsidRPr="005A22C2">
        <w:t>a</w:t>
      </w:r>
      <w:r w:rsidR="00D42C06" w:rsidRPr="005A22C2">
        <w:t xml:space="preserve"> </w:t>
      </w:r>
      <w:r w:rsidR="000E2B9B" w:rsidRPr="005A22C2">
        <w:t>base rate</w:t>
      </w:r>
      <w:r w:rsidR="004E73B4" w:rsidRPr="005A22C2">
        <w:t xml:space="preserve"> comprised of </w:t>
      </w:r>
      <w:r w:rsidR="00167924" w:rsidRPr="005A22C2">
        <w:t>a</w:t>
      </w:r>
      <w:r w:rsidR="00D56066" w:rsidRPr="005A22C2">
        <w:t>n average market</w:t>
      </w:r>
      <w:r w:rsidR="00167924" w:rsidRPr="005A22C2">
        <w:t xml:space="preserve"> forecast</w:t>
      </w:r>
      <w:r w:rsidR="00D56066" w:rsidRPr="005A22C2">
        <w:t xml:space="preserve"> of the</w:t>
      </w:r>
      <w:r w:rsidR="004E73B4" w:rsidRPr="005A22C2">
        <w:t xml:space="preserve"> </w:t>
      </w:r>
      <w:r w:rsidR="002D7BE1" w:rsidRPr="005A22C2">
        <w:t>BBSY</w:t>
      </w:r>
      <w:r w:rsidR="000E2B9B" w:rsidRPr="005A22C2">
        <w:t xml:space="preserve"> </w:t>
      </w:r>
      <w:r w:rsidR="00D56066" w:rsidRPr="005A22C2">
        <w:t xml:space="preserve">over the next five years </w:t>
      </w:r>
      <w:r w:rsidR="000E2B9B" w:rsidRPr="005A22C2">
        <w:t>(</w:t>
      </w:r>
      <w:r w:rsidR="002D7BE1" w:rsidRPr="005A22C2">
        <w:t xml:space="preserve">informed by the </w:t>
      </w:r>
      <w:r w:rsidR="00C52A36" w:rsidRPr="005A22C2">
        <w:t>5-year swap rate and 10-year Australian Treasury Bond yield)</w:t>
      </w:r>
      <w:r w:rsidR="00B20D47" w:rsidRPr="005A22C2">
        <w:t xml:space="preserve"> and</w:t>
      </w:r>
      <w:r w:rsidR="00C52A36" w:rsidRPr="005A22C2">
        <w:t xml:space="preserve"> a margin of between 2-3</w:t>
      </w:r>
      <w:r w:rsidR="00E02FCD">
        <w:t>%</w:t>
      </w:r>
      <w:r w:rsidR="00CD6D0F" w:rsidRPr="005A22C2">
        <w:t xml:space="preserve">, </w:t>
      </w:r>
      <w:r w:rsidR="00B20D47" w:rsidRPr="005A22C2">
        <w:t xml:space="preserve">as well as </w:t>
      </w:r>
      <w:r w:rsidR="00CD6D0F" w:rsidRPr="005A22C2">
        <w:t>establishment fees, facility holding costs and other legal costs and fees. Their estimate for the cost of debt ranged from around 6.</w:t>
      </w:r>
      <w:r w:rsidR="00F92A48" w:rsidRPr="005A22C2">
        <w:t>4</w:t>
      </w:r>
      <w:r w:rsidR="00E02FCD">
        <w:t>%</w:t>
      </w:r>
      <w:r w:rsidR="00E67C24">
        <w:t xml:space="preserve"> to </w:t>
      </w:r>
      <w:r w:rsidR="00CD6D0F" w:rsidRPr="005A22C2">
        <w:t>7.6</w:t>
      </w:r>
      <w:r w:rsidR="00E02FCD">
        <w:t>%</w:t>
      </w:r>
      <w:r w:rsidR="00F92A48" w:rsidRPr="005A22C2">
        <w:t xml:space="preserve"> p</w:t>
      </w:r>
      <w:r w:rsidR="0083278E">
        <w:t>er</w:t>
      </w:r>
      <w:r w:rsidR="007123B8">
        <w:t xml:space="preserve"> </w:t>
      </w:r>
      <w:r w:rsidR="00F92A48" w:rsidRPr="005A22C2">
        <w:t>a</w:t>
      </w:r>
      <w:r w:rsidR="0083278E">
        <w:t>nnum</w:t>
      </w:r>
      <w:r w:rsidR="00F92A48" w:rsidRPr="005A22C2">
        <w:t xml:space="preserve"> over the next five years</w:t>
      </w:r>
      <w:r w:rsidR="00CD6D0F" w:rsidRPr="005A22C2">
        <w:t>.</w:t>
      </w:r>
    </w:p>
    <w:p w14:paraId="0540E691" w14:textId="12C4352D" w:rsidR="00F1568B" w:rsidRPr="005A22C2" w:rsidRDefault="00F1568B" w:rsidP="006720A0">
      <w:r w:rsidRPr="005A22C2">
        <w:t>Several submissions suggested that the risk</w:t>
      </w:r>
      <w:r w:rsidR="008F3B39" w:rsidRPr="005A22C2">
        <w:t>-</w:t>
      </w:r>
      <w:r w:rsidRPr="005A22C2">
        <w:t>free rate (r</w:t>
      </w:r>
      <w:r w:rsidRPr="005A22C2">
        <w:rPr>
          <w:vertAlign w:val="subscript"/>
        </w:rPr>
        <w:t>f</w:t>
      </w:r>
      <w:r w:rsidRPr="005A22C2">
        <w:t>)</w:t>
      </w:r>
      <w:r w:rsidR="000504A3" w:rsidRPr="005A22C2">
        <w:t>, which currently is assumed to be 2.70</w:t>
      </w:r>
      <w:r w:rsidR="00E02FCD">
        <w:t>%</w:t>
      </w:r>
      <w:r w:rsidR="000504A3" w:rsidRPr="005A22C2">
        <w:t xml:space="preserve"> is</w:t>
      </w:r>
      <w:r w:rsidR="006E2A64" w:rsidRPr="005A22C2">
        <w:t xml:space="preserve"> </w:t>
      </w:r>
      <w:r w:rsidR="0076429B" w:rsidRPr="005A22C2">
        <w:t xml:space="preserve">instead </w:t>
      </w:r>
      <w:r w:rsidR="00CC4FFF" w:rsidRPr="005A22C2">
        <w:t xml:space="preserve">based on the Reserve Bank of Australia’s </w:t>
      </w:r>
      <w:r w:rsidR="009D4EC3" w:rsidRPr="005A22C2">
        <w:t>‘F</w:t>
      </w:r>
      <w:r w:rsidR="00E57151" w:rsidRPr="005A22C2">
        <w:t>-16 Indicative Mid-Rates of Australian Government Securities</w:t>
      </w:r>
      <w:r w:rsidR="00630113" w:rsidRPr="005A22C2">
        <w:t>’, and particularly the 10-year maturity</w:t>
      </w:r>
      <w:r w:rsidR="00A22380" w:rsidRPr="005A22C2">
        <w:t>.</w:t>
      </w:r>
      <w:r w:rsidR="00FD4A08" w:rsidRPr="005A22C2">
        <w:t xml:space="preserve"> </w:t>
      </w:r>
      <w:r w:rsidR="001E2583" w:rsidRPr="005A22C2">
        <w:t xml:space="preserve">This is a market observed and quoted reference point, which is commonly used to calculate the weighted </w:t>
      </w:r>
      <w:r w:rsidR="00C60763" w:rsidRPr="005A22C2">
        <w:t xml:space="preserve">average </w:t>
      </w:r>
      <w:r w:rsidR="001E2583" w:rsidRPr="005A22C2">
        <w:t xml:space="preserve">cost of </w:t>
      </w:r>
      <w:r w:rsidR="00C60763" w:rsidRPr="005A22C2">
        <w:t>capital (WACC)</w:t>
      </w:r>
      <w:r w:rsidR="001E2583" w:rsidRPr="005A22C2">
        <w:t xml:space="preserve"> for regulated assets</w:t>
      </w:r>
      <w:r w:rsidR="00224703" w:rsidRPr="005A22C2">
        <w:t xml:space="preserve">, which will help to </w:t>
      </w:r>
      <w:r w:rsidR="003F1199" w:rsidRPr="005A22C2">
        <w:t>provide</w:t>
      </w:r>
      <w:r w:rsidR="00224703" w:rsidRPr="005A22C2">
        <w:t xml:space="preserve"> </w:t>
      </w:r>
      <w:r w:rsidR="00522094" w:rsidRPr="005A22C2">
        <w:t>regulatory confidence</w:t>
      </w:r>
      <w:r w:rsidR="00C60763" w:rsidRPr="005A22C2">
        <w:t>.</w:t>
      </w:r>
      <w:r w:rsidR="001E2583" w:rsidRPr="005A22C2">
        <w:t xml:space="preserve"> </w:t>
      </w:r>
      <w:r w:rsidR="00816293">
        <w:t xml:space="preserve">An individual stakeholder </w:t>
      </w:r>
      <w:r w:rsidR="00A76D9D" w:rsidRPr="005A22C2">
        <w:t xml:space="preserve">also suggested that the current risk-free rate is </w:t>
      </w:r>
      <w:r w:rsidR="00A76D9D" w:rsidRPr="00971DC4">
        <w:t>inappropriate, as “</w:t>
      </w:r>
      <w:r w:rsidR="002C40A3" w:rsidRPr="00971DC4">
        <w:t>…</w:t>
      </w:r>
      <w:r w:rsidR="00A76D9D" w:rsidRPr="00971DC4">
        <w:t>the 10 year Australian Government Bond Yield is unlikely to be below 2.7</w:t>
      </w:r>
      <w:r w:rsidR="00E02FCD">
        <w:t>%</w:t>
      </w:r>
      <w:r w:rsidR="00A76D9D" w:rsidRPr="00971DC4">
        <w:t xml:space="preserve"> p</w:t>
      </w:r>
      <w:r w:rsidR="0083278E" w:rsidRPr="00971DC4">
        <w:t>er</w:t>
      </w:r>
      <w:r w:rsidR="007123B8" w:rsidRPr="00971DC4">
        <w:t xml:space="preserve"> </w:t>
      </w:r>
      <w:r w:rsidR="00A76D9D" w:rsidRPr="00971DC4">
        <w:t>a</w:t>
      </w:r>
      <w:r w:rsidR="0083278E" w:rsidRPr="00971DC4">
        <w:t>nnum</w:t>
      </w:r>
      <w:r w:rsidR="00A76D9D" w:rsidRPr="00971DC4">
        <w:t>. in the foreseeable future</w:t>
      </w:r>
      <w:r w:rsidR="00A76D9D" w:rsidRPr="002B10BC">
        <w:t xml:space="preserve">.” </w:t>
      </w:r>
      <w:r w:rsidR="00D63B07" w:rsidRPr="002B10BC">
        <w:t>Barwon Investment Partners agreed</w:t>
      </w:r>
      <w:r w:rsidR="00D63B07" w:rsidRPr="00971DC4">
        <w:t xml:space="preserve"> with this sentiment, noting that although the risk-free rate is constantly changing, it is currently</w:t>
      </w:r>
      <w:r w:rsidR="00D63B07" w:rsidRPr="005A22C2">
        <w:t xml:space="preserve"> sitting at 3.1</w:t>
      </w:r>
      <w:r w:rsidR="00E02FCD">
        <w:t>%</w:t>
      </w:r>
      <w:r w:rsidR="00D63B07" w:rsidRPr="005A22C2">
        <w:t xml:space="preserve"> and is forecast to go to 3.6</w:t>
      </w:r>
      <w:r w:rsidR="001A046D">
        <w:t>%</w:t>
      </w:r>
      <w:r w:rsidR="00D63B07" w:rsidRPr="005A22C2">
        <w:t xml:space="preserve"> over the next 12 months. </w:t>
      </w:r>
      <w:r w:rsidR="00424BC0" w:rsidRPr="005A22C2">
        <w:t xml:space="preserve">As the risk-free rate is continually changing, they recommended more frequent </w:t>
      </w:r>
      <w:r w:rsidR="006344D5" w:rsidRPr="005A22C2">
        <w:t>SDA Pricing Review</w:t>
      </w:r>
      <w:r w:rsidR="00424BC0" w:rsidRPr="005A22C2">
        <w:t xml:space="preserve">s or implementing a pricing formula which is contingent on users </w:t>
      </w:r>
      <w:r w:rsidR="00F73213" w:rsidRPr="005A22C2">
        <w:t>updating for the current risk-free rate</w:t>
      </w:r>
      <w:r w:rsidR="00FD4A08" w:rsidRPr="005A22C2">
        <w:t>.</w:t>
      </w:r>
      <w:r w:rsidR="00F73213" w:rsidRPr="005A22C2">
        <w:t xml:space="preserve"> </w:t>
      </w:r>
      <w:proofErr w:type="gramStart"/>
      <w:r w:rsidR="008E1262" w:rsidRPr="005A22C2">
        <w:t>Similar to</w:t>
      </w:r>
      <w:proofErr w:type="gramEnd"/>
      <w:r w:rsidR="008E1262" w:rsidRPr="005A22C2">
        <w:t xml:space="preserve"> the initial pricing decision in 2016, </w:t>
      </w:r>
      <w:r w:rsidR="00B827A6" w:rsidRPr="002B10BC">
        <w:t>Lighthouse and</w:t>
      </w:r>
      <w:r w:rsidR="006B7B99">
        <w:t xml:space="preserve"> a confidential submission</w:t>
      </w:r>
      <w:r w:rsidR="00B827A6" w:rsidRPr="005A22C2">
        <w:t xml:space="preserve"> </w:t>
      </w:r>
      <w:r w:rsidR="008E1262" w:rsidRPr="005A22C2">
        <w:t xml:space="preserve">suggested that a three-month trailing average </w:t>
      </w:r>
      <w:r w:rsidR="001A39F7" w:rsidRPr="005A22C2">
        <w:t xml:space="preserve">of the risk-free rate </w:t>
      </w:r>
      <w:r w:rsidR="008E1262" w:rsidRPr="005A22C2">
        <w:t>should be used up to the release of the SDA Pricing Review outcomes.</w:t>
      </w:r>
    </w:p>
    <w:p w14:paraId="2F52120C" w14:textId="339DEBB8" w:rsidR="00CF696B" w:rsidRPr="005A22C2" w:rsidRDefault="008F3B39" w:rsidP="006720A0">
      <w:r w:rsidRPr="005A22C2">
        <w:t xml:space="preserve">The risk-free rate should be consistently used for </w:t>
      </w:r>
      <w:r w:rsidR="004F2D97" w:rsidRPr="005A22C2">
        <w:t>calculations of both the cost of debt and the cost of equity</w:t>
      </w:r>
      <w:r w:rsidR="00C40B01" w:rsidRPr="005A22C2">
        <w:t xml:space="preserve"> assumptions</w:t>
      </w:r>
      <w:r w:rsidR="00FD4A08" w:rsidRPr="005A22C2">
        <w:t>.</w:t>
      </w:r>
      <w:r w:rsidR="00C40B01" w:rsidRPr="005A22C2">
        <w:t xml:space="preserve"> For this reason, </w:t>
      </w:r>
      <w:r w:rsidR="006B7B99">
        <w:t xml:space="preserve">a confidential submission </w:t>
      </w:r>
      <w:r w:rsidR="006B7B99">
        <w:lastRenderedPageBreak/>
        <w:t>s</w:t>
      </w:r>
      <w:r w:rsidR="00C40B01" w:rsidRPr="005A22C2">
        <w:t xml:space="preserve">uggested that a swaps-to-bond swaps spread should also be </w:t>
      </w:r>
      <w:r w:rsidR="00F60E14" w:rsidRPr="005A22C2">
        <w:t>incorporated and</w:t>
      </w:r>
      <w:r w:rsidR="00303D52" w:rsidRPr="005A22C2">
        <w:t xml:space="preserve"> referred to </w:t>
      </w:r>
      <w:r w:rsidR="0090173C" w:rsidRPr="005A22C2">
        <w:t>the current market premium of 50</w:t>
      </w:r>
      <w:r w:rsidR="00E67C24">
        <w:t xml:space="preserve"> to </w:t>
      </w:r>
      <w:r w:rsidR="0090173C" w:rsidRPr="005A22C2">
        <w:t>60 basis points.</w:t>
      </w:r>
    </w:p>
    <w:p w14:paraId="040B5670" w14:textId="63E0003E" w:rsidR="007E729D" w:rsidRPr="005A22C2" w:rsidRDefault="000F455D" w:rsidP="006720A0">
      <w:pPr>
        <w:rPr>
          <w:i/>
          <w:iCs/>
        </w:rPr>
      </w:pPr>
      <w:r w:rsidRPr="005A22C2">
        <w:t>S</w:t>
      </w:r>
      <w:r w:rsidR="00460DDB" w:rsidRPr="005A22C2">
        <w:t xml:space="preserve">everal written submissions recommended aligning the </w:t>
      </w:r>
      <w:r w:rsidR="00A26B5D" w:rsidRPr="005A22C2">
        <w:t xml:space="preserve">rate to other </w:t>
      </w:r>
      <w:r w:rsidR="0041796D" w:rsidRPr="005A22C2">
        <w:t xml:space="preserve">Australian </w:t>
      </w:r>
      <w:r w:rsidR="00A26B5D" w:rsidRPr="005A22C2">
        <w:t>regulators</w:t>
      </w:r>
      <w:r w:rsidR="0041796D" w:rsidRPr="005A22C2">
        <w:t xml:space="preserve"> (such as the Australia Energy Regulator) as they undertake substantial analysis and frequently publish information regarding the topic. </w:t>
      </w:r>
      <w:r w:rsidR="00074969" w:rsidRPr="005A22C2">
        <w:t>The Australian Energy Regulator’s current analysis suggests the use of a 6.8</w:t>
      </w:r>
      <w:r w:rsidR="001A046D">
        <w:t>%</w:t>
      </w:r>
      <w:r w:rsidR="00074969" w:rsidRPr="005A22C2">
        <w:t xml:space="preserve"> market risk premium for </w:t>
      </w:r>
      <w:r w:rsidR="00045A00" w:rsidRPr="005A22C2">
        <w:t>businesses with an expected regulatory control period of less than five years and one month.</w:t>
      </w:r>
      <w:r w:rsidR="00FE6943" w:rsidRPr="005A22C2">
        <w:t xml:space="preserve"> </w:t>
      </w:r>
      <w:r w:rsidR="00FE6943" w:rsidRPr="002B10BC">
        <w:t>Conversely, Barwon Investment Partners suggested</w:t>
      </w:r>
      <w:r w:rsidR="00FE6943" w:rsidRPr="005A22C2">
        <w:t xml:space="preserve"> the current assumption of 6.0</w:t>
      </w:r>
      <w:r w:rsidR="001A046D">
        <w:t>%</w:t>
      </w:r>
      <w:r w:rsidR="00FE6943" w:rsidRPr="005A22C2">
        <w:t xml:space="preserve"> in the </w:t>
      </w:r>
      <w:r w:rsidR="00FE6943" w:rsidRPr="005A22C2">
        <w:rPr>
          <w:i/>
          <w:iCs/>
        </w:rPr>
        <w:t xml:space="preserve">NDIS Pricing Arrangements for SDA </w:t>
      </w:r>
      <w:r w:rsidR="00FE6943" w:rsidRPr="005A22C2">
        <w:t xml:space="preserve">is consistent with </w:t>
      </w:r>
      <w:r w:rsidR="00A54A07" w:rsidRPr="005A22C2">
        <w:t xml:space="preserve">several </w:t>
      </w:r>
      <w:r w:rsidR="0053024B" w:rsidRPr="005A22C2">
        <w:t>academic papers</w:t>
      </w:r>
      <w:r w:rsidR="00A54A07" w:rsidRPr="005A22C2">
        <w:t>, however</w:t>
      </w:r>
      <w:r w:rsidR="00971DC4">
        <w:t>,</w:t>
      </w:r>
      <w:r w:rsidR="00A54A07" w:rsidRPr="005A22C2">
        <w:t xml:space="preserve"> did recognise these were</w:t>
      </w:r>
      <w:r w:rsidR="0053024B" w:rsidRPr="005A22C2">
        <w:t xml:space="preserve"> written prior to the COVID-19 pandemic.</w:t>
      </w:r>
      <w:r w:rsidR="00FD4A08" w:rsidRPr="005A22C2">
        <w:t xml:space="preserve"> Ad</w:t>
      </w:r>
      <w:r w:rsidR="003520DE" w:rsidRPr="005A22C2">
        <w:t>ditionally, several stakeholders suggested that there are other debt costs that should be included within the cost of debt calculation, such as establishment and refinancing fees</w:t>
      </w:r>
      <w:r w:rsidR="001F33E9" w:rsidRPr="005A22C2">
        <w:t xml:space="preserve"> (</w:t>
      </w:r>
      <w:r w:rsidR="00386A55" w:rsidRPr="005A22C2">
        <w:t>between 0.1</w:t>
      </w:r>
      <w:r w:rsidR="001A046D">
        <w:t>%</w:t>
      </w:r>
      <w:r w:rsidR="007250BD">
        <w:t xml:space="preserve"> to </w:t>
      </w:r>
      <w:r w:rsidR="00386A55" w:rsidRPr="005A22C2">
        <w:t>0.2</w:t>
      </w:r>
      <w:r w:rsidR="001A046D">
        <w:t>%</w:t>
      </w:r>
      <w:r w:rsidR="00386A55" w:rsidRPr="005A22C2">
        <w:t>)</w:t>
      </w:r>
      <w:r w:rsidR="003520DE" w:rsidRPr="005A22C2">
        <w:t>, hedging costs</w:t>
      </w:r>
      <w:r w:rsidR="00386A55" w:rsidRPr="005A22C2">
        <w:t xml:space="preserve"> (0.74</w:t>
      </w:r>
      <w:r w:rsidR="001A046D">
        <w:t>%</w:t>
      </w:r>
      <w:r w:rsidR="00386A55" w:rsidRPr="005A22C2">
        <w:t>)</w:t>
      </w:r>
      <w:r w:rsidR="003520DE" w:rsidRPr="005A22C2">
        <w:t xml:space="preserve">, </w:t>
      </w:r>
      <w:r w:rsidR="003520DE" w:rsidRPr="00A46696">
        <w:t>commitment fees</w:t>
      </w:r>
      <w:r w:rsidR="00F96C0E" w:rsidRPr="00A46696">
        <w:t xml:space="preserve"> (0.1</w:t>
      </w:r>
      <w:r w:rsidR="001A046D" w:rsidRPr="00A46696">
        <w:t>%</w:t>
      </w:r>
      <w:r w:rsidR="00F96C0E" w:rsidRPr="00A46696">
        <w:t>)</w:t>
      </w:r>
      <w:r w:rsidR="00EB241F" w:rsidRPr="00A46696">
        <w:t xml:space="preserve">, facility holding costs </w:t>
      </w:r>
      <w:r w:rsidR="00F96C0E" w:rsidRPr="00A46696">
        <w:t>(0.56</w:t>
      </w:r>
      <w:r w:rsidR="001A046D" w:rsidRPr="00A46696">
        <w:t>%</w:t>
      </w:r>
      <w:r w:rsidR="007250BD" w:rsidRPr="00A46696">
        <w:t xml:space="preserve"> to </w:t>
      </w:r>
      <w:r w:rsidR="00F96C0E" w:rsidRPr="00A46696">
        <w:t>0.67</w:t>
      </w:r>
      <w:r w:rsidR="001A046D" w:rsidRPr="00A46696">
        <w:t>%</w:t>
      </w:r>
      <w:r w:rsidR="00F96C0E" w:rsidRPr="00A46696">
        <w:t xml:space="preserve">), </w:t>
      </w:r>
      <w:r w:rsidR="00EB241F" w:rsidRPr="00A46696">
        <w:t>and security and other ancillary costs (such as legal fees</w:t>
      </w:r>
      <w:r w:rsidR="00FE6E9F" w:rsidRPr="00A46696">
        <w:t xml:space="preserve">, </w:t>
      </w:r>
      <w:r w:rsidR="00912F85" w:rsidRPr="00A46696">
        <w:t xml:space="preserve">approximately </w:t>
      </w:r>
      <w:r w:rsidR="00FE6E9F" w:rsidRPr="00A46696">
        <w:t>0.1</w:t>
      </w:r>
      <w:r w:rsidR="001A046D" w:rsidRPr="00A46696">
        <w:t>%</w:t>
      </w:r>
      <w:r w:rsidR="00EB241F" w:rsidRPr="00A46696">
        <w:t xml:space="preserve">). </w:t>
      </w:r>
      <w:proofErr w:type="spellStart"/>
      <w:r w:rsidR="001D6303" w:rsidRPr="00A46696">
        <w:t>Synergis</w:t>
      </w:r>
      <w:proofErr w:type="spellEnd"/>
      <w:r w:rsidR="001D6303" w:rsidRPr="00A46696">
        <w:t xml:space="preserve"> </w:t>
      </w:r>
      <w:r w:rsidR="00610032" w:rsidRPr="00A46696">
        <w:t xml:space="preserve">Fund, SDA Alliance </w:t>
      </w:r>
      <w:r w:rsidR="00695D7E" w:rsidRPr="00A46696">
        <w:t>and Australian Unity</w:t>
      </w:r>
      <w:r w:rsidR="001D6303" w:rsidRPr="00A46696">
        <w:t xml:space="preserve"> also stated that the CAPM does not </w:t>
      </w:r>
      <w:r w:rsidR="000E0C5C" w:rsidRPr="00A46696">
        <w:t>consider</w:t>
      </w:r>
      <w:r w:rsidR="001D6303" w:rsidRPr="00A46696">
        <w:t xml:space="preserve"> the cost of accessing investment</w:t>
      </w:r>
      <w:r w:rsidR="00536C3D" w:rsidRPr="00A46696">
        <w:t xml:space="preserve"> equity</w:t>
      </w:r>
      <w:r w:rsidR="008877DB" w:rsidRPr="00A46696">
        <w:t xml:space="preserve">, which can be material in both direct cost and time. </w:t>
      </w:r>
      <w:r w:rsidR="0078721C" w:rsidRPr="00A46696">
        <w:t xml:space="preserve">Australian Unity </w:t>
      </w:r>
      <w:r w:rsidR="00C51E64" w:rsidRPr="00A46696">
        <w:t>and SDA Alliance</w:t>
      </w:r>
      <w:r w:rsidR="0078721C" w:rsidRPr="00A46696">
        <w:t xml:space="preserve"> suggested that as the risk-free rate increases, the costs incurred to </w:t>
      </w:r>
      <w:r w:rsidR="00A46187" w:rsidRPr="00A46696">
        <w:t xml:space="preserve">access </w:t>
      </w:r>
      <w:r w:rsidR="00445A89" w:rsidRPr="00A46696">
        <w:t>capital will also increase</w:t>
      </w:r>
      <w:r w:rsidR="00304F5E" w:rsidRPr="00A46696">
        <w:t xml:space="preserve">, and any policy changes impacting SDA which </w:t>
      </w:r>
      <w:r w:rsidR="00D178B0" w:rsidRPr="00A46696">
        <w:t>increase uncertainty</w:t>
      </w:r>
      <w:r w:rsidR="003343EF" w:rsidRPr="00A46696">
        <w:t xml:space="preserve"> or delays may also impact </w:t>
      </w:r>
      <w:r w:rsidR="00573BF2" w:rsidRPr="00A46696">
        <w:t>investor confidence</w:t>
      </w:r>
      <w:r w:rsidR="00FD4A08" w:rsidRPr="00A46696">
        <w:t>.</w:t>
      </w:r>
      <w:r w:rsidR="004D43EF" w:rsidRPr="00A46696">
        <w:t xml:space="preserve"> </w:t>
      </w:r>
      <w:proofErr w:type="spellStart"/>
      <w:r w:rsidR="008877DB" w:rsidRPr="00A46696">
        <w:t>Synergis</w:t>
      </w:r>
      <w:proofErr w:type="spellEnd"/>
      <w:r w:rsidR="008877DB" w:rsidRPr="00A46696">
        <w:t xml:space="preserve"> </w:t>
      </w:r>
      <w:r w:rsidR="00DF0983" w:rsidRPr="00A46696">
        <w:t>Fund</w:t>
      </w:r>
      <w:r w:rsidR="008877DB" w:rsidRPr="00A46696">
        <w:t xml:space="preserve"> uses an external capital advisor to assist with raising </w:t>
      </w:r>
      <w:proofErr w:type="gramStart"/>
      <w:r w:rsidR="008877DB" w:rsidRPr="00A46696">
        <w:t>capital, and</w:t>
      </w:r>
      <w:proofErr w:type="gramEnd"/>
      <w:r w:rsidR="008877DB" w:rsidRPr="00A46696">
        <w:t xml:space="preserve"> </w:t>
      </w:r>
      <w:r w:rsidR="005361D4" w:rsidRPr="00A46696">
        <w:t>stated</w:t>
      </w:r>
      <w:r w:rsidR="008877DB" w:rsidRPr="00A46696">
        <w:t xml:space="preserve"> that the fees typically experienced in the market range from around 1.</w:t>
      </w:r>
      <w:r w:rsidR="001A040E" w:rsidRPr="00A46696">
        <w:t>0</w:t>
      </w:r>
      <w:r w:rsidR="006F3AC8" w:rsidRPr="00A46696">
        <w:t>%</w:t>
      </w:r>
      <w:r w:rsidR="008877DB" w:rsidRPr="00A46696">
        <w:t xml:space="preserve"> to 1.5</w:t>
      </w:r>
      <w:r w:rsidR="006F3AC8" w:rsidRPr="00A46696">
        <w:t>%</w:t>
      </w:r>
      <w:r w:rsidR="008877DB" w:rsidRPr="00A46696">
        <w:t xml:space="preserve"> of the value of the equity raised.</w:t>
      </w:r>
      <w:r w:rsidR="001A040E" w:rsidRPr="00A46696">
        <w:t xml:space="preserve"> They recommend there should be an increase of </w:t>
      </w:r>
      <w:r w:rsidR="00102CD9" w:rsidRPr="00A46696">
        <w:t xml:space="preserve">approximately </w:t>
      </w:r>
      <w:r w:rsidR="001A040E" w:rsidRPr="00A46696">
        <w:t>0.1</w:t>
      </w:r>
      <w:r w:rsidR="006F3AC8" w:rsidRPr="00A46696">
        <w:t>%</w:t>
      </w:r>
      <w:r w:rsidR="001A040E" w:rsidRPr="00A46696">
        <w:t xml:space="preserve"> </w:t>
      </w:r>
      <w:r w:rsidR="00102CD9" w:rsidRPr="00A46696">
        <w:t xml:space="preserve">to reflect these costs incurred </w:t>
      </w:r>
      <w:r w:rsidR="000D68B5" w:rsidRPr="00A46696">
        <w:t>in raising equity</w:t>
      </w:r>
      <w:r w:rsidR="00102CD9" w:rsidRPr="00A46696">
        <w:t>.</w:t>
      </w:r>
      <w:r w:rsidR="00FD4A08" w:rsidRPr="00A46696">
        <w:t xml:space="preserve"> </w:t>
      </w:r>
      <w:r w:rsidR="00AA2035" w:rsidRPr="00A46696">
        <w:t xml:space="preserve">Australian Unity </w:t>
      </w:r>
      <w:r w:rsidR="009A3DF6" w:rsidRPr="00A46696">
        <w:t xml:space="preserve">and SDA Alliance </w:t>
      </w:r>
      <w:r w:rsidR="00844804" w:rsidRPr="00A46696">
        <w:t>recommended</w:t>
      </w:r>
      <w:r w:rsidR="00844804" w:rsidRPr="005A22C2">
        <w:t xml:space="preserve"> the cost of accessing investor equity should </w:t>
      </w:r>
      <w:r w:rsidR="0008382D" w:rsidRPr="005A22C2">
        <w:t xml:space="preserve">be included within the CAPM by increasing the </w:t>
      </w:r>
      <w:r w:rsidR="009E4737" w:rsidRPr="005A22C2">
        <w:t xml:space="preserve">return on </w:t>
      </w:r>
      <w:r w:rsidR="00A76C55" w:rsidRPr="005A22C2">
        <w:t>equity investment (r</w:t>
      </w:r>
      <w:r w:rsidR="00A76C55" w:rsidRPr="005A22C2">
        <w:rPr>
          <w:vertAlign w:val="subscript"/>
        </w:rPr>
        <w:t>e</w:t>
      </w:r>
      <w:r w:rsidR="00A76C55" w:rsidRPr="005A22C2">
        <w:t>) by an additional 0.125</w:t>
      </w:r>
      <w:r w:rsidR="006F3AC8">
        <w:t>%</w:t>
      </w:r>
      <w:r w:rsidR="00A76C55" w:rsidRPr="005A22C2">
        <w:t>.</w:t>
      </w:r>
    </w:p>
    <w:p w14:paraId="711DC86D" w14:textId="00C63090" w:rsidR="00CF696B" w:rsidRPr="005A22C2" w:rsidRDefault="00CF696B" w:rsidP="006720A0">
      <w:r w:rsidRPr="005A22C2">
        <w:t xml:space="preserve">A stakeholder from the SDA Institutional Investors </w:t>
      </w:r>
      <w:r w:rsidR="00D84C52" w:rsidRPr="005A22C2">
        <w:t>Consultation Group</w:t>
      </w:r>
      <w:r w:rsidRPr="005A22C2">
        <w:t xml:space="preserve"> suggested that the model should include a more accurate cost of capital, noting that that current WACC is approximately 5.42</w:t>
      </w:r>
      <w:r w:rsidR="006F3AC8">
        <w:t>%</w:t>
      </w:r>
      <w:r w:rsidRPr="005A22C2">
        <w:t>.</w:t>
      </w:r>
    </w:p>
    <w:p w14:paraId="29F0E378" w14:textId="20F5D66F" w:rsidR="00551B3E" w:rsidRPr="005A22C2" w:rsidRDefault="00551B3E" w:rsidP="006720A0">
      <w:pPr>
        <w:pStyle w:val="Heading3"/>
      </w:pPr>
      <w:bookmarkStart w:id="235" w:name="_Toc122454263"/>
      <w:bookmarkStart w:id="236" w:name="_Toc122527552"/>
      <w:bookmarkStart w:id="237" w:name="_Toc129783618"/>
      <w:r w:rsidRPr="005A22C2">
        <w:t>Land price appreciation assumption</w:t>
      </w:r>
      <w:bookmarkEnd w:id="235"/>
      <w:bookmarkEnd w:id="236"/>
      <w:bookmarkEnd w:id="237"/>
    </w:p>
    <w:p w14:paraId="2B9CBC11" w14:textId="267DF139" w:rsidR="00574D78" w:rsidRPr="005A22C2" w:rsidRDefault="001F3FEB" w:rsidP="006720A0">
      <w:r w:rsidRPr="005A22C2">
        <w:t xml:space="preserve">Stakeholders in the </w:t>
      </w:r>
      <w:r w:rsidR="00EA2126" w:rsidRPr="005A22C2">
        <w:t>SDA Banks</w:t>
      </w:r>
      <w:r w:rsidR="00D6227D" w:rsidRPr="005A22C2">
        <w:t xml:space="preserve"> and Funds</w:t>
      </w:r>
      <w:r w:rsidRPr="005A22C2">
        <w:t xml:space="preserve"> </w:t>
      </w:r>
      <w:r w:rsidR="00D84C52" w:rsidRPr="005A22C2">
        <w:t>Consultation Group</w:t>
      </w:r>
      <w:r w:rsidRPr="005A22C2">
        <w:t xml:space="preserve"> consultation </w:t>
      </w:r>
      <w:r w:rsidR="00504690" w:rsidRPr="005A22C2">
        <w:t xml:space="preserve">and in </w:t>
      </w:r>
      <w:r w:rsidR="00FC5EB3" w:rsidRPr="005A22C2">
        <w:t>a</w:t>
      </w:r>
      <w:r w:rsidR="00504690" w:rsidRPr="005A22C2">
        <w:t xml:space="preserve"> written submission </w:t>
      </w:r>
      <w:r w:rsidR="002253CD" w:rsidRPr="005A22C2">
        <w:t>expressed concerns that</w:t>
      </w:r>
      <w:r w:rsidRPr="005A22C2">
        <w:t xml:space="preserve"> the current </w:t>
      </w:r>
      <w:r w:rsidR="00391F4B" w:rsidRPr="005A22C2">
        <w:t xml:space="preserve">long-term </w:t>
      </w:r>
      <w:r w:rsidR="008C221C" w:rsidRPr="005A22C2">
        <w:t>land appreciation assumption</w:t>
      </w:r>
      <w:r w:rsidR="00391F4B" w:rsidRPr="005A22C2">
        <w:t xml:space="preserve"> in the </w:t>
      </w:r>
      <w:r w:rsidR="00237C38" w:rsidRPr="005A22C2">
        <w:rPr>
          <w:i/>
        </w:rPr>
        <w:t>NDIS Pricing Arrangements for SDA</w:t>
      </w:r>
      <w:r w:rsidR="00391F4B" w:rsidRPr="005A22C2">
        <w:t xml:space="preserve"> is unrealistic. </w:t>
      </w:r>
      <w:r w:rsidR="00EB384B" w:rsidRPr="005A22C2">
        <w:t>Stakeholders challenged the assumption</w:t>
      </w:r>
      <w:r w:rsidR="009310B8" w:rsidRPr="005A22C2">
        <w:t xml:space="preserve"> and </w:t>
      </w:r>
      <w:r w:rsidR="005361D4" w:rsidRPr="005A22C2">
        <w:t>stated</w:t>
      </w:r>
      <w:r w:rsidR="009310B8" w:rsidRPr="005A22C2">
        <w:t xml:space="preserve"> that most </w:t>
      </w:r>
      <w:r w:rsidR="007323FD" w:rsidRPr="005A22C2">
        <w:t xml:space="preserve">institutional </w:t>
      </w:r>
      <w:r w:rsidR="009310B8" w:rsidRPr="005A22C2">
        <w:t>investors are basing their long-term land appreciation assumption on the top range of the R</w:t>
      </w:r>
      <w:r w:rsidR="00E00A56" w:rsidRPr="005A22C2">
        <w:t>eserve Bank</w:t>
      </w:r>
      <w:r w:rsidR="003B3F3C" w:rsidRPr="005A22C2">
        <w:t>’s</w:t>
      </w:r>
      <w:r w:rsidR="009310B8" w:rsidRPr="005A22C2">
        <w:t xml:space="preserve"> target band, around 3</w:t>
      </w:r>
      <w:r w:rsidR="006F3AC8">
        <w:t>%</w:t>
      </w:r>
      <w:r w:rsidR="009310B8" w:rsidRPr="005A22C2">
        <w:t>.</w:t>
      </w:r>
      <w:r w:rsidR="00FD4A08" w:rsidRPr="005A22C2">
        <w:t xml:space="preserve"> </w:t>
      </w:r>
      <w:r w:rsidR="00B741FF">
        <w:t xml:space="preserve">A confidential submission </w:t>
      </w:r>
      <w:r w:rsidR="00F61CE1" w:rsidRPr="005A22C2">
        <w:t xml:space="preserve">concurred with this </w:t>
      </w:r>
      <w:r w:rsidR="001F52E2" w:rsidRPr="005A22C2">
        <w:t>point and</w:t>
      </w:r>
      <w:r w:rsidR="00F61CE1" w:rsidRPr="005A22C2">
        <w:t xml:space="preserve"> suggested that </w:t>
      </w:r>
      <w:r w:rsidR="00376FB0" w:rsidRPr="005A22C2">
        <w:t>institutional investors they have previously engaged tend to assume CPI growth.</w:t>
      </w:r>
      <w:r w:rsidR="00FD4A08" w:rsidRPr="005A22C2">
        <w:t xml:space="preserve"> </w:t>
      </w:r>
      <w:r w:rsidR="00B33770" w:rsidRPr="005A22C2">
        <w:t xml:space="preserve">Another stakeholder </w:t>
      </w:r>
      <w:r w:rsidR="001F2CE0" w:rsidRPr="005A22C2">
        <w:t xml:space="preserve">from the SDA Banks and Funds </w:t>
      </w:r>
      <w:r w:rsidR="00D84C52" w:rsidRPr="005A22C2">
        <w:t>Consultation Group</w:t>
      </w:r>
      <w:r w:rsidR="001F2CE0" w:rsidRPr="005A22C2">
        <w:t xml:space="preserve"> </w:t>
      </w:r>
      <w:r w:rsidR="00B33770" w:rsidRPr="005A22C2">
        <w:t>indicated that their organisation would not accept an assumption of 5</w:t>
      </w:r>
      <w:r w:rsidR="006F011E">
        <w:t>%</w:t>
      </w:r>
      <w:r w:rsidR="0021281A" w:rsidRPr="005A22C2">
        <w:t xml:space="preserve"> p</w:t>
      </w:r>
      <w:r w:rsidR="00FE3863">
        <w:t>er</w:t>
      </w:r>
      <w:r w:rsidR="00886BF2">
        <w:t xml:space="preserve"> </w:t>
      </w:r>
      <w:r w:rsidR="0021281A" w:rsidRPr="005A22C2">
        <w:t>a</w:t>
      </w:r>
      <w:r w:rsidR="00FE3863">
        <w:t>nnum</w:t>
      </w:r>
      <w:r w:rsidR="0021281A" w:rsidRPr="005A22C2">
        <w:t xml:space="preserve"> </w:t>
      </w:r>
      <w:r w:rsidR="00A0203D" w:rsidRPr="005A22C2">
        <w:t>growth on a broadacre land</w:t>
      </w:r>
      <w:r w:rsidR="00921CBF" w:rsidRPr="005A22C2">
        <w:t xml:space="preserve"> bank</w:t>
      </w:r>
      <w:r w:rsidR="009D7A5F" w:rsidRPr="005A22C2">
        <w:t>.</w:t>
      </w:r>
      <w:r w:rsidR="00AE2137" w:rsidRPr="005A22C2">
        <w:t xml:space="preserve"> As banks lend against the outcomes of independent valuations</w:t>
      </w:r>
      <w:r w:rsidR="00BD43DE" w:rsidRPr="005A22C2">
        <w:t xml:space="preserve"> and</w:t>
      </w:r>
      <w:r w:rsidR="00AE2137" w:rsidRPr="005A22C2">
        <w:t xml:space="preserve"> valuers are not adopting 5</w:t>
      </w:r>
      <w:r w:rsidR="006F011E">
        <w:t>%</w:t>
      </w:r>
      <w:r w:rsidR="00AE2137" w:rsidRPr="005A22C2">
        <w:t xml:space="preserve"> p</w:t>
      </w:r>
      <w:r w:rsidR="00FE3863">
        <w:t>er</w:t>
      </w:r>
      <w:r w:rsidR="00886BF2">
        <w:t xml:space="preserve"> </w:t>
      </w:r>
      <w:r w:rsidR="00AE2137" w:rsidRPr="005A22C2">
        <w:t>a</w:t>
      </w:r>
      <w:r w:rsidR="00FE3863">
        <w:t>nnum</w:t>
      </w:r>
      <w:r w:rsidR="00AE2137" w:rsidRPr="005A22C2">
        <w:t xml:space="preserve"> growth, they also </w:t>
      </w:r>
      <w:r w:rsidR="009F7DAA" w:rsidRPr="005A22C2">
        <w:t>will not accept this assumption.</w:t>
      </w:r>
    </w:p>
    <w:p w14:paraId="37E1E60C" w14:textId="213DDD28" w:rsidR="00FC5EB3" w:rsidRPr="005A22C2" w:rsidRDefault="00B741FF" w:rsidP="006720A0">
      <w:r>
        <w:lastRenderedPageBreak/>
        <w:t xml:space="preserve">A confidential submission </w:t>
      </w:r>
      <w:r w:rsidR="00FC5EB3" w:rsidRPr="00971DC4">
        <w:t>also suggested that i</w:t>
      </w:r>
      <w:r w:rsidR="00F46CC0" w:rsidRPr="00971DC4">
        <w:t xml:space="preserve">nstitutional </w:t>
      </w:r>
      <w:r w:rsidR="009A35C3" w:rsidRPr="00971DC4">
        <w:t>long-term</w:t>
      </w:r>
      <w:r w:rsidR="00F46CC0" w:rsidRPr="00971DC4">
        <w:t xml:space="preserve"> investors </w:t>
      </w:r>
      <w:r w:rsidR="00AB1959" w:rsidRPr="00971DC4">
        <w:t xml:space="preserve">are </w:t>
      </w:r>
      <w:r w:rsidR="0092002C" w:rsidRPr="00971DC4">
        <w:t>“</w:t>
      </w:r>
      <w:r w:rsidR="00AB1959" w:rsidRPr="00971DC4">
        <w:t>not inclined to participate in ventures that rely on land price growth to earn a substantial portion of returns”</w:t>
      </w:r>
      <w:r w:rsidR="006772C2" w:rsidRPr="00971DC4">
        <w:t>.</w:t>
      </w:r>
      <w:r w:rsidR="00E35992" w:rsidRPr="00971DC4">
        <w:t xml:space="preserve"> T</w:t>
      </w:r>
      <w:r w:rsidR="00AB1959" w:rsidRPr="00971DC4">
        <w:t>h</w:t>
      </w:r>
      <w:r w:rsidR="00C042B7" w:rsidRPr="00971DC4">
        <w:t xml:space="preserve">ey </w:t>
      </w:r>
      <w:r w:rsidR="005361D4" w:rsidRPr="00971DC4">
        <w:t>stated</w:t>
      </w:r>
      <w:r w:rsidR="00C042B7" w:rsidRPr="00971DC4">
        <w:t xml:space="preserve"> that some of their investors </w:t>
      </w:r>
      <w:r w:rsidR="006314CA" w:rsidRPr="00971DC4">
        <w:t xml:space="preserve">prevent </w:t>
      </w:r>
      <w:r w:rsidR="001B2792" w:rsidRPr="00971DC4">
        <w:t xml:space="preserve">material </w:t>
      </w:r>
      <w:r w:rsidR="006314CA" w:rsidRPr="00971DC4">
        <w:t xml:space="preserve">land banking and </w:t>
      </w:r>
      <w:r w:rsidR="004227B0" w:rsidRPr="00971DC4">
        <w:t xml:space="preserve">require a </w:t>
      </w:r>
      <w:r w:rsidR="00721F6B" w:rsidRPr="00971DC4">
        <w:t>10</w:t>
      </w:r>
      <w:r w:rsidR="006F011E">
        <w:t>%</w:t>
      </w:r>
      <w:r w:rsidR="00721F6B" w:rsidRPr="00971DC4">
        <w:t xml:space="preserve"> </w:t>
      </w:r>
      <w:r w:rsidR="004227B0" w:rsidRPr="00971DC4">
        <w:t xml:space="preserve">limit </w:t>
      </w:r>
      <w:r w:rsidR="00721F6B" w:rsidRPr="00971DC4">
        <w:t>to</w:t>
      </w:r>
      <w:r w:rsidR="004227B0" w:rsidRPr="005A22C2">
        <w:t xml:space="preserve"> </w:t>
      </w:r>
      <w:r w:rsidR="00A9269B" w:rsidRPr="005A22C2">
        <w:t>the amount of undeveloped land held</w:t>
      </w:r>
      <w:r w:rsidR="00BE0D1B" w:rsidRPr="005A22C2">
        <w:t xml:space="preserve">, </w:t>
      </w:r>
      <w:r w:rsidR="008870F6" w:rsidRPr="005A22C2">
        <w:t xml:space="preserve">due to the </w:t>
      </w:r>
      <w:r w:rsidR="003A645C" w:rsidRPr="005A22C2">
        <w:t xml:space="preserve">additional </w:t>
      </w:r>
      <w:r w:rsidR="008870F6" w:rsidRPr="005A22C2">
        <w:t>risks of</w:t>
      </w:r>
      <w:r w:rsidR="00787F94" w:rsidRPr="005A22C2">
        <w:t xml:space="preserve"> holding</w:t>
      </w:r>
      <w:r w:rsidR="00AE3170" w:rsidRPr="005A22C2">
        <w:t xml:space="preserve"> land that requires a return through SDA development and operation</w:t>
      </w:r>
      <w:r w:rsidR="00A9269B" w:rsidRPr="005A22C2">
        <w:t>.</w:t>
      </w:r>
    </w:p>
    <w:p w14:paraId="6C325277" w14:textId="1A9F80B0" w:rsidR="00551B3E" w:rsidRPr="005A22C2" w:rsidRDefault="00551B3E" w:rsidP="006720A0">
      <w:pPr>
        <w:pStyle w:val="Heading3"/>
      </w:pPr>
      <w:bookmarkStart w:id="238" w:name="_Toc122454264"/>
      <w:bookmarkStart w:id="239" w:name="_Toc122527553"/>
      <w:bookmarkStart w:id="240" w:name="_Toc129783619"/>
      <w:r w:rsidRPr="005A22C2">
        <w:t>Equity Beta</w:t>
      </w:r>
      <w:bookmarkEnd w:id="238"/>
      <w:bookmarkEnd w:id="239"/>
      <w:bookmarkEnd w:id="240"/>
    </w:p>
    <w:p w14:paraId="21EDD6E9" w14:textId="34726461" w:rsidR="00A47429" w:rsidRPr="005A22C2" w:rsidRDefault="00E8164E" w:rsidP="006720A0">
      <w:r w:rsidRPr="005A22C2">
        <w:t xml:space="preserve">It was widely acknowledged by stakeholders across </w:t>
      </w:r>
      <w:proofErr w:type="gramStart"/>
      <w:r w:rsidRPr="005A22C2">
        <w:t>a number of</w:t>
      </w:r>
      <w:proofErr w:type="gramEnd"/>
      <w:r w:rsidRPr="005A22C2">
        <w:t xml:space="preserve"> </w:t>
      </w:r>
      <w:r w:rsidR="00D84C52" w:rsidRPr="005A22C2">
        <w:t>Consultation Group</w:t>
      </w:r>
      <w:r w:rsidRPr="005A22C2">
        <w:t xml:space="preserve">s </w:t>
      </w:r>
      <w:r w:rsidR="00737C38" w:rsidRPr="005A22C2">
        <w:t xml:space="preserve">and written submissions </w:t>
      </w:r>
      <w:r w:rsidRPr="005A22C2">
        <w:t xml:space="preserve">that the </w:t>
      </w:r>
      <w:r w:rsidR="00143AA5" w:rsidRPr="005A22C2">
        <w:t>E</w:t>
      </w:r>
      <w:r w:rsidRPr="005A22C2">
        <w:t xml:space="preserve">quity Beta </w:t>
      </w:r>
      <w:r w:rsidR="00143AA5" w:rsidRPr="005A22C2">
        <w:t xml:space="preserve">for SDA investments </w:t>
      </w:r>
      <w:r w:rsidRPr="005A22C2">
        <w:t>is too low</w:t>
      </w:r>
      <w:r w:rsidR="00E0135C" w:rsidRPr="005A22C2">
        <w:t xml:space="preserve"> and should reflect a more generous reward for </w:t>
      </w:r>
      <w:r w:rsidR="000054C4" w:rsidRPr="005A22C2">
        <w:t xml:space="preserve">bearing </w:t>
      </w:r>
      <w:r w:rsidR="00E0135C" w:rsidRPr="005A22C2">
        <w:t xml:space="preserve">the </w:t>
      </w:r>
      <w:r w:rsidR="009076F1" w:rsidRPr="005A22C2">
        <w:t>level of risk</w:t>
      </w:r>
      <w:r w:rsidR="000054C4" w:rsidRPr="005A22C2">
        <w:t xml:space="preserve"> in the market</w:t>
      </w:r>
      <w:r w:rsidR="00A65331" w:rsidRPr="005A22C2">
        <w:t xml:space="preserve">. </w:t>
      </w:r>
      <w:r w:rsidR="00A04FEC" w:rsidRPr="005A22C2">
        <w:t xml:space="preserve">As outlined in </w:t>
      </w:r>
      <w:r w:rsidR="004E7A67" w:rsidRPr="005A22C2">
        <w:t>C</w:t>
      </w:r>
      <w:r w:rsidR="00A04FEC" w:rsidRPr="005A22C2">
        <w:t xml:space="preserve">hapter </w:t>
      </w:r>
      <w:r w:rsidR="00A04FEC" w:rsidRPr="005A22C2">
        <w:fldChar w:fldCharType="begin"/>
      </w:r>
      <w:r w:rsidR="00A04FEC" w:rsidRPr="005A22C2">
        <w:instrText xml:space="preserve"> REF _Ref122352693 \r \h </w:instrText>
      </w:r>
      <w:r w:rsidR="00E80C1D" w:rsidRPr="005A22C2">
        <w:instrText xml:space="preserve"> \* MERGEFORMAT </w:instrText>
      </w:r>
      <w:r w:rsidR="00A04FEC" w:rsidRPr="005A22C2">
        <w:fldChar w:fldCharType="separate"/>
      </w:r>
      <w:r w:rsidR="006772C2">
        <w:t>1</w:t>
      </w:r>
      <w:r w:rsidR="00A04FEC" w:rsidRPr="005A22C2">
        <w:fldChar w:fldCharType="end"/>
      </w:r>
      <w:r w:rsidR="00A04FEC" w:rsidRPr="005A22C2">
        <w:t xml:space="preserve"> </w:t>
      </w:r>
      <w:r w:rsidR="004E7A67" w:rsidRPr="005A22C2">
        <w:t>(Financing costs)</w:t>
      </w:r>
      <w:r w:rsidR="00B47FD6" w:rsidRPr="005A22C2">
        <w:rPr>
          <w:i/>
          <w:iCs/>
        </w:rPr>
        <w:t xml:space="preserve"> </w:t>
      </w:r>
      <w:r w:rsidR="00B47FD6" w:rsidRPr="005A22C2">
        <w:rPr>
          <w:rFonts w:cs="Arial"/>
          <w:szCs w:val="22"/>
        </w:rPr>
        <w:t xml:space="preserve">of the </w:t>
      </w:r>
      <w:r w:rsidR="006344D5" w:rsidRPr="005A22C2">
        <w:rPr>
          <w:rFonts w:cs="Arial"/>
          <w:i/>
          <w:szCs w:val="22"/>
        </w:rPr>
        <w:t>SDA Pricing Review</w:t>
      </w:r>
      <w:r w:rsidR="00B47FD6" w:rsidRPr="005A22C2">
        <w:rPr>
          <w:rFonts w:cs="Arial"/>
          <w:i/>
          <w:szCs w:val="22"/>
        </w:rPr>
        <w:t xml:space="preserve"> </w:t>
      </w:r>
      <w:r w:rsidR="0070475B">
        <w:rPr>
          <w:rFonts w:cs="Arial"/>
          <w:i/>
          <w:szCs w:val="22"/>
        </w:rPr>
        <w:t>Report on Consultations</w:t>
      </w:r>
      <w:r w:rsidR="00A04FEC" w:rsidRPr="005A22C2">
        <w:rPr>
          <w:i/>
          <w:iCs/>
        </w:rPr>
        <w:t xml:space="preserve">, </w:t>
      </w:r>
      <w:r w:rsidR="00A04FEC" w:rsidRPr="005A22C2">
        <w:t>there are several factors which support a higher Equity Beta, such as</w:t>
      </w:r>
      <w:r w:rsidR="00AB6472" w:rsidRPr="005A22C2">
        <w:t>:</w:t>
      </w:r>
      <w:r w:rsidR="00A04FEC" w:rsidRPr="005A22C2">
        <w:t xml:space="preserve"> the immaturity of the market, particularly in comparison to other </w:t>
      </w:r>
      <w:r w:rsidR="002F6611" w:rsidRPr="005A22C2">
        <w:t>related asset classes (such as the aged care market)</w:t>
      </w:r>
      <w:r w:rsidR="00776709" w:rsidRPr="005A22C2">
        <w:t>;</w:t>
      </w:r>
      <w:r w:rsidR="002F6611" w:rsidRPr="005A22C2">
        <w:t xml:space="preserve"> </w:t>
      </w:r>
      <w:r w:rsidR="00E30094" w:rsidRPr="005A22C2">
        <w:t>the size and scale of the market</w:t>
      </w:r>
      <w:r w:rsidR="007848FA" w:rsidRPr="005A22C2">
        <w:t>;</w:t>
      </w:r>
      <w:r w:rsidR="00E30094" w:rsidRPr="005A22C2">
        <w:t xml:space="preserve"> </w:t>
      </w:r>
      <w:r w:rsidR="000E0CAA" w:rsidRPr="005A22C2">
        <w:t xml:space="preserve">the level </w:t>
      </w:r>
      <w:r w:rsidR="00870F28" w:rsidRPr="005A22C2">
        <w:t xml:space="preserve">and types </w:t>
      </w:r>
      <w:r w:rsidR="000E0CAA" w:rsidRPr="005A22C2">
        <w:t xml:space="preserve">of </w:t>
      </w:r>
      <w:r w:rsidR="001E644F" w:rsidRPr="005A22C2">
        <w:t>risk</w:t>
      </w:r>
      <w:r w:rsidR="00870F28" w:rsidRPr="005A22C2">
        <w:t>s</w:t>
      </w:r>
      <w:r w:rsidR="00EE6695" w:rsidRPr="005A22C2">
        <w:t xml:space="preserve"> </w:t>
      </w:r>
      <w:r w:rsidR="00A35705" w:rsidRPr="005A22C2">
        <w:t>present in the market</w:t>
      </w:r>
      <w:r w:rsidR="007848FA" w:rsidRPr="005A22C2">
        <w:t>;</w:t>
      </w:r>
      <w:r w:rsidR="00465749" w:rsidRPr="005A22C2">
        <w:t xml:space="preserve"> </w:t>
      </w:r>
      <w:r w:rsidR="0095794C" w:rsidRPr="005A22C2">
        <w:t>the nascency of the market</w:t>
      </w:r>
      <w:r w:rsidR="00B97606" w:rsidRPr="005A22C2">
        <w:t>;</w:t>
      </w:r>
      <w:r w:rsidR="0095794C" w:rsidRPr="005A22C2">
        <w:t xml:space="preserve"> </w:t>
      </w:r>
      <w:r w:rsidR="00AC1D8C" w:rsidRPr="005A22C2">
        <w:t xml:space="preserve">and </w:t>
      </w:r>
      <w:r w:rsidR="001C26F1" w:rsidRPr="005A22C2">
        <w:t>a</w:t>
      </w:r>
      <w:r w:rsidR="00AC1D8C" w:rsidRPr="005A22C2">
        <w:t xml:space="preserve"> lack of available </w:t>
      </w:r>
      <w:r w:rsidR="001C26F1" w:rsidRPr="005A22C2">
        <w:t xml:space="preserve">and accurate </w:t>
      </w:r>
      <w:r w:rsidR="00AC1D8C" w:rsidRPr="005A22C2">
        <w:t>information.</w:t>
      </w:r>
    </w:p>
    <w:p w14:paraId="036BCF36" w14:textId="3C819440" w:rsidR="00845FBE" w:rsidRPr="005A22C2" w:rsidRDefault="00A65331" w:rsidP="006720A0">
      <w:r w:rsidRPr="005A22C2">
        <w:t xml:space="preserve">One stakeholder in the </w:t>
      </w:r>
      <w:r w:rsidR="00EA2126" w:rsidRPr="005A22C2">
        <w:t>SDA Banks and Funds</w:t>
      </w:r>
      <w:r w:rsidR="006D4794" w:rsidRPr="005A22C2">
        <w:t xml:space="preserve"> </w:t>
      </w:r>
      <w:r w:rsidR="00D84C52" w:rsidRPr="005A22C2">
        <w:t>Consultation Group</w:t>
      </w:r>
      <w:r w:rsidR="006D4794" w:rsidRPr="005A22C2">
        <w:t xml:space="preserve"> consultation </w:t>
      </w:r>
      <w:r w:rsidR="008D7A0D" w:rsidRPr="005A22C2">
        <w:t>suggested that the aged care market is a decent proxy for the SDA market</w:t>
      </w:r>
      <w:r w:rsidR="000920BC" w:rsidRPr="005A22C2">
        <w:t xml:space="preserve"> due to their numerous shared similarities. However, it was recognised that </w:t>
      </w:r>
      <w:r w:rsidR="001F3E8B" w:rsidRPr="005A22C2">
        <w:t>the Equity Beta for the SDA market would be higher than</w:t>
      </w:r>
      <w:r w:rsidR="00E23A49" w:rsidRPr="005A22C2">
        <w:t xml:space="preserve"> that used in</w:t>
      </w:r>
      <w:r w:rsidR="001F3E8B" w:rsidRPr="005A22C2">
        <w:t xml:space="preserve"> </w:t>
      </w:r>
      <w:r w:rsidR="00E23A49" w:rsidRPr="005A22C2">
        <w:t>the aged care market</w:t>
      </w:r>
      <w:r w:rsidR="00FA771D" w:rsidRPr="005A22C2">
        <w:t xml:space="preserve"> as </w:t>
      </w:r>
      <w:r w:rsidR="008D7A0D" w:rsidRPr="005A22C2">
        <w:t xml:space="preserve">the </w:t>
      </w:r>
      <w:r w:rsidR="00FC5AF5" w:rsidRPr="005A22C2">
        <w:t>SDA</w:t>
      </w:r>
      <w:r w:rsidR="008D7A0D" w:rsidRPr="005A22C2">
        <w:t xml:space="preserve"> market is </w:t>
      </w:r>
      <w:r w:rsidR="00FC5AF5" w:rsidRPr="005A22C2">
        <w:t>much smaller</w:t>
      </w:r>
      <w:r w:rsidR="008D7A0D" w:rsidRPr="005A22C2">
        <w:t xml:space="preserve"> and </w:t>
      </w:r>
      <w:r w:rsidR="00FC5AF5" w:rsidRPr="005A22C2">
        <w:t>less</w:t>
      </w:r>
      <w:r w:rsidR="008D7A0D" w:rsidRPr="005A22C2">
        <w:t xml:space="preserve"> established</w:t>
      </w:r>
      <w:r w:rsidR="000920BC" w:rsidRPr="005A22C2">
        <w:t>. The aged care market uses Equity Beta</w:t>
      </w:r>
      <w:r w:rsidR="00CB7AEA" w:rsidRPr="005A22C2">
        <w:t>s for its assets of around 0.9 to 1.25</w:t>
      </w:r>
      <w:r w:rsidR="00FC041C" w:rsidRPr="005A22C2">
        <w:t xml:space="preserve"> and are generally less levered</w:t>
      </w:r>
      <w:r w:rsidR="00333C01" w:rsidRPr="005A22C2">
        <w:t xml:space="preserve"> to around 20</w:t>
      </w:r>
      <w:r w:rsidR="007250BD">
        <w:t xml:space="preserve">% to </w:t>
      </w:r>
      <w:r w:rsidR="00333C01" w:rsidRPr="005A22C2">
        <w:t>30</w:t>
      </w:r>
      <w:r w:rsidR="006F011E">
        <w:t>%</w:t>
      </w:r>
      <w:r w:rsidR="00333C01" w:rsidRPr="005A22C2">
        <w:t>.</w:t>
      </w:r>
      <w:r w:rsidR="00FD4A08" w:rsidRPr="005A22C2">
        <w:t xml:space="preserve"> </w:t>
      </w:r>
      <w:r w:rsidR="004A491F" w:rsidRPr="005A22C2">
        <w:t xml:space="preserve">Several written submissions </w:t>
      </w:r>
      <w:r w:rsidR="00950BCE" w:rsidRPr="005A22C2">
        <w:t xml:space="preserve">provided a </w:t>
      </w:r>
      <w:r w:rsidR="00980765" w:rsidRPr="005A22C2">
        <w:t>comparative analysis</w:t>
      </w:r>
      <w:r w:rsidR="00950BCE" w:rsidRPr="005A22C2">
        <w:t xml:space="preserve"> of the </w:t>
      </w:r>
      <w:r w:rsidR="00E764D7" w:rsidRPr="005A22C2">
        <w:t>E</w:t>
      </w:r>
      <w:r w:rsidR="00950BCE" w:rsidRPr="005A22C2">
        <w:t xml:space="preserve">quity </w:t>
      </w:r>
      <w:r w:rsidR="00E764D7" w:rsidRPr="005A22C2">
        <w:t>B</w:t>
      </w:r>
      <w:r w:rsidR="00950BCE" w:rsidRPr="005A22C2">
        <w:t>et</w:t>
      </w:r>
      <w:r w:rsidR="00E764D7" w:rsidRPr="005A22C2">
        <w:t>as</w:t>
      </w:r>
      <w:r w:rsidR="004A491F" w:rsidRPr="005A22C2">
        <w:t xml:space="preserve"> </w:t>
      </w:r>
      <w:r w:rsidR="00E764D7" w:rsidRPr="005A22C2">
        <w:t xml:space="preserve">for </w:t>
      </w:r>
      <w:r w:rsidR="004E5BA4" w:rsidRPr="005A22C2">
        <w:t xml:space="preserve">similar </w:t>
      </w:r>
      <w:r w:rsidR="007F34FD" w:rsidRPr="005A22C2">
        <w:t>sectors such as retirement villages and aged care in Australia and New Zealand</w:t>
      </w:r>
      <w:r w:rsidR="009A6902" w:rsidRPr="005A22C2">
        <w:t xml:space="preserve">, as shown in </w:t>
      </w:r>
      <w:r w:rsidR="009A6902" w:rsidRPr="005A22C2">
        <w:fldChar w:fldCharType="begin"/>
      </w:r>
      <w:r w:rsidR="009A6902" w:rsidRPr="005A22C2">
        <w:instrText xml:space="preserve"> REF _Ref126227558 \h </w:instrText>
      </w:r>
      <w:r w:rsidR="00EF5856" w:rsidRPr="005A22C2">
        <w:instrText xml:space="preserve"> \* MERGEFORMAT </w:instrText>
      </w:r>
      <w:r w:rsidR="009A6902" w:rsidRPr="005A22C2">
        <w:fldChar w:fldCharType="separate"/>
      </w:r>
      <w:r w:rsidR="007B6EFE">
        <w:t>Table</w:t>
      </w:r>
      <w:r w:rsidR="006772C2" w:rsidRPr="005A22C2">
        <w:t xml:space="preserve"> </w:t>
      </w:r>
      <w:r w:rsidR="006772C2">
        <w:rPr>
          <w:noProof/>
        </w:rPr>
        <w:t>9</w:t>
      </w:r>
      <w:r w:rsidR="009A6902" w:rsidRPr="005A22C2">
        <w:fldChar w:fldCharType="end"/>
      </w:r>
      <w:r w:rsidR="00EB378C" w:rsidRPr="005A22C2">
        <w:t>.</w:t>
      </w:r>
    </w:p>
    <w:p w14:paraId="756EBD72" w14:textId="46EBC03E" w:rsidR="00DC56B3" w:rsidRPr="00444034" w:rsidRDefault="001E19D0" w:rsidP="001E19D0">
      <w:pPr>
        <w:pStyle w:val="Caption"/>
        <w:jc w:val="left"/>
        <w:rPr>
          <w:sz w:val="24"/>
          <w:szCs w:val="24"/>
        </w:rPr>
      </w:pPr>
      <w:bookmarkStart w:id="241" w:name="_Ref126227558"/>
      <w:r w:rsidRPr="00444034">
        <w:rPr>
          <w:sz w:val="24"/>
          <w:szCs w:val="24"/>
        </w:rPr>
        <w:t>table 9</w:t>
      </w:r>
      <w:bookmarkEnd w:id="241"/>
      <w:r w:rsidR="00DC56B3" w:rsidRPr="00444034">
        <w:rPr>
          <w:sz w:val="24"/>
          <w:szCs w:val="24"/>
        </w:rPr>
        <w:t>: Comparative analysis of equity betas for similar sectors</w:t>
      </w:r>
    </w:p>
    <w:tbl>
      <w:tblPr>
        <w:tblStyle w:val="GridTable4-Accent1"/>
        <w:tblW w:w="9209" w:type="dxa"/>
        <w:tblLook w:val="0420" w:firstRow="1" w:lastRow="0" w:firstColumn="0" w:lastColumn="0" w:noHBand="0" w:noVBand="1"/>
      </w:tblPr>
      <w:tblGrid>
        <w:gridCol w:w="1443"/>
        <w:gridCol w:w="972"/>
        <w:gridCol w:w="1272"/>
        <w:gridCol w:w="1272"/>
        <w:gridCol w:w="939"/>
        <w:gridCol w:w="906"/>
        <w:gridCol w:w="1006"/>
        <w:gridCol w:w="1408"/>
        <w:gridCol w:w="31"/>
      </w:tblGrid>
      <w:tr w:rsidR="001A5CA9" w:rsidRPr="005A22C2" w14:paraId="5D4B53AB" w14:textId="6904ECA5" w:rsidTr="001D1410">
        <w:trPr>
          <w:cnfStyle w:val="100000000000" w:firstRow="1" w:lastRow="0" w:firstColumn="0" w:lastColumn="0" w:oddVBand="0" w:evenVBand="0" w:oddHBand="0" w:evenHBand="0" w:firstRowFirstColumn="0" w:firstRowLastColumn="0" w:lastRowFirstColumn="0" w:lastRowLastColumn="0"/>
          <w:trHeight w:val="266"/>
        </w:trPr>
        <w:tc>
          <w:tcPr>
            <w:tcW w:w="1413" w:type="dxa"/>
          </w:tcPr>
          <w:p w14:paraId="389D145B" w14:textId="3C9D65E1" w:rsidR="00570FFF" w:rsidRPr="001D1410" w:rsidRDefault="00570FFF" w:rsidP="006720A0">
            <w:pPr>
              <w:rPr>
                <w:sz w:val="20"/>
                <w:szCs w:val="20"/>
                <w:lang w:eastAsia="en-IN"/>
              </w:rPr>
            </w:pPr>
            <w:r w:rsidRPr="001D1410">
              <w:rPr>
                <w:sz w:val="20"/>
                <w:szCs w:val="20"/>
                <w:lang w:eastAsia="en-IN"/>
              </w:rPr>
              <w:t>Company</w:t>
            </w:r>
          </w:p>
        </w:tc>
        <w:tc>
          <w:tcPr>
            <w:tcW w:w="953" w:type="dxa"/>
          </w:tcPr>
          <w:p w14:paraId="7D22AA91" w14:textId="41A011A6" w:rsidR="00570FFF" w:rsidRPr="001D1410" w:rsidRDefault="00570FFF" w:rsidP="0056520C">
            <w:pPr>
              <w:jc w:val="right"/>
              <w:rPr>
                <w:sz w:val="20"/>
                <w:szCs w:val="20"/>
                <w:lang w:eastAsia="en-IN"/>
              </w:rPr>
            </w:pPr>
            <w:r w:rsidRPr="001D1410">
              <w:rPr>
                <w:sz w:val="20"/>
                <w:szCs w:val="20"/>
                <w:lang w:eastAsia="en-IN"/>
              </w:rPr>
              <w:t>Gearing</w:t>
            </w:r>
            <w:r w:rsidR="002846D2" w:rsidRPr="001D1410">
              <w:rPr>
                <w:sz w:val="20"/>
                <w:szCs w:val="20"/>
                <w:lang w:eastAsia="en-IN"/>
              </w:rPr>
              <w:t xml:space="preserve"> (debt to debt + net assets)</w:t>
            </w:r>
          </w:p>
        </w:tc>
        <w:tc>
          <w:tcPr>
            <w:tcW w:w="1245" w:type="dxa"/>
          </w:tcPr>
          <w:p w14:paraId="35F66FC4" w14:textId="5F6E644F" w:rsidR="00570FFF" w:rsidRPr="001D1410" w:rsidRDefault="00570FFF" w:rsidP="0056520C">
            <w:pPr>
              <w:jc w:val="right"/>
              <w:rPr>
                <w:sz w:val="20"/>
                <w:szCs w:val="20"/>
                <w:lang w:eastAsia="en-IN"/>
              </w:rPr>
            </w:pPr>
            <w:r w:rsidRPr="001D1410">
              <w:rPr>
                <w:sz w:val="20"/>
                <w:szCs w:val="20"/>
                <w:lang w:eastAsia="en-IN"/>
              </w:rPr>
              <w:t>10 Year Weekly Equity Beta Bloomberg</w:t>
            </w:r>
          </w:p>
        </w:tc>
        <w:tc>
          <w:tcPr>
            <w:tcW w:w="1245" w:type="dxa"/>
          </w:tcPr>
          <w:p w14:paraId="4A2A8C0B" w14:textId="24C5CA7E" w:rsidR="00570FFF" w:rsidRPr="001D1410" w:rsidRDefault="008A4B8C" w:rsidP="0056520C">
            <w:pPr>
              <w:jc w:val="right"/>
              <w:rPr>
                <w:sz w:val="20"/>
                <w:szCs w:val="20"/>
                <w:lang w:eastAsia="en-IN"/>
              </w:rPr>
            </w:pPr>
            <w:r w:rsidRPr="001D1410">
              <w:rPr>
                <w:sz w:val="20"/>
                <w:szCs w:val="20"/>
                <w:lang w:eastAsia="en-IN"/>
              </w:rPr>
              <w:t>5 Year Weekly Equity Beta Bloomberg</w:t>
            </w:r>
          </w:p>
        </w:tc>
        <w:tc>
          <w:tcPr>
            <w:tcW w:w="921" w:type="dxa"/>
          </w:tcPr>
          <w:p w14:paraId="73D924AD" w14:textId="44987553" w:rsidR="008A4B8C" w:rsidRPr="001D1410" w:rsidRDefault="008A4B8C" w:rsidP="0056520C">
            <w:pPr>
              <w:jc w:val="right"/>
              <w:rPr>
                <w:sz w:val="20"/>
                <w:szCs w:val="20"/>
                <w:lang w:eastAsia="en-IN"/>
              </w:rPr>
            </w:pPr>
            <w:r w:rsidRPr="001D1410">
              <w:rPr>
                <w:sz w:val="20"/>
                <w:szCs w:val="20"/>
                <w:lang w:eastAsia="en-IN"/>
              </w:rPr>
              <w:t>5 Year Weekly Equity Beta FactSet</w:t>
            </w:r>
          </w:p>
        </w:tc>
        <w:tc>
          <w:tcPr>
            <w:tcW w:w="889" w:type="dxa"/>
          </w:tcPr>
          <w:p w14:paraId="35F54229" w14:textId="1C62AF00" w:rsidR="008A4B8C" w:rsidRPr="001D1410" w:rsidRDefault="008A4B8C" w:rsidP="0056520C">
            <w:pPr>
              <w:jc w:val="right"/>
              <w:rPr>
                <w:sz w:val="20"/>
                <w:szCs w:val="20"/>
                <w:lang w:eastAsia="en-IN"/>
              </w:rPr>
            </w:pPr>
            <w:r w:rsidRPr="001D1410">
              <w:rPr>
                <w:sz w:val="20"/>
                <w:szCs w:val="20"/>
                <w:lang w:eastAsia="en-IN"/>
              </w:rPr>
              <w:t>2 Year Weekly Equity Beta Axiom (risk model)</w:t>
            </w:r>
          </w:p>
        </w:tc>
        <w:tc>
          <w:tcPr>
            <w:tcW w:w="986" w:type="dxa"/>
          </w:tcPr>
          <w:p w14:paraId="0E74EC1B" w14:textId="1B406C7E" w:rsidR="008A4B8C" w:rsidRPr="001D1410" w:rsidRDefault="008A4B8C" w:rsidP="0056520C">
            <w:pPr>
              <w:jc w:val="right"/>
              <w:rPr>
                <w:sz w:val="20"/>
                <w:szCs w:val="20"/>
                <w:lang w:eastAsia="en-IN"/>
              </w:rPr>
            </w:pPr>
            <w:r w:rsidRPr="001D1410">
              <w:rPr>
                <w:sz w:val="20"/>
                <w:szCs w:val="20"/>
                <w:lang w:eastAsia="en-IN"/>
              </w:rPr>
              <w:t>Average</w:t>
            </w:r>
          </w:p>
        </w:tc>
        <w:tc>
          <w:tcPr>
            <w:tcW w:w="1557" w:type="dxa"/>
            <w:gridSpan w:val="2"/>
          </w:tcPr>
          <w:p w14:paraId="0732168F" w14:textId="0C482D0A" w:rsidR="008A4B8C" w:rsidRPr="001D1410" w:rsidRDefault="008A4B8C" w:rsidP="006720A0">
            <w:pPr>
              <w:rPr>
                <w:sz w:val="20"/>
                <w:szCs w:val="20"/>
                <w:lang w:eastAsia="en-IN"/>
              </w:rPr>
            </w:pPr>
            <w:r w:rsidRPr="001D1410">
              <w:rPr>
                <w:sz w:val="20"/>
                <w:szCs w:val="20"/>
                <w:lang w:eastAsia="en-IN"/>
              </w:rPr>
              <w:t>Predominant sector</w:t>
            </w:r>
          </w:p>
        </w:tc>
      </w:tr>
      <w:tr w:rsidR="001A5CA9" w:rsidRPr="005A22C2" w14:paraId="017D8532" w14:textId="5078CDB9" w:rsidTr="001D1410">
        <w:trPr>
          <w:gridAfter w:val="1"/>
          <w:cnfStyle w:val="000000100000" w:firstRow="0" w:lastRow="0" w:firstColumn="0" w:lastColumn="0" w:oddVBand="0" w:evenVBand="0" w:oddHBand="1" w:evenHBand="0" w:firstRowFirstColumn="0" w:firstRowLastColumn="0" w:lastRowFirstColumn="0" w:lastRowLastColumn="0"/>
          <w:wAfter w:w="149" w:type="dxa"/>
          <w:trHeight w:val="345"/>
        </w:trPr>
        <w:tc>
          <w:tcPr>
            <w:tcW w:w="1413" w:type="dxa"/>
            <w:vAlign w:val="center"/>
          </w:tcPr>
          <w:p w14:paraId="2DD5A083" w14:textId="37CBB795" w:rsidR="00570FFF" w:rsidRPr="005A22C2" w:rsidRDefault="00EE697A" w:rsidP="006720A0">
            <w:pPr>
              <w:rPr>
                <w:b/>
              </w:rPr>
            </w:pPr>
            <w:proofErr w:type="spellStart"/>
            <w:r w:rsidRPr="005A22C2">
              <w:t>Estia</w:t>
            </w:r>
            <w:proofErr w:type="spellEnd"/>
            <w:r w:rsidRPr="005A22C2">
              <w:t xml:space="preserve"> Health Ltd</w:t>
            </w:r>
          </w:p>
        </w:tc>
        <w:tc>
          <w:tcPr>
            <w:tcW w:w="953" w:type="dxa"/>
            <w:vAlign w:val="center"/>
          </w:tcPr>
          <w:p w14:paraId="777B8FD0" w14:textId="2F6D19EA" w:rsidR="00570FFF" w:rsidRPr="005A22C2" w:rsidRDefault="00D20CDB" w:rsidP="00C342EA">
            <w:pPr>
              <w:jc w:val="right"/>
            </w:pPr>
            <w:r w:rsidRPr="005A22C2">
              <w:t>0.17</w:t>
            </w:r>
          </w:p>
        </w:tc>
        <w:tc>
          <w:tcPr>
            <w:tcW w:w="1245" w:type="dxa"/>
            <w:vAlign w:val="center"/>
          </w:tcPr>
          <w:p w14:paraId="5A4910AD" w14:textId="37B352D8" w:rsidR="00570FFF" w:rsidRPr="005A22C2" w:rsidRDefault="00D20CDB" w:rsidP="00C342EA">
            <w:pPr>
              <w:jc w:val="right"/>
            </w:pPr>
            <w:r w:rsidRPr="005A22C2">
              <w:t>1.07</w:t>
            </w:r>
          </w:p>
        </w:tc>
        <w:tc>
          <w:tcPr>
            <w:tcW w:w="1245" w:type="dxa"/>
            <w:vAlign w:val="center"/>
          </w:tcPr>
          <w:p w14:paraId="4011AF43" w14:textId="79E9503D" w:rsidR="00570FFF" w:rsidRPr="005A22C2" w:rsidRDefault="00D20CDB" w:rsidP="00C342EA">
            <w:pPr>
              <w:jc w:val="right"/>
            </w:pPr>
            <w:r w:rsidRPr="005A22C2">
              <w:t>1.18</w:t>
            </w:r>
          </w:p>
        </w:tc>
        <w:tc>
          <w:tcPr>
            <w:tcW w:w="921" w:type="dxa"/>
            <w:vAlign w:val="center"/>
          </w:tcPr>
          <w:p w14:paraId="326C64C1" w14:textId="4E17B532" w:rsidR="008A4B8C" w:rsidRPr="005A22C2" w:rsidRDefault="00D20CDB" w:rsidP="00C342EA">
            <w:pPr>
              <w:jc w:val="right"/>
            </w:pPr>
            <w:r w:rsidRPr="005A22C2">
              <w:t>1.42</w:t>
            </w:r>
          </w:p>
        </w:tc>
        <w:tc>
          <w:tcPr>
            <w:tcW w:w="889" w:type="dxa"/>
            <w:vAlign w:val="center"/>
          </w:tcPr>
          <w:p w14:paraId="4E4F160E" w14:textId="51208B51" w:rsidR="008A4B8C" w:rsidRPr="005A22C2" w:rsidRDefault="00D20CDB" w:rsidP="00C342EA">
            <w:pPr>
              <w:jc w:val="right"/>
            </w:pPr>
            <w:r w:rsidRPr="005A22C2">
              <w:t>0.64</w:t>
            </w:r>
          </w:p>
        </w:tc>
        <w:tc>
          <w:tcPr>
            <w:tcW w:w="986" w:type="dxa"/>
            <w:vAlign w:val="center"/>
          </w:tcPr>
          <w:p w14:paraId="626653BF" w14:textId="3EE09F3D" w:rsidR="008A4B8C" w:rsidRPr="005A22C2" w:rsidRDefault="00D20CDB" w:rsidP="00C342EA">
            <w:pPr>
              <w:jc w:val="right"/>
            </w:pPr>
            <w:r w:rsidRPr="005A22C2">
              <w:t>1.08</w:t>
            </w:r>
          </w:p>
        </w:tc>
        <w:tc>
          <w:tcPr>
            <w:tcW w:w="1408" w:type="dxa"/>
            <w:vAlign w:val="center"/>
          </w:tcPr>
          <w:p w14:paraId="52021EAF" w14:textId="337D3512" w:rsidR="008A4B8C" w:rsidRPr="005A22C2" w:rsidRDefault="008A4B8C" w:rsidP="006720A0">
            <w:r w:rsidRPr="005A22C2">
              <w:t>Aged care</w:t>
            </w:r>
          </w:p>
        </w:tc>
      </w:tr>
      <w:tr w:rsidR="00570FFF" w:rsidRPr="005A22C2" w14:paraId="5C1546DE" w14:textId="15023071" w:rsidTr="001D1410">
        <w:trPr>
          <w:gridAfter w:val="1"/>
          <w:wAfter w:w="149" w:type="dxa"/>
          <w:trHeight w:val="345"/>
        </w:trPr>
        <w:tc>
          <w:tcPr>
            <w:tcW w:w="1413" w:type="dxa"/>
            <w:vAlign w:val="center"/>
          </w:tcPr>
          <w:p w14:paraId="476B7933" w14:textId="7D7A2264" w:rsidR="00570FFF" w:rsidRPr="005A22C2" w:rsidRDefault="00EE697A" w:rsidP="006720A0">
            <w:pPr>
              <w:rPr>
                <w:b/>
              </w:rPr>
            </w:pPr>
            <w:r w:rsidRPr="005A22C2">
              <w:t>Regis Healthcare Ltd</w:t>
            </w:r>
          </w:p>
        </w:tc>
        <w:tc>
          <w:tcPr>
            <w:tcW w:w="953" w:type="dxa"/>
            <w:vAlign w:val="center"/>
          </w:tcPr>
          <w:p w14:paraId="01156F8D" w14:textId="4E2ED67D" w:rsidR="00570FFF" w:rsidRPr="005A22C2" w:rsidRDefault="00D20CDB" w:rsidP="00C342EA">
            <w:pPr>
              <w:jc w:val="right"/>
            </w:pPr>
            <w:r w:rsidRPr="005A22C2">
              <w:t>0.63</w:t>
            </w:r>
          </w:p>
        </w:tc>
        <w:tc>
          <w:tcPr>
            <w:tcW w:w="1245" w:type="dxa"/>
            <w:vAlign w:val="center"/>
          </w:tcPr>
          <w:p w14:paraId="2E6520E2" w14:textId="1C23BEF6" w:rsidR="00570FFF" w:rsidRPr="005A22C2" w:rsidRDefault="00D20CDB" w:rsidP="00C342EA">
            <w:pPr>
              <w:jc w:val="right"/>
            </w:pPr>
            <w:r w:rsidRPr="005A22C2">
              <w:t>1.17</w:t>
            </w:r>
          </w:p>
        </w:tc>
        <w:tc>
          <w:tcPr>
            <w:tcW w:w="1245" w:type="dxa"/>
            <w:vAlign w:val="center"/>
          </w:tcPr>
          <w:p w14:paraId="78AB3B77" w14:textId="06F0AD37" w:rsidR="00570FFF" w:rsidRPr="005A22C2" w:rsidRDefault="00D20CDB" w:rsidP="00C342EA">
            <w:pPr>
              <w:jc w:val="right"/>
            </w:pPr>
            <w:r w:rsidRPr="005A22C2">
              <w:t>1.26</w:t>
            </w:r>
          </w:p>
        </w:tc>
        <w:tc>
          <w:tcPr>
            <w:tcW w:w="921" w:type="dxa"/>
            <w:vAlign w:val="center"/>
          </w:tcPr>
          <w:p w14:paraId="74AFE70F" w14:textId="3E5FB6CE" w:rsidR="008A4B8C" w:rsidRPr="005A22C2" w:rsidRDefault="00D20CDB" w:rsidP="00C342EA">
            <w:pPr>
              <w:jc w:val="right"/>
            </w:pPr>
            <w:r w:rsidRPr="005A22C2">
              <w:t>1.54</w:t>
            </w:r>
          </w:p>
        </w:tc>
        <w:tc>
          <w:tcPr>
            <w:tcW w:w="889" w:type="dxa"/>
            <w:vAlign w:val="center"/>
          </w:tcPr>
          <w:p w14:paraId="56F2EEF5" w14:textId="0DD8D063" w:rsidR="008A4B8C" w:rsidRPr="005A22C2" w:rsidRDefault="00D20CDB" w:rsidP="00C342EA">
            <w:pPr>
              <w:jc w:val="right"/>
            </w:pPr>
            <w:r w:rsidRPr="005A22C2">
              <w:t>1.04</w:t>
            </w:r>
          </w:p>
        </w:tc>
        <w:tc>
          <w:tcPr>
            <w:tcW w:w="986" w:type="dxa"/>
            <w:vAlign w:val="center"/>
          </w:tcPr>
          <w:p w14:paraId="2BA9D966" w14:textId="6EE360AD" w:rsidR="008A4B8C" w:rsidRPr="005A22C2" w:rsidRDefault="00D20CDB" w:rsidP="00C342EA">
            <w:pPr>
              <w:jc w:val="right"/>
            </w:pPr>
            <w:r w:rsidRPr="005A22C2">
              <w:t>1.25</w:t>
            </w:r>
          </w:p>
        </w:tc>
        <w:tc>
          <w:tcPr>
            <w:tcW w:w="1408" w:type="dxa"/>
            <w:vAlign w:val="center"/>
          </w:tcPr>
          <w:p w14:paraId="21769665" w14:textId="7AA2895F" w:rsidR="008A4B8C" w:rsidRPr="005A22C2" w:rsidRDefault="008A4B8C" w:rsidP="006720A0">
            <w:r w:rsidRPr="005A22C2">
              <w:t>Aged care</w:t>
            </w:r>
          </w:p>
        </w:tc>
      </w:tr>
      <w:tr w:rsidR="001A5CA9" w:rsidRPr="005A22C2" w14:paraId="220BBDEA" w14:textId="1048F654" w:rsidTr="001D1410">
        <w:trPr>
          <w:gridAfter w:val="1"/>
          <w:cnfStyle w:val="000000100000" w:firstRow="0" w:lastRow="0" w:firstColumn="0" w:lastColumn="0" w:oddVBand="0" w:evenVBand="0" w:oddHBand="1" w:evenHBand="0" w:firstRowFirstColumn="0" w:firstRowLastColumn="0" w:lastRowFirstColumn="0" w:lastRowLastColumn="0"/>
          <w:wAfter w:w="149" w:type="dxa"/>
          <w:trHeight w:val="345"/>
        </w:trPr>
        <w:tc>
          <w:tcPr>
            <w:tcW w:w="1413" w:type="dxa"/>
            <w:vAlign w:val="center"/>
          </w:tcPr>
          <w:p w14:paraId="374C93D5" w14:textId="63B30C38" w:rsidR="00570FFF" w:rsidRPr="005A22C2" w:rsidRDefault="00EE697A" w:rsidP="006720A0">
            <w:pPr>
              <w:rPr>
                <w:b/>
              </w:rPr>
            </w:pPr>
            <w:proofErr w:type="spellStart"/>
            <w:r w:rsidRPr="005A22C2">
              <w:t>Arvida</w:t>
            </w:r>
            <w:proofErr w:type="spellEnd"/>
            <w:r w:rsidRPr="005A22C2">
              <w:t xml:space="preserve"> Group Ltd</w:t>
            </w:r>
          </w:p>
        </w:tc>
        <w:tc>
          <w:tcPr>
            <w:tcW w:w="953" w:type="dxa"/>
            <w:vAlign w:val="center"/>
          </w:tcPr>
          <w:p w14:paraId="0FD01C69" w14:textId="025AABD1" w:rsidR="00570FFF" w:rsidRPr="005A22C2" w:rsidRDefault="00D20CDB" w:rsidP="00C342EA">
            <w:pPr>
              <w:jc w:val="right"/>
            </w:pPr>
            <w:r w:rsidRPr="005A22C2">
              <w:t>0.25</w:t>
            </w:r>
          </w:p>
        </w:tc>
        <w:tc>
          <w:tcPr>
            <w:tcW w:w="1245" w:type="dxa"/>
            <w:vAlign w:val="center"/>
          </w:tcPr>
          <w:p w14:paraId="3DDEAD4E" w14:textId="3FCC5C94" w:rsidR="00570FFF" w:rsidRPr="005A22C2" w:rsidRDefault="00D20CDB" w:rsidP="00C342EA">
            <w:pPr>
              <w:jc w:val="right"/>
            </w:pPr>
            <w:r w:rsidRPr="005A22C2">
              <w:t>0.98</w:t>
            </w:r>
          </w:p>
        </w:tc>
        <w:tc>
          <w:tcPr>
            <w:tcW w:w="1245" w:type="dxa"/>
            <w:vAlign w:val="center"/>
          </w:tcPr>
          <w:p w14:paraId="22AB55EA" w14:textId="7851C82D" w:rsidR="00570FFF" w:rsidRPr="005A22C2" w:rsidRDefault="00D20CDB" w:rsidP="00C342EA">
            <w:pPr>
              <w:jc w:val="right"/>
            </w:pPr>
            <w:r w:rsidRPr="005A22C2">
              <w:t>1.04</w:t>
            </w:r>
          </w:p>
        </w:tc>
        <w:tc>
          <w:tcPr>
            <w:tcW w:w="921" w:type="dxa"/>
            <w:vAlign w:val="center"/>
          </w:tcPr>
          <w:p w14:paraId="2288B6C6" w14:textId="4A38BC09" w:rsidR="008A4B8C" w:rsidRPr="005A22C2" w:rsidRDefault="00D20CDB" w:rsidP="00C342EA">
            <w:pPr>
              <w:jc w:val="right"/>
            </w:pPr>
            <w:r w:rsidRPr="005A22C2">
              <w:t>1.13</w:t>
            </w:r>
          </w:p>
        </w:tc>
        <w:tc>
          <w:tcPr>
            <w:tcW w:w="889" w:type="dxa"/>
            <w:vAlign w:val="center"/>
          </w:tcPr>
          <w:p w14:paraId="3BA01829" w14:textId="5BE7E9BA" w:rsidR="008A4B8C" w:rsidRPr="005A22C2" w:rsidRDefault="00D20CDB" w:rsidP="00C342EA">
            <w:pPr>
              <w:jc w:val="right"/>
            </w:pPr>
            <w:r w:rsidRPr="005A22C2">
              <w:t>1.20</w:t>
            </w:r>
          </w:p>
        </w:tc>
        <w:tc>
          <w:tcPr>
            <w:tcW w:w="986" w:type="dxa"/>
            <w:vAlign w:val="center"/>
          </w:tcPr>
          <w:p w14:paraId="5D6A3A39" w14:textId="7DA4EFDC" w:rsidR="008A4B8C" w:rsidRPr="005A22C2" w:rsidRDefault="00D20CDB" w:rsidP="00C342EA">
            <w:pPr>
              <w:jc w:val="right"/>
            </w:pPr>
            <w:r w:rsidRPr="005A22C2">
              <w:t>1.09</w:t>
            </w:r>
          </w:p>
        </w:tc>
        <w:tc>
          <w:tcPr>
            <w:tcW w:w="1408" w:type="dxa"/>
            <w:vAlign w:val="center"/>
          </w:tcPr>
          <w:p w14:paraId="4AA7CCCA" w14:textId="23926478" w:rsidR="008A4B8C" w:rsidRPr="005A22C2" w:rsidRDefault="008A4B8C" w:rsidP="006720A0">
            <w:r w:rsidRPr="005A22C2">
              <w:t>Aged care and retirement village</w:t>
            </w:r>
          </w:p>
        </w:tc>
      </w:tr>
      <w:tr w:rsidR="00570FFF" w:rsidRPr="005A22C2" w14:paraId="18322C0C" w14:textId="48C5AF0D" w:rsidTr="001D1410">
        <w:trPr>
          <w:gridAfter w:val="1"/>
          <w:wAfter w:w="149" w:type="dxa"/>
          <w:trHeight w:val="345"/>
        </w:trPr>
        <w:tc>
          <w:tcPr>
            <w:tcW w:w="1413" w:type="dxa"/>
            <w:vAlign w:val="center"/>
          </w:tcPr>
          <w:p w14:paraId="37816D8F" w14:textId="523526DC" w:rsidR="00570FFF" w:rsidRPr="005A22C2" w:rsidRDefault="00EE697A" w:rsidP="006720A0">
            <w:pPr>
              <w:rPr>
                <w:b/>
              </w:rPr>
            </w:pPr>
            <w:r w:rsidRPr="005A22C2">
              <w:lastRenderedPageBreak/>
              <w:t>Ryman Healthcare Ltd</w:t>
            </w:r>
          </w:p>
        </w:tc>
        <w:tc>
          <w:tcPr>
            <w:tcW w:w="953" w:type="dxa"/>
            <w:vAlign w:val="center"/>
          </w:tcPr>
          <w:p w14:paraId="7B54DF96" w14:textId="5E71916C" w:rsidR="00570FFF" w:rsidRPr="005A22C2" w:rsidRDefault="00D20CDB" w:rsidP="00C342EA">
            <w:pPr>
              <w:jc w:val="right"/>
            </w:pPr>
            <w:r w:rsidRPr="005A22C2">
              <w:t>0.39</w:t>
            </w:r>
          </w:p>
        </w:tc>
        <w:tc>
          <w:tcPr>
            <w:tcW w:w="1245" w:type="dxa"/>
            <w:vAlign w:val="center"/>
          </w:tcPr>
          <w:p w14:paraId="02127921" w14:textId="5D0FDA1E" w:rsidR="00570FFF" w:rsidRPr="005A22C2" w:rsidRDefault="00D20CDB" w:rsidP="00C342EA">
            <w:pPr>
              <w:jc w:val="right"/>
            </w:pPr>
            <w:r w:rsidRPr="005A22C2">
              <w:t>1.32</w:t>
            </w:r>
          </w:p>
        </w:tc>
        <w:tc>
          <w:tcPr>
            <w:tcW w:w="1245" w:type="dxa"/>
            <w:vAlign w:val="center"/>
          </w:tcPr>
          <w:p w14:paraId="19BD8F61" w14:textId="21756907" w:rsidR="00570FFF" w:rsidRPr="005A22C2" w:rsidRDefault="00D20CDB" w:rsidP="00C342EA">
            <w:pPr>
              <w:jc w:val="right"/>
            </w:pPr>
            <w:r w:rsidRPr="005A22C2">
              <w:t>1.25</w:t>
            </w:r>
          </w:p>
        </w:tc>
        <w:tc>
          <w:tcPr>
            <w:tcW w:w="921" w:type="dxa"/>
            <w:vAlign w:val="center"/>
          </w:tcPr>
          <w:p w14:paraId="7A819EBD" w14:textId="5331DBE4" w:rsidR="008A4B8C" w:rsidRPr="005A22C2" w:rsidRDefault="00D20CDB" w:rsidP="00C342EA">
            <w:pPr>
              <w:jc w:val="right"/>
            </w:pPr>
            <w:r w:rsidRPr="005A22C2">
              <w:t>1.82</w:t>
            </w:r>
          </w:p>
        </w:tc>
        <w:tc>
          <w:tcPr>
            <w:tcW w:w="889" w:type="dxa"/>
            <w:vAlign w:val="center"/>
          </w:tcPr>
          <w:p w14:paraId="3E6AD834" w14:textId="206C7ED4" w:rsidR="008A4B8C" w:rsidRPr="005A22C2" w:rsidRDefault="00D20CDB" w:rsidP="00C342EA">
            <w:pPr>
              <w:jc w:val="right"/>
            </w:pPr>
            <w:r w:rsidRPr="005A22C2">
              <w:t>1.56</w:t>
            </w:r>
          </w:p>
        </w:tc>
        <w:tc>
          <w:tcPr>
            <w:tcW w:w="986" w:type="dxa"/>
            <w:vAlign w:val="center"/>
          </w:tcPr>
          <w:p w14:paraId="1781C0A7" w14:textId="48002EBE" w:rsidR="008A4B8C" w:rsidRPr="005A22C2" w:rsidRDefault="00D20CDB" w:rsidP="00C342EA">
            <w:pPr>
              <w:jc w:val="right"/>
            </w:pPr>
            <w:r w:rsidRPr="005A22C2">
              <w:t>1.49</w:t>
            </w:r>
          </w:p>
        </w:tc>
        <w:tc>
          <w:tcPr>
            <w:tcW w:w="1408" w:type="dxa"/>
            <w:vAlign w:val="center"/>
          </w:tcPr>
          <w:p w14:paraId="5C6D59F1" w14:textId="35176B1F" w:rsidR="008A4B8C" w:rsidRPr="005A22C2" w:rsidRDefault="008A4B8C" w:rsidP="006720A0">
            <w:r w:rsidRPr="005A22C2">
              <w:t>Retirement village</w:t>
            </w:r>
          </w:p>
        </w:tc>
      </w:tr>
      <w:tr w:rsidR="001A5CA9" w:rsidRPr="005A22C2" w14:paraId="1B93BD08" w14:textId="76B38923" w:rsidTr="001D1410">
        <w:trPr>
          <w:gridAfter w:val="1"/>
          <w:cnfStyle w:val="000000100000" w:firstRow="0" w:lastRow="0" w:firstColumn="0" w:lastColumn="0" w:oddVBand="0" w:evenVBand="0" w:oddHBand="1" w:evenHBand="0" w:firstRowFirstColumn="0" w:firstRowLastColumn="0" w:lastRowFirstColumn="0" w:lastRowLastColumn="0"/>
          <w:wAfter w:w="149" w:type="dxa"/>
          <w:trHeight w:val="345"/>
        </w:trPr>
        <w:tc>
          <w:tcPr>
            <w:tcW w:w="1413" w:type="dxa"/>
            <w:vAlign w:val="center"/>
          </w:tcPr>
          <w:p w14:paraId="57D08E7E" w14:textId="32784617" w:rsidR="00570FFF" w:rsidRPr="005A22C2" w:rsidRDefault="00EE697A" w:rsidP="006720A0">
            <w:pPr>
              <w:rPr>
                <w:b/>
              </w:rPr>
            </w:pPr>
            <w:r w:rsidRPr="005A22C2">
              <w:t>Summerset Group Holdings Ltd</w:t>
            </w:r>
          </w:p>
        </w:tc>
        <w:tc>
          <w:tcPr>
            <w:tcW w:w="953" w:type="dxa"/>
            <w:vAlign w:val="center"/>
          </w:tcPr>
          <w:p w14:paraId="76F75235" w14:textId="206A144C" w:rsidR="00570FFF" w:rsidRPr="005A22C2" w:rsidRDefault="00D20CDB" w:rsidP="00C342EA">
            <w:pPr>
              <w:jc w:val="right"/>
            </w:pPr>
            <w:r w:rsidRPr="005A22C2">
              <w:t>0.33</w:t>
            </w:r>
          </w:p>
        </w:tc>
        <w:tc>
          <w:tcPr>
            <w:tcW w:w="1245" w:type="dxa"/>
            <w:vAlign w:val="center"/>
          </w:tcPr>
          <w:p w14:paraId="0919C4AD" w14:textId="1E72034D" w:rsidR="00570FFF" w:rsidRPr="005A22C2" w:rsidRDefault="00A574DF" w:rsidP="00C342EA">
            <w:pPr>
              <w:jc w:val="right"/>
            </w:pPr>
            <w:r w:rsidRPr="005A22C2">
              <w:t>1.33</w:t>
            </w:r>
          </w:p>
        </w:tc>
        <w:tc>
          <w:tcPr>
            <w:tcW w:w="1245" w:type="dxa"/>
            <w:vAlign w:val="center"/>
          </w:tcPr>
          <w:p w14:paraId="3C9AD96B" w14:textId="4F9989C4" w:rsidR="00570FFF" w:rsidRPr="005A22C2" w:rsidRDefault="00A574DF" w:rsidP="00C342EA">
            <w:pPr>
              <w:jc w:val="right"/>
            </w:pPr>
            <w:r w:rsidRPr="005A22C2">
              <w:t>1.31</w:t>
            </w:r>
          </w:p>
        </w:tc>
        <w:tc>
          <w:tcPr>
            <w:tcW w:w="921" w:type="dxa"/>
            <w:vAlign w:val="center"/>
          </w:tcPr>
          <w:p w14:paraId="30CEA282" w14:textId="2AF2264F" w:rsidR="008A4B8C" w:rsidRPr="005A22C2" w:rsidRDefault="00A574DF" w:rsidP="00C342EA">
            <w:pPr>
              <w:jc w:val="right"/>
            </w:pPr>
            <w:r w:rsidRPr="005A22C2">
              <w:t>1.54</w:t>
            </w:r>
          </w:p>
        </w:tc>
        <w:tc>
          <w:tcPr>
            <w:tcW w:w="889" w:type="dxa"/>
            <w:vAlign w:val="center"/>
          </w:tcPr>
          <w:p w14:paraId="00824BC1" w14:textId="30B606AF" w:rsidR="008A4B8C" w:rsidRPr="005A22C2" w:rsidRDefault="00A574DF" w:rsidP="00C342EA">
            <w:pPr>
              <w:jc w:val="right"/>
            </w:pPr>
            <w:r w:rsidRPr="005A22C2">
              <w:t>1.55</w:t>
            </w:r>
          </w:p>
        </w:tc>
        <w:tc>
          <w:tcPr>
            <w:tcW w:w="986" w:type="dxa"/>
            <w:vAlign w:val="center"/>
          </w:tcPr>
          <w:p w14:paraId="0F43610E" w14:textId="102D3AA4" w:rsidR="008A4B8C" w:rsidRPr="005A22C2" w:rsidRDefault="00A574DF" w:rsidP="00C342EA">
            <w:pPr>
              <w:jc w:val="right"/>
            </w:pPr>
            <w:r w:rsidRPr="005A22C2">
              <w:t>1.43</w:t>
            </w:r>
          </w:p>
        </w:tc>
        <w:tc>
          <w:tcPr>
            <w:tcW w:w="1408" w:type="dxa"/>
            <w:vAlign w:val="center"/>
          </w:tcPr>
          <w:p w14:paraId="6E39A29F" w14:textId="01DFF842" w:rsidR="008A4B8C" w:rsidRPr="005A22C2" w:rsidRDefault="008A4B8C" w:rsidP="006720A0">
            <w:r w:rsidRPr="005A22C2">
              <w:t>Retirement village</w:t>
            </w:r>
          </w:p>
        </w:tc>
      </w:tr>
      <w:tr w:rsidR="00570FFF" w:rsidRPr="005A22C2" w14:paraId="08173EDC" w14:textId="778C3FA9" w:rsidTr="008D02BE">
        <w:trPr>
          <w:gridAfter w:val="1"/>
          <w:wAfter w:w="149" w:type="dxa"/>
          <w:trHeight w:val="345"/>
        </w:trPr>
        <w:tc>
          <w:tcPr>
            <w:tcW w:w="1413" w:type="dxa"/>
            <w:vAlign w:val="center"/>
          </w:tcPr>
          <w:p w14:paraId="0DC7A99C" w14:textId="5E909127" w:rsidR="00570FFF" w:rsidRPr="005A22C2" w:rsidRDefault="00EE697A" w:rsidP="006720A0">
            <w:r w:rsidRPr="005A22C2">
              <w:t>Mean</w:t>
            </w:r>
          </w:p>
        </w:tc>
        <w:tc>
          <w:tcPr>
            <w:tcW w:w="953" w:type="dxa"/>
            <w:vAlign w:val="center"/>
          </w:tcPr>
          <w:p w14:paraId="3FC28702" w14:textId="57399279" w:rsidR="00570FFF" w:rsidRPr="005A22C2" w:rsidRDefault="00D20CDB" w:rsidP="00C342EA">
            <w:pPr>
              <w:jc w:val="right"/>
            </w:pPr>
            <w:r w:rsidRPr="005A22C2">
              <w:t>0.35</w:t>
            </w:r>
          </w:p>
        </w:tc>
        <w:tc>
          <w:tcPr>
            <w:tcW w:w="1245" w:type="dxa"/>
            <w:vAlign w:val="center"/>
          </w:tcPr>
          <w:p w14:paraId="24C2408E" w14:textId="7853D36C" w:rsidR="00570FFF" w:rsidRPr="005A22C2" w:rsidRDefault="00A574DF" w:rsidP="00C342EA">
            <w:pPr>
              <w:jc w:val="right"/>
            </w:pPr>
            <w:r w:rsidRPr="005A22C2">
              <w:t>1.17</w:t>
            </w:r>
          </w:p>
        </w:tc>
        <w:tc>
          <w:tcPr>
            <w:tcW w:w="1245" w:type="dxa"/>
            <w:vAlign w:val="center"/>
          </w:tcPr>
          <w:p w14:paraId="4B333F7B" w14:textId="7233B87C" w:rsidR="00570FFF" w:rsidRPr="005A22C2" w:rsidRDefault="00A574DF" w:rsidP="00C342EA">
            <w:pPr>
              <w:jc w:val="right"/>
            </w:pPr>
            <w:r w:rsidRPr="005A22C2">
              <w:t>1.21</w:t>
            </w:r>
          </w:p>
        </w:tc>
        <w:tc>
          <w:tcPr>
            <w:tcW w:w="921" w:type="dxa"/>
            <w:vAlign w:val="center"/>
          </w:tcPr>
          <w:p w14:paraId="6C1B1088" w14:textId="431DA9B5" w:rsidR="008A4B8C" w:rsidRPr="005A22C2" w:rsidRDefault="00A574DF" w:rsidP="00C342EA">
            <w:pPr>
              <w:jc w:val="right"/>
            </w:pPr>
            <w:r w:rsidRPr="005A22C2">
              <w:t>1.49</w:t>
            </w:r>
          </w:p>
        </w:tc>
        <w:tc>
          <w:tcPr>
            <w:tcW w:w="889" w:type="dxa"/>
            <w:vAlign w:val="center"/>
          </w:tcPr>
          <w:p w14:paraId="69DE7BBD" w14:textId="7524FC03" w:rsidR="008A4B8C" w:rsidRPr="005A22C2" w:rsidRDefault="00A574DF" w:rsidP="00C342EA">
            <w:pPr>
              <w:jc w:val="right"/>
            </w:pPr>
            <w:r w:rsidRPr="005A22C2">
              <w:t>1.20</w:t>
            </w:r>
          </w:p>
        </w:tc>
        <w:tc>
          <w:tcPr>
            <w:tcW w:w="986" w:type="dxa"/>
            <w:vAlign w:val="center"/>
          </w:tcPr>
          <w:p w14:paraId="2194ADD9" w14:textId="22576EE0" w:rsidR="008A4B8C" w:rsidRPr="005A22C2" w:rsidRDefault="00A574DF" w:rsidP="00C342EA">
            <w:pPr>
              <w:jc w:val="right"/>
            </w:pPr>
            <w:r w:rsidRPr="005A22C2">
              <w:t>1.27</w:t>
            </w:r>
          </w:p>
        </w:tc>
        <w:tc>
          <w:tcPr>
            <w:tcW w:w="1408" w:type="dxa"/>
            <w:shd w:val="clear" w:color="auto" w:fill="auto"/>
            <w:vAlign w:val="center"/>
          </w:tcPr>
          <w:p w14:paraId="50D5514B" w14:textId="0A74CE48" w:rsidR="008A4B8C" w:rsidRPr="008D02BE" w:rsidRDefault="008D02BE" w:rsidP="008D02BE">
            <w:pPr>
              <w:jc w:val="right"/>
            </w:pPr>
            <w:r w:rsidRPr="008D02BE">
              <w:t>n/a</w:t>
            </w:r>
          </w:p>
        </w:tc>
      </w:tr>
      <w:tr w:rsidR="001A5CA9" w:rsidRPr="005A22C2" w14:paraId="5F2F7FCF" w14:textId="57D4DD01" w:rsidTr="008D02BE">
        <w:trPr>
          <w:gridAfter w:val="1"/>
          <w:cnfStyle w:val="000000100000" w:firstRow="0" w:lastRow="0" w:firstColumn="0" w:lastColumn="0" w:oddVBand="0" w:evenVBand="0" w:oddHBand="1" w:evenHBand="0" w:firstRowFirstColumn="0" w:firstRowLastColumn="0" w:lastRowFirstColumn="0" w:lastRowLastColumn="0"/>
          <w:wAfter w:w="149" w:type="dxa"/>
          <w:trHeight w:val="345"/>
        </w:trPr>
        <w:tc>
          <w:tcPr>
            <w:tcW w:w="1413" w:type="dxa"/>
            <w:vAlign w:val="center"/>
          </w:tcPr>
          <w:p w14:paraId="7ED323FB" w14:textId="33ED48A2" w:rsidR="00570FFF" w:rsidRPr="005A22C2" w:rsidRDefault="00EE697A" w:rsidP="006720A0">
            <w:r w:rsidRPr="005A22C2">
              <w:t>Median</w:t>
            </w:r>
          </w:p>
        </w:tc>
        <w:tc>
          <w:tcPr>
            <w:tcW w:w="953" w:type="dxa"/>
            <w:vAlign w:val="center"/>
          </w:tcPr>
          <w:p w14:paraId="05185EE1" w14:textId="0B9681D6" w:rsidR="00570FFF" w:rsidRPr="005A22C2" w:rsidRDefault="00D20CDB" w:rsidP="00C342EA">
            <w:pPr>
              <w:jc w:val="right"/>
            </w:pPr>
            <w:r w:rsidRPr="005A22C2">
              <w:t>0.33</w:t>
            </w:r>
          </w:p>
        </w:tc>
        <w:tc>
          <w:tcPr>
            <w:tcW w:w="1245" w:type="dxa"/>
            <w:vAlign w:val="center"/>
          </w:tcPr>
          <w:p w14:paraId="12FC999C" w14:textId="3EF0A911" w:rsidR="00570FFF" w:rsidRPr="005A22C2" w:rsidRDefault="00A574DF" w:rsidP="00C342EA">
            <w:pPr>
              <w:jc w:val="right"/>
            </w:pPr>
            <w:r w:rsidRPr="005A22C2">
              <w:t>1.17</w:t>
            </w:r>
          </w:p>
        </w:tc>
        <w:tc>
          <w:tcPr>
            <w:tcW w:w="1245" w:type="dxa"/>
            <w:vAlign w:val="center"/>
          </w:tcPr>
          <w:p w14:paraId="7F9DAE2A" w14:textId="5817DFA9" w:rsidR="00570FFF" w:rsidRPr="005A22C2" w:rsidRDefault="00A574DF" w:rsidP="00C342EA">
            <w:pPr>
              <w:jc w:val="right"/>
            </w:pPr>
            <w:r w:rsidRPr="005A22C2">
              <w:t>1.25</w:t>
            </w:r>
          </w:p>
        </w:tc>
        <w:tc>
          <w:tcPr>
            <w:tcW w:w="921" w:type="dxa"/>
            <w:vAlign w:val="center"/>
          </w:tcPr>
          <w:p w14:paraId="3AD72987" w14:textId="6EE1F3F4" w:rsidR="008A4B8C" w:rsidRPr="005A22C2" w:rsidRDefault="00A574DF" w:rsidP="00C342EA">
            <w:pPr>
              <w:jc w:val="right"/>
            </w:pPr>
            <w:r w:rsidRPr="005A22C2">
              <w:t>1.54</w:t>
            </w:r>
          </w:p>
        </w:tc>
        <w:tc>
          <w:tcPr>
            <w:tcW w:w="889" w:type="dxa"/>
            <w:vAlign w:val="center"/>
          </w:tcPr>
          <w:p w14:paraId="4F81C115" w14:textId="70856360" w:rsidR="008A4B8C" w:rsidRPr="005A22C2" w:rsidRDefault="00A574DF" w:rsidP="00C342EA">
            <w:pPr>
              <w:jc w:val="right"/>
            </w:pPr>
            <w:r w:rsidRPr="005A22C2">
              <w:t>1.20</w:t>
            </w:r>
          </w:p>
        </w:tc>
        <w:tc>
          <w:tcPr>
            <w:tcW w:w="986" w:type="dxa"/>
            <w:vAlign w:val="center"/>
          </w:tcPr>
          <w:p w14:paraId="2C3B814C" w14:textId="0D875BCA" w:rsidR="008A4B8C" w:rsidRPr="005A22C2" w:rsidRDefault="00A574DF" w:rsidP="00C342EA">
            <w:pPr>
              <w:jc w:val="right"/>
            </w:pPr>
            <w:r w:rsidRPr="005A22C2">
              <w:t>1.25</w:t>
            </w:r>
          </w:p>
        </w:tc>
        <w:tc>
          <w:tcPr>
            <w:tcW w:w="1408" w:type="dxa"/>
          </w:tcPr>
          <w:p w14:paraId="5C8449F7" w14:textId="3520A275" w:rsidR="008A4B8C" w:rsidRPr="008D02BE" w:rsidRDefault="008D02BE" w:rsidP="008D02BE">
            <w:pPr>
              <w:jc w:val="right"/>
            </w:pPr>
            <w:r w:rsidRPr="008D02BE">
              <w:t>n/a</w:t>
            </w:r>
          </w:p>
        </w:tc>
      </w:tr>
    </w:tbl>
    <w:p w14:paraId="5D0A1C62" w14:textId="3296A1DE" w:rsidR="001E19D0" w:rsidRPr="00444034" w:rsidRDefault="00221A1B" w:rsidP="00221A1B">
      <w:pPr>
        <w:pStyle w:val="Caption"/>
        <w:spacing w:before="0" w:after="0"/>
        <w:jc w:val="left"/>
        <w:rPr>
          <w:sz w:val="24"/>
          <w:szCs w:val="24"/>
        </w:rPr>
      </w:pPr>
      <w:r w:rsidRPr="00444034">
        <w:rPr>
          <w:sz w:val="24"/>
          <w:szCs w:val="24"/>
        </w:rPr>
        <w:t>End of table 9</w:t>
      </w:r>
    </w:p>
    <w:p w14:paraId="211C6B41" w14:textId="6FEFC94A" w:rsidR="00C953A7" w:rsidRPr="005A22C2" w:rsidRDefault="00CE313A" w:rsidP="006720A0">
      <w:r w:rsidRPr="005A22C2">
        <w:t xml:space="preserve">They </w:t>
      </w:r>
      <w:r w:rsidR="00830BDE" w:rsidRPr="005A22C2">
        <w:t xml:space="preserve">identified that </w:t>
      </w:r>
      <w:r w:rsidRPr="005A22C2">
        <w:t>these relatively comparative sectors</w:t>
      </w:r>
      <w:r w:rsidR="00830BDE" w:rsidRPr="005A22C2">
        <w:t xml:space="preserve"> have an average Equity Beta of approximately 1.27</w:t>
      </w:r>
      <w:r w:rsidRPr="005A22C2">
        <w:t xml:space="preserve"> (</w:t>
      </w:r>
      <w:r w:rsidR="003251A7" w:rsidRPr="005A22C2">
        <w:t xml:space="preserve">but </w:t>
      </w:r>
      <w:r w:rsidR="005361D4" w:rsidRPr="005A22C2">
        <w:t>stated</w:t>
      </w:r>
      <w:r w:rsidR="003251A7" w:rsidRPr="005A22C2">
        <w:t xml:space="preserve"> that t</w:t>
      </w:r>
      <w:r w:rsidR="00830BDE" w:rsidRPr="005A22C2">
        <w:t>his does not adjust for the lower level of average gearing across these sectors</w:t>
      </w:r>
      <w:r w:rsidR="003251A7" w:rsidRPr="005A22C2">
        <w:t>)</w:t>
      </w:r>
      <w:r w:rsidR="004037A6" w:rsidRPr="005A22C2">
        <w:t>.</w:t>
      </w:r>
      <w:r w:rsidR="00141117" w:rsidRPr="005A22C2">
        <w:t xml:space="preserve"> They recommended the SDA market should have an Equity Beta higher than these </w:t>
      </w:r>
      <w:r w:rsidR="00141117" w:rsidRPr="002B10BC">
        <w:t>sectors</w:t>
      </w:r>
      <w:r w:rsidR="004037A6" w:rsidRPr="002B10BC">
        <w:t xml:space="preserve">. </w:t>
      </w:r>
      <w:r w:rsidR="0092472B" w:rsidRPr="002B10BC">
        <w:t xml:space="preserve">Lighthouse </w:t>
      </w:r>
      <w:r w:rsidR="00141117" w:rsidRPr="002B10BC">
        <w:t>came to a similar conclusion</w:t>
      </w:r>
      <w:r w:rsidR="00604541" w:rsidRPr="002B10BC">
        <w:t>, suggesting that a higher Equity Beta of approximately</w:t>
      </w:r>
      <w:r w:rsidR="00604541" w:rsidRPr="005A22C2">
        <w:t xml:space="preserve"> 1.27 should be applied, assuming gearing of 50</w:t>
      </w:r>
      <w:r w:rsidR="006F011E">
        <w:t>%</w:t>
      </w:r>
      <w:r w:rsidR="00DD4589" w:rsidRPr="005A22C2">
        <w:t>.</w:t>
      </w:r>
      <w:r w:rsidR="0012320B">
        <w:t xml:space="preserve"> </w:t>
      </w:r>
      <w:r w:rsidR="00516C45" w:rsidRPr="005A22C2">
        <w:t xml:space="preserve">Another stakeholder </w:t>
      </w:r>
      <w:r w:rsidR="00517351" w:rsidRPr="005A22C2">
        <w:t xml:space="preserve">from the </w:t>
      </w:r>
      <w:r w:rsidR="00EA2126" w:rsidRPr="005A22C2">
        <w:t>SDA Institutional Investors</w:t>
      </w:r>
      <w:r w:rsidR="00517351" w:rsidRPr="005A22C2">
        <w:t xml:space="preserve"> </w:t>
      </w:r>
      <w:r w:rsidR="00D84C52" w:rsidRPr="005A22C2">
        <w:t>Consultation Group</w:t>
      </w:r>
      <w:r w:rsidR="00517351" w:rsidRPr="005A22C2">
        <w:t xml:space="preserve"> reiterated this point and </w:t>
      </w:r>
      <w:r w:rsidR="003948DC" w:rsidRPr="005A22C2">
        <w:t xml:space="preserve">suggested that </w:t>
      </w:r>
      <w:r w:rsidR="00736900" w:rsidRPr="005A22C2">
        <w:t xml:space="preserve">the sector is </w:t>
      </w:r>
      <w:r w:rsidR="00511567" w:rsidRPr="005A22C2">
        <w:t xml:space="preserve">more volatile than a </w:t>
      </w:r>
      <w:r w:rsidR="00FC6131" w:rsidRPr="005A22C2">
        <w:t>regulated asset with an Equity Beta of 0.9.</w:t>
      </w:r>
    </w:p>
    <w:p w14:paraId="154814B5" w14:textId="5FF98DA8" w:rsidR="00B6006A" w:rsidRPr="005A22C2" w:rsidRDefault="00C953A7" w:rsidP="006720A0">
      <w:r w:rsidRPr="005A22C2">
        <w:t xml:space="preserve">Many stakeholders recognised that the Equity Beta for the SDA market should be higher than that </w:t>
      </w:r>
      <w:r w:rsidR="00DA3044" w:rsidRPr="005A22C2">
        <w:t>of</w:t>
      </w:r>
      <w:r w:rsidRPr="005A22C2">
        <w:t xml:space="preserve"> comparative regulated asset classes. </w:t>
      </w:r>
      <w:r w:rsidR="00B6006A" w:rsidRPr="005A22C2">
        <w:t xml:space="preserve">As the SDA market is </w:t>
      </w:r>
      <w:r w:rsidR="00B90E44" w:rsidRPr="005A22C2">
        <w:t xml:space="preserve">also </w:t>
      </w:r>
      <w:r w:rsidR="00B6006A" w:rsidRPr="005A22C2">
        <w:t xml:space="preserve">competing with other mature asset markets (such as the aged care market, but also </w:t>
      </w:r>
      <w:r w:rsidR="00B6006A" w:rsidRPr="00A46696">
        <w:t xml:space="preserve">markets including healthcare and commercial real estate) for capital, it must provide a higher Equity Beta to account for the risks that are present. </w:t>
      </w:r>
      <w:r w:rsidR="00D764C2" w:rsidRPr="00A46696">
        <w:t>Australian Unity</w:t>
      </w:r>
      <w:r w:rsidR="007210B2" w:rsidRPr="00A46696">
        <w:t xml:space="preserve">, </w:t>
      </w:r>
      <w:r w:rsidR="00CA2DAA" w:rsidRPr="00A46696">
        <w:t>SDA Alliance</w:t>
      </w:r>
      <w:r w:rsidR="005630BB" w:rsidRPr="00A46696">
        <w:t xml:space="preserve"> and </w:t>
      </w:r>
      <w:proofErr w:type="spellStart"/>
      <w:r w:rsidR="005630BB" w:rsidRPr="00A46696">
        <w:t>Synergis</w:t>
      </w:r>
      <w:proofErr w:type="spellEnd"/>
      <w:r w:rsidR="005630BB" w:rsidRPr="00A46696">
        <w:t xml:space="preserve"> </w:t>
      </w:r>
      <w:r w:rsidR="00CA2DAA" w:rsidRPr="00A46696">
        <w:t>Fund all</w:t>
      </w:r>
      <w:r w:rsidR="00D764C2" w:rsidRPr="00A46696">
        <w:t xml:space="preserve"> </w:t>
      </w:r>
      <w:r w:rsidR="005361D4" w:rsidRPr="00A46696">
        <w:t>stated</w:t>
      </w:r>
      <w:r w:rsidR="00486FBA" w:rsidRPr="00A46696">
        <w:t xml:space="preserve"> that these markets are </w:t>
      </w:r>
      <w:r w:rsidR="003A110D" w:rsidRPr="00A46696">
        <w:t xml:space="preserve">established and </w:t>
      </w:r>
      <w:r w:rsidR="00486FBA" w:rsidRPr="00A46696">
        <w:t>mature</w:t>
      </w:r>
      <w:r w:rsidR="00BD6EF9" w:rsidRPr="00A46696">
        <w:t>, experience low volatility (of both revenue and valuations)</w:t>
      </w:r>
      <w:r w:rsidR="00F04E36" w:rsidRPr="00A46696">
        <w:t xml:space="preserve">, </w:t>
      </w:r>
      <w:r w:rsidR="003627E5" w:rsidRPr="00A46696">
        <w:t>are</w:t>
      </w:r>
      <w:r w:rsidR="00F04E36" w:rsidRPr="00A46696">
        <w:t xml:space="preserve"> optimal</w:t>
      </w:r>
      <w:r w:rsidR="003627E5" w:rsidRPr="00A46696">
        <w:t>ly</w:t>
      </w:r>
      <w:r w:rsidR="00F04E36" w:rsidRPr="00A46696">
        <w:t xml:space="preserve"> scale</w:t>
      </w:r>
      <w:r w:rsidR="003627E5" w:rsidRPr="00A46696">
        <w:t>d</w:t>
      </w:r>
      <w:r w:rsidR="00810242" w:rsidRPr="00A46696">
        <w:t xml:space="preserve"> and are appropriated</w:t>
      </w:r>
      <w:r w:rsidR="00810242" w:rsidRPr="005A22C2">
        <w:t xml:space="preserve"> regulated</w:t>
      </w:r>
      <w:r w:rsidR="00713F03" w:rsidRPr="005A22C2">
        <w:t xml:space="preserve"> with </w:t>
      </w:r>
      <w:r w:rsidR="00323034" w:rsidRPr="005A22C2">
        <w:t>suitable barriers to entry</w:t>
      </w:r>
      <w:r w:rsidR="002846D2" w:rsidRPr="005A22C2">
        <w:t>.</w:t>
      </w:r>
      <w:r w:rsidR="00323034" w:rsidRPr="005A22C2">
        <w:t xml:space="preserve"> </w:t>
      </w:r>
      <w:r w:rsidR="00B741FF">
        <w:t xml:space="preserve">A confidential submission </w:t>
      </w:r>
      <w:r w:rsidR="00C9769D" w:rsidRPr="005A22C2">
        <w:t xml:space="preserve">reiterated this point, highlighting that the SDA market </w:t>
      </w:r>
      <w:r w:rsidR="008B30A3" w:rsidRPr="005A22C2">
        <w:t xml:space="preserve">is </w:t>
      </w:r>
      <w:r w:rsidR="0055204F" w:rsidRPr="005A22C2">
        <w:t xml:space="preserve">inefficient </w:t>
      </w:r>
      <w:r w:rsidR="003502A5" w:rsidRPr="005A22C2">
        <w:t>due to</w:t>
      </w:r>
      <w:r w:rsidR="0055204F" w:rsidRPr="005A22C2">
        <w:t xml:space="preserve"> </w:t>
      </w:r>
      <w:r w:rsidR="00C2413E" w:rsidRPr="005A22C2">
        <w:t xml:space="preserve">delays </w:t>
      </w:r>
      <w:r w:rsidR="008D66A6" w:rsidRPr="005A22C2">
        <w:t xml:space="preserve">or errors </w:t>
      </w:r>
      <w:r w:rsidR="00C2413E" w:rsidRPr="005A22C2">
        <w:t>with approvals</w:t>
      </w:r>
      <w:r w:rsidR="00FE6F2A" w:rsidRPr="005A22C2">
        <w:t xml:space="preserve">, </w:t>
      </w:r>
      <w:r w:rsidR="00B965A8" w:rsidRPr="005A22C2">
        <w:t>appeals</w:t>
      </w:r>
      <w:r w:rsidR="00FE6F2A" w:rsidRPr="005A22C2">
        <w:t xml:space="preserve"> and payment</w:t>
      </w:r>
      <w:r w:rsidR="00E626A1" w:rsidRPr="005A22C2">
        <w:t xml:space="preserve"> decisions</w:t>
      </w:r>
      <w:r w:rsidR="00475B58" w:rsidRPr="005A22C2">
        <w:t>.</w:t>
      </w:r>
      <w:r w:rsidR="00166EE4" w:rsidRPr="005A22C2">
        <w:t xml:space="preserve"> Other factors raised which lend to a higher Equity Beta than comparable sectors includ</w:t>
      </w:r>
      <w:r w:rsidR="00DD4589" w:rsidRPr="005A22C2">
        <w:t>e</w:t>
      </w:r>
      <w:r w:rsidR="00BB62E5" w:rsidRPr="005A22C2">
        <w:t>:</w:t>
      </w:r>
      <w:r w:rsidR="00166EE4" w:rsidRPr="005A22C2">
        <w:t xml:space="preserve"> the nascency</w:t>
      </w:r>
      <w:r w:rsidR="004F78EB" w:rsidRPr="005A22C2">
        <w:t>, illiquidity</w:t>
      </w:r>
      <w:r w:rsidR="00166EE4" w:rsidRPr="005A22C2">
        <w:t xml:space="preserve"> and </w:t>
      </w:r>
      <w:r w:rsidR="00F573C7" w:rsidRPr="005A22C2">
        <w:t>thinness of the market</w:t>
      </w:r>
      <w:r w:rsidR="00BB62E5" w:rsidRPr="005A22C2">
        <w:t>;</w:t>
      </w:r>
      <w:r w:rsidR="00A4552A" w:rsidRPr="005A22C2">
        <w:t xml:space="preserve"> </w:t>
      </w:r>
      <w:r w:rsidR="00CD5A81" w:rsidRPr="005A22C2">
        <w:t>limited</w:t>
      </w:r>
      <w:r w:rsidR="002C2620" w:rsidRPr="005A22C2">
        <w:t xml:space="preserve"> </w:t>
      </w:r>
      <w:r w:rsidR="009132A4" w:rsidRPr="005A22C2">
        <w:t>observable transactions at scale</w:t>
      </w:r>
      <w:r w:rsidR="00BB62E5" w:rsidRPr="005A22C2">
        <w:t>;</w:t>
      </w:r>
      <w:r w:rsidR="009132A4" w:rsidRPr="005A22C2">
        <w:t xml:space="preserve"> </w:t>
      </w:r>
      <w:r w:rsidR="00FE6F2A" w:rsidRPr="005A22C2">
        <w:t xml:space="preserve">the effective monopsony </w:t>
      </w:r>
      <w:r w:rsidR="00310EBF" w:rsidRPr="005A22C2">
        <w:t xml:space="preserve">structure </w:t>
      </w:r>
      <w:r w:rsidR="00266C8A" w:rsidRPr="005A22C2">
        <w:t xml:space="preserve">of the market </w:t>
      </w:r>
      <w:r w:rsidR="00310EBF" w:rsidRPr="005A22C2">
        <w:t xml:space="preserve">(whereby the </w:t>
      </w:r>
      <w:r w:rsidR="0019283D" w:rsidRPr="005A22C2">
        <w:t>Agency</w:t>
      </w:r>
      <w:r w:rsidR="00310EBF" w:rsidRPr="005A22C2">
        <w:t xml:space="preserve"> </w:t>
      </w:r>
      <w:r w:rsidR="00266C8A" w:rsidRPr="005A22C2">
        <w:t>controls both access and renewal of SDA plan approvals and supports the funding granted to participants)</w:t>
      </w:r>
      <w:r w:rsidR="00BB62E5" w:rsidRPr="005A22C2">
        <w:t>;</w:t>
      </w:r>
      <w:r w:rsidR="00A413CF" w:rsidRPr="005A22C2">
        <w:t xml:space="preserve"> </w:t>
      </w:r>
      <w:r w:rsidR="00E35B8C" w:rsidRPr="005A22C2">
        <w:t>high levels of vacancy</w:t>
      </w:r>
      <w:r w:rsidR="00BB62E5" w:rsidRPr="005A22C2">
        <w:t>;</w:t>
      </w:r>
      <w:r w:rsidR="001059A4" w:rsidRPr="005A22C2">
        <w:t xml:space="preserve"> </w:t>
      </w:r>
      <w:r w:rsidR="00615A53" w:rsidRPr="005A22C2">
        <w:t xml:space="preserve">delays </w:t>
      </w:r>
      <w:r w:rsidR="00122E29" w:rsidRPr="005A22C2">
        <w:t xml:space="preserve">or errors </w:t>
      </w:r>
      <w:r w:rsidR="00615A53" w:rsidRPr="005A22C2">
        <w:t>with payments</w:t>
      </w:r>
      <w:r w:rsidR="00BB62E5" w:rsidRPr="005A22C2">
        <w:t>;</w:t>
      </w:r>
      <w:r w:rsidR="00122E29" w:rsidRPr="005A22C2">
        <w:t xml:space="preserve"> </w:t>
      </w:r>
      <w:r w:rsidR="001059A4" w:rsidRPr="005A22C2">
        <w:t>low barriers to entry</w:t>
      </w:r>
      <w:r w:rsidR="00BB62E5" w:rsidRPr="005A22C2">
        <w:t>;</w:t>
      </w:r>
      <w:r w:rsidR="001059A4" w:rsidRPr="005A22C2">
        <w:t xml:space="preserve"> and insufficient governance.</w:t>
      </w:r>
    </w:p>
    <w:p w14:paraId="510FD4F2" w14:textId="319364BE" w:rsidR="00AC0495" w:rsidRPr="005A22C2" w:rsidRDefault="00294794" w:rsidP="006720A0">
      <w:r w:rsidRPr="005A22C2">
        <w:t xml:space="preserve">To further </w:t>
      </w:r>
      <w:r w:rsidR="00284CEA" w:rsidRPr="005A22C2">
        <w:t xml:space="preserve">evidence the claim that the current Equity Beta is not appropriate, </w:t>
      </w:r>
      <w:r w:rsidR="00284CEA" w:rsidRPr="002B10BC">
        <w:t xml:space="preserve">Australian Unity and </w:t>
      </w:r>
      <w:proofErr w:type="spellStart"/>
      <w:r w:rsidR="00284CEA" w:rsidRPr="002B10BC">
        <w:t>Synergis</w:t>
      </w:r>
      <w:proofErr w:type="spellEnd"/>
      <w:r w:rsidR="00284CEA" w:rsidRPr="002B10BC">
        <w:t xml:space="preserve"> </w:t>
      </w:r>
      <w:r w:rsidR="00666A7A" w:rsidRPr="002B10BC">
        <w:t>Fund</w:t>
      </w:r>
      <w:r w:rsidR="00284CEA" w:rsidRPr="002B10BC">
        <w:t xml:space="preserve"> </w:t>
      </w:r>
      <w:r w:rsidR="00824A2B" w:rsidRPr="002B10BC">
        <w:t>stated</w:t>
      </w:r>
      <w:r w:rsidR="00824A2B" w:rsidRPr="005A22C2">
        <w:t xml:space="preserve"> that</w:t>
      </w:r>
      <w:r w:rsidR="00AC0495" w:rsidRPr="005A22C2">
        <w:t xml:space="preserve"> the average </w:t>
      </w:r>
      <w:r w:rsidR="00CB0EEB" w:rsidRPr="005A22C2">
        <w:t xml:space="preserve">pre-tax </w:t>
      </w:r>
      <w:r w:rsidR="00AC0495" w:rsidRPr="005A22C2">
        <w:t xml:space="preserve">return on equity </w:t>
      </w:r>
      <w:r w:rsidR="00516957" w:rsidRPr="005A22C2">
        <w:t xml:space="preserve">of their current operating projects </w:t>
      </w:r>
      <w:r w:rsidR="00CB0EEB" w:rsidRPr="005A22C2">
        <w:t>are around 9.1</w:t>
      </w:r>
      <w:r w:rsidR="006F011E">
        <w:t>%</w:t>
      </w:r>
      <w:r w:rsidR="00CB0EEB" w:rsidRPr="005A22C2">
        <w:t xml:space="preserve">. This is lower than </w:t>
      </w:r>
      <w:r w:rsidR="007B3398" w:rsidRPr="005A22C2">
        <w:t>the notional 11.6</w:t>
      </w:r>
      <w:r w:rsidR="00C423B5">
        <w:t>%</w:t>
      </w:r>
      <w:r w:rsidR="007B3398" w:rsidRPr="005A22C2">
        <w:t xml:space="preserve"> return on equity </w:t>
      </w:r>
      <w:r w:rsidR="0042605A" w:rsidRPr="005A22C2">
        <w:t>included within the SDA Position Paper</w:t>
      </w:r>
      <w:r w:rsidR="00065F04" w:rsidRPr="005A22C2">
        <w:t>,</w:t>
      </w:r>
      <w:r w:rsidR="002846D2" w:rsidRPr="005A22C2">
        <w:t xml:space="preserve"> </w:t>
      </w:r>
      <w:r w:rsidR="00065F04" w:rsidRPr="005A22C2">
        <w:t xml:space="preserve">and the </w:t>
      </w:r>
      <w:r w:rsidR="001F6E00" w:rsidRPr="005A22C2">
        <w:t xml:space="preserve">delta between the </w:t>
      </w:r>
      <w:r w:rsidR="00AF5962" w:rsidRPr="005A22C2">
        <w:t>intended and actual</w:t>
      </w:r>
      <w:r w:rsidR="001F6E00" w:rsidRPr="005A22C2">
        <w:t xml:space="preserve"> </w:t>
      </w:r>
      <w:r w:rsidR="00CD66D2" w:rsidRPr="005A22C2">
        <w:t>returns</w:t>
      </w:r>
      <w:r w:rsidR="001F6E00" w:rsidRPr="005A22C2">
        <w:t xml:space="preserve"> (of approximately 27</w:t>
      </w:r>
      <w:r w:rsidR="00C423B5">
        <w:t>%</w:t>
      </w:r>
      <w:r w:rsidR="001F6E00" w:rsidRPr="005A22C2">
        <w:t xml:space="preserve">) </w:t>
      </w:r>
      <w:r w:rsidR="002333B8" w:rsidRPr="005A22C2">
        <w:t>suggests the Equity Beta should be increased.</w:t>
      </w:r>
    </w:p>
    <w:p w14:paraId="34720886" w14:textId="5A631339" w:rsidR="00372BB3" w:rsidRPr="005A22C2" w:rsidRDefault="004D25D9" w:rsidP="006720A0">
      <w:r w:rsidRPr="005A22C2">
        <w:t xml:space="preserve">During the </w:t>
      </w:r>
      <w:r w:rsidR="00EA2126" w:rsidRPr="005A22C2">
        <w:t>SDA Institutional</w:t>
      </w:r>
      <w:r w:rsidR="00D6227D" w:rsidRPr="005A22C2">
        <w:t xml:space="preserve"> Investors</w:t>
      </w:r>
      <w:r w:rsidRPr="005A22C2">
        <w:t xml:space="preserve"> </w:t>
      </w:r>
      <w:r w:rsidR="00D84C52" w:rsidRPr="005A22C2">
        <w:t>Consultation Group</w:t>
      </w:r>
      <w:r w:rsidRPr="005A22C2">
        <w:t xml:space="preserve">, it was also discussed that </w:t>
      </w:r>
      <w:r w:rsidR="00190CAC" w:rsidRPr="005A22C2">
        <w:t>the</w:t>
      </w:r>
      <w:r w:rsidR="00005E70" w:rsidRPr="005A22C2">
        <w:t xml:space="preserve">re </w:t>
      </w:r>
      <w:r w:rsidR="00AB6E4B" w:rsidRPr="005A22C2">
        <w:t xml:space="preserve">are </w:t>
      </w:r>
      <w:proofErr w:type="gramStart"/>
      <w:r w:rsidR="00AB6E4B" w:rsidRPr="005A22C2">
        <w:t>a number of</w:t>
      </w:r>
      <w:proofErr w:type="gramEnd"/>
      <w:r w:rsidR="00AB6E4B" w:rsidRPr="005A22C2">
        <w:t xml:space="preserve"> </w:t>
      </w:r>
      <w:r w:rsidR="00871A0A" w:rsidRPr="005A22C2">
        <w:t xml:space="preserve">vacant developments and properties </w:t>
      </w:r>
      <w:r w:rsidR="006C520F" w:rsidRPr="005A22C2">
        <w:t>in fringe locations due to a lack of demand</w:t>
      </w:r>
      <w:r w:rsidR="00F86D7F" w:rsidRPr="005A22C2">
        <w:t xml:space="preserve">. This </w:t>
      </w:r>
      <w:r w:rsidR="00F51BEA" w:rsidRPr="005A22C2">
        <w:t>is c</w:t>
      </w:r>
      <w:r w:rsidR="006F6FA9" w:rsidRPr="005A22C2">
        <w:t xml:space="preserve">reating greater risk for investors, as the market does not </w:t>
      </w:r>
      <w:r w:rsidR="006F6FA9" w:rsidRPr="005A22C2">
        <w:lastRenderedPageBreak/>
        <w:t>have a depth of trading history</w:t>
      </w:r>
      <w:r w:rsidR="00D5163C" w:rsidRPr="005A22C2">
        <w:t xml:space="preserve"> and an understanding of acceptable</w:t>
      </w:r>
      <w:r w:rsidR="00A93F06" w:rsidRPr="005A22C2">
        <w:t xml:space="preserve"> vacancy rates</w:t>
      </w:r>
      <w:r w:rsidR="00A64A68" w:rsidRPr="005A22C2">
        <w:t>.</w:t>
      </w:r>
      <w:r w:rsidR="002846D2" w:rsidRPr="005A22C2">
        <w:t xml:space="preserve"> </w:t>
      </w:r>
      <w:r w:rsidR="00360ED6" w:rsidRPr="005A22C2">
        <w:t>Stakeholders are concerned that</w:t>
      </w:r>
      <w:r w:rsidR="00A64A68" w:rsidRPr="005A22C2">
        <w:t xml:space="preserve"> </w:t>
      </w:r>
      <w:r w:rsidR="00323E15" w:rsidRPr="005A22C2">
        <w:t>i</w:t>
      </w:r>
      <w:r w:rsidR="00372BB3" w:rsidRPr="005A22C2">
        <w:t xml:space="preserve">f </w:t>
      </w:r>
      <w:r w:rsidR="00A93F06" w:rsidRPr="005A22C2">
        <w:t>the</w:t>
      </w:r>
      <w:r w:rsidR="00372BB3" w:rsidRPr="005A22C2">
        <w:t xml:space="preserve"> wrong type of SDA</w:t>
      </w:r>
      <w:r w:rsidR="00A93F06" w:rsidRPr="005A22C2">
        <w:t xml:space="preserve"> is built</w:t>
      </w:r>
      <w:r w:rsidR="00372BB3" w:rsidRPr="005A22C2">
        <w:t>, or</w:t>
      </w:r>
      <w:r w:rsidR="00A93F06" w:rsidRPr="005A22C2">
        <w:t xml:space="preserve"> if it is built</w:t>
      </w:r>
      <w:r w:rsidR="00372BB3" w:rsidRPr="005A22C2">
        <w:t xml:space="preserve"> in an area where there is no demand, there is no exit strategy or recourse. The </w:t>
      </w:r>
      <w:r w:rsidR="00323E15" w:rsidRPr="005A22C2">
        <w:t>result is illiquid</w:t>
      </w:r>
      <w:r w:rsidR="00372BB3" w:rsidRPr="005A22C2">
        <w:t xml:space="preserve"> assets </w:t>
      </w:r>
      <w:r w:rsidR="00896EFB" w:rsidRPr="005A22C2">
        <w:t>based</w:t>
      </w:r>
      <w:r w:rsidR="00372BB3" w:rsidRPr="005A22C2">
        <w:t xml:space="preserve"> on the equivalent residential value less the </w:t>
      </w:r>
      <w:r w:rsidR="00BC71B4" w:rsidRPr="005A22C2">
        <w:t xml:space="preserve">transition </w:t>
      </w:r>
      <w:r w:rsidR="00372BB3" w:rsidRPr="005A22C2">
        <w:t>cost to refurbish the asset to something that the residential market would deem acceptable</w:t>
      </w:r>
      <w:r w:rsidR="00BC71B4" w:rsidRPr="005A22C2">
        <w:t xml:space="preserve">. </w:t>
      </w:r>
      <w:r w:rsidR="00613176" w:rsidRPr="005A22C2">
        <w:t>Stakeholders suggest the</w:t>
      </w:r>
      <w:r w:rsidR="004D1500" w:rsidRPr="005A22C2">
        <w:t xml:space="preserve"> CAPM and Equity Beta do not sufficiently account for this liquidity risk</w:t>
      </w:r>
      <w:r w:rsidR="009B777C" w:rsidRPr="005A22C2">
        <w:t xml:space="preserve">, </w:t>
      </w:r>
      <w:r w:rsidR="00006B42" w:rsidRPr="005A22C2">
        <w:t>providing further evidence</w:t>
      </w:r>
      <w:r w:rsidR="009B777C" w:rsidRPr="005A22C2">
        <w:t xml:space="preserve"> to increase the Equity Beta.</w:t>
      </w:r>
    </w:p>
    <w:p w14:paraId="2E02E61A" w14:textId="471D71B1" w:rsidR="00C140AD" w:rsidRPr="005A22C2" w:rsidRDefault="00DB5575" w:rsidP="00811FC5">
      <w:pPr>
        <w:sectPr w:rsidR="00C140AD" w:rsidRPr="005A22C2" w:rsidSect="00736B3B">
          <w:pgSz w:w="11906" w:h="16838" w:code="9"/>
          <w:pgMar w:top="1418" w:right="1418" w:bottom="1418" w:left="1418" w:header="709" w:footer="709" w:gutter="0"/>
          <w:cols w:space="708"/>
          <w:titlePg/>
          <w:docGrid w:linePitch="360"/>
        </w:sectPr>
      </w:pPr>
      <w:r w:rsidRPr="005A22C2">
        <w:t xml:space="preserve">In comparison to </w:t>
      </w:r>
      <w:proofErr w:type="gramStart"/>
      <w:r w:rsidRPr="005A22C2">
        <w:t>the majority o</w:t>
      </w:r>
      <w:r w:rsidRPr="002B10BC">
        <w:t>f</w:t>
      </w:r>
      <w:proofErr w:type="gramEnd"/>
      <w:r w:rsidRPr="002B10BC">
        <w:t xml:space="preserve"> stakeholders who were consulted, </w:t>
      </w:r>
      <w:r w:rsidR="00B11E91" w:rsidRPr="002B10BC">
        <w:t xml:space="preserve">M3 Property highlighted that they believe SDA should be </w:t>
      </w:r>
      <w:r w:rsidR="000E0C5C" w:rsidRPr="002B10BC">
        <w:t>consider</w:t>
      </w:r>
      <w:r w:rsidR="00B11E91" w:rsidRPr="002B10BC">
        <w:t>ed a less risky investment</w:t>
      </w:r>
      <w:r w:rsidR="00762821" w:rsidRPr="002B10BC">
        <w:t xml:space="preserve"> as the revenue is sourced from </w:t>
      </w:r>
      <w:r w:rsidR="00411AD5" w:rsidRPr="002B10BC">
        <w:t>g</w:t>
      </w:r>
      <w:r w:rsidR="00762821" w:rsidRPr="002B10BC">
        <w:t xml:space="preserve">overnment and adequate </w:t>
      </w:r>
      <w:r w:rsidR="00B93D88" w:rsidRPr="002B10BC">
        <w:t xml:space="preserve">funding </w:t>
      </w:r>
      <w:r w:rsidR="00762821" w:rsidRPr="002B10BC">
        <w:t>safeguard</w:t>
      </w:r>
      <w:r w:rsidR="00D81BE3" w:rsidRPr="002B10BC">
        <w:t xml:space="preserve">s are available such as vacancy payments, refurbishment costs and loading for Robust participants. </w:t>
      </w:r>
      <w:proofErr w:type="spellStart"/>
      <w:r w:rsidR="005422C6" w:rsidRPr="002B10BC">
        <w:t>Synergis</w:t>
      </w:r>
      <w:proofErr w:type="spellEnd"/>
      <w:r w:rsidR="005422C6" w:rsidRPr="002B10BC">
        <w:t xml:space="preserve"> </w:t>
      </w:r>
      <w:r w:rsidR="001C6590" w:rsidRPr="002B10BC">
        <w:t>Fund</w:t>
      </w:r>
      <w:r w:rsidR="005422C6" w:rsidRPr="002B10BC">
        <w:t xml:space="preserve"> </w:t>
      </w:r>
      <w:r w:rsidR="004D4361" w:rsidRPr="002B10BC">
        <w:t>suggested that i</w:t>
      </w:r>
      <w:r w:rsidR="006319AF" w:rsidRPr="002B10BC">
        <w:t>f</w:t>
      </w:r>
      <w:r w:rsidR="004D4361" w:rsidRPr="002B10BC">
        <w:t xml:space="preserve"> the </w:t>
      </w:r>
      <w:r w:rsidR="006319AF" w:rsidRPr="002B10BC">
        <w:rPr>
          <w:i/>
        </w:rPr>
        <w:t xml:space="preserve">NDIS Pricing Arrangements for SDA </w:t>
      </w:r>
      <w:r w:rsidR="006319AF" w:rsidRPr="002B10BC">
        <w:t>appropriately address vacancy and land and build costs</w:t>
      </w:r>
      <w:r w:rsidR="004D4361" w:rsidRPr="002B10BC">
        <w:t>,</w:t>
      </w:r>
      <w:r w:rsidR="005422C6" w:rsidRPr="002B10BC">
        <w:t xml:space="preserve"> </w:t>
      </w:r>
      <w:r w:rsidR="006810BC" w:rsidRPr="002B10BC">
        <w:t xml:space="preserve">an Equity Beta below 1.0 could be defensible. </w:t>
      </w:r>
      <w:r w:rsidR="00696AD7" w:rsidRPr="002B10BC">
        <w:t>Barwon Investment Partners anticipate</w:t>
      </w:r>
      <w:r w:rsidR="00696AD7" w:rsidRPr="005A22C2">
        <w:t xml:space="preserve"> that the Equity Beta will reduce over time as investors become more comfortable </w:t>
      </w:r>
      <w:r w:rsidR="00190DFC" w:rsidRPr="005A22C2">
        <w:t>with the sector</w:t>
      </w:r>
      <w:r w:rsidR="00BC1BE9" w:rsidRPr="005A22C2">
        <w:t xml:space="preserve"> </w:t>
      </w:r>
      <w:r w:rsidR="00797056" w:rsidRPr="005A22C2">
        <w:t xml:space="preserve">and have </w:t>
      </w:r>
      <w:r w:rsidR="00F85DFF" w:rsidRPr="005A22C2">
        <w:t>greater historic data to predict future cashflows and risks.</w:t>
      </w:r>
      <w:r w:rsidR="007A2E62" w:rsidRPr="005A22C2">
        <w:t xml:space="preserve"> </w:t>
      </w:r>
      <w:bookmarkStart w:id="242" w:name="_Ref125453437"/>
      <w:bookmarkStart w:id="243" w:name="_Toc129783620"/>
      <w:bookmarkStart w:id="244" w:name="_Ref122431981"/>
    </w:p>
    <w:p w14:paraId="4E185A2D" w14:textId="77777777" w:rsidR="00306051" w:rsidRPr="0012320B" w:rsidRDefault="00306051" w:rsidP="006720A0">
      <w:pPr>
        <w:pStyle w:val="Heading1"/>
        <w:rPr>
          <w:color w:val="6B2976"/>
        </w:rPr>
      </w:pPr>
      <w:bookmarkStart w:id="245" w:name="_Toc136006896"/>
      <w:r w:rsidRPr="0012320B">
        <w:rPr>
          <w:color w:val="6B2976"/>
        </w:rPr>
        <w:lastRenderedPageBreak/>
        <w:t xml:space="preserve">Indexation of </w:t>
      </w:r>
      <w:bookmarkEnd w:id="242"/>
      <w:r w:rsidRPr="0012320B">
        <w:rPr>
          <w:color w:val="6B2976"/>
        </w:rPr>
        <w:t>Base Prices</w:t>
      </w:r>
      <w:bookmarkEnd w:id="243"/>
      <w:bookmarkEnd w:id="245"/>
    </w:p>
    <w:p w14:paraId="744FC308" w14:textId="40DF1706" w:rsidR="00C140AD" w:rsidRPr="005A22C2" w:rsidRDefault="00C140AD" w:rsidP="006720A0">
      <w:r w:rsidRPr="005A22C2">
        <w:t xml:space="preserve">The NDIA received 25 written submissions </w:t>
      </w:r>
      <w:r w:rsidR="005858B3" w:rsidRPr="005A22C2">
        <w:t xml:space="preserve">that responded </w:t>
      </w:r>
      <w:r w:rsidRPr="005A22C2">
        <w:t xml:space="preserve">to the following questions in the </w:t>
      </w:r>
      <w:r w:rsidRPr="005A22C2">
        <w:rPr>
          <w:i/>
          <w:iCs/>
        </w:rPr>
        <w:t>SDA Pricing Review Consultation Paper</w:t>
      </w:r>
      <w:r w:rsidRPr="005A22C2">
        <w:t>:</w:t>
      </w:r>
    </w:p>
    <w:p w14:paraId="71AC8182" w14:textId="77777777" w:rsidR="00A47429" w:rsidRPr="00132E0C" w:rsidRDefault="00D4650D" w:rsidP="00132E0C">
      <w:pPr>
        <w:pStyle w:val="Quote"/>
        <w:numPr>
          <w:ilvl w:val="0"/>
          <w:numId w:val="36"/>
        </w:numPr>
        <w:rPr>
          <w:i w:val="0"/>
          <w:iCs w:val="0"/>
        </w:rPr>
      </w:pPr>
      <w:r w:rsidRPr="00132E0C">
        <w:rPr>
          <w:i w:val="0"/>
          <w:iCs w:val="0"/>
        </w:rPr>
        <w:t>Is the current methodology by which the NDIA indexes SDA base prices each year between 5-yearly price reviews appropriate? If not, how can the methodology be improved?</w:t>
      </w:r>
    </w:p>
    <w:p w14:paraId="21BDB270" w14:textId="77777777" w:rsidR="00A47429" w:rsidRPr="00132E0C" w:rsidRDefault="00D4650D" w:rsidP="00132E0C">
      <w:pPr>
        <w:pStyle w:val="Quote"/>
        <w:numPr>
          <w:ilvl w:val="0"/>
          <w:numId w:val="36"/>
        </w:numPr>
        <w:rPr>
          <w:i w:val="0"/>
          <w:iCs w:val="0"/>
        </w:rPr>
      </w:pPr>
      <w:r w:rsidRPr="00132E0C">
        <w:rPr>
          <w:i w:val="0"/>
          <w:iCs w:val="0"/>
        </w:rPr>
        <w:t>Are there any other issues with the indexation of SDA base prices?</w:t>
      </w:r>
    </w:p>
    <w:p w14:paraId="1708124A" w14:textId="01F15104" w:rsidR="00306051" w:rsidRPr="005A22C2" w:rsidRDefault="00C140AD" w:rsidP="006720A0">
      <w:r w:rsidRPr="005A22C2">
        <w:t>Indexation issues were also raised in most of the Consultation Groups</w:t>
      </w:r>
    </w:p>
    <w:p w14:paraId="01AE1B93" w14:textId="13DB490D" w:rsidR="007B6FAA" w:rsidRPr="005A22C2" w:rsidRDefault="00023658" w:rsidP="006720A0">
      <w:pPr>
        <w:pStyle w:val="Heading2"/>
      </w:pPr>
      <w:bookmarkStart w:id="246" w:name="_Toc129783621"/>
      <w:bookmarkStart w:id="247" w:name="_Toc136006897"/>
      <w:r w:rsidRPr="005A22C2">
        <w:t>I</w:t>
      </w:r>
      <w:r w:rsidR="00DB3668" w:rsidRPr="005A22C2">
        <w:t>ndexation of SDA plans</w:t>
      </w:r>
      <w:bookmarkEnd w:id="244"/>
      <w:bookmarkEnd w:id="246"/>
      <w:bookmarkEnd w:id="247"/>
    </w:p>
    <w:p w14:paraId="40638FE6" w14:textId="0F743F37" w:rsidR="00A47429" w:rsidRPr="005A22C2" w:rsidRDefault="0027313D" w:rsidP="006720A0">
      <w:r w:rsidRPr="005A22C2">
        <w:t>Several</w:t>
      </w:r>
      <w:r w:rsidR="0018136E" w:rsidRPr="005A22C2">
        <w:t xml:space="preserve"> stakeholders argued that </w:t>
      </w:r>
      <w:r w:rsidR="00F01748" w:rsidRPr="005A22C2">
        <w:t>SDA plans</w:t>
      </w:r>
      <w:r w:rsidR="006E035C" w:rsidRPr="005A22C2">
        <w:t xml:space="preserve"> should be indexed </w:t>
      </w:r>
      <w:r w:rsidR="00D65C0C" w:rsidRPr="005A22C2">
        <w:t xml:space="preserve">in a similar manner to core support plans. </w:t>
      </w:r>
      <w:r w:rsidRPr="005A22C2">
        <w:t>They</w:t>
      </w:r>
      <w:r w:rsidR="007B054A" w:rsidRPr="005A22C2">
        <w:t xml:space="preserve"> </w:t>
      </w:r>
      <w:r w:rsidR="005361D4" w:rsidRPr="005A22C2">
        <w:t>stated</w:t>
      </w:r>
      <w:r w:rsidR="007B054A" w:rsidRPr="005A22C2">
        <w:t xml:space="preserve"> that </w:t>
      </w:r>
      <w:r w:rsidRPr="005A22C2">
        <w:t xml:space="preserve">currently </w:t>
      </w:r>
      <w:r w:rsidR="007B054A" w:rsidRPr="005A22C2">
        <w:t xml:space="preserve">they </w:t>
      </w:r>
      <w:r w:rsidR="00E7765B" w:rsidRPr="005A22C2">
        <w:t xml:space="preserve">absorb </w:t>
      </w:r>
      <w:r w:rsidR="00A62F1B" w:rsidRPr="005A22C2">
        <w:t xml:space="preserve">CPI </w:t>
      </w:r>
      <w:r w:rsidR="007B054A" w:rsidRPr="005A22C2">
        <w:t xml:space="preserve">increases </w:t>
      </w:r>
      <w:r w:rsidR="00E7765B" w:rsidRPr="005A22C2">
        <w:t xml:space="preserve">until </w:t>
      </w:r>
      <w:r w:rsidR="007B054A" w:rsidRPr="005A22C2">
        <w:t xml:space="preserve">participant </w:t>
      </w:r>
      <w:r w:rsidR="00997C8F" w:rsidRPr="005A22C2">
        <w:t>plans are reviewed</w:t>
      </w:r>
      <w:r w:rsidR="007E481E" w:rsidRPr="005A22C2">
        <w:t>.</w:t>
      </w:r>
      <w:r w:rsidR="003B24FC" w:rsidRPr="005A22C2">
        <w:t xml:space="preserve"> A </w:t>
      </w:r>
      <w:r w:rsidR="00755C87" w:rsidRPr="005A22C2">
        <w:t xml:space="preserve">stakeholder from the </w:t>
      </w:r>
      <w:r w:rsidR="00EA2126" w:rsidRPr="005A22C2">
        <w:t>SDA Institutional</w:t>
      </w:r>
      <w:r w:rsidR="00D6227D" w:rsidRPr="005A22C2">
        <w:t xml:space="preserve"> Investors</w:t>
      </w:r>
      <w:r w:rsidR="00B47CD8" w:rsidRPr="005A22C2">
        <w:t xml:space="preserve"> </w:t>
      </w:r>
      <w:r w:rsidR="00D84C52" w:rsidRPr="005A22C2">
        <w:t>Consultation Group</w:t>
      </w:r>
      <w:r w:rsidR="00B47CD8" w:rsidRPr="005A22C2">
        <w:t xml:space="preserve"> </w:t>
      </w:r>
      <w:r w:rsidR="00CA5286" w:rsidRPr="005A22C2">
        <w:t xml:space="preserve">indicated that for unusually long plans, delaying </w:t>
      </w:r>
      <w:r w:rsidR="00B47CD8" w:rsidRPr="005A22C2">
        <w:t>indexation</w:t>
      </w:r>
      <w:r w:rsidR="00CA5286" w:rsidRPr="005A22C2">
        <w:t xml:space="preserve"> </w:t>
      </w:r>
      <w:r w:rsidR="002008A9" w:rsidRPr="005A22C2">
        <w:t xml:space="preserve">of the SDA payments </w:t>
      </w:r>
      <w:r w:rsidR="00CA5286" w:rsidRPr="005A22C2">
        <w:t xml:space="preserve">can have a </w:t>
      </w:r>
      <w:r w:rsidR="002B7C8D" w:rsidRPr="005A22C2">
        <w:t>significant impac</w:t>
      </w:r>
      <w:r w:rsidR="00AC5395" w:rsidRPr="005A22C2">
        <w:t>t</w:t>
      </w:r>
      <w:r w:rsidR="001C43AB" w:rsidRPr="005A22C2">
        <w:t xml:space="preserve"> over time</w:t>
      </w:r>
      <w:r w:rsidR="002B7C8D" w:rsidRPr="005A22C2">
        <w:t>.</w:t>
      </w:r>
    </w:p>
    <w:p w14:paraId="137FCA5F" w14:textId="6916123B" w:rsidR="0027313D" w:rsidRPr="005A22C2" w:rsidRDefault="005E5317" w:rsidP="006720A0">
      <w:r w:rsidRPr="005A22C2">
        <w:t>Multiple stakeholders</w:t>
      </w:r>
      <w:r w:rsidR="00DC4632" w:rsidRPr="005A22C2">
        <w:t xml:space="preserve"> </w:t>
      </w:r>
      <w:r w:rsidR="005361D4" w:rsidRPr="005A22C2">
        <w:t>stated</w:t>
      </w:r>
      <w:r w:rsidR="00DC4632" w:rsidRPr="005A22C2">
        <w:t xml:space="preserve"> that cashflows can be significantly impacted by the lag</w:t>
      </w:r>
      <w:r w:rsidR="000468A4" w:rsidRPr="005A22C2">
        <w:t xml:space="preserve"> in application of CPI indexation</w:t>
      </w:r>
      <w:r w:rsidR="008D14FA" w:rsidRPr="005A22C2">
        <w:t xml:space="preserve">, leading to </w:t>
      </w:r>
      <w:r w:rsidR="008454EB" w:rsidRPr="005A22C2">
        <w:t xml:space="preserve">a reduction </w:t>
      </w:r>
      <w:r w:rsidR="00FA3F48" w:rsidRPr="005A22C2">
        <w:t>in</w:t>
      </w:r>
      <w:r w:rsidR="00E110B8" w:rsidRPr="005A22C2">
        <w:t xml:space="preserve"> </w:t>
      </w:r>
      <w:r w:rsidR="007D5739" w:rsidRPr="005A22C2">
        <w:t xml:space="preserve">investor participation or an increase in the margins required by investors to account for higher </w:t>
      </w:r>
      <w:r w:rsidR="00CC0126" w:rsidRPr="005A22C2">
        <w:t>risk</w:t>
      </w:r>
      <w:r w:rsidR="00336E62" w:rsidRPr="005A22C2">
        <w:t xml:space="preserve">. </w:t>
      </w:r>
      <w:r w:rsidR="00B741FF">
        <w:t>A confidential submission</w:t>
      </w:r>
      <w:r w:rsidR="00A6466B" w:rsidRPr="005A22C2">
        <w:t xml:space="preserve"> </w:t>
      </w:r>
      <w:r w:rsidR="005361D4" w:rsidRPr="005A22C2">
        <w:t>stated</w:t>
      </w:r>
      <w:r w:rsidR="00A6466B" w:rsidRPr="005A22C2">
        <w:t xml:space="preserve"> that </w:t>
      </w:r>
      <w:r w:rsidR="000D1647" w:rsidRPr="005A22C2">
        <w:t xml:space="preserve">due to the timing of when the March CPI increases </w:t>
      </w:r>
      <w:r w:rsidR="00E13DA3" w:rsidRPr="005A22C2">
        <w:t xml:space="preserve">are introduced to the new </w:t>
      </w:r>
      <w:r w:rsidR="00E13DA3" w:rsidRPr="005A22C2">
        <w:rPr>
          <w:i/>
          <w:iCs/>
        </w:rPr>
        <w:t>NDIS Pricing Arrangements</w:t>
      </w:r>
      <w:r w:rsidR="00E76BB8" w:rsidRPr="005A22C2">
        <w:rPr>
          <w:i/>
          <w:iCs/>
        </w:rPr>
        <w:t xml:space="preserve"> </w:t>
      </w:r>
      <w:r w:rsidR="005F7C52" w:rsidRPr="005A22C2">
        <w:rPr>
          <w:i/>
          <w:iCs/>
        </w:rPr>
        <w:t>for SDA</w:t>
      </w:r>
      <w:r w:rsidR="00E76BB8" w:rsidRPr="005A22C2">
        <w:rPr>
          <w:i/>
          <w:iCs/>
        </w:rPr>
        <w:t xml:space="preserve"> </w:t>
      </w:r>
      <w:r w:rsidR="00E76BB8" w:rsidRPr="005A22C2">
        <w:t xml:space="preserve">in </w:t>
      </w:r>
      <w:r w:rsidR="00336E62" w:rsidRPr="005A22C2">
        <w:t>July</w:t>
      </w:r>
      <w:r w:rsidR="00E13DA3" w:rsidRPr="005A22C2">
        <w:rPr>
          <w:i/>
          <w:iCs/>
        </w:rPr>
        <w:t xml:space="preserve">, </w:t>
      </w:r>
      <w:r w:rsidR="00FC34FF" w:rsidRPr="005A22C2">
        <w:t xml:space="preserve">there can be a </w:t>
      </w:r>
      <w:r w:rsidR="00E96B38" w:rsidRPr="005A22C2">
        <w:t xml:space="preserve">significant </w:t>
      </w:r>
      <w:r w:rsidR="00FC34FF" w:rsidRPr="005A22C2">
        <w:t>lag of three to 15 months</w:t>
      </w:r>
      <w:r w:rsidR="00B8711B" w:rsidRPr="005A22C2">
        <w:t xml:space="preserve"> (or longer if </w:t>
      </w:r>
      <w:r w:rsidR="0084264A" w:rsidRPr="005A22C2">
        <w:t xml:space="preserve">the frequency for a plan review is lower) </w:t>
      </w:r>
      <w:r w:rsidR="00B8711B" w:rsidRPr="005A22C2">
        <w:t xml:space="preserve">for these </w:t>
      </w:r>
      <w:r w:rsidR="00B54F61" w:rsidRPr="005A22C2">
        <w:t xml:space="preserve">revenue escalation </w:t>
      </w:r>
      <w:r w:rsidR="00B8711B" w:rsidRPr="005A22C2">
        <w:t>increases to be included in participant SDA plans</w:t>
      </w:r>
      <w:r w:rsidR="00E96B38" w:rsidRPr="005A22C2">
        <w:t xml:space="preserve">. </w:t>
      </w:r>
    </w:p>
    <w:p w14:paraId="09D8139A" w14:textId="584C0183" w:rsidR="00A47429" w:rsidRPr="005A22C2" w:rsidRDefault="00066322" w:rsidP="006720A0">
      <w:r w:rsidRPr="001908CF">
        <w:t>Australian Unity</w:t>
      </w:r>
      <w:r w:rsidRPr="005A22C2">
        <w:t xml:space="preserve"> suggested that annual indexation</w:t>
      </w:r>
      <w:r w:rsidR="00BA309F" w:rsidRPr="005A22C2">
        <w:t xml:space="preserve"> </w:t>
      </w:r>
      <w:r w:rsidR="002A4165" w:rsidRPr="005A22C2">
        <w:t xml:space="preserve">in March </w:t>
      </w:r>
      <w:r w:rsidR="00863346" w:rsidRPr="005A22C2">
        <w:t>should</w:t>
      </w:r>
      <w:r w:rsidR="002A4165" w:rsidRPr="005A22C2">
        <w:t xml:space="preserve"> be continued</w:t>
      </w:r>
      <w:r w:rsidR="00095523" w:rsidRPr="005A22C2">
        <w:t xml:space="preserve"> </w:t>
      </w:r>
      <w:proofErr w:type="gramStart"/>
      <w:r w:rsidR="00863346" w:rsidRPr="005A22C2">
        <w:t xml:space="preserve">in order </w:t>
      </w:r>
      <w:r w:rsidR="00095523" w:rsidRPr="005A22C2">
        <w:t>to</w:t>
      </w:r>
      <w:proofErr w:type="gramEnd"/>
      <w:r w:rsidR="00095523" w:rsidRPr="005A22C2">
        <w:t xml:space="preserve"> maintain investor confidence and support continued investment</w:t>
      </w:r>
      <w:r w:rsidR="0027313D" w:rsidRPr="005A22C2">
        <w:t>.</w:t>
      </w:r>
      <w:r w:rsidR="00863346" w:rsidRPr="005A22C2">
        <w:t xml:space="preserve"> However, they were one of several </w:t>
      </w:r>
      <w:r w:rsidR="00B35CF7" w:rsidRPr="005A22C2">
        <w:t xml:space="preserve">stakeholders </w:t>
      </w:r>
      <w:r w:rsidR="00863346" w:rsidRPr="005A22C2">
        <w:t>who</w:t>
      </w:r>
      <w:r w:rsidR="00B35CF7" w:rsidRPr="005A22C2">
        <w:t xml:space="preserve"> recommended </w:t>
      </w:r>
      <w:r w:rsidR="009E5792" w:rsidRPr="005A22C2">
        <w:t xml:space="preserve">automatically </w:t>
      </w:r>
      <w:r w:rsidR="00B35CF7" w:rsidRPr="005A22C2">
        <w:t xml:space="preserve">enacting CPI </w:t>
      </w:r>
      <w:r w:rsidR="007E1783" w:rsidRPr="005A22C2">
        <w:t>indexation on participant SDA plans each year</w:t>
      </w:r>
      <w:r w:rsidR="00482F9A" w:rsidRPr="005A22C2">
        <w:t xml:space="preserve"> </w:t>
      </w:r>
      <w:r w:rsidR="00B353EF" w:rsidRPr="005A22C2">
        <w:t>on July 1</w:t>
      </w:r>
      <w:r w:rsidR="0086295B" w:rsidRPr="005A22C2">
        <w:t>, rather than at the end of the plan or once a review is undertaken.</w:t>
      </w:r>
      <w:r w:rsidR="00A53FE7" w:rsidRPr="005A22C2">
        <w:t xml:space="preserve"> </w:t>
      </w:r>
      <w:r w:rsidR="00AD0420" w:rsidRPr="005A22C2">
        <w:t xml:space="preserve">Alternatively, stakeholders </w:t>
      </w:r>
      <w:r w:rsidR="005361D4" w:rsidRPr="005A22C2">
        <w:t>stated</w:t>
      </w:r>
      <w:r w:rsidR="00AD0420" w:rsidRPr="005A22C2">
        <w:t xml:space="preserve"> that if indexation could not be enacted immediately each year, the </w:t>
      </w:r>
      <w:r w:rsidR="00AD0420" w:rsidRPr="005A22C2">
        <w:rPr>
          <w:i/>
        </w:rPr>
        <w:t>NDIS Pric</w:t>
      </w:r>
      <w:r w:rsidR="005F7C52" w:rsidRPr="005A22C2">
        <w:rPr>
          <w:i/>
        </w:rPr>
        <w:t xml:space="preserve">ing Arrangements for SDA </w:t>
      </w:r>
      <w:r w:rsidR="005F7C52" w:rsidRPr="005A22C2">
        <w:t xml:space="preserve">should </w:t>
      </w:r>
      <w:r w:rsidR="00EE3BC1" w:rsidRPr="005A22C2">
        <w:t xml:space="preserve">increase the </w:t>
      </w:r>
      <w:r w:rsidR="005F7C52" w:rsidRPr="005A22C2">
        <w:t xml:space="preserve">prices </w:t>
      </w:r>
      <w:r w:rsidR="00576A71" w:rsidRPr="005A22C2">
        <w:t xml:space="preserve">for annual indexation </w:t>
      </w:r>
      <w:r w:rsidR="005F7C52" w:rsidRPr="005A22C2">
        <w:t xml:space="preserve">to recover </w:t>
      </w:r>
      <w:r w:rsidR="00660F41" w:rsidRPr="005A22C2">
        <w:t>the delay</w:t>
      </w:r>
      <w:r w:rsidR="002D6171" w:rsidRPr="005A22C2">
        <w:t xml:space="preserve"> in application</w:t>
      </w:r>
      <w:r w:rsidR="00660F41" w:rsidRPr="005A22C2">
        <w:t>.</w:t>
      </w:r>
    </w:p>
    <w:p w14:paraId="734B43FD" w14:textId="6A8E480B" w:rsidR="003B24FC" w:rsidRPr="005A22C2" w:rsidRDefault="00B741FF" w:rsidP="006720A0">
      <w:r>
        <w:t xml:space="preserve">A confidential submission </w:t>
      </w:r>
      <w:r w:rsidR="00CF3843" w:rsidRPr="005A22C2">
        <w:t xml:space="preserve">also </w:t>
      </w:r>
      <w:r w:rsidR="005361D4" w:rsidRPr="005A22C2">
        <w:t>stated</w:t>
      </w:r>
      <w:r w:rsidR="00CF3843" w:rsidRPr="005A22C2">
        <w:t xml:space="preserve"> that </w:t>
      </w:r>
      <w:r w:rsidR="003B24FC" w:rsidRPr="005A22C2">
        <w:t xml:space="preserve">the </w:t>
      </w:r>
      <w:r w:rsidR="00CF3843" w:rsidRPr="005A22C2">
        <w:t xml:space="preserve">tenancy laws in various states </w:t>
      </w:r>
      <w:r w:rsidR="003B24FC" w:rsidRPr="005A22C2">
        <w:t xml:space="preserve">placed </w:t>
      </w:r>
      <w:r w:rsidR="00873E5A" w:rsidRPr="005A22C2">
        <w:t xml:space="preserve">restrictions </w:t>
      </w:r>
      <w:r w:rsidR="003B24FC" w:rsidRPr="005A22C2">
        <w:t>on</w:t>
      </w:r>
      <w:r w:rsidR="00873E5A" w:rsidRPr="005A22C2">
        <w:t xml:space="preserve"> the frequency of rent reviews,</w:t>
      </w:r>
      <w:r w:rsidR="003B24FC" w:rsidRPr="005A22C2">
        <w:t xml:space="preserve"> so that</w:t>
      </w:r>
      <w:r w:rsidR="00873E5A" w:rsidRPr="005A22C2">
        <w:t xml:space="preserve"> </w:t>
      </w:r>
      <w:r w:rsidR="008E3B26" w:rsidRPr="005A22C2">
        <w:t xml:space="preserve">the escalation in </w:t>
      </w:r>
      <w:r w:rsidR="009E6842" w:rsidRPr="005A22C2">
        <w:t>R</w:t>
      </w:r>
      <w:r w:rsidR="00BE7F2B" w:rsidRPr="005A22C2">
        <w:t xml:space="preserve">easonable </w:t>
      </w:r>
      <w:r w:rsidR="009E6842" w:rsidRPr="005A22C2">
        <w:t>R</w:t>
      </w:r>
      <w:r w:rsidR="00BE7F2B" w:rsidRPr="005A22C2">
        <w:t xml:space="preserve">ent </w:t>
      </w:r>
      <w:r w:rsidR="009E6842" w:rsidRPr="005A22C2">
        <w:t>C</w:t>
      </w:r>
      <w:r w:rsidR="00BE7F2B" w:rsidRPr="005A22C2">
        <w:t xml:space="preserve">ontribution </w:t>
      </w:r>
      <w:r w:rsidR="009E6842" w:rsidRPr="005A22C2">
        <w:t xml:space="preserve">by Participants </w:t>
      </w:r>
      <w:r w:rsidR="003B24FC" w:rsidRPr="005A22C2">
        <w:t>was</w:t>
      </w:r>
      <w:r w:rsidR="009E6842" w:rsidRPr="005A22C2">
        <w:t xml:space="preserve"> also typically delayed by up to </w:t>
      </w:r>
      <w:r w:rsidR="0027313D" w:rsidRPr="005A22C2">
        <w:t>six</w:t>
      </w:r>
      <w:r w:rsidR="009E6842" w:rsidRPr="005A22C2">
        <w:t xml:space="preserve"> months.</w:t>
      </w:r>
    </w:p>
    <w:p w14:paraId="0F647E0B" w14:textId="4699E874" w:rsidR="007B6FAA" w:rsidRPr="005A22C2" w:rsidRDefault="00023658" w:rsidP="006720A0">
      <w:pPr>
        <w:pStyle w:val="Heading2"/>
      </w:pPr>
      <w:bookmarkStart w:id="248" w:name="_Ref122431980"/>
      <w:bookmarkStart w:id="249" w:name="_Toc129783622"/>
      <w:bookmarkStart w:id="250" w:name="_Toc136006898"/>
      <w:r w:rsidRPr="005A22C2">
        <w:lastRenderedPageBreak/>
        <w:t xml:space="preserve">CPI </w:t>
      </w:r>
      <w:bookmarkEnd w:id="248"/>
      <w:r w:rsidR="00D44CB7" w:rsidRPr="005A22C2">
        <w:t xml:space="preserve">versus </w:t>
      </w:r>
      <w:r w:rsidR="0092002C" w:rsidRPr="005A22C2">
        <w:t>C</w:t>
      </w:r>
      <w:r w:rsidR="00D44CB7" w:rsidRPr="005A22C2">
        <w:t xml:space="preserve">onstruction </w:t>
      </w:r>
      <w:r w:rsidR="0092002C" w:rsidRPr="005A22C2">
        <w:t>and Land Cost I</w:t>
      </w:r>
      <w:r w:rsidR="00D44CB7" w:rsidRPr="005A22C2">
        <w:t>ndices</w:t>
      </w:r>
      <w:bookmarkEnd w:id="249"/>
      <w:bookmarkEnd w:id="250"/>
    </w:p>
    <w:p w14:paraId="3DD1EDBD" w14:textId="52B630B8" w:rsidR="00A47429" w:rsidRPr="005A22C2" w:rsidRDefault="0092002C" w:rsidP="006720A0">
      <w:r w:rsidRPr="005A22C2">
        <w:t>Many s</w:t>
      </w:r>
      <w:r w:rsidR="007B0FAE" w:rsidRPr="005A22C2">
        <w:t>takeholders</w:t>
      </w:r>
      <w:r w:rsidR="00687BD7" w:rsidRPr="005A22C2">
        <w:t xml:space="preserve"> </w:t>
      </w:r>
      <w:r w:rsidR="007B0FAE" w:rsidRPr="005A22C2">
        <w:t xml:space="preserve">reported that </w:t>
      </w:r>
      <w:r w:rsidR="00D333AB" w:rsidRPr="005A22C2">
        <w:t>land and build prices have increased significantly over the past five year</w:t>
      </w:r>
      <w:r w:rsidR="00C02625" w:rsidRPr="005A22C2">
        <w:t>s</w:t>
      </w:r>
      <w:r w:rsidR="00D333AB" w:rsidRPr="005A22C2">
        <w:t xml:space="preserve">, </w:t>
      </w:r>
      <w:r w:rsidR="007A331D" w:rsidRPr="005A22C2">
        <w:t xml:space="preserve">and many </w:t>
      </w:r>
      <w:r w:rsidR="005361D4" w:rsidRPr="005A22C2">
        <w:t>stated</w:t>
      </w:r>
      <w:r w:rsidR="007A331D" w:rsidRPr="005A22C2">
        <w:t xml:space="preserve"> </w:t>
      </w:r>
      <w:r w:rsidR="00384457" w:rsidRPr="005A22C2">
        <w:t>this has been</w:t>
      </w:r>
      <w:r w:rsidR="00D333AB" w:rsidRPr="005A22C2">
        <w:t xml:space="preserve"> </w:t>
      </w:r>
      <w:r w:rsidR="00FE380F" w:rsidRPr="005A22C2">
        <w:t>particularly</w:t>
      </w:r>
      <w:r w:rsidR="00D333AB" w:rsidRPr="005A22C2">
        <w:t xml:space="preserve"> </w:t>
      </w:r>
      <w:r w:rsidR="00384457" w:rsidRPr="005A22C2">
        <w:t>pertinent</w:t>
      </w:r>
      <w:r w:rsidR="00D333AB" w:rsidRPr="005A22C2">
        <w:t xml:space="preserve"> over the last two years</w:t>
      </w:r>
      <w:r w:rsidR="00AD32FF" w:rsidRPr="005A22C2">
        <w:t xml:space="preserve"> </w:t>
      </w:r>
      <w:r w:rsidR="00DB7D39" w:rsidRPr="005A22C2">
        <w:t>caused by</w:t>
      </w:r>
      <w:r w:rsidR="00AD32FF" w:rsidRPr="005A22C2">
        <w:t xml:space="preserve"> </w:t>
      </w:r>
      <w:r w:rsidR="000E0C5C" w:rsidRPr="005A22C2">
        <w:t>consider</w:t>
      </w:r>
      <w:r w:rsidR="009C198C" w:rsidRPr="005A22C2">
        <w:t>able</w:t>
      </w:r>
      <w:r w:rsidR="00AD32FF" w:rsidRPr="005A22C2">
        <w:t xml:space="preserve"> inflation</w:t>
      </w:r>
      <w:r w:rsidR="00B34661" w:rsidRPr="005A22C2">
        <w:t xml:space="preserve">, which has impacted </w:t>
      </w:r>
      <w:r w:rsidR="00A54875" w:rsidRPr="005A22C2">
        <w:t>th</w:t>
      </w:r>
      <w:r w:rsidR="000C2064" w:rsidRPr="005A22C2">
        <w:t xml:space="preserve">e feasibility to </w:t>
      </w:r>
      <w:r w:rsidR="002949E2" w:rsidRPr="001908CF">
        <w:t>develop SDA</w:t>
      </w:r>
      <w:r w:rsidR="00D333AB" w:rsidRPr="001908CF">
        <w:t>.</w:t>
      </w:r>
      <w:r w:rsidR="002A687D" w:rsidRPr="001908CF">
        <w:t xml:space="preserve"> </w:t>
      </w:r>
      <w:proofErr w:type="spellStart"/>
      <w:r w:rsidR="00326C3A" w:rsidRPr="001908CF">
        <w:t>PowerHousing</w:t>
      </w:r>
      <w:proofErr w:type="spellEnd"/>
      <w:r w:rsidR="00326C3A" w:rsidRPr="001908CF">
        <w:t xml:space="preserve"> Australia</w:t>
      </w:r>
      <w:r w:rsidR="00326C3A" w:rsidRPr="005A22C2">
        <w:t xml:space="preserve"> also suggested that the housing stimulus introduced as part of the previous Federal Government’s COVID-19 recovery response inadvertently placed pressure </w:t>
      </w:r>
      <w:r w:rsidR="00F154F6" w:rsidRPr="005A22C2">
        <w:t>on the availability of land</w:t>
      </w:r>
      <w:r w:rsidR="00505847" w:rsidRPr="005A22C2">
        <w:t>,</w:t>
      </w:r>
      <w:r w:rsidR="00F154F6" w:rsidRPr="005A22C2">
        <w:t xml:space="preserve"> and escalated land and </w:t>
      </w:r>
      <w:r w:rsidR="00EE35CC" w:rsidRPr="005A22C2">
        <w:t>building material</w:t>
      </w:r>
      <w:r w:rsidR="00F154F6" w:rsidRPr="005A22C2">
        <w:t xml:space="preserve"> prices.</w:t>
      </w:r>
    </w:p>
    <w:p w14:paraId="4AF426D9" w14:textId="46942EBD" w:rsidR="003C3354" w:rsidRPr="005A22C2" w:rsidRDefault="00861A50" w:rsidP="006720A0">
      <w:r w:rsidRPr="005A22C2">
        <w:t xml:space="preserve">Several of the stakeholder </w:t>
      </w:r>
      <w:r w:rsidR="00D84C52" w:rsidRPr="005A22C2">
        <w:t>Consultation Group</w:t>
      </w:r>
      <w:r w:rsidRPr="005A22C2">
        <w:t>s discussed using a</w:t>
      </w:r>
      <w:r w:rsidR="008C0A42" w:rsidRPr="005A22C2">
        <w:t>n</w:t>
      </w:r>
      <w:r w:rsidRPr="005A22C2">
        <w:t xml:space="preserve"> indexation method </w:t>
      </w:r>
      <w:r w:rsidR="005F05D3" w:rsidRPr="005A22C2">
        <w:t xml:space="preserve">that is more reflective of the </w:t>
      </w:r>
      <w:r w:rsidR="008C4461" w:rsidRPr="005A22C2">
        <w:t xml:space="preserve">price changes </w:t>
      </w:r>
      <w:r w:rsidR="00C12A73" w:rsidRPr="005A22C2">
        <w:t>in the construction market</w:t>
      </w:r>
      <w:r w:rsidR="008C0A42" w:rsidRPr="005A22C2">
        <w:t xml:space="preserve">, such as </w:t>
      </w:r>
      <w:r w:rsidR="00D0747F" w:rsidRPr="005A22C2">
        <w:t>the</w:t>
      </w:r>
      <w:r w:rsidR="008C0A42" w:rsidRPr="005A22C2">
        <w:t xml:space="preserve"> Construction </w:t>
      </w:r>
      <w:r w:rsidR="008604FE" w:rsidRPr="005A22C2">
        <w:t>industry P</w:t>
      </w:r>
      <w:r w:rsidR="00D0747F" w:rsidRPr="005A22C2">
        <w:t xml:space="preserve">roducer </w:t>
      </w:r>
      <w:r w:rsidR="008C0A42" w:rsidRPr="005A22C2">
        <w:t>Price Index</w:t>
      </w:r>
      <w:r w:rsidR="003B24FC" w:rsidRPr="005A22C2">
        <w:t xml:space="preserve"> or </w:t>
      </w:r>
      <w:r w:rsidR="00DF288F" w:rsidRPr="005A22C2">
        <w:t xml:space="preserve">the </w:t>
      </w:r>
      <w:r w:rsidR="00FE02AB" w:rsidRPr="005A22C2">
        <w:t xml:space="preserve">Cordell Construction Cost Index (CCCI) </w:t>
      </w:r>
      <w:r w:rsidR="004C6BF0" w:rsidRPr="005A22C2">
        <w:t>rather than CPI</w:t>
      </w:r>
      <w:r w:rsidR="00A31DFF" w:rsidRPr="005A22C2">
        <w:t xml:space="preserve"> as it </w:t>
      </w:r>
      <w:r w:rsidR="00C65CA8" w:rsidRPr="005A22C2">
        <w:t xml:space="preserve">is a trusted </w:t>
      </w:r>
      <w:r w:rsidR="00A56738" w:rsidRPr="005A22C2">
        <w:t xml:space="preserve">source which </w:t>
      </w:r>
      <w:r w:rsidR="00A31DFF" w:rsidRPr="005A22C2">
        <w:t>more accurate</w:t>
      </w:r>
      <w:r w:rsidR="00321030" w:rsidRPr="005A22C2">
        <w:t>ly updates</w:t>
      </w:r>
      <w:r w:rsidR="00A31DFF" w:rsidRPr="005A22C2">
        <w:t xml:space="preserve"> for current market conditions</w:t>
      </w:r>
      <w:r w:rsidR="005746B8" w:rsidRPr="005A22C2">
        <w:t xml:space="preserve"> </w:t>
      </w:r>
      <w:r w:rsidR="00321030" w:rsidRPr="005A22C2">
        <w:t>in</w:t>
      </w:r>
      <w:r w:rsidR="005746B8" w:rsidRPr="005A22C2">
        <w:t xml:space="preserve"> the construction industr</w:t>
      </w:r>
      <w:r w:rsidR="007451B7" w:rsidRPr="005A22C2">
        <w:t>y</w:t>
      </w:r>
      <w:r w:rsidR="00B3665E" w:rsidRPr="005A22C2">
        <w:t>.</w:t>
      </w:r>
      <w:r w:rsidR="00DF288F" w:rsidRPr="005A22C2">
        <w:t xml:space="preserve"> </w:t>
      </w:r>
      <w:r w:rsidR="002110DB" w:rsidRPr="005A22C2">
        <w:t>Other suggestions from stakeholders included</w:t>
      </w:r>
      <w:r w:rsidR="000875F4" w:rsidRPr="005A22C2">
        <w:t xml:space="preserve"> using </w:t>
      </w:r>
      <w:r w:rsidR="00720CF4" w:rsidRPr="005A22C2">
        <w:t>a construction indust</w:t>
      </w:r>
      <w:r w:rsidR="00E43804" w:rsidRPr="005A22C2">
        <w:t>r</w:t>
      </w:r>
      <w:r w:rsidR="00720CF4" w:rsidRPr="005A22C2">
        <w:t>y</w:t>
      </w:r>
      <w:r w:rsidR="00E43804" w:rsidRPr="005A22C2">
        <w:t xml:space="preserve"> </w:t>
      </w:r>
      <w:r w:rsidR="000205F2" w:rsidRPr="005A22C2">
        <w:t xml:space="preserve">index such as </w:t>
      </w:r>
      <w:r w:rsidR="00DC7EE8" w:rsidRPr="005A22C2">
        <w:t xml:space="preserve">the </w:t>
      </w:r>
      <w:r w:rsidR="000205F2" w:rsidRPr="005A22C2">
        <w:t>Rowlandson’s trade guide</w:t>
      </w:r>
      <w:r w:rsidR="00CE77A3" w:rsidRPr="005A22C2">
        <w:t>,</w:t>
      </w:r>
      <w:r w:rsidR="002110DB" w:rsidRPr="005A22C2">
        <w:t xml:space="preserve"> </w:t>
      </w:r>
      <w:r w:rsidR="00100768" w:rsidRPr="005A22C2">
        <w:t xml:space="preserve">the Building </w:t>
      </w:r>
      <w:r w:rsidR="00DD5D51" w:rsidRPr="005A22C2">
        <w:t xml:space="preserve">Cost Index, </w:t>
      </w:r>
      <w:r w:rsidR="00870B33" w:rsidRPr="005A22C2">
        <w:t xml:space="preserve">using CPI but incorporating </w:t>
      </w:r>
      <w:r w:rsidR="00C513D7" w:rsidRPr="005A22C2">
        <w:t xml:space="preserve">data from either </w:t>
      </w:r>
      <w:r w:rsidR="00EA6CDC" w:rsidRPr="005A22C2">
        <w:t xml:space="preserve">the Personal Consumption </w:t>
      </w:r>
      <w:r w:rsidR="00C513D7" w:rsidRPr="005A22C2">
        <w:t>Expenditures</w:t>
      </w:r>
      <w:r w:rsidR="00EA6CDC" w:rsidRPr="005A22C2">
        <w:t xml:space="preserve"> Price Index (</w:t>
      </w:r>
      <w:r w:rsidR="00870B33" w:rsidRPr="005A22C2">
        <w:t>PCE</w:t>
      </w:r>
      <w:r w:rsidR="00EA6CDC" w:rsidRPr="005A22C2">
        <w:t>)</w:t>
      </w:r>
      <w:r w:rsidR="00870B33" w:rsidRPr="005A22C2">
        <w:t xml:space="preserve"> or </w:t>
      </w:r>
      <w:r w:rsidR="00A1454A" w:rsidRPr="005A22C2">
        <w:t>Producer Price Index (</w:t>
      </w:r>
      <w:r w:rsidR="00870B33" w:rsidRPr="005A22C2">
        <w:t>PPI</w:t>
      </w:r>
      <w:r w:rsidR="00A1454A" w:rsidRPr="005A22C2">
        <w:t>)</w:t>
      </w:r>
      <w:r w:rsidR="00CE77A3" w:rsidRPr="005A22C2">
        <w:t>,</w:t>
      </w:r>
      <w:r w:rsidR="00A1454A" w:rsidRPr="005A22C2">
        <w:t xml:space="preserve"> </w:t>
      </w:r>
      <w:r w:rsidR="00CE77A3" w:rsidRPr="005A22C2">
        <w:t>or using the ABS Input Price to House Construction Index</w:t>
      </w:r>
      <w:r w:rsidR="008D15A3" w:rsidRPr="005A22C2">
        <w:t xml:space="preserve"> to dictate the prevailing base cost of construction</w:t>
      </w:r>
      <w:r w:rsidR="00CE77A3" w:rsidRPr="005A22C2">
        <w:t>.</w:t>
      </w:r>
      <w:r w:rsidR="00A1454A" w:rsidRPr="005A22C2">
        <w:t xml:space="preserve"> </w:t>
      </w:r>
      <w:r w:rsidR="00AA72D1" w:rsidRPr="005A22C2">
        <w:t xml:space="preserve">A stakeholder from the </w:t>
      </w:r>
      <w:r w:rsidR="008E04BF" w:rsidRPr="005A22C2">
        <w:t xml:space="preserve">SDA </w:t>
      </w:r>
      <w:r w:rsidR="00786736" w:rsidRPr="005A22C2">
        <w:t>B</w:t>
      </w:r>
      <w:r w:rsidR="00AA72D1" w:rsidRPr="005A22C2">
        <w:t>uilders</w:t>
      </w:r>
      <w:r w:rsidR="00055490" w:rsidRPr="005A22C2">
        <w:t xml:space="preserve"> and Developers</w:t>
      </w:r>
      <w:r w:rsidR="00AA72D1" w:rsidRPr="005A22C2">
        <w:t xml:space="preserve"> </w:t>
      </w:r>
      <w:r w:rsidR="00D84C52" w:rsidRPr="005A22C2">
        <w:t>Consultation Group</w:t>
      </w:r>
      <w:r w:rsidR="00AA72D1" w:rsidRPr="005A22C2">
        <w:t xml:space="preserve"> also recommended that </w:t>
      </w:r>
      <w:r w:rsidR="000266C4" w:rsidRPr="005A22C2">
        <w:t xml:space="preserve">a construction price index </w:t>
      </w:r>
      <w:r w:rsidR="00A0187B" w:rsidRPr="005A22C2">
        <w:t xml:space="preserve">specific to commercial construction would be </w:t>
      </w:r>
      <w:r w:rsidR="00D333B6" w:rsidRPr="005A22C2">
        <w:t xml:space="preserve">ideal </w:t>
      </w:r>
      <w:r w:rsidR="00491CAD" w:rsidRPr="005A22C2">
        <w:t xml:space="preserve">to reflect the price increases to the materials </w:t>
      </w:r>
      <w:r w:rsidR="007064D5" w:rsidRPr="005A22C2">
        <w:t xml:space="preserve">typically </w:t>
      </w:r>
      <w:r w:rsidR="044BB5C3" w:rsidRPr="005A22C2">
        <w:t>used</w:t>
      </w:r>
      <w:r w:rsidR="00491CAD" w:rsidRPr="005A22C2">
        <w:t xml:space="preserve"> within </w:t>
      </w:r>
      <w:r w:rsidR="007064D5" w:rsidRPr="005A22C2">
        <w:t>SDA builds.</w:t>
      </w:r>
    </w:p>
    <w:p w14:paraId="6E99EEF9" w14:textId="49C9AC3D" w:rsidR="00A47429" w:rsidRPr="005A22C2" w:rsidRDefault="00F8461A" w:rsidP="006720A0">
      <w:r w:rsidRPr="005A22C2">
        <w:t xml:space="preserve">Several stakeholders across a range of consultation groups recognised however that </w:t>
      </w:r>
      <w:r w:rsidR="002E5115" w:rsidRPr="005A22C2">
        <w:t xml:space="preserve">the indexation </w:t>
      </w:r>
      <w:r w:rsidR="008D7D66" w:rsidRPr="005A22C2">
        <w:t xml:space="preserve">method </w:t>
      </w:r>
      <w:r w:rsidR="002E5115" w:rsidRPr="005A22C2">
        <w:t xml:space="preserve">should </w:t>
      </w:r>
      <w:r w:rsidR="000E0C5C" w:rsidRPr="005A22C2">
        <w:t>consider</w:t>
      </w:r>
      <w:r w:rsidR="002E5115" w:rsidRPr="005A22C2">
        <w:t xml:space="preserve"> the entire lifecycle of </w:t>
      </w:r>
      <w:r w:rsidR="00523577" w:rsidRPr="005A22C2">
        <w:t>SDA, not only the construction phase.</w:t>
      </w:r>
      <w:r w:rsidR="00500228" w:rsidRPr="005A22C2">
        <w:t xml:space="preserve"> </w:t>
      </w:r>
      <w:r w:rsidR="00CA0DE3" w:rsidRPr="005A22C2">
        <w:t xml:space="preserve">Many stakeholders across the </w:t>
      </w:r>
      <w:r w:rsidR="00D84C52" w:rsidRPr="005A22C2">
        <w:t>Consultation Group</w:t>
      </w:r>
      <w:r w:rsidR="00CA0DE3" w:rsidRPr="005A22C2">
        <w:t xml:space="preserve">s and in written submissions </w:t>
      </w:r>
      <w:r w:rsidR="00196628" w:rsidRPr="005A22C2">
        <w:t xml:space="preserve">detailed </w:t>
      </w:r>
      <w:r w:rsidR="00BA61B9" w:rsidRPr="005A22C2">
        <w:t xml:space="preserve">the </w:t>
      </w:r>
      <w:r w:rsidR="000D2531" w:rsidRPr="005A22C2">
        <w:t xml:space="preserve">increases in </w:t>
      </w:r>
      <w:r w:rsidR="00D71011" w:rsidRPr="005A22C2">
        <w:t>underlying</w:t>
      </w:r>
      <w:r w:rsidR="000D2531" w:rsidRPr="005A22C2">
        <w:t xml:space="preserve"> land </w:t>
      </w:r>
      <w:r w:rsidR="0079668B" w:rsidRPr="005A22C2">
        <w:t>prices</w:t>
      </w:r>
      <w:r w:rsidR="000D2531" w:rsidRPr="005A22C2">
        <w:t xml:space="preserve"> </w:t>
      </w:r>
      <w:r w:rsidR="00C169B3" w:rsidRPr="005A22C2">
        <w:t xml:space="preserve">caused by significant inflationary pressure </w:t>
      </w:r>
      <w:r w:rsidR="000D2531" w:rsidRPr="005A22C2">
        <w:t>over the last few years</w:t>
      </w:r>
      <w:r w:rsidR="00277948" w:rsidRPr="005A22C2">
        <w:t>.</w:t>
      </w:r>
      <w:r w:rsidR="00500228" w:rsidRPr="005A22C2">
        <w:t xml:space="preserve"> </w:t>
      </w:r>
      <w:r w:rsidR="00C169B3" w:rsidRPr="005A22C2">
        <w:t>Although the increases in land prices vary</w:t>
      </w:r>
      <w:r w:rsidR="00F576B0" w:rsidRPr="005A22C2">
        <w:t xml:space="preserve"> depending on location</w:t>
      </w:r>
      <w:r w:rsidR="00FB2A7F" w:rsidRPr="005A22C2">
        <w:t xml:space="preserve">, </w:t>
      </w:r>
      <w:r w:rsidR="009A256F" w:rsidRPr="005A22C2">
        <w:t xml:space="preserve">many suggested they have increased beyond CPI and </w:t>
      </w:r>
      <w:r w:rsidR="00B55F8F" w:rsidRPr="0070475B">
        <w:t xml:space="preserve">beyond the </w:t>
      </w:r>
      <w:r w:rsidR="00BB2E5C" w:rsidRPr="0070475B">
        <w:t xml:space="preserve">land price assumptions included in the </w:t>
      </w:r>
      <w:r w:rsidR="00BB2E5C" w:rsidRPr="00505DDF">
        <w:rPr>
          <w:i/>
          <w:iCs/>
        </w:rPr>
        <w:t xml:space="preserve">NDIS Pricing Arrangements for </w:t>
      </w:r>
      <w:r w:rsidR="00BB2E5C" w:rsidRPr="001908CF">
        <w:rPr>
          <w:i/>
          <w:iCs/>
        </w:rPr>
        <w:t>SDA</w:t>
      </w:r>
      <w:r w:rsidR="00BB2E5C" w:rsidRPr="001908CF">
        <w:t xml:space="preserve">. </w:t>
      </w:r>
      <w:r w:rsidR="00140BE4" w:rsidRPr="001908CF">
        <w:t xml:space="preserve">JFA Purple Orange </w:t>
      </w:r>
      <w:r w:rsidR="00A42D62" w:rsidRPr="001908CF">
        <w:t>suggested that they were concerned</w:t>
      </w:r>
      <w:r w:rsidR="006C4935" w:rsidRPr="001908CF">
        <w:t xml:space="preserve"> that the “current blunt form of indexation </w:t>
      </w:r>
      <w:r w:rsidR="004C5A09" w:rsidRPr="001908CF">
        <w:t>disincentivises</w:t>
      </w:r>
      <w:r w:rsidR="006C4935" w:rsidRPr="001908CF">
        <w:t xml:space="preserve"> building in high value locations</w:t>
      </w:r>
      <w:r w:rsidR="0027313D" w:rsidRPr="001908CF">
        <w:t xml:space="preserve">”, </w:t>
      </w:r>
      <w:r w:rsidR="007E7D3E" w:rsidRPr="001908CF">
        <w:t xml:space="preserve">and </w:t>
      </w:r>
      <w:proofErr w:type="spellStart"/>
      <w:r w:rsidR="007E7D3E" w:rsidRPr="001908CF">
        <w:t>PowerHousing</w:t>
      </w:r>
      <w:proofErr w:type="spellEnd"/>
      <w:r w:rsidR="007E7D3E" w:rsidRPr="001908CF">
        <w:t xml:space="preserve"> Australia suggested that the divergence in land prices and the </w:t>
      </w:r>
      <w:r w:rsidR="007E7D3E" w:rsidRPr="001908CF">
        <w:rPr>
          <w:i/>
          <w:iCs/>
        </w:rPr>
        <w:t>NDIS Pricing Arrangements for</w:t>
      </w:r>
      <w:r w:rsidR="007E7D3E" w:rsidRPr="00505DDF">
        <w:rPr>
          <w:i/>
          <w:iCs/>
        </w:rPr>
        <w:t xml:space="preserve"> SDA</w:t>
      </w:r>
      <w:r w:rsidR="007E7D3E" w:rsidRPr="005A22C2">
        <w:t xml:space="preserve"> has led to</w:t>
      </w:r>
      <w:r w:rsidR="00BB2E5C" w:rsidRPr="005A22C2">
        <w:t xml:space="preserve"> </w:t>
      </w:r>
      <w:r w:rsidR="00D92B5B" w:rsidRPr="005A22C2">
        <w:t>geographical imbalances in SDA development.</w:t>
      </w:r>
      <w:r w:rsidR="00500228" w:rsidRPr="005A22C2">
        <w:t xml:space="preserve"> </w:t>
      </w:r>
      <w:r w:rsidR="00D57576" w:rsidRPr="005A22C2">
        <w:t xml:space="preserve">Inspire Impact </w:t>
      </w:r>
      <w:r w:rsidR="005361D4" w:rsidRPr="005A22C2">
        <w:t>stated</w:t>
      </w:r>
      <w:r w:rsidR="00D57576" w:rsidRPr="005A22C2">
        <w:t xml:space="preserve"> that for two metropolitan high demand regions (Melbourne-Inner SA4 and Sydney-Inner </w:t>
      </w:r>
      <w:proofErr w:type="gramStart"/>
      <w:r w:rsidR="00D57576" w:rsidRPr="005A22C2">
        <w:t>South West</w:t>
      </w:r>
      <w:proofErr w:type="gramEnd"/>
      <w:r w:rsidR="00D57576" w:rsidRPr="005A22C2">
        <w:t xml:space="preserve"> SA4), </w:t>
      </w:r>
      <w:r w:rsidR="00AF5BA2" w:rsidRPr="005A22C2">
        <w:t xml:space="preserve">the property yields have </w:t>
      </w:r>
      <w:r w:rsidR="00EA48C2" w:rsidRPr="005A22C2">
        <w:t xml:space="preserve">fallen </w:t>
      </w:r>
      <w:r w:rsidR="0067094B" w:rsidRPr="005A22C2">
        <w:t>from</w:t>
      </w:r>
      <w:r w:rsidR="0027313D" w:rsidRPr="005A22C2">
        <w:t xml:space="preserve"> about</w:t>
      </w:r>
      <w:r w:rsidR="0067094B" w:rsidRPr="005A22C2">
        <w:t xml:space="preserve"> 6.0</w:t>
      </w:r>
      <w:r w:rsidR="00C423B5">
        <w:t>%</w:t>
      </w:r>
      <w:r w:rsidR="0067094B" w:rsidRPr="005A22C2">
        <w:t xml:space="preserve"> </w:t>
      </w:r>
      <w:r w:rsidR="004F399F" w:rsidRPr="005A22C2">
        <w:t xml:space="preserve">in 2018 </w:t>
      </w:r>
      <w:r w:rsidR="0067094B" w:rsidRPr="005A22C2">
        <w:t xml:space="preserve">to </w:t>
      </w:r>
      <w:r w:rsidR="0027313D" w:rsidRPr="005A22C2">
        <w:t xml:space="preserve">about </w:t>
      </w:r>
      <w:r w:rsidR="0067094B" w:rsidRPr="005A22C2">
        <w:t>3.6</w:t>
      </w:r>
      <w:r w:rsidR="00C423B5">
        <w:t>%</w:t>
      </w:r>
      <w:r w:rsidR="0027313D" w:rsidRPr="005A22C2">
        <w:t xml:space="preserve"> </w:t>
      </w:r>
      <w:r w:rsidR="004F399F" w:rsidRPr="005A22C2">
        <w:t xml:space="preserve">in 2022, which is </w:t>
      </w:r>
      <w:r w:rsidR="00EA48C2" w:rsidRPr="005A22C2">
        <w:t>below the market minimum to attract investment, making them unviable.</w:t>
      </w:r>
    </w:p>
    <w:p w14:paraId="7EAC7CE0" w14:textId="3B332C91" w:rsidR="00725406" w:rsidRPr="005A22C2" w:rsidRDefault="007F660A" w:rsidP="006720A0">
      <w:r w:rsidRPr="001908CF">
        <w:t>Edenbridge Living</w:t>
      </w:r>
      <w:r w:rsidR="00AC35D2" w:rsidRPr="001908CF">
        <w:t xml:space="preserve"> suggested that land </w:t>
      </w:r>
      <w:r w:rsidRPr="001908CF">
        <w:t xml:space="preserve">base price assumptions (and </w:t>
      </w:r>
      <w:r w:rsidR="00CE777B" w:rsidRPr="001908CF">
        <w:t>L</w:t>
      </w:r>
      <w:r w:rsidRPr="001908CF">
        <w:t xml:space="preserve">ocation </w:t>
      </w:r>
      <w:r w:rsidR="00CE777B" w:rsidRPr="001908CF">
        <w:t>F</w:t>
      </w:r>
      <w:r w:rsidRPr="001908CF">
        <w:t xml:space="preserve">actors if necessary) should be indexed annually by </w:t>
      </w:r>
      <w:r w:rsidR="00FF404B" w:rsidRPr="001908CF">
        <w:t>a data set such as the ABS Residential Property Price Index</w:t>
      </w:r>
      <w:r w:rsidR="005C0B05" w:rsidRPr="001908CF">
        <w:t xml:space="preserve"> or Heron Todd White Property Report (or </w:t>
      </w:r>
      <w:r w:rsidR="00500228" w:rsidRPr="001908CF">
        <w:t>similar).</w:t>
      </w:r>
      <w:r w:rsidR="005C0B05" w:rsidRPr="001908CF">
        <w:t xml:space="preserve"> </w:t>
      </w:r>
      <w:r w:rsidR="00D036D1" w:rsidRPr="001908CF">
        <w:t xml:space="preserve">Alternatively, </w:t>
      </w:r>
      <w:r w:rsidR="005C0B05" w:rsidRPr="001908CF">
        <w:t>Liveable Homes</w:t>
      </w:r>
      <w:r w:rsidR="005C0B05" w:rsidRPr="005A22C2">
        <w:t xml:space="preserve"> </w:t>
      </w:r>
      <w:r w:rsidR="003C791B" w:rsidRPr="005A22C2">
        <w:t xml:space="preserve">suggested that </w:t>
      </w:r>
      <w:r w:rsidR="005A2446" w:rsidRPr="005A22C2">
        <w:t xml:space="preserve">the land component should be indexed by Core Logic </w:t>
      </w:r>
      <w:r w:rsidR="005A2446" w:rsidRPr="0070475B">
        <w:t xml:space="preserve">Land Price </w:t>
      </w:r>
      <w:r w:rsidR="005A2446" w:rsidRPr="0072588E">
        <w:t>Data</w:t>
      </w:r>
      <w:r w:rsidR="00D036D1" w:rsidRPr="0072588E">
        <w:t>.</w:t>
      </w:r>
      <w:r w:rsidR="008270E4" w:rsidRPr="0072588E">
        <w:t xml:space="preserve"> </w:t>
      </w:r>
      <w:r w:rsidR="00425FBA" w:rsidRPr="0072588E">
        <w:t xml:space="preserve">SDA Alliance </w:t>
      </w:r>
      <w:r w:rsidR="005361D4" w:rsidRPr="0072588E">
        <w:t>stated</w:t>
      </w:r>
      <w:r w:rsidR="00585D15" w:rsidRPr="0072588E">
        <w:t xml:space="preserve"> that </w:t>
      </w:r>
      <w:r w:rsidR="00723447" w:rsidRPr="0072588E">
        <w:t>indexation</w:t>
      </w:r>
      <w:r w:rsidR="00585D15" w:rsidRPr="0072588E">
        <w:t xml:space="preserve"> of the costs of residential land is “… </w:t>
      </w:r>
      <w:r w:rsidR="00531EC6" w:rsidRPr="0072588E">
        <w:t>more challenging in the absence</w:t>
      </w:r>
      <w:r w:rsidR="00531EC6" w:rsidRPr="0070475B">
        <w:t xml:space="preserve"> of a recognised industry indicator, with the closest available indicator being median house price as a proxy for land price </w:t>
      </w:r>
      <w:r w:rsidR="00531EC6" w:rsidRPr="0070475B">
        <w:lastRenderedPageBreak/>
        <w:t>growth</w:t>
      </w:r>
      <w:r w:rsidR="007D00ED" w:rsidRPr="0070475B">
        <w:t>…</w:t>
      </w:r>
      <w:r w:rsidR="00531EC6" w:rsidRPr="0070475B">
        <w:t>” however stated that</w:t>
      </w:r>
      <w:r w:rsidR="00531EC6" w:rsidRPr="005A22C2">
        <w:t xml:space="preserve"> this </w:t>
      </w:r>
      <w:r w:rsidR="00A35542" w:rsidRPr="005A22C2">
        <w:t>data is only publicly reported at the state/capital city level via the Australian Bureau of Statistics.</w:t>
      </w:r>
      <w:r w:rsidR="00500228" w:rsidRPr="005A22C2">
        <w:t xml:space="preserve"> </w:t>
      </w:r>
      <w:r w:rsidR="00725406" w:rsidRPr="005A22C2">
        <w:t xml:space="preserve">Stakeholders from the SDA Builders and Developers </w:t>
      </w:r>
      <w:r w:rsidR="00D84C52" w:rsidRPr="005A22C2">
        <w:t>Consultation Group</w:t>
      </w:r>
      <w:r w:rsidR="00725406" w:rsidRPr="005A22C2">
        <w:t xml:space="preserve"> discussed including a land indexation component to the overall indexation methodology, however it was acknowledged that it would be difficult to determine an appropriate method to combine two indices.</w:t>
      </w:r>
      <w:r w:rsidR="00500228" w:rsidRPr="005A22C2">
        <w:t xml:space="preserve"> </w:t>
      </w:r>
      <w:r w:rsidR="00725406" w:rsidRPr="005A22C2">
        <w:t>As the percentages of land costs and construction costs as a portion of total costs vary significantly between geographic regions, build types and design categories, using a weighted average to determine a single price index would be challenging and inaccurate for a large proportion of SDA developments</w:t>
      </w:r>
      <w:r w:rsidR="0092002C" w:rsidRPr="005A22C2">
        <w:t>.</w:t>
      </w:r>
    </w:p>
    <w:p w14:paraId="212AE169" w14:textId="03A808BA" w:rsidR="00B04D81" w:rsidRPr="005A22C2" w:rsidRDefault="002E0033" w:rsidP="006720A0">
      <w:proofErr w:type="gramStart"/>
      <w:r w:rsidRPr="005A22C2">
        <w:t>A majority of</w:t>
      </w:r>
      <w:proofErr w:type="gramEnd"/>
      <w:r w:rsidR="00CA4F4A" w:rsidRPr="005A22C2">
        <w:t xml:space="preserve"> </w:t>
      </w:r>
      <w:r w:rsidRPr="005A22C2">
        <w:t xml:space="preserve">stakeholders from the </w:t>
      </w:r>
      <w:r w:rsidR="00EA2126" w:rsidRPr="005A22C2">
        <w:t>SDA Institutional Investors</w:t>
      </w:r>
      <w:r w:rsidR="00471995" w:rsidRPr="005A22C2">
        <w:t xml:space="preserve"> and </w:t>
      </w:r>
      <w:r w:rsidR="00EA2126" w:rsidRPr="005A22C2">
        <w:t>SDA Banks and Funds</w:t>
      </w:r>
      <w:r w:rsidRPr="005A22C2">
        <w:t xml:space="preserve"> </w:t>
      </w:r>
      <w:r w:rsidR="00D84C52" w:rsidRPr="005A22C2">
        <w:t>Consultation Group</w:t>
      </w:r>
      <w:r w:rsidR="00471995" w:rsidRPr="005A22C2">
        <w:t>s</w:t>
      </w:r>
      <w:r w:rsidR="00D75FA4" w:rsidRPr="005A22C2">
        <w:t xml:space="preserve"> </w:t>
      </w:r>
      <w:r w:rsidR="00611B92" w:rsidRPr="005A22C2">
        <w:t>and several written submissions</w:t>
      </w:r>
      <w:r w:rsidR="00D75FA4" w:rsidRPr="005A22C2">
        <w:t xml:space="preserve"> argued </w:t>
      </w:r>
      <w:r w:rsidR="00FC0783" w:rsidRPr="005A22C2">
        <w:t>strongly</w:t>
      </w:r>
      <w:r w:rsidR="00D75FA4" w:rsidRPr="005A22C2">
        <w:t xml:space="preserve"> against changing the indexation method from CPI</w:t>
      </w:r>
      <w:r w:rsidR="00FC0783" w:rsidRPr="005A22C2">
        <w:t>.</w:t>
      </w:r>
      <w:r w:rsidR="00500228" w:rsidRPr="005A22C2">
        <w:t xml:space="preserve"> </w:t>
      </w:r>
      <w:r w:rsidR="0028005C" w:rsidRPr="005A22C2">
        <w:t>Indexation by CPI is well known</w:t>
      </w:r>
      <w:r w:rsidR="009C00BB" w:rsidRPr="005A22C2">
        <w:t>, aligns with other regulated assets</w:t>
      </w:r>
      <w:r w:rsidR="0028005C" w:rsidRPr="005A22C2">
        <w:t xml:space="preserve"> and </w:t>
      </w:r>
      <w:r w:rsidR="009C00BB" w:rsidRPr="005A22C2">
        <w:t xml:space="preserve">is </w:t>
      </w:r>
      <w:r w:rsidR="0028005C" w:rsidRPr="005A22C2">
        <w:t>understood by investors</w:t>
      </w:r>
      <w:r w:rsidR="00135733" w:rsidRPr="005A22C2">
        <w:t>.</w:t>
      </w:r>
      <w:r w:rsidR="003A35CA" w:rsidRPr="005A22C2">
        <w:t xml:space="preserve"> </w:t>
      </w:r>
      <w:r w:rsidR="00DF6ACF" w:rsidRPr="005A22C2">
        <w:t>Maintaining indexation by CPI</w:t>
      </w:r>
      <w:r w:rsidR="003A35CA" w:rsidRPr="005A22C2">
        <w:t xml:space="preserve"> promotes consistency and </w:t>
      </w:r>
      <w:r w:rsidR="00F85364" w:rsidRPr="005A22C2">
        <w:t xml:space="preserve">investor </w:t>
      </w:r>
      <w:r w:rsidR="003A35CA" w:rsidRPr="005A22C2">
        <w:t>confidence</w:t>
      </w:r>
      <w:r w:rsidR="00ED2BE2" w:rsidRPr="005A22C2">
        <w:t>,</w:t>
      </w:r>
      <w:r w:rsidR="00B96582" w:rsidRPr="005A22C2">
        <w:t xml:space="preserve"> which is particularly important when attracting </w:t>
      </w:r>
      <w:r w:rsidR="00CF073F" w:rsidRPr="00FF6867">
        <w:t>foreign investment into the market</w:t>
      </w:r>
      <w:r w:rsidR="003A35CA" w:rsidRPr="00FF6867">
        <w:t xml:space="preserve">. </w:t>
      </w:r>
      <w:r w:rsidR="00B741FF">
        <w:t xml:space="preserve">A confidential submission </w:t>
      </w:r>
      <w:r w:rsidR="00B26DE1" w:rsidRPr="00FF6867">
        <w:t xml:space="preserve">emphasised the need </w:t>
      </w:r>
      <w:r w:rsidR="00FA5ECC" w:rsidRPr="00FF6867">
        <w:t xml:space="preserve">to </w:t>
      </w:r>
      <w:r w:rsidR="0039005E" w:rsidRPr="00FF6867">
        <w:t xml:space="preserve">have stability </w:t>
      </w:r>
      <w:r w:rsidR="00B26DE1" w:rsidRPr="00FF6867">
        <w:t xml:space="preserve">of regulatory </w:t>
      </w:r>
      <w:r w:rsidR="0039005E" w:rsidRPr="00FF6867">
        <w:t>practic</w:t>
      </w:r>
      <w:r w:rsidR="0027313D" w:rsidRPr="00FF6867">
        <w:t>e</w:t>
      </w:r>
      <w:r w:rsidR="00691716" w:rsidRPr="00FF6867">
        <w:t xml:space="preserve"> </w:t>
      </w:r>
      <w:r w:rsidR="00691716" w:rsidRPr="001908CF">
        <w:t xml:space="preserve">and Australian Unity </w:t>
      </w:r>
      <w:r w:rsidR="00E23D91" w:rsidRPr="001908CF">
        <w:t>highlighted</w:t>
      </w:r>
      <w:r w:rsidR="00E23D91" w:rsidRPr="00FF6867">
        <w:t xml:space="preserve"> that</w:t>
      </w:r>
      <w:r w:rsidR="00376C10" w:rsidRPr="00FF6867">
        <w:t xml:space="preserve"> </w:t>
      </w:r>
      <w:r w:rsidR="008B0228" w:rsidRPr="00FF6867">
        <w:t xml:space="preserve">it is </w:t>
      </w:r>
      <w:r w:rsidR="00E45C78" w:rsidRPr="00FF6867">
        <w:t>SDA’s</w:t>
      </w:r>
      <w:r w:rsidR="00E23D91" w:rsidRPr="00FF6867">
        <w:t xml:space="preserve"> “indexation by the CPI that is a fundamental pillar of investor appetite”</w:t>
      </w:r>
      <w:r w:rsidR="0027313D" w:rsidRPr="00FF6867">
        <w:t>.</w:t>
      </w:r>
      <w:r w:rsidR="00B26DE1" w:rsidRPr="00FF6867">
        <w:rPr>
          <w:rStyle w:val="FootnoteReference"/>
        </w:rPr>
        <w:t xml:space="preserve"> </w:t>
      </w:r>
      <w:r w:rsidR="009E4DD9" w:rsidRPr="00FF6867">
        <w:t xml:space="preserve">One of the stakeholders from the </w:t>
      </w:r>
      <w:r w:rsidR="00EA2126" w:rsidRPr="00FF6867">
        <w:t>SDA Institutional Investors</w:t>
      </w:r>
      <w:r w:rsidR="009E4DD9" w:rsidRPr="00FF6867">
        <w:t xml:space="preserve"> </w:t>
      </w:r>
      <w:r w:rsidR="00D84C52" w:rsidRPr="00FF6867">
        <w:t>Consultation Group</w:t>
      </w:r>
      <w:r w:rsidR="009E4DD9" w:rsidRPr="00FF6867">
        <w:t xml:space="preserve"> </w:t>
      </w:r>
      <w:r w:rsidR="005361D4" w:rsidRPr="00FF6867">
        <w:t>stated</w:t>
      </w:r>
      <w:r w:rsidR="009E4DD9" w:rsidRPr="00FF6867">
        <w:t xml:space="preserve"> that </w:t>
      </w:r>
      <w:r w:rsidR="00FD52FD" w:rsidRPr="00FF6867">
        <w:t xml:space="preserve">many investors have </w:t>
      </w:r>
      <w:r w:rsidR="009636E9" w:rsidRPr="00FF6867">
        <w:t>undertaken</w:t>
      </w:r>
      <w:r w:rsidR="009636E9" w:rsidRPr="005A22C2">
        <w:t xml:space="preserve"> modelling </w:t>
      </w:r>
      <w:r w:rsidR="00B13577" w:rsidRPr="005A22C2">
        <w:t>to understand</w:t>
      </w:r>
      <w:r w:rsidR="009636E9" w:rsidRPr="005A22C2">
        <w:t xml:space="preserve"> future performance </w:t>
      </w:r>
      <w:r w:rsidR="00792CD5" w:rsidRPr="005A22C2">
        <w:t>of SDA based on CPI</w:t>
      </w:r>
      <w:r w:rsidR="000753E8" w:rsidRPr="005A22C2">
        <w:t xml:space="preserve">, </w:t>
      </w:r>
      <w:r w:rsidR="00DA3875" w:rsidRPr="005A22C2">
        <w:t>performed due diligence</w:t>
      </w:r>
      <w:r w:rsidR="00A16523" w:rsidRPr="005A22C2">
        <w:t>,</w:t>
      </w:r>
      <w:r w:rsidR="00DA3875" w:rsidRPr="005A22C2">
        <w:t xml:space="preserve"> </w:t>
      </w:r>
      <w:r w:rsidR="00DE50DB" w:rsidRPr="005A22C2">
        <w:t xml:space="preserve">and expect </w:t>
      </w:r>
      <w:r w:rsidR="002E7393" w:rsidRPr="005A22C2">
        <w:t>outcomes</w:t>
      </w:r>
      <w:r w:rsidR="00DE50DB" w:rsidRPr="005A22C2">
        <w:t xml:space="preserve"> based on </w:t>
      </w:r>
      <w:r w:rsidR="00C65570" w:rsidRPr="005A22C2">
        <w:t>CPI</w:t>
      </w:r>
      <w:r w:rsidR="00A16523" w:rsidRPr="005A22C2">
        <w:t>.</w:t>
      </w:r>
      <w:r w:rsidR="00AA437F" w:rsidRPr="005A22C2">
        <w:t xml:space="preserve"> Making significant changes to the indexation method would raise scepticism</w:t>
      </w:r>
      <w:r w:rsidR="00877041" w:rsidRPr="005A22C2">
        <w:t>, reduce consistency</w:t>
      </w:r>
      <w:r w:rsidR="006F15AC" w:rsidRPr="005A22C2">
        <w:t>,</w:t>
      </w:r>
      <w:r w:rsidR="00AA437F" w:rsidRPr="005A22C2">
        <w:t xml:space="preserve"> and would make investment, especially offshore investment, into the market more challenging.</w:t>
      </w:r>
      <w:r w:rsidR="00500228" w:rsidRPr="005A22C2">
        <w:t xml:space="preserve"> </w:t>
      </w:r>
      <w:r w:rsidR="000C53BF" w:rsidRPr="005A22C2">
        <w:t xml:space="preserve">A stakeholder in the </w:t>
      </w:r>
      <w:r w:rsidR="00EA2126" w:rsidRPr="005A22C2">
        <w:t>SDA Institutional Investors</w:t>
      </w:r>
      <w:r w:rsidR="000C53BF" w:rsidRPr="005A22C2">
        <w:t xml:space="preserve"> </w:t>
      </w:r>
      <w:r w:rsidR="00D84C52" w:rsidRPr="005A22C2">
        <w:t>Consultation Group</w:t>
      </w:r>
      <w:r w:rsidR="000C53BF" w:rsidRPr="005A22C2">
        <w:t xml:space="preserve"> consultation </w:t>
      </w:r>
      <w:r w:rsidR="005361D4" w:rsidRPr="005A22C2">
        <w:t>stated</w:t>
      </w:r>
      <w:r w:rsidR="000C53BF" w:rsidRPr="005A22C2">
        <w:t xml:space="preserve"> that </w:t>
      </w:r>
      <w:r w:rsidR="00281FD3" w:rsidRPr="005A22C2">
        <w:t>if</w:t>
      </w:r>
      <w:r w:rsidR="00761D65" w:rsidRPr="005A22C2">
        <w:t xml:space="preserve"> build costs </w:t>
      </w:r>
      <w:r w:rsidR="00281FD3" w:rsidRPr="005A22C2">
        <w:t xml:space="preserve">are more volatile than CPI, </w:t>
      </w:r>
      <w:r w:rsidR="00131305" w:rsidRPr="005A22C2">
        <w:t xml:space="preserve">it may raise uncertainty in the market and may not incentivise </w:t>
      </w:r>
      <w:r w:rsidR="007D427E" w:rsidRPr="005A22C2">
        <w:t>additional construction.</w:t>
      </w:r>
    </w:p>
    <w:p w14:paraId="28610312" w14:textId="040FB574" w:rsidR="007B6FAA" w:rsidRPr="005A22C2" w:rsidRDefault="007F27F5" w:rsidP="006720A0">
      <w:pPr>
        <w:pStyle w:val="Heading2"/>
      </w:pPr>
      <w:bookmarkStart w:id="251" w:name="_Toc129783623"/>
      <w:bookmarkStart w:id="252" w:name="_Toc136006899"/>
      <w:r w:rsidRPr="005A22C2">
        <w:t xml:space="preserve">Frequency of </w:t>
      </w:r>
      <w:r w:rsidR="006344D5" w:rsidRPr="005A22C2">
        <w:t>SDA Pricing Review</w:t>
      </w:r>
      <w:r w:rsidRPr="005A22C2">
        <w:t>s</w:t>
      </w:r>
      <w:bookmarkEnd w:id="251"/>
      <w:bookmarkEnd w:id="252"/>
    </w:p>
    <w:p w14:paraId="33278B2B" w14:textId="0DD55D0A" w:rsidR="000512E2" w:rsidRPr="001908CF" w:rsidRDefault="00F53BC2" w:rsidP="006720A0">
      <w:pPr>
        <w:rPr>
          <w:i/>
        </w:rPr>
      </w:pPr>
      <w:r w:rsidRPr="005A22C2">
        <w:t xml:space="preserve">Several stakeholders </w:t>
      </w:r>
      <w:r w:rsidR="003B24FC" w:rsidRPr="005A22C2">
        <w:t xml:space="preserve">were concerned that </w:t>
      </w:r>
      <w:r w:rsidR="00CA0D6F" w:rsidRPr="005A22C2">
        <w:t>surges in</w:t>
      </w:r>
      <w:r w:rsidR="00A02802" w:rsidRPr="005A22C2">
        <w:t xml:space="preserve"> the costs of</w:t>
      </w:r>
      <w:r w:rsidR="00CA0D6F" w:rsidRPr="005A22C2">
        <w:t xml:space="preserve"> land and/or </w:t>
      </w:r>
      <w:r w:rsidR="00556780" w:rsidRPr="005A22C2">
        <w:t xml:space="preserve">building </w:t>
      </w:r>
      <w:r w:rsidR="00CA0D6F" w:rsidRPr="005A22C2">
        <w:t>material</w:t>
      </w:r>
      <w:r w:rsidR="00A02802" w:rsidRPr="005A22C2">
        <w:t>s</w:t>
      </w:r>
      <w:r w:rsidR="00CA0D6F" w:rsidRPr="005A22C2">
        <w:t xml:space="preserve"> </w:t>
      </w:r>
      <w:r w:rsidR="00CB3ED6" w:rsidRPr="005A22C2">
        <w:t xml:space="preserve">between </w:t>
      </w:r>
      <w:r w:rsidR="00C67327" w:rsidRPr="005A22C2">
        <w:t xml:space="preserve">the five-yearly </w:t>
      </w:r>
      <w:r w:rsidR="006344D5" w:rsidRPr="005A22C2">
        <w:t>SDA Pricing Review</w:t>
      </w:r>
      <w:r w:rsidR="00C67327" w:rsidRPr="005A22C2">
        <w:t>s c</w:t>
      </w:r>
      <w:r w:rsidR="00991982" w:rsidRPr="005A22C2">
        <w:t xml:space="preserve">an </w:t>
      </w:r>
      <w:r w:rsidR="00C06F0C" w:rsidRPr="005A22C2">
        <w:t xml:space="preserve">impact </w:t>
      </w:r>
      <w:r w:rsidR="005C7E4E" w:rsidRPr="005A22C2">
        <w:t xml:space="preserve">or stall the construction of new SDA </w:t>
      </w:r>
      <w:r w:rsidR="001D4457" w:rsidRPr="005A22C2">
        <w:t xml:space="preserve">as it becomes </w:t>
      </w:r>
      <w:r w:rsidR="002B2B85" w:rsidRPr="005A22C2">
        <w:t xml:space="preserve">financially </w:t>
      </w:r>
      <w:r w:rsidR="001D4457" w:rsidRPr="005A22C2">
        <w:t>unfeasible</w:t>
      </w:r>
      <w:r w:rsidR="00250EBC" w:rsidRPr="005A22C2">
        <w:t>.</w:t>
      </w:r>
      <w:r w:rsidR="00500228" w:rsidRPr="005A22C2">
        <w:t xml:space="preserve"> </w:t>
      </w:r>
      <w:r w:rsidR="00BF30FB" w:rsidRPr="005A22C2">
        <w:t xml:space="preserve">As property prices are cyclical, one stakeholder </w:t>
      </w:r>
      <w:r w:rsidR="00BF30FB" w:rsidRPr="00FF6867">
        <w:t xml:space="preserve">in the </w:t>
      </w:r>
      <w:r w:rsidR="00BA6BE0" w:rsidRPr="00FF6867">
        <w:t>SDA Self</w:t>
      </w:r>
      <w:r w:rsidR="00532454" w:rsidRPr="00FF6867">
        <w:t>-</w:t>
      </w:r>
      <w:r w:rsidR="00BA6BE0" w:rsidRPr="00FF6867">
        <w:t>Provider</w:t>
      </w:r>
      <w:r w:rsidR="00180440" w:rsidRPr="00FF6867">
        <w:t xml:space="preserve"> </w:t>
      </w:r>
      <w:r w:rsidR="00D84C52" w:rsidRPr="00FF6867">
        <w:t>Consultation Group</w:t>
      </w:r>
      <w:r w:rsidR="0006538A" w:rsidRPr="00FF6867">
        <w:t xml:space="preserve"> </w:t>
      </w:r>
      <w:r w:rsidR="000013EB" w:rsidRPr="00FF6867">
        <w:t>reported that</w:t>
      </w:r>
      <w:r w:rsidR="009B72EF" w:rsidRPr="00FF6867">
        <w:t xml:space="preserve"> </w:t>
      </w:r>
      <w:r w:rsidR="003917B0" w:rsidRPr="00FF6867">
        <w:t xml:space="preserve">if the market experiences a period of rapid growth after the prices are set, </w:t>
      </w:r>
      <w:r w:rsidR="00024C60" w:rsidRPr="00FF6867">
        <w:t>“</w:t>
      </w:r>
      <w:r w:rsidR="003917B0" w:rsidRPr="00FF6867">
        <w:t xml:space="preserve">you could </w:t>
      </w:r>
      <w:r w:rsidR="003917B0" w:rsidRPr="0072588E">
        <w:t>have a period of three or four years where there’s just a total stalling of new projects</w:t>
      </w:r>
      <w:r w:rsidR="00F65CE1" w:rsidRPr="0072588E">
        <w:t>”</w:t>
      </w:r>
      <w:r w:rsidR="006772C2" w:rsidRPr="0072588E">
        <w:t>.</w:t>
      </w:r>
      <w:r w:rsidR="003917B0" w:rsidRPr="0072588E">
        <w:t xml:space="preserve"> </w:t>
      </w:r>
      <w:r w:rsidR="00BF0B95" w:rsidRPr="0072588E">
        <w:t xml:space="preserve">SDA Alliance concurred with this point and suggested that </w:t>
      </w:r>
      <w:r w:rsidR="00CC5863" w:rsidRPr="0072588E">
        <w:t>“significant cyclical market movements (such</w:t>
      </w:r>
      <w:r w:rsidR="00CC5863" w:rsidRPr="00FF6867">
        <w:t xml:space="preserve"> as the massive price inflation experienced in</w:t>
      </w:r>
      <w:r w:rsidR="00B67E57" w:rsidRPr="00FF6867">
        <w:t xml:space="preserve"> recent past years) might not be efficiently addressed [by five-yearly </w:t>
      </w:r>
      <w:r w:rsidR="007B6007" w:rsidRPr="00FF6867">
        <w:t>Pricing Review</w:t>
      </w:r>
      <w:r w:rsidR="00B67E57" w:rsidRPr="00FF6867">
        <w:t>s]</w:t>
      </w:r>
      <w:r w:rsidR="00D27EDD" w:rsidRPr="00FF6867">
        <w:t xml:space="preserve"> and this becomes </w:t>
      </w:r>
      <w:r w:rsidR="00D27EDD" w:rsidRPr="001908CF">
        <w:t>a barrier to supply”</w:t>
      </w:r>
      <w:r w:rsidR="006772C2" w:rsidRPr="001908CF">
        <w:t>.</w:t>
      </w:r>
    </w:p>
    <w:p w14:paraId="6DEC6F62" w14:textId="5EC9ACF8" w:rsidR="000512E2" w:rsidRPr="005A22C2" w:rsidRDefault="0059682B" w:rsidP="006720A0">
      <w:r w:rsidRPr="001908CF">
        <w:t>WAIG</w:t>
      </w:r>
      <w:r w:rsidR="008E6A4E" w:rsidRPr="001908CF">
        <w:t>ROUP</w:t>
      </w:r>
      <w:r w:rsidRPr="001908CF">
        <w:t xml:space="preserve"> indicated that while </w:t>
      </w:r>
      <w:r w:rsidR="002F00FD" w:rsidRPr="001908CF">
        <w:t xml:space="preserve">indexation by </w:t>
      </w:r>
      <w:r w:rsidRPr="001908CF">
        <w:t xml:space="preserve">CPI is adequate </w:t>
      </w:r>
      <w:r w:rsidR="002F00FD" w:rsidRPr="001908CF">
        <w:t xml:space="preserve">to cover the operational cost increases </w:t>
      </w:r>
      <w:r w:rsidR="004A7134" w:rsidRPr="001908CF">
        <w:t>SDA</w:t>
      </w:r>
      <w:r w:rsidR="004343A5" w:rsidRPr="001908CF">
        <w:t xml:space="preserve"> and ensure a sufficient return </w:t>
      </w:r>
      <w:r w:rsidR="007A1562" w:rsidRPr="001908CF">
        <w:t xml:space="preserve">for investors, “in an inflationary environment where the Land and Building cost increases are substantially higher, some proposed projects will inevitably </w:t>
      </w:r>
      <w:r w:rsidR="008900AC" w:rsidRPr="001908CF">
        <w:t>become commercially unviable”</w:t>
      </w:r>
      <w:r w:rsidR="006772C2" w:rsidRPr="001908CF">
        <w:t>.</w:t>
      </w:r>
      <w:r w:rsidR="008B4FEF" w:rsidRPr="001908CF">
        <w:t xml:space="preserve"> Although the residential </w:t>
      </w:r>
      <w:r w:rsidR="00391F4D" w:rsidRPr="001908CF">
        <w:t>construction</w:t>
      </w:r>
      <w:r w:rsidR="008B4FEF" w:rsidRPr="001908CF">
        <w:t xml:space="preserve"> industry experiences </w:t>
      </w:r>
      <w:r w:rsidR="00FE654D" w:rsidRPr="001908CF">
        <w:t>regular cost cycles</w:t>
      </w:r>
      <w:r w:rsidR="00391F4D" w:rsidRPr="001908CF">
        <w:t>, WAIG</w:t>
      </w:r>
      <w:r w:rsidR="006B72FF" w:rsidRPr="001908CF">
        <w:t>ROUP</w:t>
      </w:r>
      <w:r w:rsidR="00391F4D" w:rsidRPr="001908CF">
        <w:t xml:space="preserve"> </w:t>
      </w:r>
      <w:r w:rsidR="005361D4" w:rsidRPr="001908CF">
        <w:t>stated</w:t>
      </w:r>
      <w:r w:rsidR="00391F4D" w:rsidRPr="001908CF">
        <w:t xml:space="preserve"> that </w:t>
      </w:r>
      <w:r w:rsidR="00593537" w:rsidRPr="001908CF">
        <w:t xml:space="preserve">over the last 12 months, </w:t>
      </w:r>
      <w:r w:rsidR="00391F4D" w:rsidRPr="001908CF">
        <w:t xml:space="preserve">they have not </w:t>
      </w:r>
      <w:r w:rsidR="00593537" w:rsidRPr="001908CF">
        <w:t xml:space="preserve">been able to respond </w:t>
      </w:r>
      <w:r w:rsidR="00593537" w:rsidRPr="001908CF">
        <w:lastRenderedPageBreak/>
        <w:t xml:space="preserve">to demand in a </w:t>
      </w:r>
      <w:r w:rsidR="003D39F9" w:rsidRPr="001908CF">
        <w:t xml:space="preserve">“range of mid to high value suburbs in </w:t>
      </w:r>
      <w:proofErr w:type="gramStart"/>
      <w:r w:rsidR="003D39F9" w:rsidRPr="001908CF">
        <w:t>Perth, and</w:t>
      </w:r>
      <w:proofErr w:type="gramEnd"/>
      <w:r w:rsidR="003D39F9" w:rsidRPr="001908CF">
        <w:t xml:space="preserve"> has been forced to negotiate alternatives…which is not always ideal”</w:t>
      </w:r>
      <w:r w:rsidR="006772C2" w:rsidRPr="001908CF">
        <w:t>.</w:t>
      </w:r>
      <w:r w:rsidR="00500228" w:rsidRPr="001908CF">
        <w:t xml:space="preserve"> </w:t>
      </w:r>
      <w:r w:rsidR="00D70773" w:rsidRPr="001908CF">
        <w:t>The</w:t>
      </w:r>
      <w:r w:rsidR="000512E2" w:rsidRPr="001908CF">
        <w:t xml:space="preserve"> NDISP suggested that </w:t>
      </w:r>
      <w:proofErr w:type="gramStart"/>
      <w:r w:rsidR="000512E2" w:rsidRPr="001908CF">
        <w:t>in order to</w:t>
      </w:r>
      <w:proofErr w:type="gramEnd"/>
      <w:r w:rsidR="000512E2" w:rsidRPr="001908CF">
        <w:t xml:space="preserve"> correct for the sharp price rises that have occurred over the</w:t>
      </w:r>
      <w:r w:rsidR="000512E2" w:rsidRPr="005A22C2">
        <w:t xml:space="preserve"> past few years (particularly since the COVID-19 pandemic), </w:t>
      </w:r>
      <w:r w:rsidR="000512E2" w:rsidRPr="00FF6867">
        <w:t>a “one-off 16</w:t>
      </w:r>
      <w:r w:rsidR="00C423B5">
        <w:t>%</w:t>
      </w:r>
      <w:r w:rsidR="000512E2" w:rsidRPr="00FF6867">
        <w:t xml:space="preserve"> increase, on top of inflationary increase in pricing, is needed”</w:t>
      </w:r>
      <w:r w:rsidR="006772C2" w:rsidRPr="00FF6867">
        <w:t>.</w:t>
      </w:r>
    </w:p>
    <w:p w14:paraId="617ADDB6" w14:textId="2C32CEF6" w:rsidR="007B0FAE" w:rsidRPr="001908CF" w:rsidRDefault="00250EBC" w:rsidP="006720A0">
      <w:r w:rsidRPr="005A22C2">
        <w:t xml:space="preserve">Several stakeholders across a range of </w:t>
      </w:r>
      <w:r w:rsidR="00D84C52" w:rsidRPr="005A22C2">
        <w:t>Consultation Group</w:t>
      </w:r>
      <w:r w:rsidRPr="005A22C2">
        <w:t xml:space="preserve">s </w:t>
      </w:r>
      <w:r w:rsidR="00243CD9" w:rsidRPr="005A22C2">
        <w:t xml:space="preserve">and written submissions </w:t>
      </w:r>
      <w:r w:rsidR="00DE3C4A" w:rsidRPr="005A22C2">
        <w:t xml:space="preserve">recommended </w:t>
      </w:r>
      <w:r w:rsidR="00905A2F" w:rsidRPr="005A22C2">
        <w:t xml:space="preserve">undertaking limited </w:t>
      </w:r>
      <w:r w:rsidR="006344D5" w:rsidRPr="005A22C2">
        <w:t>SDA Pricing Review</w:t>
      </w:r>
      <w:r w:rsidR="00905A2F" w:rsidRPr="005A22C2">
        <w:t xml:space="preserve">s </w:t>
      </w:r>
      <w:r w:rsidR="00D40D71" w:rsidRPr="005A22C2">
        <w:t xml:space="preserve">in between the </w:t>
      </w:r>
      <w:r w:rsidR="006A2101" w:rsidRPr="005A22C2">
        <w:t xml:space="preserve">regular </w:t>
      </w:r>
      <w:r w:rsidR="00D40D71" w:rsidRPr="005A22C2">
        <w:t xml:space="preserve">five-yearly </w:t>
      </w:r>
      <w:r w:rsidR="006344D5" w:rsidRPr="005A22C2">
        <w:t>SDA Pricing Review</w:t>
      </w:r>
      <w:r w:rsidR="006A2101" w:rsidRPr="005A22C2">
        <w:t xml:space="preserve">s </w:t>
      </w:r>
      <w:r w:rsidR="00905A2F" w:rsidRPr="005A22C2">
        <w:t xml:space="preserve">to </w:t>
      </w:r>
      <w:r w:rsidR="00D40D71" w:rsidRPr="005A22C2">
        <w:t xml:space="preserve">adjust </w:t>
      </w:r>
      <w:r w:rsidR="007C2EF1" w:rsidRPr="005A22C2">
        <w:t xml:space="preserve">and reset </w:t>
      </w:r>
      <w:r w:rsidR="00D40D71" w:rsidRPr="005A22C2">
        <w:t xml:space="preserve">the SDA base </w:t>
      </w:r>
      <w:r w:rsidR="00D40D71" w:rsidRPr="0072588E">
        <w:t>prices</w:t>
      </w:r>
      <w:r w:rsidR="006A2101" w:rsidRPr="0072588E">
        <w:t>.</w:t>
      </w:r>
      <w:r w:rsidR="00500228" w:rsidRPr="0072588E">
        <w:t xml:space="preserve"> </w:t>
      </w:r>
      <w:r w:rsidR="006F40B0" w:rsidRPr="0072588E">
        <w:t xml:space="preserve">SDA Alliance recommended that a limited </w:t>
      </w:r>
      <w:r w:rsidR="006344D5" w:rsidRPr="0072588E">
        <w:t>SDA Pricing Review</w:t>
      </w:r>
      <w:r w:rsidR="006F40B0" w:rsidRPr="0072588E">
        <w:t xml:space="preserve"> could be triggered by monitoring the Building Cost Index (BCI) to determine when real construction costs are</w:t>
      </w:r>
      <w:r w:rsidR="006F40B0" w:rsidRPr="005A22C2">
        <w:t xml:space="preserve"> outstripping CPI</w:t>
      </w:r>
      <w:r w:rsidR="00D53F6E" w:rsidRPr="005A22C2">
        <w:t xml:space="preserve">, or </w:t>
      </w:r>
      <w:r w:rsidR="007E7B90" w:rsidRPr="005A22C2">
        <w:t xml:space="preserve">monitoring </w:t>
      </w:r>
      <w:r w:rsidR="00D53F6E" w:rsidRPr="005A22C2">
        <w:t>when the median house price for a location is outstripping CPI</w:t>
      </w:r>
      <w:r w:rsidR="007E7B90" w:rsidRPr="005A22C2">
        <w:t xml:space="preserve">, as </w:t>
      </w:r>
      <w:proofErr w:type="gramStart"/>
      <w:r w:rsidR="007E7B90" w:rsidRPr="005A22C2">
        <w:t>both of these</w:t>
      </w:r>
      <w:proofErr w:type="gramEnd"/>
      <w:r w:rsidR="007E7B90" w:rsidRPr="005A22C2">
        <w:t xml:space="preserve"> will indicate when excessive land and building costs are negatively impacting investment decisions.</w:t>
      </w:r>
      <w:r w:rsidR="00500228" w:rsidRPr="005A22C2">
        <w:t xml:space="preserve"> </w:t>
      </w:r>
      <w:r w:rsidR="008C0656" w:rsidRPr="005A22C2">
        <w:t xml:space="preserve">Alternatively, </w:t>
      </w:r>
      <w:r w:rsidR="007238E2" w:rsidRPr="005A22C2">
        <w:t>several written submissions</w:t>
      </w:r>
      <w:r w:rsidR="00A30A4A" w:rsidRPr="005A22C2">
        <w:t xml:space="preserve"> suggested that it could be </w:t>
      </w:r>
      <w:r w:rsidR="00407BCE" w:rsidRPr="005A22C2">
        <w:t>beneficial</w:t>
      </w:r>
      <w:r w:rsidR="00A30A4A" w:rsidRPr="005A22C2">
        <w:t xml:space="preserve"> to have more regular </w:t>
      </w:r>
      <w:r w:rsidR="006344D5" w:rsidRPr="005A22C2">
        <w:t>SDA Pricing Review</w:t>
      </w:r>
      <w:r w:rsidR="00A30A4A" w:rsidRPr="005A22C2">
        <w:t xml:space="preserve">s, for example, every two to three </w:t>
      </w:r>
      <w:r w:rsidR="00A30A4A" w:rsidRPr="001908CF">
        <w:t>years.</w:t>
      </w:r>
      <w:r w:rsidR="00500228" w:rsidRPr="001908CF">
        <w:t xml:space="preserve"> </w:t>
      </w:r>
      <w:proofErr w:type="spellStart"/>
      <w:r w:rsidR="005B7C84" w:rsidRPr="001908CF">
        <w:t>PowerHousing</w:t>
      </w:r>
      <w:proofErr w:type="spellEnd"/>
      <w:r w:rsidR="005B7C84" w:rsidRPr="001908CF">
        <w:t xml:space="preserve"> Australia</w:t>
      </w:r>
      <w:r w:rsidR="009B6594" w:rsidRPr="001908CF">
        <w:t xml:space="preserve"> also agreed with undertaking limited </w:t>
      </w:r>
      <w:r w:rsidR="006344D5" w:rsidRPr="001908CF">
        <w:t>SDA Pricing Review</w:t>
      </w:r>
      <w:r w:rsidR="009B6594" w:rsidRPr="001908CF">
        <w:t xml:space="preserve">s </w:t>
      </w:r>
      <w:r w:rsidR="00762E55" w:rsidRPr="001908CF">
        <w:t>given specific issues and events, however emphasised the risk</w:t>
      </w:r>
      <w:r w:rsidR="00CD4307" w:rsidRPr="001908CF">
        <w:t>s this may pose</w:t>
      </w:r>
      <w:r w:rsidR="00762E55" w:rsidRPr="001908CF">
        <w:t xml:space="preserve"> </w:t>
      </w:r>
      <w:r w:rsidR="00CD4307" w:rsidRPr="001908CF">
        <w:t>to investors and developers if</w:t>
      </w:r>
      <w:r w:rsidR="00762E55" w:rsidRPr="001908CF">
        <w:t xml:space="preserve"> prices </w:t>
      </w:r>
      <w:r w:rsidR="00CD4307" w:rsidRPr="001908CF">
        <w:t>were to</w:t>
      </w:r>
      <w:r w:rsidR="00762E55" w:rsidRPr="001908CF">
        <w:t xml:space="preserve"> decline under such</w:t>
      </w:r>
      <w:r w:rsidR="00CD4307" w:rsidRPr="001908CF">
        <w:t xml:space="preserve"> a</w:t>
      </w:r>
      <w:r w:rsidR="00762E55" w:rsidRPr="001908CF">
        <w:t xml:space="preserve"> review</w:t>
      </w:r>
      <w:r w:rsidR="005B7C84" w:rsidRPr="001908CF">
        <w:t>.</w:t>
      </w:r>
      <w:r w:rsidR="00500228" w:rsidRPr="001908CF">
        <w:t xml:space="preserve"> </w:t>
      </w:r>
      <w:r w:rsidR="00753207" w:rsidRPr="001908CF">
        <w:t>WAIG</w:t>
      </w:r>
      <w:r w:rsidR="00E81B7B" w:rsidRPr="001908CF">
        <w:t>ROUP</w:t>
      </w:r>
      <w:r w:rsidR="00753207" w:rsidRPr="001908CF">
        <w:t xml:space="preserve"> </w:t>
      </w:r>
      <w:r w:rsidR="00617EDC" w:rsidRPr="001908CF">
        <w:t xml:space="preserve">suggested however that if prices for land and construction were reset during a ‘boom’ period, </w:t>
      </w:r>
      <w:r w:rsidR="00581DA1" w:rsidRPr="001908CF">
        <w:t>already completed SDA projects “</w:t>
      </w:r>
      <w:r w:rsidR="00E401A7" w:rsidRPr="001908CF">
        <w:t>…</w:t>
      </w:r>
      <w:r w:rsidR="00581DA1" w:rsidRPr="001908CF">
        <w:t xml:space="preserve">would also be beneficiaries and may in fact make </w:t>
      </w:r>
      <w:r w:rsidR="00E401A7" w:rsidRPr="001908CF">
        <w:t>‘</w:t>
      </w:r>
      <w:r w:rsidR="00581DA1" w:rsidRPr="001908CF">
        <w:t>windfall’ gains”</w:t>
      </w:r>
      <w:r w:rsidR="006772C2" w:rsidRPr="001908CF">
        <w:t>.</w:t>
      </w:r>
      <w:r w:rsidR="00500228" w:rsidRPr="001908CF">
        <w:t xml:space="preserve"> </w:t>
      </w:r>
      <w:r w:rsidR="000369CD" w:rsidRPr="001908CF">
        <w:t xml:space="preserve">Barwon Investment Partners provided another suggestion, which </w:t>
      </w:r>
      <w:r w:rsidR="00BC0E89" w:rsidRPr="001908CF">
        <w:t>is</w:t>
      </w:r>
      <w:r w:rsidR="000369CD" w:rsidRPr="001908CF">
        <w:t xml:space="preserve"> to </w:t>
      </w:r>
      <w:r w:rsidR="00BC0E89" w:rsidRPr="001908CF">
        <w:t>have a minimum</w:t>
      </w:r>
      <w:r w:rsidR="005C1D60" w:rsidRPr="001908CF">
        <w:t xml:space="preserve"> </w:t>
      </w:r>
      <w:r w:rsidR="00182005" w:rsidRPr="001908CF">
        <w:t xml:space="preserve">indexation </w:t>
      </w:r>
      <w:r w:rsidR="00BC0E89" w:rsidRPr="001908CF">
        <w:t xml:space="preserve">of </w:t>
      </w:r>
      <w:r w:rsidR="00847156" w:rsidRPr="001908CF">
        <w:t>“</w:t>
      </w:r>
      <w:r w:rsidR="005C1D60" w:rsidRPr="001908CF">
        <w:t>CP</w:t>
      </w:r>
      <w:r w:rsidR="00847156" w:rsidRPr="001908CF">
        <w:t>I and another relevant index in periods of high land and construction costs escalation”</w:t>
      </w:r>
      <w:r w:rsidR="006F1F89" w:rsidRPr="001908CF">
        <w:t xml:space="preserve"> as CPI often doesn’t capture </w:t>
      </w:r>
      <w:r w:rsidR="00973DDA" w:rsidRPr="001908CF">
        <w:t>the sharp escalations in land and construction costs.</w:t>
      </w:r>
    </w:p>
    <w:p w14:paraId="1EE81A8E" w14:textId="0E837C89" w:rsidR="00266158" w:rsidRPr="005A22C2" w:rsidRDefault="00B35C2B" w:rsidP="006720A0">
      <w:r w:rsidRPr="001908CF">
        <w:t xml:space="preserve">Another recommendation that was discussed </w:t>
      </w:r>
      <w:r w:rsidR="002144EA" w:rsidRPr="001908CF">
        <w:t xml:space="preserve">by </w:t>
      </w:r>
      <w:r w:rsidRPr="001908CF">
        <w:t>multiple stakeholder</w:t>
      </w:r>
      <w:r w:rsidR="002144EA" w:rsidRPr="001908CF">
        <w:t xml:space="preserve">s </w:t>
      </w:r>
      <w:r w:rsidRPr="001908CF">
        <w:t>w</w:t>
      </w:r>
      <w:r w:rsidR="00F0679A" w:rsidRPr="001908CF">
        <w:t>ere</w:t>
      </w:r>
      <w:r w:rsidR="00C36D0E" w:rsidRPr="001908CF">
        <w:t xml:space="preserve"> variations of</w:t>
      </w:r>
      <w:r w:rsidRPr="001908CF">
        <w:t xml:space="preserve"> </w:t>
      </w:r>
      <w:r w:rsidR="001B6854" w:rsidRPr="001908CF">
        <w:t xml:space="preserve">setting the </w:t>
      </w:r>
      <w:r w:rsidR="00143705" w:rsidRPr="001908CF">
        <w:rPr>
          <w:i/>
        </w:rPr>
        <w:t>NDIS Pricing Arrangements for SDA</w:t>
      </w:r>
      <w:r w:rsidR="008803B3" w:rsidRPr="001908CF">
        <w:t xml:space="preserve"> </w:t>
      </w:r>
      <w:r w:rsidR="00132F33" w:rsidRPr="001908CF">
        <w:t xml:space="preserve">each year and then indexing </w:t>
      </w:r>
      <w:r w:rsidR="00C36D0E" w:rsidRPr="001908CF">
        <w:t xml:space="preserve">it </w:t>
      </w:r>
      <w:r w:rsidR="00553045" w:rsidRPr="001908CF">
        <w:t>using CPI from t</w:t>
      </w:r>
      <w:r w:rsidR="001772B7" w:rsidRPr="001908CF">
        <w:t>hat point over the lifetime of the asset.</w:t>
      </w:r>
      <w:r w:rsidR="00500228" w:rsidRPr="001908CF">
        <w:t xml:space="preserve"> </w:t>
      </w:r>
      <w:r w:rsidR="00FB25BA" w:rsidRPr="001908CF">
        <w:t xml:space="preserve">Several stakeholders </w:t>
      </w:r>
      <w:r w:rsidR="005361D4" w:rsidRPr="001908CF">
        <w:t>stated</w:t>
      </w:r>
      <w:r w:rsidR="003D7F8A" w:rsidRPr="001908CF">
        <w:t xml:space="preserve"> that CPI is a good indexation method for ownership and management costs</w:t>
      </w:r>
      <w:r w:rsidR="00A27154" w:rsidRPr="001908CF">
        <w:t>,</w:t>
      </w:r>
      <w:r w:rsidR="00500228" w:rsidRPr="001908CF">
        <w:t xml:space="preserve"> </w:t>
      </w:r>
      <w:r w:rsidR="00A27154" w:rsidRPr="001908CF">
        <w:t xml:space="preserve">and </w:t>
      </w:r>
      <w:r w:rsidR="00FB25BA" w:rsidRPr="001908CF">
        <w:t xml:space="preserve">Liveable Homes Australia </w:t>
      </w:r>
      <w:r w:rsidR="00A27154" w:rsidRPr="001908CF">
        <w:t xml:space="preserve">suggested that </w:t>
      </w:r>
      <w:r w:rsidR="00A27154" w:rsidRPr="001908CF">
        <w:rPr>
          <w:i/>
          <w:iCs/>
        </w:rPr>
        <w:t>“</w:t>
      </w:r>
      <w:r w:rsidR="00A27154" w:rsidRPr="001908CF">
        <w:t>once the First Payment is made based on the</w:t>
      </w:r>
      <w:r w:rsidR="00A27154" w:rsidRPr="001908CF">
        <w:rPr>
          <w:i/>
          <w:iCs/>
        </w:rPr>
        <w:t xml:space="preserve"> [NDIS Pricing Arrangements for SDA]</w:t>
      </w:r>
      <w:r w:rsidR="0028473A" w:rsidRPr="001908CF">
        <w:rPr>
          <w:i/>
          <w:iCs/>
        </w:rPr>
        <w:t xml:space="preserve">, </w:t>
      </w:r>
      <w:r w:rsidR="0028473A" w:rsidRPr="001908CF">
        <w:t>it should then be indexed by CPI as Construction and Land Costs don’t affect Ownership or management costs”</w:t>
      </w:r>
      <w:r w:rsidR="0027313D" w:rsidRPr="001908CF">
        <w:t xml:space="preserve">. </w:t>
      </w:r>
      <w:r w:rsidR="007B2EC7" w:rsidRPr="001908CF">
        <w:t xml:space="preserve">The </w:t>
      </w:r>
      <w:r w:rsidR="00EA2126" w:rsidRPr="001908CF">
        <w:t>SDA Banks</w:t>
      </w:r>
      <w:r w:rsidR="00D6227D" w:rsidRPr="001908CF">
        <w:t xml:space="preserve"> and Funds</w:t>
      </w:r>
      <w:r w:rsidR="007B2EC7" w:rsidRPr="00B81536">
        <w:t xml:space="preserve"> </w:t>
      </w:r>
      <w:r w:rsidR="00D84C52" w:rsidRPr="00B81536">
        <w:t>Consultation Group</w:t>
      </w:r>
      <w:r w:rsidR="007B2EC7" w:rsidRPr="00B81536">
        <w:t xml:space="preserve"> suggested that </w:t>
      </w:r>
      <w:r w:rsidR="00180397" w:rsidRPr="00B81536">
        <w:t xml:space="preserve">adopting </w:t>
      </w:r>
      <w:r w:rsidR="007B2EC7" w:rsidRPr="00B81536">
        <w:t xml:space="preserve">this </w:t>
      </w:r>
      <w:r w:rsidR="00180397" w:rsidRPr="00B81536">
        <w:t xml:space="preserve">style of </w:t>
      </w:r>
      <w:r w:rsidR="007B2EC7" w:rsidRPr="00B81536">
        <w:t>approach could get complex</w:t>
      </w:r>
      <w:r w:rsidR="00D238BE" w:rsidRPr="00B81536">
        <w:t xml:space="preserve"> and could result in developers</w:t>
      </w:r>
      <w:r w:rsidR="00D238BE" w:rsidRPr="005A22C2">
        <w:t xml:space="preserve"> and investors delaying investment and construction of a</w:t>
      </w:r>
      <w:r w:rsidR="00D45354" w:rsidRPr="005A22C2">
        <w:t>n SDA build</w:t>
      </w:r>
      <w:r w:rsidR="00D238BE" w:rsidRPr="005A22C2">
        <w:t xml:space="preserve"> to maximise </w:t>
      </w:r>
      <w:r w:rsidR="004F11C7" w:rsidRPr="005A22C2">
        <w:t xml:space="preserve">their </w:t>
      </w:r>
      <w:r w:rsidR="00D238BE" w:rsidRPr="005A22C2">
        <w:t>returns</w:t>
      </w:r>
      <w:r w:rsidR="00CC58BB" w:rsidRPr="005A22C2">
        <w:t>.</w:t>
      </w:r>
      <w:r w:rsidR="00500228" w:rsidRPr="005A22C2">
        <w:t xml:space="preserve"> </w:t>
      </w:r>
      <w:r w:rsidR="008B6318" w:rsidRPr="005A22C2">
        <w:t xml:space="preserve">Additionally, they raised the point that </w:t>
      </w:r>
      <w:r w:rsidR="00C91B6B" w:rsidRPr="005A22C2">
        <w:t xml:space="preserve">it may reduce </w:t>
      </w:r>
      <w:r w:rsidR="000177F4" w:rsidRPr="005A22C2">
        <w:t>the consistency of returns</w:t>
      </w:r>
      <w:r w:rsidR="00600C01" w:rsidRPr="005A22C2">
        <w:t xml:space="preserve">, impacting the attractiveness of </w:t>
      </w:r>
      <w:r w:rsidR="00AB17FC" w:rsidRPr="005A22C2">
        <w:t xml:space="preserve">SDA to investors. It may also </w:t>
      </w:r>
      <w:r w:rsidR="00214360" w:rsidRPr="005A22C2">
        <w:t>promote</w:t>
      </w:r>
      <w:r w:rsidR="00D1011A" w:rsidRPr="005A22C2">
        <w:t xml:space="preserve"> </w:t>
      </w:r>
      <w:r w:rsidR="002E1086" w:rsidRPr="005A22C2">
        <w:t>investors</w:t>
      </w:r>
      <w:r w:rsidR="00B8744B" w:rsidRPr="005A22C2">
        <w:t xml:space="preserve"> to</w:t>
      </w:r>
      <w:r w:rsidR="002E1086" w:rsidRPr="005A22C2">
        <w:t xml:space="preserve"> </w:t>
      </w:r>
      <w:r w:rsidR="00D1011A" w:rsidRPr="005A22C2">
        <w:t>trad</w:t>
      </w:r>
      <w:r w:rsidR="00B8744B" w:rsidRPr="005A22C2">
        <w:t>e</w:t>
      </w:r>
      <w:r w:rsidR="00D1011A" w:rsidRPr="005A22C2">
        <w:t xml:space="preserve"> </w:t>
      </w:r>
      <w:r w:rsidR="0005713E" w:rsidRPr="005A22C2">
        <w:t xml:space="preserve">SDA </w:t>
      </w:r>
      <w:r w:rsidR="00D50D4C" w:rsidRPr="005A22C2">
        <w:t>in the residential market to maximise profits if the rate of return in the SDA market is reduced</w:t>
      </w:r>
      <w:r w:rsidR="00DF7EDE" w:rsidRPr="005A22C2">
        <w:t xml:space="preserve">, which could impact </w:t>
      </w:r>
      <w:r w:rsidR="00834E73" w:rsidRPr="005A22C2">
        <w:t xml:space="preserve">SDA’s attractiveness </w:t>
      </w:r>
      <w:r w:rsidR="00EF5922" w:rsidRPr="005A22C2">
        <w:t>as a long-term asset</w:t>
      </w:r>
      <w:r w:rsidR="00547B2D" w:rsidRPr="005A22C2">
        <w:t xml:space="preserve"> to both investors and tenants.</w:t>
      </w:r>
    </w:p>
    <w:p w14:paraId="0D796275" w14:textId="320E7EBB" w:rsidR="007B6FAA" w:rsidRPr="005A22C2" w:rsidRDefault="00C158EF" w:rsidP="006720A0">
      <w:r w:rsidRPr="005A22C2">
        <w:t xml:space="preserve">A suggestion was raised by one </w:t>
      </w:r>
      <w:r w:rsidR="00067D56" w:rsidRPr="005A22C2">
        <w:t>stakeholder from the SDA I</w:t>
      </w:r>
      <w:r w:rsidRPr="005A22C2">
        <w:t xml:space="preserve">nstitutional </w:t>
      </w:r>
      <w:r w:rsidR="00067D56" w:rsidRPr="005A22C2">
        <w:t>I</w:t>
      </w:r>
      <w:r w:rsidRPr="005A22C2">
        <w:t>nvestor</w:t>
      </w:r>
      <w:r w:rsidR="00067D56" w:rsidRPr="005A22C2">
        <w:t xml:space="preserve">s </w:t>
      </w:r>
      <w:r w:rsidR="00D84C52" w:rsidRPr="005A22C2">
        <w:t>Consultation Group</w:t>
      </w:r>
      <w:r w:rsidRPr="005A22C2">
        <w:t xml:space="preserve"> to </w:t>
      </w:r>
      <w:r w:rsidR="00794790" w:rsidRPr="005A22C2">
        <w:t xml:space="preserve">agree to a 10-year lease </w:t>
      </w:r>
      <w:r w:rsidR="009C6BEC" w:rsidRPr="005A22C2">
        <w:t xml:space="preserve">with </w:t>
      </w:r>
      <w:r w:rsidR="007A7BE3" w:rsidRPr="005A22C2">
        <w:t>a base</w:t>
      </w:r>
      <w:r w:rsidR="00DD55CD" w:rsidRPr="005A22C2">
        <w:t xml:space="preserve"> </w:t>
      </w:r>
      <w:r w:rsidR="009C6BEC" w:rsidRPr="005A22C2">
        <w:t>price that reflect</w:t>
      </w:r>
      <w:r w:rsidR="007A7BE3" w:rsidRPr="005A22C2">
        <w:t>s</w:t>
      </w:r>
      <w:r w:rsidR="009C6BEC" w:rsidRPr="005A22C2">
        <w:t xml:space="preserve"> the </w:t>
      </w:r>
      <w:r w:rsidR="00094568" w:rsidRPr="005A22C2">
        <w:t xml:space="preserve">costs of construction </w:t>
      </w:r>
      <w:r w:rsidR="007C71FF" w:rsidRPr="005A22C2">
        <w:t xml:space="preserve">at </w:t>
      </w:r>
      <w:r w:rsidR="00794790" w:rsidRPr="005A22C2">
        <w:t>the commencement of operation of an asset</w:t>
      </w:r>
      <w:r w:rsidR="00633BD0" w:rsidRPr="005A22C2">
        <w:t xml:space="preserve"> that is then</w:t>
      </w:r>
      <w:r w:rsidR="00DD55CD" w:rsidRPr="005A22C2">
        <w:t xml:space="preserve"> indexed by CPI over the 10-year period</w:t>
      </w:r>
      <w:r w:rsidR="00827731" w:rsidRPr="005A22C2">
        <w:t>. Other</w:t>
      </w:r>
      <w:r w:rsidR="00DB112D" w:rsidRPr="005A22C2">
        <w:t xml:space="preserve"> stakeholders </w:t>
      </w:r>
      <w:r w:rsidR="00BB52B8" w:rsidRPr="005A22C2">
        <w:t xml:space="preserve">in the Institutional </w:t>
      </w:r>
      <w:r w:rsidR="00BB52B8" w:rsidRPr="005A22C2">
        <w:lastRenderedPageBreak/>
        <w:t xml:space="preserve">Investors </w:t>
      </w:r>
      <w:r w:rsidR="00D84C52" w:rsidRPr="005A22C2">
        <w:t>Consultation Group</w:t>
      </w:r>
      <w:r w:rsidR="00BB52B8" w:rsidRPr="005A22C2">
        <w:t xml:space="preserve"> </w:t>
      </w:r>
      <w:r w:rsidR="00DB112D" w:rsidRPr="005A22C2">
        <w:t xml:space="preserve">indicated that this approach would be complex to implement and </w:t>
      </w:r>
      <w:r w:rsidR="00346E73" w:rsidRPr="005A22C2">
        <w:t>would create uncertainty</w:t>
      </w:r>
      <w:r w:rsidR="00B61DEA" w:rsidRPr="005A22C2">
        <w:t>, deterring investment.</w:t>
      </w:r>
    </w:p>
    <w:p w14:paraId="2607E392" w14:textId="77777777" w:rsidR="00C140AD" w:rsidRPr="005A22C2" w:rsidRDefault="00C140AD" w:rsidP="006720A0">
      <w:pPr>
        <w:pStyle w:val="Heading1"/>
        <w:sectPr w:rsidR="00C140AD" w:rsidRPr="005A22C2" w:rsidSect="00736B3B">
          <w:pgSz w:w="11906" w:h="16838" w:code="9"/>
          <w:pgMar w:top="1418" w:right="1418" w:bottom="1418" w:left="1418" w:header="709" w:footer="709" w:gutter="0"/>
          <w:cols w:space="708"/>
          <w:titlePg/>
          <w:docGrid w:linePitch="360"/>
        </w:sectPr>
      </w:pPr>
      <w:bookmarkStart w:id="253" w:name="_Toc129783624"/>
    </w:p>
    <w:p w14:paraId="2E611E14" w14:textId="2F542DA7" w:rsidR="00076C21" w:rsidRPr="009F211E" w:rsidRDefault="00A94BDB" w:rsidP="006720A0">
      <w:pPr>
        <w:pStyle w:val="Heading1"/>
        <w:rPr>
          <w:color w:val="6B2976"/>
        </w:rPr>
      </w:pPr>
      <w:bookmarkStart w:id="254" w:name="_Toc136006900"/>
      <w:r w:rsidRPr="009F211E">
        <w:rPr>
          <w:color w:val="6B2976"/>
        </w:rPr>
        <w:lastRenderedPageBreak/>
        <w:t xml:space="preserve">Other </w:t>
      </w:r>
      <w:r w:rsidR="00D10C9F" w:rsidRPr="009F211E">
        <w:rPr>
          <w:color w:val="6B2976"/>
        </w:rPr>
        <w:t>I</w:t>
      </w:r>
      <w:r w:rsidRPr="009F211E">
        <w:rPr>
          <w:color w:val="6B2976"/>
        </w:rPr>
        <w:t>ssues</w:t>
      </w:r>
      <w:bookmarkEnd w:id="253"/>
      <w:bookmarkEnd w:id="254"/>
    </w:p>
    <w:p w14:paraId="32DFFAF2" w14:textId="4B30C24C" w:rsidR="00C140AD" w:rsidRPr="005A22C2" w:rsidRDefault="00C140AD" w:rsidP="006720A0">
      <w:r w:rsidRPr="005A22C2">
        <w:t>Th</w:t>
      </w:r>
      <w:r w:rsidRPr="002C2EDB">
        <w:t xml:space="preserve">e NDIA received </w:t>
      </w:r>
      <w:r w:rsidR="001A3023" w:rsidRPr="002C2EDB">
        <w:t>7</w:t>
      </w:r>
      <w:r w:rsidRPr="002C2EDB">
        <w:t xml:space="preserve"> written submissions </w:t>
      </w:r>
      <w:r w:rsidR="005858B3" w:rsidRPr="002C2EDB">
        <w:t>that responded</w:t>
      </w:r>
      <w:r w:rsidR="005858B3" w:rsidRPr="005A22C2">
        <w:t xml:space="preserve"> to</w:t>
      </w:r>
      <w:r w:rsidRPr="005A22C2">
        <w:t xml:space="preserve"> the following questions in the </w:t>
      </w:r>
      <w:r w:rsidRPr="005A22C2">
        <w:rPr>
          <w:i/>
          <w:iCs/>
        </w:rPr>
        <w:t xml:space="preserve">SDA Pricing Review </w:t>
      </w:r>
      <w:r w:rsidR="00B81536">
        <w:rPr>
          <w:i/>
          <w:iCs/>
        </w:rPr>
        <w:t xml:space="preserve">Report </w:t>
      </w:r>
      <w:r w:rsidRPr="005A22C2">
        <w:rPr>
          <w:i/>
          <w:iCs/>
        </w:rPr>
        <w:t>Consultation Paper</w:t>
      </w:r>
      <w:r w:rsidRPr="005A22C2">
        <w:t>:</w:t>
      </w:r>
    </w:p>
    <w:p w14:paraId="64A517D1" w14:textId="77777777" w:rsidR="00D4650D" w:rsidRPr="00AA16D8" w:rsidRDefault="00D4650D" w:rsidP="00AA16D8">
      <w:pPr>
        <w:pStyle w:val="Quote"/>
        <w:numPr>
          <w:ilvl w:val="0"/>
          <w:numId w:val="37"/>
        </w:numPr>
        <w:rPr>
          <w:i w:val="0"/>
          <w:iCs w:val="0"/>
        </w:rPr>
      </w:pPr>
      <w:r w:rsidRPr="00AA16D8">
        <w:rPr>
          <w:i w:val="0"/>
          <w:iCs w:val="0"/>
        </w:rPr>
        <w:t>What pricing arrangements should apply to dwellings that are designed to meet a mixture of design categories? For example, a 3-bedroom house where one bedroom meets the requirements for the High Physical Support design category and two bedrooms meet the requirements of the Improved Liveability design category. Note, the shared areas would need to meet the requirements of both design categories.</w:t>
      </w:r>
    </w:p>
    <w:p w14:paraId="7D0DEAB2" w14:textId="50E050F7" w:rsidR="00A47429" w:rsidRPr="00AA16D8" w:rsidRDefault="00D4650D" w:rsidP="00AA16D8">
      <w:pPr>
        <w:pStyle w:val="Quote"/>
        <w:numPr>
          <w:ilvl w:val="0"/>
          <w:numId w:val="37"/>
        </w:numPr>
        <w:rPr>
          <w:i w:val="0"/>
          <w:iCs w:val="0"/>
        </w:rPr>
      </w:pPr>
      <w:r w:rsidRPr="00AA16D8">
        <w:rPr>
          <w:i w:val="0"/>
          <w:iCs w:val="0"/>
        </w:rPr>
        <w:t xml:space="preserve">With regard to New Build (refurbished) dwellings, do the costs set out in Appendix F of the </w:t>
      </w:r>
      <w:hyperlink r:id="rId25" w:history="1">
        <w:r w:rsidRPr="00AA16D8">
          <w:rPr>
            <w:rStyle w:val="Hyperlink"/>
            <w:i w:val="0"/>
            <w:iCs w:val="0"/>
            <w:szCs w:val="22"/>
          </w:rPr>
          <w:t>NDIS Pricing Arrangements for Specialist Disability Accommodation 2023-23</w:t>
        </w:r>
      </w:hyperlink>
      <w:r w:rsidRPr="00AA16D8">
        <w:rPr>
          <w:rStyle w:val="Hyperlink"/>
          <w:i w:val="0"/>
          <w:iCs w:val="0"/>
        </w:rPr>
        <w:t xml:space="preserve"> </w:t>
      </w:r>
      <w:r w:rsidRPr="00AA16D8">
        <w:rPr>
          <w:i w:val="0"/>
          <w:iCs w:val="0"/>
        </w:rPr>
        <w:t xml:space="preserve">reflect the appropriate amounts needed to be spent to refurbish dwellings to a New Build quality? Do they sufficiently </w:t>
      </w:r>
      <w:proofErr w:type="gramStart"/>
      <w:r w:rsidRPr="00AA16D8">
        <w:rPr>
          <w:i w:val="0"/>
          <w:iCs w:val="0"/>
        </w:rPr>
        <w:t>take into account</w:t>
      </w:r>
      <w:proofErr w:type="gramEnd"/>
      <w:r w:rsidRPr="00AA16D8">
        <w:rPr>
          <w:i w:val="0"/>
          <w:iCs w:val="0"/>
        </w:rPr>
        <w:t xml:space="preserve"> differences in locations?</w:t>
      </w:r>
    </w:p>
    <w:p w14:paraId="648F91D8" w14:textId="77777777" w:rsidR="00A47429" w:rsidRPr="00AA16D8" w:rsidRDefault="00D4650D" w:rsidP="00AA16D8">
      <w:pPr>
        <w:pStyle w:val="Quote"/>
        <w:numPr>
          <w:ilvl w:val="0"/>
          <w:numId w:val="37"/>
        </w:numPr>
        <w:rPr>
          <w:i w:val="0"/>
          <w:iCs w:val="0"/>
        </w:rPr>
      </w:pPr>
      <w:r w:rsidRPr="00AA16D8">
        <w:rPr>
          <w:i w:val="0"/>
          <w:iCs w:val="0"/>
        </w:rPr>
        <w:t>Are there any other factors that have the potential to impact on the ability of the Scheme to attract the required level of investment, including from institutional investors, over the next twenty years across the range of SDA to meet the reasonable and necessary support needs of participants?</w:t>
      </w:r>
    </w:p>
    <w:p w14:paraId="38711560" w14:textId="19F19937" w:rsidR="00C140AD" w:rsidRPr="005A22C2" w:rsidRDefault="00C140AD" w:rsidP="006720A0">
      <w:bookmarkStart w:id="255" w:name="_Toc129783625"/>
      <w:r w:rsidRPr="005A22C2">
        <w:t>These questions were also discussed in most of the Consultation Groups</w:t>
      </w:r>
    </w:p>
    <w:p w14:paraId="73A3D3AE" w14:textId="77777777" w:rsidR="00A47429" w:rsidRPr="005A22C2" w:rsidRDefault="0093698E" w:rsidP="006720A0">
      <w:pPr>
        <w:pStyle w:val="Heading2"/>
      </w:pPr>
      <w:bookmarkStart w:id="256" w:name="_Toc136006901"/>
      <w:r w:rsidRPr="005A22C2">
        <w:t xml:space="preserve">Flexible </w:t>
      </w:r>
      <w:r w:rsidR="00100EF6" w:rsidRPr="005A22C2">
        <w:t xml:space="preserve">funding and </w:t>
      </w:r>
      <w:r w:rsidRPr="005A22C2">
        <w:t xml:space="preserve">living </w:t>
      </w:r>
      <w:proofErr w:type="gramStart"/>
      <w:r w:rsidRPr="005A22C2">
        <w:t>arrangements</w:t>
      </w:r>
      <w:bookmarkEnd w:id="255"/>
      <w:bookmarkEnd w:id="256"/>
      <w:proofErr w:type="gramEnd"/>
    </w:p>
    <w:p w14:paraId="71659C38" w14:textId="77777777" w:rsidR="00A47429" w:rsidRPr="005A22C2" w:rsidRDefault="00B53663" w:rsidP="006720A0">
      <w:r w:rsidRPr="005A22C2">
        <w:t>Several</w:t>
      </w:r>
      <w:r w:rsidR="0093698E" w:rsidRPr="005A22C2">
        <w:t xml:space="preserve"> stakeholders indicated they </w:t>
      </w:r>
      <w:r w:rsidRPr="005A22C2">
        <w:t>would like</w:t>
      </w:r>
      <w:r w:rsidR="0093698E" w:rsidRPr="005A22C2">
        <w:t xml:space="preserve"> greater flexibility with SDA funding to enable flexible living arrangements for participants, perhaps through Appendix G of the </w:t>
      </w:r>
      <w:r w:rsidR="0093698E" w:rsidRPr="005A22C2">
        <w:rPr>
          <w:i/>
          <w:iCs/>
        </w:rPr>
        <w:t>NDIS Pricing Arrangements for Specialist Disability Accommodation</w:t>
      </w:r>
      <w:r w:rsidR="0093698E" w:rsidRPr="005A22C2">
        <w:t>.</w:t>
      </w:r>
    </w:p>
    <w:p w14:paraId="59EFAFB7" w14:textId="77777777" w:rsidR="00DA401F" w:rsidRDefault="0093698E" w:rsidP="006720A0">
      <w:r w:rsidRPr="005A22C2">
        <w:t xml:space="preserve">Several stakeholders in the SDA Self-Providers </w:t>
      </w:r>
      <w:r w:rsidR="00D84C52" w:rsidRPr="005A22C2">
        <w:t>Consultation Group</w:t>
      </w:r>
      <w:r w:rsidRPr="005A22C2">
        <w:t xml:space="preserve"> suggested that there were three key variables – care, housing, and technology – that could be varied to reduce costs. In relation to the care </w:t>
      </w:r>
      <w:r w:rsidR="003B24FC" w:rsidRPr="005A22C2">
        <w:t>part</w:t>
      </w:r>
      <w:r w:rsidRPr="005A22C2">
        <w:t xml:space="preserve">, a stakeholder suggested that the Independent Living Options that exist as part of the NDIS should be promoted and encouraged, as bespoke housing solutions such as living with friends and family could reduce care costs significantly. </w:t>
      </w:r>
      <w:r w:rsidR="003B24FC" w:rsidRPr="005A22C2">
        <w:t xml:space="preserve">They stated that </w:t>
      </w:r>
      <w:r w:rsidRPr="005A22C2">
        <w:t>it is challenging to utilise these flexible living arrangements</w:t>
      </w:r>
      <w:r w:rsidR="003B24FC" w:rsidRPr="005A22C2">
        <w:t xml:space="preserve"> under the current </w:t>
      </w:r>
      <w:r w:rsidR="003B24FC" w:rsidRPr="005A22C2">
        <w:rPr>
          <w:i/>
        </w:rPr>
        <w:t>NDIS Pricing Arrangements for SDA</w:t>
      </w:r>
      <w:r w:rsidR="003B24FC" w:rsidRPr="005A22C2">
        <w:t>.</w:t>
      </w:r>
    </w:p>
    <w:p w14:paraId="373CB569" w14:textId="1911CB7C" w:rsidR="00A47429" w:rsidRPr="00DA401F" w:rsidRDefault="0093698E" w:rsidP="006720A0">
      <w:r w:rsidRPr="005A22C2">
        <w:t xml:space="preserve">A stakeholder from the SDA Self-Providers </w:t>
      </w:r>
      <w:r w:rsidR="00D84C52" w:rsidRPr="005A22C2">
        <w:t>Consultation Group</w:t>
      </w:r>
      <w:r w:rsidRPr="005A22C2">
        <w:t xml:space="preserve"> suggested there should be a </w:t>
      </w:r>
      <w:r w:rsidRPr="00DA401F">
        <w:t>mechanism to allow a trade-off between the care/support budget and the SDA budget within a participant’s NDIS plan, as informal care can “really have massive impacts on the costs associated for the Scheme”</w:t>
      </w:r>
      <w:r w:rsidR="0027313D" w:rsidRPr="00DA401F">
        <w:t>.</w:t>
      </w:r>
      <w:r w:rsidR="00D4650D" w:rsidRPr="005A22C2">
        <w:t xml:space="preserve"> </w:t>
      </w:r>
      <w:r w:rsidR="00CB0FBA">
        <w:t>One participant</w:t>
      </w:r>
      <w:r w:rsidR="00660EAB">
        <w:t xml:space="preserve"> involved in the </w:t>
      </w:r>
      <w:r w:rsidRPr="005A22C2">
        <w:t xml:space="preserve">SDA Self-Providers </w:t>
      </w:r>
      <w:r w:rsidR="00D84C52" w:rsidRPr="005A22C2">
        <w:t>Consultation Group</w:t>
      </w:r>
      <w:r w:rsidRPr="005A22C2">
        <w:t xml:space="preserve"> shared tha</w:t>
      </w:r>
      <w:r w:rsidR="003B24FC" w:rsidRPr="005A22C2">
        <w:t>t</w:t>
      </w:r>
      <w:r w:rsidR="0009177A" w:rsidRPr="005A22C2">
        <w:t xml:space="preserve"> </w:t>
      </w:r>
      <w:r w:rsidR="0009177A" w:rsidRPr="00DA401F">
        <w:t>“</w:t>
      </w:r>
      <w:r w:rsidRPr="00DA401F">
        <w:t xml:space="preserve">most people </w:t>
      </w:r>
      <w:r w:rsidR="00660EAB">
        <w:t xml:space="preserve">who have </w:t>
      </w:r>
      <w:r w:rsidRPr="00DA401F">
        <w:t xml:space="preserve">my </w:t>
      </w:r>
      <w:r w:rsidRPr="00DA401F">
        <w:lastRenderedPageBreak/>
        <w:t xml:space="preserve">level of injury seem to have </w:t>
      </w:r>
      <w:r w:rsidR="009C7223">
        <w:t xml:space="preserve">care </w:t>
      </w:r>
      <w:r w:rsidRPr="00DA401F">
        <w:t>24-hour</w:t>
      </w:r>
      <w:r w:rsidR="009C7223">
        <w:t>s a</w:t>
      </w:r>
      <w:r w:rsidRPr="00DA401F">
        <w:t xml:space="preserve"> day</w:t>
      </w:r>
      <w:r w:rsidR="009C7223">
        <w:t>, an</w:t>
      </w:r>
      <w:r w:rsidRPr="00DA401F">
        <w:t xml:space="preserve">d I get by with way, way less than that </w:t>
      </w:r>
      <w:r w:rsidR="003B24FC" w:rsidRPr="00DA401F">
        <w:t>be</w:t>
      </w:r>
      <w:r w:rsidRPr="00DA401F">
        <w:t>cause I’ve got a house that suits my needs, and I don’t have overnight assistance</w:t>
      </w:r>
      <w:r w:rsidR="0009177A" w:rsidRPr="00DA401F">
        <w:t>”</w:t>
      </w:r>
      <w:r w:rsidRPr="00DA401F">
        <w:t>.</w:t>
      </w:r>
    </w:p>
    <w:p w14:paraId="4ABD2B45" w14:textId="4174C1D4" w:rsidR="001B27AB" w:rsidRPr="004C449D" w:rsidRDefault="001B27AB" w:rsidP="006720A0">
      <w:r w:rsidRPr="004C449D">
        <w:t xml:space="preserve">M3 Property also suggested that allowing participants’ more choice in where they live and the type of </w:t>
      </w:r>
      <w:r w:rsidR="006F15AC" w:rsidRPr="004C449D">
        <w:t>funding,</w:t>
      </w:r>
      <w:r w:rsidRPr="004C449D">
        <w:t xml:space="preserve"> they receive may help to reduce longer-term vacancy rates and encourage appropriate matching of demand with supply.</w:t>
      </w:r>
    </w:p>
    <w:p w14:paraId="0AF21AB2" w14:textId="6CF4E95D" w:rsidR="0017746F" w:rsidRPr="004C449D" w:rsidRDefault="00DA2220" w:rsidP="006720A0">
      <w:pPr>
        <w:pStyle w:val="Heading2"/>
      </w:pPr>
      <w:bookmarkStart w:id="257" w:name="_Ref126595160"/>
      <w:bookmarkStart w:id="258" w:name="_Ref126595161"/>
      <w:bookmarkStart w:id="259" w:name="_Ref126595163"/>
      <w:bookmarkStart w:id="260" w:name="_Toc129783627"/>
      <w:bookmarkStart w:id="261" w:name="_Toc136006902"/>
      <w:r w:rsidRPr="004C449D">
        <w:t xml:space="preserve">Innovative </w:t>
      </w:r>
      <w:r w:rsidR="0017746F" w:rsidRPr="004C449D">
        <w:t>financ</w:t>
      </w:r>
      <w:r w:rsidRPr="004C449D">
        <w:t>ing</w:t>
      </w:r>
      <w:r w:rsidR="0017746F" w:rsidRPr="004C449D">
        <w:t xml:space="preserve"> for self-providers</w:t>
      </w:r>
      <w:bookmarkEnd w:id="257"/>
      <w:bookmarkEnd w:id="258"/>
      <w:bookmarkEnd w:id="259"/>
      <w:bookmarkEnd w:id="260"/>
      <w:bookmarkEnd w:id="261"/>
    </w:p>
    <w:p w14:paraId="1D3EA1A2" w14:textId="0BF053DC" w:rsidR="00DA2220" w:rsidRPr="005A22C2" w:rsidRDefault="00DA2220" w:rsidP="006720A0">
      <w:pPr>
        <w:rPr>
          <w:caps/>
        </w:rPr>
      </w:pPr>
      <w:proofErr w:type="spellStart"/>
      <w:r w:rsidRPr="004C449D">
        <w:t>PowerHousing</w:t>
      </w:r>
      <w:proofErr w:type="spellEnd"/>
      <w:r w:rsidRPr="004C449D">
        <w:t xml:space="preserve"> Australia recommended </w:t>
      </w:r>
      <w:r w:rsidR="0085474D" w:rsidRPr="004C449D">
        <w:t xml:space="preserve">that </w:t>
      </w:r>
      <w:r w:rsidRPr="004C449D">
        <w:t xml:space="preserve">the </w:t>
      </w:r>
      <w:r w:rsidR="0085474D" w:rsidRPr="004C449D">
        <w:t>NDIA should</w:t>
      </w:r>
      <w:r w:rsidRPr="004C449D">
        <w:t xml:space="preserve"> </w:t>
      </w:r>
      <w:r w:rsidR="000E0C5C" w:rsidRPr="004C449D">
        <w:t>consider</w:t>
      </w:r>
      <w:r w:rsidRPr="004C449D">
        <w:t xml:space="preserve"> alternative finance arrangements to encourage greater institutional investment into SDA and greater ownership by participants. They suggested opportunities for attracting private investment and superfunds through providing greater incentivisation within this </w:t>
      </w:r>
      <w:r w:rsidR="006344D5" w:rsidRPr="004C449D">
        <w:t>SDA Pricing Review</w:t>
      </w:r>
      <w:r w:rsidRPr="004C449D">
        <w:t>.</w:t>
      </w:r>
      <w:r w:rsidR="0009177A" w:rsidRPr="004C449D">
        <w:t xml:space="preserve"> </w:t>
      </w:r>
      <w:r w:rsidRPr="004C449D">
        <w:t xml:space="preserve">Further to this point, another key recommendation raised by </w:t>
      </w:r>
      <w:proofErr w:type="spellStart"/>
      <w:r w:rsidRPr="004C449D">
        <w:t>PowerHousing</w:t>
      </w:r>
      <w:proofErr w:type="spellEnd"/>
      <w:r w:rsidRPr="004C449D">
        <w:t xml:space="preserve"> Australia</w:t>
      </w:r>
      <w:r w:rsidRPr="00DA401F">
        <w:t xml:space="preserve"> was to </w:t>
      </w:r>
      <w:r w:rsidR="000E0C5C" w:rsidRPr="00DA401F">
        <w:t>consider</w:t>
      </w:r>
      <w:r w:rsidRPr="00DA401F">
        <w:t xml:space="preserve"> </w:t>
      </w:r>
      <w:r w:rsidR="0009177A" w:rsidRPr="00DA401F">
        <w:t>“</w:t>
      </w:r>
      <w:r w:rsidRPr="00DA401F">
        <w:t>prospects for home ownership for SDA tenants through a shared equity-like model”</w:t>
      </w:r>
      <w:r w:rsidR="0027313D" w:rsidRPr="00DA401F">
        <w:t>.</w:t>
      </w:r>
      <w:r w:rsidRPr="00DA401F">
        <w:t xml:space="preserve"> They suggested this could work whereby SDA providers retain 20</w:t>
      </w:r>
      <w:r w:rsidR="00C423B5">
        <w:t>%</w:t>
      </w:r>
      <w:r w:rsidR="00DE3AE5">
        <w:t xml:space="preserve"> to </w:t>
      </w:r>
      <w:r w:rsidRPr="00DA401F">
        <w:t>40</w:t>
      </w:r>
      <w:r w:rsidR="000E530B">
        <w:t>%</w:t>
      </w:r>
      <w:r w:rsidRPr="00DA401F">
        <w:t xml:space="preserve"> equity ownership of the properties, while allowing the SDA tenant an opportunity to secure a 60</w:t>
      </w:r>
      <w:r w:rsidR="000E530B">
        <w:t>%</w:t>
      </w:r>
      <w:r w:rsidR="00DE3AE5">
        <w:t xml:space="preserve"> to </w:t>
      </w:r>
      <w:r w:rsidRPr="00DA401F">
        <w:t>80</w:t>
      </w:r>
      <w:r w:rsidR="000E530B">
        <w:t>%</w:t>
      </w:r>
      <w:r w:rsidRPr="00DA401F">
        <w:t xml:space="preserve"> ownership of the SDA they live in. This idea would support the NDIS principle of supporting the independence and social and economic participation of people with disability.</w:t>
      </w:r>
      <w:r w:rsidR="00D4650D" w:rsidRPr="00DA401F">
        <w:t xml:space="preserve"> </w:t>
      </w:r>
      <w:r w:rsidRPr="00DA401F">
        <w:t xml:space="preserve">One of the key principles raised by </w:t>
      </w:r>
      <w:r w:rsidR="001B52BA">
        <w:t xml:space="preserve">an individual stakeholder </w:t>
      </w:r>
      <w:r w:rsidRPr="00DA401F">
        <w:t xml:space="preserve">is that “SDA residents should be assisted to become homeowners”, and emphasised that home ownership is an economic right, for all Australians. </w:t>
      </w:r>
      <w:r w:rsidR="001B52BA">
        <w:t xml:space="preserve">The individual stakeholder </w:t>
      </w:r>
      <w:r w:rsidRPr="00DA401F">
        <w:t>highlighted that if “participants [could] use their payments flexibly to become homeowner”</w:t>
      </w:r>
      <w:r w:rsidR="006772C2" w:rsidRPr="00DA401F">
        <w:t xml:space="preserve">, </w:t>
      </w:r>
      <w:r w:rsidRPr="00DA401F">
        <w:t>then “instead of paying SDA payments for decades the Australian Government can pay them for the life of a mortgage, then cease paying them”</w:t>
      </w:r>
      <w:r w:rsidR="0027313D" w:rsidRPr="00DA401F">
        <w:t>.</w:t>
      </w:r>
    </w:p>
    <w:p w14:paraId="04C26A61" w14:textId="5259E0F4" w:rsidR="00A47429" w:rsidRPr="005A22C2" w:rsidRDefault="0017746F" w:rsidP="006720A0">
      <w:r w:rsidRPr="005A22C2">
        <w:t xml:space="preserve">Stakeholders </w:t>
      </w:r>
      <w:r w:rsidR="005361D4" w:rsidRPr="005A22C2">
        <w:t>stated</w:t>
      </w:r>
      <w:r w:rsidRPr="005A22C2">
        <w:t xml:space="preserve"> that accessing funds for a deposit on SDA was a significant challenge for self-providers of SDA. In </w:t>
      </w:r>
      <w:r w:rsidR="001B52BA">
        <w:t>a</w:t>
      </w:r>
      <w:r w:rsidRPr="005A22C2">
        <w:t xml:space="preserve"> submission, </w:t>
      </w:r>
      <w:r w:rsidR="001B52BA">
        <w:t xml:space="preserve">an individual stakeholder </w:t>
      </w:r>
      <w:r w:rsidRPr="005A22C2">
        <w:t xml:space="preserve">suggested that while SDA </w:t>
      </w:r>
      <w:r w:rsidRPr="00DA401F">
        <w:t>payments would enable participants to service a loan once construction is complete, putting together a deposit of 20</w:t>
      </w:r>
      <w:r w:rsidR="000E530B">
        <w:t>%</w:t>
      </w:r>
      <w:r w:rsidRPr="00DA401F">
        <w:t xml:space="preserve"> may be “unattainable for a lot of people”. He also suggested that “it would be fantastic if there were some </w:t>
      </w:r>
      <w:proofErr w:type="gramStart"/>
      <w:r w:rsidRPr="00DA401F">
        <w:t>way</w:t>
      </w:r>
      <w:proofErr w:type="gramEnd"/>
      <w:r w:rsidRPr="00DA401F">
        <w:t xml:space="preserve"> for some of the SDA funding to be paid upfront to assist self-providing participants with their deposit requirements”, noting that by subsequently providing a lower ongoing payment, the total amount of SDA funding may be no more than would otherwise be paid. Written submissions from</w:t>
      </w:r>
      <w:r w:rsidRPr="005A22C2">
        <w:t xml:space="preserve"> </w:t>
      </w:r>
      <w:proofErr w:type="gramStart"/>
      <w:r w:rsidRPr="005A22C2">
        <w:t>a number of</w:t>
      </w:r>
      <w:proofErr w:type="gramEnd"/>
      <w:r w:rsidRPr="005A22C2">
        <w:t xml:space="preserve"> other individual stakeholders echoed the suggestion for funding to be provided to participants up-front to assist with deposits or construction costs.</w:t>
      </w:r>
    </w:p>
    <w:p w14:paraId="0D9A8D3A" w14:textId="6A0CB681" w:rsidR="0017746F" w:rsidRPr="005A22C2" w:rsidRDefault="0017746F" w:rsidP="006720A0">
      <w:r w:rsidRPr="005A22C2">
        <w:t xml:space="preserve">The SDA Self-Provider </w:t>
      </w:r>
      <w:r w:rsidR="00D84C52" w:rsidRPr="005A22C2">
        <w:t>Consultation Group</w:t>
      </w:r>
      <w:r w:rsidRPr="005A22C2">
        <w:t xml:space="preserve"> </w:t>
      </w:r>
      <w:r w:rsidR="005361D4" w:rsidRPr="005A22C2">
        <w:t>stated</w:t>
      </w:r>
      <w:r w:rsidRPr="005A22C2">
        <w:t xml:space="preserve"> that the deposit requirements for land are a high barrier to overcome, and suggested that the Agency provide an upfront payment, coupled with a discounted ongoing SDA payment stream. This may help self-providers and family investors overcome the initial purchase of land.</w:t>
      </w:r>
    </w:p>
    <w:p w14:paraId="27A0CD39" w14:textId="6D5588D3" w:rsidR="0017746F" w:rsidRPr="005A22C2" w:rsidRDefault="0017746F" w:rsidP="006720A0">
      <w:r w:rsidRPr="00212A02">
        <w:t xml:space="preserve">SDA+ also suggested that NDIA should work with government agencies in relation to existing government-sponsored home loan schemes to modify their rules to enable </w:t>
      </w:r>
      <w:r w:rsidRPr="00212A02">
        <w:lastRenderedPageBreak/>
        <w:t>fair and equitable access by SDA self-providers, as currently the rules mean that many SDA self-providers are not eligible and do not meet minimum criteria Alternatively SDA+ recommended</w:t>
      </w:r>
      <w:r w:rsidRPr="005A22C2">
        <w:t xml:space="preserve"> that a provision should be included within the </w:t>
      </w:r>
      <w:r w:rsidR="006344D5" w:rsidRPr="005A22C2">
        <w:t>SDA Pricing Review</w:t>
      </w:r>
      <w:r w:rsidRPr="005A22C2">
        <w:t xml:space="preserve"> for a home loan support scheme (or in partnership with existing home loan scheme administrators) to ensure SDA self-providers have adequate and equitable access to home loans.</w:t>
      </w:r>
    </w:p>
    <w:p w14:paraId="6EF22839" w14:textId="77777777" w:rsidR="00A47429" w:rsidRPr="005A22C2" w:rsidRDefault="0093698E" w:rsidP="006720A0">
      <w:pPr>
        <w:pStyle w:val="Heading2"/>
      </w:pPr>
      <w:bookmarkStart w:id="262" w:name="_Toc129783628"/>
      <w:bookmarkStart w:id="263" w:name="_Toc136006903"/>
      <w:r w:rsidRPr="005A22C2">
        <w:t xml:space="preserve">Mixed </w:t>
      </w:r>
      <w:r w:rsidR="00041DBE" w:rsidRPr="005A22C2">
        <w:t>d</w:t>
      </w:r>
      <w:r w:rsidRPr="005A22C2">
        <w:t xml:space="preserve">esign </w:t>
      </w:r>
      <w:r w:rsidR="00041DBE" w:rsidRPr="005A22C2">
        <w:t>c</w:t>
      </w:r>
      <w:r w:rsidRPr="005A22C2">
        <w:t>ategories</w:t>
      </w:r>
      <w:bookmarkEnd w:id="262"/>
      <w:bookmarkEnd w:id="263"/>
    </w:p>
    <w:p w14:paraId="59B6B53A" w14:textId="6F75A2DF" w:rsidR="0093698E" w:rsidRPr="005A22C2" w:rsidRDefault="0009177A" w:rsidP="006720A0">
      <w:r w:rsidRPr="0072588E">
        <w:t>T</w:t>
      </w:r>
      <w:r w:rsidR="0093698E" w:rsidRPr="0072588E">
        <w:t xml:space="preserve">he Summer Foundation observed that when SDA is designed to meet a mixture of design categories, </w:t>
      </w:r>
      <w:proofErr w:type="gramStart"/>
      <w:r w:rsidR="0093698E" w:rsidRPr="0072588E">
        <w:t>all of</w:t>
      </w:r>
      <w:proofErr w:type="gramEnd"/>
      <w:r w:rsidR="0093698E" w:rsidRPr="0072588E">
        <w:t xml:space="preserve"> the common areas and mandatory features must meet the requirements of the highest design category. This implies that SDA funding for lower category designs is not sufficient to recover the proportion of shared area costs.</w:t>
      </w:r>
      <w:r w:rsidRPr="0072588E">
        <w:t xml:space="preserve"> </w:t>
      </w:r>
      <w:r w:rsidR="0093698E" w:rsidRPr="0072588E">
        <w:t>To address this issue, the Summer Foundation recommended that the price for mixed category dwellings show be increased to ensure</w:t>
      </w:r>
      <w:r w:rsidR="0093698E" w:rsidRPr="005A22C2">
        <w:t xml:space="preserve"> that SDA funding is adequate to recover the cost of the asset.</w:t>
      </w:r>
    </w:p>
    <w:p w14:paraId="583B76E7" w14:textId="2E3E1F35" w:rsidR="00A47429" w:rsidRPr="005A22C2" w:rsidRDefault="003F609B" w:rsidP="006720A0">
      <w:pPr>
        <w:pStyle w:val="Heading2"/>
      </w:pPr>
      <w:bookmarkStart w:id="264" w:name="_Toc122454277"/>
      <w:bookmarkStart w:id="265" w:name="_Toc122454278"/>
      <w:bookmarkStart w:id="266" w:name="_Toc129783629"/>
      <w:bookmarkStart w:id="267" w:name="_Toc136006904"/>
      <w:bookmarkEnd w:id="264"/>
      <w:bookmarkEnd w:id="265"/>
      <w:r w:rsidRPr="005A22C2">
        <w:t>Group homes</w:t>
      </w:r>
      <w:bookmarkEnd w:id="266"/>
      <w:bookmarkEnd w:id="267"/>
    </w:p>
    <w:p w14:paraId="199366B4" w14:textId="5C177688" w:rsidR="003F609B" w:rsidRPr="00212A02" w:rsidRDefault="003F609B" w:rsidP="006720A0">
      <w:r w:rsidRPr="00DC465D">
        <w:t>JFA Purple Orange</w:t>
      </w:r>
      <w:r w:rsidRPr="005A22C2">
        <w:t xml:space="preserve"> suggested that the current definition of group homes was </w:t>
      </w:r>
      <w:r w:rsidRPr="00212A02">
        <w:t>problematic and conflicted with the precepts of choice and control that sit at the heart of the NDIS.</w:t>
      </w:r>
      <w:r w:rsidR="00D4650D" w:rsidRPr="00212A02">
        <w:t xml:space="preserve"> </w:t>
      </w:r>
      <w:r w:rsidRPr="00212A02">
        <w:t>While the Consultation Paper defines group homes as houses that have 4 or 5 bedrooms</w:t>
      </w:r>
      <w:r w:rsidR="00471B18" w:rsidRPr="00212A02">
        <w:t>, t</w:t>
      </w:r>
      <w:r w:rsidRPr="00212A02">
        <w:t>he submission suggests that the “defining characteristic of a group home is not… how many people live there”, but instead is “any circumstance where a person is forced, or compelled due to a lack of alternative options, to live with one or more other people not of their free choice”.</w:t>
      </w:r>
      <w:r w:rsidR="00D4650D" w:rsidRPr="00212A02">
        <w:t xml:space="preserve"> </w:t>
      </w:r>
      <w:r w:rsidRPr="00212A02">
        <w:t xml:space="preserve">The submission </w:t>
      </w:r>
      <w:r w:rsidR="005361D4" w:rsidRPr="00212A02">
        <w:t>stated</w:t>
      </w:r>
      <w:r w:rsidRPr="00212A02">
        <w:t xml:space="preserve"> that JFA Purple Orange had “heard from numerous NDIS participants about how they are pressured or forced to live with ill-matched housemates, including situations where they have been subjected to violence as a result”.</w:t>
      </w:r>
      <w:r w:rsidR="00D4650D" w:rsidRPr="00212A02">
        <w:t xml:space="preserve"> </w:t>
      </w:r>
      <w:r w:rsidRPr="00212A02">
        <w:t xml:space="preserve">The submission suggests that the “forced shared group housing model perpetuates segregation from the rest of the community”. It therefore suggests that the </w:t>
      </w:r>
      <w:r w:rsidR="00874909" w:rsidRPr="00212A02">
        <w:t>Agency</w:t>
      </w:r>
      <w:r w:rsidRPr="00212A02">
        <w:t xml:space="preserve"> should proactively encourage new innovative individualised options while ending its support for the group home model.</w:t>
      </w:r>
    </w:p>
    <w:p w14:paraId="08A7AF86" w14:textId="25A3C370" w:rsidR="005806B7" w:rsidRPr="005A22C2" w:rsidRDefault="003F609B" w:rsidP="006720A0">
      <w:r w:rsidRPr="00212A02">
        <w:t>JFA Purple Orange’s submission also note</w:t>
      </w:r>
      <w:r w:rsidR="0009177A" w:rsidRPr="00212A02">
        <w:t>d</w:t>
      </w:r>
      <w:r w:rsidRPr="00212A02">
        <w:t xml:space="preserve"> that the </w:t>
      </w:r>
      <w:r w:rsidR="007B6796" w:rsidRPr="00212A02">
        <w:t xml:space="preserve">group home </w:t>
      </w:r>
      <w:r w:rsidRPr="00212A02">
        <w:t>model may lead to challenges with</w:t>
      </w:r>
      <w:r w:rsidRPr="005A22C2">
        <w:t xml:space="preserve"> attracting occupants in coming years. Managing vacancy </w:t>
      </w:r>
      <w:r w:rsidR="00355620" w:rsidRPr="005A22C2">
        <w:t xml:space="preserve">within </w:t>
      </w:r>
      <w:r w:rsidR="00E97A0A" w:rsidRPr="005A22C2">
        <w:t>group housing arrangements</w:t>
      </w:r>
      <w:r w:rsidR="008C5690" w:rsidRPr="005A22C2">
        <w:t xml:space="preserve">, in the context of Existing and Legacy </w:t>
      </w:r>
      <w:r w:rsidR="0038338D" w:rsidRPr="005A22C2">
        <w:t>S</w:t>
      </w:r>
      <w:r w:rsidR="008C5690" w:rsidRPr="005A22C2">
        <w:t xml:space="preserve">tock, was </w:t>
      </w:r>
      <w:r w:rsidR="00E97A0A" w:rsidRPr="005A22C2">
        <w:t xml:space="preserve">also discussed in the </w:t>
      </w:r>
      <w:r w:rsidR="00D84C52" w:rsidRPr="005A22C2">
        <w:t>Consultation Group</w:t>
      </w:r>
      <w:r w:rsidR="008C5690" w:rsidRPr="005A22C2">
        <w:t>s. One</w:t>
      </w:r>
      <w:r w:rsidR="00F616EB" w:rsidRPr="005A22C2">
        <w:t xml:space="preserve"> s</w:t>
      </w:r>
      <w:r w:rsidR="00C65AF1" w:rsidRPr="005A22C2">
        <w:t xml:space="preserve">takeholder in the Large SDA Providers </w:t>
      </w:r>
      <w:r w:rsidR="00D84C52" w:rsidRPr="005A22C2">
        <w:t>Consultation Group</w:t>
      </w:r>
      <w:r w:rsidR="00C65AF1" w:rsidRPr="005A22C2">
        <w:t xml:space="preserve"> described </w:t>
      </w:r>
      <w:r w:rsidR="00E50681" w:rsidRPr="005A22C2">
        <w:t xml:space="preserve">how they </w:t>
      </w:r>
      <w:r w:rsidR="00A32F51" w:rsidRPr="005A22C2">
        <w:t>operate</w:t>
      </w:r>
      <w:r w:rsidR="00E50681" w:rsidRPr="005A22C2">
        <w:t xml:space="preserve"> </w:t>
      </w:r>
      <w:r w:rsidR="009571E0" w:rsidRPr="005A22C2">
        <w:t>E</w:t>
      </w:r>
      <w:r w:rsidR="00E50681" w:rsidRPr="005A22C2">
        <w:t xml:space="preserve">xisting </w:t>
      </w:r>
      <w:r w:rsidR="009571E0" w:rsidRPr="005A22C2">
        <w:t>S</w:t>
      </w:r>
      <w:r w:rsidR="00E50681" w:rsidRPr="005A22C2">
        <w:t xml:space="preserve">tock on behalf of the NSW Government through </w:t>
      </w:r>
      <w:r w:rsidR="00C65AF1" w:rsidRPr="005A22C2">
        <w:t>a fee-for-service model</w:t>
      </w:r>
      <w:r w:rsidR="00E50681" w:rsidRPr="005A22C2">
        <w:t xml:space="preserve">. </w:t>
      </w:r>
      <w:r w:rsidR="00FE0E0F" w:rsidRPr="005A22C2">
        <w:t>They</w:t>
      </w:r>
      <w:r w:rsidR="00FE0E0F" w:rsidRPr="005A22C2" w:rsidDel="00A32F51">
        <w:t xml:space="preserve"> </w:t>
      </w:r>
      <w:r w:rsidR="008B4C29" w:rsidRPr="005A22C2">
        <w:t>inherited</w:t>
      </w:r>
      <w:r w:rsidR="00FE0E0F" w:rsidRPr="005A22C2">
        <w:t xml:space="preserve"> </w:t>
      </w:r>
      <w:r w:rsidR="000C234E" w:rsidRPr="005A22C2">
        <w:t xml:space="preserve">around 138 </w:t>
      </w:r>
      <w:r w:rsidR="00FE0E0F" w:rsidRPr="005A22C2">
        <w:t xml:space="preserve">existing </w:t>
      </w:r>
      <w:r w:rsidR="000C234E" w:rsidRPr="005A22C2">
        <w:t>sites</w:t>
      </w:r>
      <w:r w:rsidR="00FE0E0F" w:rsidRPr="005A22C2">
        <w:t xml:space="preserve"> </w:t>
      </w:r>
      <w:r w:rsidR="00164975" w:rsidRPr="005A22C2">
        <w:t>from the NSW Government</w:t>
      </w:r>
      <w:r w:rsidR="00D065A5" w:rsidRPr="005A22C2">
        <w:t>,</w:t>
      </w:r>
      <w:r w:rsidR="00D437D1" w:rsidRPr="005A22C2">
        <w:t xml:space="preserve"> </w:t>
      </w:r>
      <w:r w:rsidR="00D065A5" w:rsidRPr="005A22C2">
        <w:t>mostly in the Sydney metropolitan area,</w:t>
      </w:r>
      <w:r w:rsidR="00D437D1" w:rsidRPr="005A22C2">
        <w:t xml:space="preserve"> </w:t>
      </w:r>
      <w:r w:rsidR="00C12C51" w:rsidRPr="005A22C2">
        <w:t>as part of the State’s divestment in 2017</w:t>
      </w:r>
      <w:r w:rsidR="00ED3EA2" w:rsidRPr="005A22C2">
        <w:t xml:space="preserve"> and 20</w:t>
      </w:r>
      <w:r w:rsidR="00C12C51" w:rsidRPr="005A22C2">
        <w:t>19</w:t>
      </w:r>
      <w:r w:rsidR="006E054B" w:rsidRPr="005A22C2">
        <w:t xml:space="preserve">. </w:t>
      </w:r>
      <w:r w:rsidR="00345B59" w:rsidRPr="005A22C2">
        <w:t xml:space="preserve">Of these sites, </w:t>
      </w:r>
      <w:r w:rsidR="00E93392" w:rsidRPr="005A22C2">
        <w:t>the vast majority are</w:t>
      </w:r>
      <w:r w:rsidR="0077035F" w:rsidRPr="005A22C2">
        <w:t xml:space="preserve"> grandfathered</w:t>
      </w:r>
      <w:r w:rsidR="00E93392" w:rsidRPr="005A22C2">
        <w:t xml:space="preserve"> Basic</w:t>
      </w:r>
      <w:r w:rsidR="0077035F" w:rsidRPr="005A22C2">
        <w:t xml:space="preserve"> design</w:t>
      </w:r>
      <w:r w:rsidR="00E93392" w:rsidRPr="005A22C2">
        <w:t xml:space="preserve">, </w:t>
      </w:r>
      <w:r w:rsidR="00672D33" w:rsidRPr="005A22C2">
        <w:t>with a few IL and one or two Robust</w:t>
      </w:r>
      <w:r w:rsidR="00D4650D" w:rsidRPr="005A22C2">
        <w:t>;</w:t>
      </w:r>
      <w:r w:rsidR="00C23A11" w:rsidRPr="005A22C2">
        <w:t xml:space="preserve"> The stakeholder </w:t>
      </w:r>
      <w:r w:rsidR="005361D4" w:rsidRPr="00DA401F">
        <w:t>stated</w:t>
      </w:r>
      <w:r w:rsidR="00C23A11" w:rsidRPr="00DA401F">
        <w:t xml:space="preserve"> that managing vacancy was a significant challenge for them</w:t>
      </w:r>
      <w:r w:rsidR="00C27A99" w:rsidRPr="00DA401F">
        <w:t>. D</w:t>
      </w:r>
      <w:r w:rsidR="00C23A11" w:rsidRPr="00DA401F">
        <w:t xml:space="preserve">espite </w:t>
      </w:r>
      <w:r w:rsidR="009A2092" w:rsidRPr="00DA401F">
        <w:t xml:space="preserve">spending </w:t>
      </w:r>
      <w:r w:rsidR="00024C60" w:rsidRPr="00DA401F">
        <w:t>“...</w:t>
      </w:r>
      <w:r w:rsidR="0027313D" w:rsidRPr="00DA401F">
        <w:t xml:space="preserve"> </w:t>
      </w:r>
      <w:r w:rsidR="00B05BB4" w:rsidRPr="00DA401F">
        <w:t xml:space="preserve">lots of time working with state government on trying to come up with some solutions for their asset management strategy”, </w:t>
      </w:r>
      <w:r w:rsidR="00C27A99" w:rsidRPr="00DA401F">
        <w:t xml:space="preserve">they </w:t>
      </w:r>
      <w:r w:rsidR="005361D4" w:rsidRPr="00DA401F">
        <w:t>stated</w:t>
      </w:r>
      <w:r w:rsidR="00C27A99" w:rsidRPr="00DA401F">
        <w:t xml:space="preserve"> that </w:t>
      </w:r>
      <w:r w:rsidR="00B05BB4" w:rsidRPr="00DA401F">
        <w:t xml:space="preserve">vacancy levels </w:t>
      </w:r>
      <w:r w:rsidR="00B05BB4" w:rsidRPr="00DA401F">
        <w:lastRenderedPageBreak/>
        <w:t>across their portfolio had increased from 89</w:t>
      </w:r>
      <w:r w:rsidR="000E530B">
        <w:t>%</w:t>
      </w:r>
      <w:r w:rsidR="00B05BB4" w:rsidRPr="005A22C2">
        <w:t xml:space="preserve"> when inherited from the government, to now around 17</w:t>
      </w:r>
      <w:r w:rsidR="000E530B">
        <w:t>%</w:t>
      </w:r>
      <w:r w:rsidR="00827731" w:rsidRPr="005A22C2">
        <w:t xml:space="preserve"> to </w:t>
      </w:r>
      <w:r w:rsidR="00B05BB4" w:rsidRPr="005A22C2">
        <w:t>18</w:t>
      </w:r>
      <w:r w:rsidR="000E530B">
        <w:t>%</w:t>
      </w:r>
      <w:r w:rsidR="00B05BB4" w:rsidRPr="005A22C2">
        <w:t>.</w:t>
      </w:r>
    </w:p>
    <w:p w14:paraId="4C6CF8F2" w14:textId="7CA3560C" w:rsidR="00756F63" w:rsidRPr="005A22C2" w:rsidRDefault="00D44F3F" w:rsidP="006720A0">
      <w:r w:rsidRPr="005A22C2">
        <w:t xml:space="preserve">It was </w:t>
      </w:r>
      <w:r w:rsidR="005361D4" w:rsidRPr="005A22C2">
        <w:t>stated</w:t>
      </w:r>
      <w:r w:rsidRPr="005A22C2">
        <w:t xml:space="preserve"> that </w:t>
      </w:r>
      <w:r w:rsidR="00F8192F" w:rsidRPr="005A22C2">
        <w:t>high</w:t>
      </w:r>
      <w:r w:rsidR="00472122" w:rsidRPr="005A22C2">
        <w:t>er</w:t>
      </w:r>
      <w:r w:rsidR="00F8192F" w:rsidRPr="005A22C2">
        <w:t xml:space="preserve"> vacancy </w:t>
      </w:r>
      <w:r w:rsidR="00E201BB" w:rsidRPr="005A22C2">
        <w:t xml:space="preserve">rates </w:t>
      </w:r>
      <w:r w:rsidR="00F8192F" w:rsidRPr="005A22C2">
        <w:t xml:space="preserve">within </w:t>
      </w:r>
      <w:r w:rsidR="00E201BB" w:rsidRPr="005A22C2">
        <w:t>Existing Builds is</w:t>
      </w:r>
      <w:r w:rsidR="00F8192F" w:rsidRPr="005A22C2">
        <w:t xml:space="preserve"> causing challenges for SIL providers by making rosters inefficient</w:t>
      </w:r>
      <w:r w:rsidR="007D3668" w:rsidRPr="005A22C2">
        <w:t xml:space="preserve">. </w:t>
      </w:r>
      <w:proofErr w:type="gramStart"/>
      <w:r w:rsidR="00E33284" w:rsidRPr="005A22C2">
        <w:t>In order to</w:t>
      </w:r>
      <w:proofErr w:type="gramEnd"/>
      <w:r w:rsidR="00E33284" w:rsidRPr="005A22C2">
        <w:t xml:space="preserve"> </w:t>
      </w:r>
      <w:r w:rsidR="004E76B5" w:rsidRPr="005A22C2">
        <w:t xml:space="preserve">minimise these </w:t>
      </w:r>
      <w:r w:rsidR="00A90698" w:rsidRPr="005A22C2">
        <w:t>outcomes, t</w:t>
      </w:r>
      <w:r w:rsidR="007D3668" w:rsidRPr="005A22C2">
        <w:t xml:space="preserve">he stakeholder </w:t>
      </w:r>
      <w:r w:rsidR="005361D4" w:rsidRPr="005A22C2">
        <w:t>stated</w:t>
      </w:r>
      <w:r w:rsidR="007D3668" w:rsidRPr="005A22C2">
        <w:t xml:space="preserve"> that </w:t>
      </w:r>
      <w:r w:rsidR="00A90698" w:rsidRPr="005A22C2">
        <w:t>they</w:t>
      </w:r>
      <w:r w:rsidR="007D3668" w:rsidRPr="005A22C2">
        <w:t xml:space="preserve"> </w:t>
      </w:r>
      <w:r w:rsidR="00FB0F8C" w:rsidRPr="005A22C2">
        <w:t>have on occasion had to move</w:t>
      </w:r>
      <w:r w:rsidR="007D3668" w:rsidRPr="005A22C2">
        <w:t xml:space="preserve"> participants </w:t>
      </w:r>
      <w:r w:rsidR="00985670" w:rsidRPr="005A22C2">
        <w:t xml:space="preserve">out of homes with high vacancy according to </w:t>
      </w:r>
      <w:r w:rsidR="0065717E" w:rsidRPr="005A22C2">
        <w:t xml:space="preserve">a crisis management strategy rather than </w:t>
      </w:r>
      <w:r w:rsidR="003A300F" w:rsidRPr="005A22C2">
        <w:t>the participants</w:t>
      </w:r>
      <w:r w:rsidR="0065717E" w:rsidRPr="005A22C2">
        <w:t xml:space="preserve"> own choice and control</w:t>
      </w:r>
      <w:r w:rsidR="00F65CE1" w:rsidRPr="005A22C2">
        <w:t>.</w:t>
      </w:r>
    </w:p>
    <w:p w14:paraId="6285958F" w14:textId="67155092" w:rsidR="00BF718F" w:rsidRPr="005A22C2" w:rsidRDefault="0065717E" w:rsidP="006720A0">
      <w:r w:rsidRPr="005A22C2">
        <w:t xml:space="preserve">The stakeholder suggested that if </w:t>
      </w:r>
      <w:r w:rsidR="0009177A" w:rsidRPr="005A22C2">
        <w:t>the SDA pricing methodology</w:t>
      </w:r>
      <w:r w:rsidRPr="005A22C2">
        <w:t xml:space="preserve"> </w:t>
      </w:r>
      <w:r w:rsidR="00927AC7" w:rsidRPr="005A22C2">
        <w:t>were amended to increase the price</w:t>
      </w:r>
      <w:r w:rsidRPr="005A22C2">
        <w:t xml:space="preserve"> for </w:t>
      </w:r>
      <w:r w:rsidR="003C58A0" w:rsidRPr="005A22C2">
        <w:t>E</w:t>
      </w:r>
      <w:r w:rsidR="00DD600E" w:rsidRPr="005A22C2">
        <w:t xml:space="preserve">xisting </w:t>
      </w:r>
      <w:r w:rsidR="003C58A0" w:rsidRPr="005A22C2">
        <w:t>Builds</w:t>
      </w:r>
      <w:r w:rsidRPr="005A22C2">
        <w:t xml:space="preserve">, it is likely that they would </w:t>
      </w:r>
      <w:r w:rsidR="00C2605B" w:rsidRPr="005A22C2">
        <w:t>seek</w:t>
      </w:r>
      <w:r w:rsidRPr="005A22C2">
        <w:t xml:space="preserve"> to renegotiate terms with the NSW </w:t>
      </w:r>
      <w:r w:rsidR="001A2169" w:rsidRPr="005A22C2">
        <w:t>G</w:t>
      </w:r>
      <w:r w:rsidRPr="005A22C2">
        <w:t>overnment</w:t>
      </w:r>
      <w:r w:rsidR="006B74C4" w:rsidRPr="005A22C2">
        <w:t xml:space="preserve">. </w:t>
      </w:r>
      <w:proofErr w:type="gramStart"/>
      <w:r w:rsidR="006B74C4" w:rsidRPr="005A22C2">
        <w:t>In</w:t>
      </w:r>
      <w:r w:rsidR="00CD64C4" w:rsidRPr="005A22C2">
        <w:t xml:space="preserve"> </w:t>
      </w:r>
      <w:r w:rsidR="002D58FE" w:rsidRPr="005A22C2">
        <w:t>particular</w:t>
      </w:r>
      <w:r w:rsidR="006B74C4" w:rsidRPr="005A22C2">
        <w:t>, they</w:t>
      </w:r>
      <w:proofErr w:type="gramEnd"/>
      <w:r w:rsidR="006B74C4" w:rsidRPr="005A22C2">
        <w:t xml:space="preserve"> would seek to increase</w:t>
      </w:r>
      <w:r w:rsidR="002D58FE" w:rsidRPr="005A22C2">
        <w:t xml:space="preserve"> their</w:t>
      </w:r>
      <w:r w:rsidR="00CB4AF7" w:rsidRPr="005A22C2">
        <w:t xml:space="preserve"> vacancy </w:t>
      </w:r>
      <w:r w:rsidR="006B74C4" w:rsidRPr="005A22C2">
        <w:t>allowance</w:t>
      </w:r>
      <w:r w:rsidR="00CB4AF7" w:rsidRPr="005A22C2">
        <w:t xml:space="preserve"> to</w:t>
      </w:r>
      <w:r w:rsidR="002D58FE" w:rsidRPr="005A22C2">
        <w:t xml:space="preserve"> </w:t>
      </w:r>
      <w:r w:rsidR="00CD64C4" w:rsidRPr="005A22C2">
        <w:t>allow additional funding to provide necessary services</w:t>
      </w:r>
      <w:r w:rsidR="00BD4738" w:rsidRPr="005A22C2">
        <w:t xml:space="preserve"> for participants. </w:t>
      </w:r>
      <w:r w:rsidR="006645A1" w:rsidRPr="005A22C2">
        <w:t>Alternatively, they suggested that they may</w:t>
      </w:r>
      <w:r w:rsidR="00605957" w:rsidRPr="005A22C2">
        <w:t xml:space="preserve"> seek to </w:t>
      </w:r>
      <w:r w:rsidR="009C6F59" w:rsidRPr="005A22C2">
        <w:t>retain</w:t>
      </w:r>
      <w:r w:rsidR="00605957" w:rsidRPr="005A22C2">
        <w:t xml:space="preserve"> additional funding</w:t>
      </w:r>
      <w:r w:rsidR="009C6F59" w:rsidRPr="005A22C2">
        <w:t xml:space="preserve"> </w:t>
      </w:r>
      <w:r w:rsidR="00A2680F" w:rsidRPr="005A22C2">
        <w:t xml:space="preserve">to establish a sinking fund for </w:t>
      </w:r>
      <w:r w:rsidR="00F258A7" w:rsidRPr="005A22C2">
        <w:t xml:space="preserve">ongoing </w:t>
      </w:r>
      <w:r w:rsidR="00A2680F" w:rsidRPr="005A22C2">
        <w:t>maintenance works</w:t>
      </w:r>
      <w:r w:rsidR="00F258A7" w:rsidRPr="005A22C2">
        <w:t>.</w:t>
      </w:r>
    </w:p>
    <w:p w14:paraId="00D11391" w14:textId="46C3C77C" w:rsidR="00F10429" w:rsidRPr="005A22C2" w:rsidRDefault="004D0B79" w:rsidP="006720A0">
      <w:pPr>
        <w:pStyle w:val="Heading2"/>
      </w:pPr>
      <w:bookmarkStart w:id="268" w:name="_Toc129783630"/>
      <w:bookmarkStart w:id="269" w:name="_Toc136006905"/>
      <w:r w:rsidRPr="005A22C2">
        <w:t xml:space="preserve">Leasehold and freehold </w:t>
      </w:r>
      <w:r w:rsidR="005D4E27" w:rsidRPr="005A22C2">
        <w:t>acquisition of land</w:t>
      </w:r>
      <w:bookmarkEnd w:id="268"/>
      <w:bookmarkEnd w:id="269"/>
    </w:p>
    <w:p w14:paraId="6B324FEF" w14:textId="0AC894D0" w:rsidR="006011DE" w:rsidRPr="005A22C2" w:rsidRDefault="00182E66" w:rsidP="006720A0">
      <w:r w:rsidRPr="005A22C2">
        <w:t xml:space="preserve">The </w:t>
      </w:r>
      <w:r w:rsidR="00EA2126" w:rsidRPr="005A22C2">
        <w:t>SDA</w:t>
      </w:r>
      <w:r w:rsidRPr="005A22C2">
        <w:t xml:space="preserve"> Banks and Funds </w:t>
      </w:r>
      <w:r w:rsidR="00D84C52" w:rsidRPr="005A22C2">
        <w:t>Consultation Group</w:t>
      </w:r>
      <w:r w:rsidRPr="005A22C2">
        <w:t xml:space="preserve"> </w:t>
      </w:r>
      <w:r w:rsidR="00090FD7" w:rsidRPr="005A22C2">
        <w:t>discussed the difference between</w:t>
      </w:r>
      <w:r w:rsidR="00BC41F3" w:rsidRPr="005A22C2">
        <w:t xml:space="preserve"> leasehold </w:t>
      </w:r>
      <w:r w:rsidR="00090FD7" w:rsidRPr="005A22C2">
        <w:t>and</w:t>
      </w:r>
      <w:r w:rsidR="00BC41F3" w:rsidRPr="005A22C2">
        <w:t xml:space="preserve"> freehold acquisition of land.</w:t>
      </w:r>
      <w:r w:rsidR="008C5EDD" w:rsidRPr="005A22C2">
        <w:t xml:space="preserve"> </w:t>
      </w:r>
      <w:r w:rsidR="0022082F" w:rsidRPr="005A22C2">
        <w:t>I</w:t>
      </w:r>
      <w:r w:rsidR="00E7171B" w:rsidRPr="005A22C2">
        <w:t xml:space="preserve">t was </w:t>
      </w:r>
      <w:r w:rsidR="005361D4" w:rsidRPr="005A22C2">
        <w:t>stated</w:t>
      </w:r>
      <w:r w:rsidR="00E7171B" w:rsidRPr="005A22C2">
        <w:t xml:space="preserve"> that </w:t>
      </w:r>
      <w:r w:rsidR="0022082F" w:rsidRPr="005A22C2">
        <w:t xml:space="preserve">state governments </w:t>
      </w:r>
      <w:r w:rsidR="001C7E81" w:rsidRPr="005A22C2">
        <w:t xml:space="preserve">with land in desirable locations </w:t>
      </w:r>
      <w:r w:rsidR="00E7171B" w:rsidRPr="005A22C2">
        <w:t xml:space="preserve">tend to </w:t>
      </w:r>
      <w:r w:rsidR="0074049A" w:rsidRPr="005A22C2">
        <w:t xml:space="preserve">be inclined to </w:t>
      </w:r>
      <w:r w:rsidR="00991B88" w:rsidRPr="005A22C2">
        <w:t xml:space="preserve">offer leasehold </w:t>
      </w:r>
      <w:r w:rsidR="00965D89" w:rsidRPr="005A22C2">
        <w:t>options for their land</w:t>
      </w:r>
      <w:r w:rsidR="008A1A1D" w:rsidRPr="005A22C2">
        <w:t>. A</w:t>
      </w:r>
      <w:r w:rsidR="003E24FD" w:rsidRPr="005A22C2">
        <w:t xml:space="preserve">s such, </w:t>
      </w:r>
      <w:r w:rsidR="00C33669" w:rsidRPr="005A22C2">
        <w:t xml:space="preserve">it was discussed if leasehold and freehold </w:t>
      </w:r>
      <w:r w:rsidR="004D0748" w:rsidRPr="005A22C2">
        <w:t>acquisition</w:t>
      </w:r>
      <w:r w:rsidR="00C33669" w:rsidRPr="005A22C2">
        <w:t xml:space="preserve"> of land should be </w:t>
      </w:r>
      <w:r w:rsidR="000E0C5C" w:rsidRPr="005A22C2">
        <w:t>consider</w:t>
      </w:r>
      <w:r w:rsidR="00C33669" w:rsidRPr="005A22C2">
        <w:t xml:space="preserve">ed as part of the </w:t>
      </w:r>
      <w:r w:rsidR="006344D5" w:rsidRPr="005A22C2">
        <w:t>SDA Pricing Review</w:t>
      </w:r>
      <w:r w:rsidR="00C33669" w:rsidRPr="005A22C2">
        <w:t>.</w:t>
      </w:r>
      <w:r w:rsidR="0009177A" w:rsidRPr="005A22C2">
        <w:t xml:space="preserve"> </w:t>
      </w:r>
      <w:r w:rsidR="00BC41F3" w:rsidRPr="005A22C2">
        <w:t xml:space="preserve">One </w:t>
      </w:r>
      <w:r w:rsidR="00475617" w:rsidRPr="005A22C2">
        <w:t>stakeholder</w:t>
      </w:r>
      <w:r w:rsidR="00BC41F3" w:rsidRPr="005A22C2">
        <w:t xml:space="preserve"> </w:t>
      </w:r>
      <w:r w:rsidR="008A1A1D" w:rsidRPr="005A22C2">
        <w:t xml:space="preserve">from the SDA Banks and Funds </w:t>
      </w:r>
      <w:r w:rsidR="00D84C52" w:rsidRPr="005A22C2">
        <w:t>Consultation Group</w:t>
      </w:r>
      <w:r w:rsidR="00BC41F3" w:rsidRPr="005A22C2">
        <w:t xml:space="preserve"> </w:t>
      </w:r>
      <w:r w:rsidR="005361D4" w:rsidRPr="005A22C2">
        <w:t>stated</w:t>
      </w:r>
      <w:r w:rsidR="00BC41F3" w:rsidRPr="005A22C2">
        <w:t xml:space="preserve"> that </w:t>
      </w:r>
      <w:r w:rsidR="008A5528" w:rsidRPr="005A22C2">
        <w:t>i</w:t>
      </w:r>
      <w:r w:rsidR="00EA2126" w:rsidRPr="005A22C2">
        <w:t xml:space="preserve">nstitutional </w:t>
      </w:r>
      <w:r w:rsidR="008A5528" w:rsidRPr="005A22C2">
        <w:t>i</w:t>
      </w:r>
      <w:r w:rsidR="00EA2126" w:rsidRPr="005A22C2">
        <w:t>nvestors</w:t>
      </w:r>
      <w:r w:rsidR="00BC41F3" w:rsidRPr="005A22C2">
        <w:t xml:space="preserve"> </w:t>
      </w:r>
      <w:r w:rsidR="004D0748" w:rsidRPr="005A22C2">
        <w:t xml:space="preserve">typically </w:t>
      </w:r>
      <w:r w:rsidR="00BC41F3" w:rsidRPr="005A22C2">
        <w:t xml:space="preserve">assume freehold </w:t>
      </w:r>
      <w:r w:rsidR="008C5EDD" w:rsidRPr="005A22C2">
        <w:t xml:space="preserve">acquisition </w:t>
      </w:r>
      <w:r w:rsidR="00BC41F3" w:rsidRPr="00DA401F">
        <w:t xml:space="preserve">in their modelling as leasehold introduces </w:t>
      </w:r>
      <w:proofErr w:type="gramStart"/>
      <w:r w:rsidR="00BC41F3" w:rsidRPr="00DA401F">
        <w:t>a number of</w:t>
      </w:r>
      <w:proofErr w:type="gramEnd"/>
      <w:r w:rsidR="00BC41F3" w:rsidRPr="00DA401F">
        <w:t xml:space="preserve"> additional risks and uncertainty, </w:t>
      </w:r>
      <w:r w:rsidR="0009177A" w:rsidRPr="00DA401F">
        <w:t>“</w:t>
      </w:r>
      <w:r w:rsidR="00BC41F3" w:rsidRPr="00DA401F">
        <w:t>particularly around tenure. These</w:t>
      </w:r>
      <w:r w:rsidR="00E63A5F" w:rsidRPr="00DA401F">
        <w:t xml:space="preserve"> [SDA]</w:t>
      </w:r>
      <w:r w:rsidR="00BC41F3" w:rsidRPr="00DA401F">
        <w:t xml:space="preserve"> are long dated assets, so consequently, they need to be very long dated lease arrangements </w:t>
      </w:r>
      <w:proofErr w:type="gramStart"/>
      <w:r w:rsidR="00BC41F3" w:rsidRPr="00DA401F">
        <w:t>in order for</w:t>
      </w:r>
      <w:proofErr w:type="gramEnd"/>
      <w:r w:rsidR="00BC41F3" w:rsidRPr="00DA401F">
        <w:t xml:space="preserve"> that to align</w:t>
      </w:r>
      <w:r w:rsidR="00F65CE1" w:rsidRPr="00DA401F">
        <w:t>”</w:t>
      </w:r>
      <w:r w:rsidR="0028266E" w:rsidRPr="00DA401F">
        <w:t>.</w:t>
      </w:r>
      <w:r w:rsidR="00AA14F6" w:rsidRPr="00DA401F">
        <w:t xml:space="preserve"> </w:t>
      </w:r>
      <w:r w:rsidR="00BC41F3" w:rsidRPr="00DA401F">
        <w:t xml:space="preserve">Another </w:t>
      </w:r>
      <w:r w:rsidR="00475617" w:rsidRPr="00DA401F">
        <w:t>stakeholder</w:t>
      </w:r>
      <w:r w:rsidR="00BC41F3" w:rsidRPr="00DA401F">
        <w:t xml:space="preserve"> agreed that leasehold would have significant impacts for banks when </w:t>
      </w:r>
      <w:r w:rsidR="000E0C5C" w:rsidRPr="00DA401F">
        <w:t>consider</w:t>
      </w:r>
      <w:r w:rsidR="00BC41F3" w:rsidRPr="00DA401F">
        <w:t>ing the cost of capital, particularly when assessing their loss given default.</w:t>
      </w:r>
    </w:p>
    <w:p w14:paraId="323D816F" w14:textId="7B05DFF6" w:rsidR="00F961F8" w:rsidRPr="005A22C2" w:rsidRDefault="006011DE" w:rsidP="006720A0">
      <w:r w:rsidRPr="005A22C2">
        <w:t xml:space="preserve">One </w:t>
      </w:r>
      <w:r w:rsidR="00AB46B7" w:rsidRPr="005A22C2">
        <w:t xml:space="preserve">stakeholder from the </w:t>
      </w:r>
      <w:r w:rsidR="00EA2126" w:rsidRPr="005A22C2">
        <w:t>SDA</w:t>
      </w:r>
      <w:r w:rsidR="00AB46B7" w:rsidRPr="005A22C2">
        <w:t xml:space="preserve"> </w:t>
      </w:r>
      <w:r w:rsidR="003F7DD1" w:rsidRPr="005A22C2">
        <w:t xml:space="preserve">Institutional Investors </w:t>
      </w:r>
      <w:r w:rsidR="00D84C52" w:rsidRPr="005A22C2">
        <w:t>Consultation Group</w:t>
      </w:r>
      <w:r w:rsidRPr="005A22C2">
        <w:t xml:space="preserve"> </w:t>
      </w:r>
      <w:r w:rsidR="003F7DD1" w:rsidRPr="005A22C2">
        <w:t xml:space="preserve">also </w:t>
      </w:r>
      <w:r w:rsidR="00F87497" w:rsidRPr="005A22C2">
        <w:t xml:space="preserve">identified that </w:t>
      </w:r>
      <w:r w:rsidR="009676E2" w:rsidRPr="005A22C2">
        <w:t>they</w:t>
      </w:r>
      <w:r w:rsidR="00EA52F4" w:rsidRPr="005A22C2">
        <w:t xml:space="preserve"> was aware of</w:t>
      </w:r>
      <w:r w:rsidR="00B370A0" w:rsidRPr="005A22C2">
        <w:t xml:space="preserve"> </w:t>
      </w:r>
      <w:r w:rsidR="00EA52F4" w:rsidRPr="005A22C2">
        <w:t>“</w:t>
      </w:r>
      <w:r w:rsidR="00EA52F4" w:rsidRPr="006772C2">
        <w:t xml:space="preserve">church-based groups, NFPs and government organisations who have land they would love to see </w:t>
      </w:r>
      <w:proofErr w:type="gramStart"/>
      <w:r w:rsidR="00EA52F4" w:rsidRPr="006772C2">
        <w:t>used, but</w:t>
      </w:r>
      <w:proofErr w:type="gramEnd"/>
      <w:r w:rsidR="00EA52F4" w:rsidRPr="006772C2">
        <w:t xml:space="preserve"> can never sell you the land</w:t>
      </w:r>
      <w:r w:rsidR="00F65CE1" w:rsidRPr="005A22C2">
        <w:t>”</w:t>
      </w:r>
      <w:r w:rsidR="006772C2">
        <w:t>.</w:t>
      </w:r>
      <w:r w:rsidR="00EA52F4" w:rsidRPr="005A22C2">
        <w:t xml:space="preserve"> </w:t>
      </w:r>
      <w:r w:rsidR="000F60D5" w:rsidRPr="005A22C2">
        <w:t xml:space="preserve">The stakeholder </w:t>
      </w:r>
      <w:r w:rsidR="009A6C61" w:rsidRPr="005A22C2">
        <w:t xml:space="preserve">argued that the current </w:t>
      </w:r>
      <w:r w:rsidR="009676E2" w:rsidRPr="00E67028">
        <w:rPr>
          <w:i/>
          <w:iCs/>
        </w:rPr>
        <w:t>NDIS Pricing Arrangements for SDA</w:t>
      </w:r>
      <w:r w:rsidR="009676E2" w:rsidRPr="005A22C2">
        <w:t xml:space="preserve"> </w:t>
      </w:r>
      <w:r w:rsidR="009A32FC" w:rsidRPr="005A22C2">
        <w:t>incorporate</w:t>
      </w:r>
      <w:r w:rsidR="00016FDA" w:rsidRPr="005A22C2">
        <w:t>s</w:t>
      </w:r>
      <w:r w:rsidR="00E80C58" w:rsidRPr="005A22C2">
        <w:t xml:space="preserve"> appreciation of land value</w:t>
      </w:r>
      <w:r w:rsidR="00C95541" w:rsidRPr="005A22C2">
        <w:t xml:space="preserve">, but </w:t>
      </w:r>
      <w:proofErr w:type="gramStart"/>
      <w:r w:rsidR="00C95541" w:rsidRPr="005A22C2">
        <w:t>in order to</w:t>
      </w:r>
      <w:proofErr w:type="gramEnd"/>
      <w:r w:rsidR="00C95541" w:rsidRPr="005A22C2">
        <w:t xml:space="preserve"> provide housing in inner metropolitan areas, </w:t>
      </w:r>
      <w:r w:rsidR="00EB68DF" w:rsidRPr="005A22C2">
        <w:t xml:space="preserve">freehold acquisition of land may not always be possible. </w:t>
      </w:r>
      <w:r w:rsidR="0045450F" w:rsidRPr="005A22C2">
        <w:t xml:space="preserve">The stakeholder </w:t>
      </w:r>
      <w:r w:rsidR="00CE6D8F" w:rsidRPr="005A22C2">
        <w:t xml:space="preserve">recommended </w:t>
      </w:r>
      <w:r w:rsidR="000E0C5C" w:rsidRPr="005A22C2">
        <w:t>consider</w:t>
      </w:r>
      <w:r w:rsidR="00CE6D8F" w:rsidRPr="005A22C2">
        <w:t>ing a solution to allow leasehold</w:t>
      </w:r>
      <w:r w:rsidR="003A66F9" w:rsidRPr="005A22C2">
        <w:t xml:space="preserve"> </w:t>
      </w:r>
      <w:r w:rsidR="00CE6D8F" w:rsidRPr="005A22C2">
        <w:t>acquisition of land</w:t>
      </w:r>
      <w:r w:rsidR="00E7680D" w:rsidRPr="005A22C2">
        <w:t xml:space="preserve">, as it may assist in </w:t>
      </w:r>
      <w:r w:rsidR="005E533F" w:rsidRPr="005A22C2">
        <w:t>encouraging greater SDA construction in brownfield</w:t>
      </w:r>
      <w:r w:rsidR="00E375FB" w:rsidRPr="005A22C2">
        <w:t xml:space="preserve"> metro locations.</w:t>
      </w:r>
      <w:r w:rsidR="0045450F" w:rsidRPr="005A22C2">
        <w:t xml:space="preserve"> </w:t>
      </w:r>
      <w:r w:rsidR="000F32E4" w:rsidRPr="005A22C2">
        <w:t xml:space="preserve">To </w:t>
      </w:r>
      <w:r w:rsidR="00436F7F" w:rsidRPr="005A22C2">
        <w:t>provide for leasehold acquisition of land, the model would need to assume the land has a terminal value of zero</w:t>
      </w:r>
      <w:r w:rsidR="00110B07" w:rsidRPr="005A22C2">
        <w:t>.</w:t>
      </w:r>
    </w:p>
    <w:p w14:paraId="411E7FC6" w14:textId="77777777" w:rsidR="00A47429" w:rsidRPr="005A22C2" w:rsidRDefault="00DA4F34" w:rsidP="006720A0">
      <w:pPr>
        <w:pStyle w:val="Heading2"/>
      </w:pPr>
      <w:bookmarkStart w:id="270" w:name="_Toc129783631"/>
      <w:bookmarkStart w:id="271" w:name="_Toc136006906"/>
      <w:r w:rsidRPr="005A22C2">
        <w:t>Self-managed super funds</w:t>
      </w:r>
      <w:bookmarkEnd w:id="270"/>
      <w:bookmarkEnd w:id="271"/>
    </w:p>
    <w:p w14:paraId="0688A9C6" w14:textId="381EF1F8" w:rsidR="00A47429" w:rsidRPr="005A22C2" w:rsidRDefault="00BA691B" w:rsidP="006720A0">
      <w:r w:rsidRPr="005A22C2">
        <w:t xml:space="preserve">Several </w:t>
      </w:r>
      <w:r w:rsidR="000E0C5C" w:rsidRPr="005A22C2">
        <w:t xml:space="preserve">members of </w:t>
      </w:r>
      <w:r w:rsidR="001105CE" w:rsidRPr="005A22C2">
        <w:t xml:space="preserve">the </w:t>
      </w:r>
      <w:r w:rsidR="00EA2126" w:rsidRPr="005A22C2">
        <w:t xml:space="preserve">SDA </w:t>
      </w:r>
      <w:r w:rsidR="001105CE" w:rsidRPr="005A22C2">
        <w:t xml:space="preserve">Institutional Investors and </w:t>
      </w:r>
      <w:r w:rsidR="00EA2126" w:rsidRPr="005A22C2">
        <w:t xml:space="preserve">SDA </w:t>
      </w:r>
      <w:r w:rsidR="001105CE" w:rsidRPr="005A22C2">
        <w:t xml:space="preserve">Banks and Funds </w:t>
      </w:r>
      <w:r w:rsidR="00D84C52" w:rsidRPr="00DA401F">
        <w:t>Consultation Group</w:t>
      </w:r>
      <w:r w:rsidR="001105CE" w:rsidRPr="00DA401F">
        <w:t xml:space="preserve">s suggested that they have noticed </w:t>
      </w:r>
      <w:r w:rsidR="006D2CD9" w:rsidRPr="00DA401F">
        <w:t>great</w:t>
      </w:r>
      <w:r w:rsidR="00965835" w:rsidRPr="00DA401F">
        <w:t>er</w:t>
      </w:r>
      <w:r w:rsidR="006D2CD9" w:rsidRPr="00DA401F">
        <w:t xml:space="preserve"> involvement </w:t>
      </w:r>
      <w:r w:rsidR="005E3FE8" w:rsidRPr="00DA401F">
        <w:t xml:space="preserve">from so-called </w:t>
      </w:r>
      <w:r w:rsidR="000E0C5C" w:rsidRPr="00DA401F">
        <w:t>“</w:t>
      </w:r>
      <w:r w:rsidR="005F5BFA" w:rsidRPr="00DA401F">
        <w:t>M</w:t>
      </w:r>
      <w:r w:rsidR="005E3FE8" w:rsidRPr="00DA401F">
        <w:t xml:space="preserve">um and </w:t>
      </w:r>
      <w:r w:rsidR="005F5BFA" w:rsidRPr="00DA401F">
        <w:t>D</w:t>
      </w:r>
      <w:r w:rsidR="005E3FE8" w:rsidRPr="00DA401F">
        <w:t>ad</w:t>
      </w:r>
      <w:r w:rsidR="000E0C5C" w:rsidRPr="00DA401F">
        <w:t>”</w:t>
      </w:r>
      <w:r w:rsidR="005E3FE8" w:rsidRPr="00DA401F">
        <w:t xml:space="preserve"> investors into the SDA market. </w:t>
      </w:r>
      <w:r w:rsidR="000E0C5C" w:rsidRPr="00DA401F">
        <w:t>They</w:t>
      </w:r>
      <w:r w:rsidR="002513AA" w:rsidRPr="00DA401F">
        <w:t xml:space="preserve"> </w:t>
      </w:r>
      <w:r w:rsidR="00965835" w:rsidRPr="00DA401F">
        <w:t xml:space="preserve">suggested that this is due </w:t>
      </w:r>
      <w:r w:rsidR="00965835" w:rsidRPr="00DA401F">
        <w:lastRenderedPageBreak/>
        <w:t xml:space="preserve">to </w:t>
      </w:r>
      <w:r w:rsidR="002513AA" w:rsidRPr="00DA401F">
        <w:t>the market having low barriers to entry</w:t>
      </w:r>
      <w:r w:rsidR="00FB7F75" w:rsidRPr="00DA401F">
        <w:t>.</w:t>
      </w:r>
      <w:r w:rsidR="00D4650D" w:rsidRPr="00DA401F">
        <w:t xml:space="preserve"> </w:t>
      </w:r>
      <w:r w:rsidR="0071030E" w:rsidRPr="00DA401F">
        <w:t xml:space="preserve">One stakeholder from the </w:t>
      </w:r>
      <w:r w:rsidR="00EA2126" w:rsidRPr="00DA401F">
        <w:t xml:space="preserve">SDA </w:t>
      </w:r>
      <w:r w:rsidR="0071030E" w:rsidRPr="00DA401F">
        <w:t xml:space="preserve">Institutional Investors </w:t>
      </w:r>
      <w:r w:rsidR="00D84C52" w:rsidRPr="00DA401F">
        <w:t>Consultation Group</w:t>
      </w:r>
      <w:r w:rsidR="003E0D04" w:rsidRPr="00DA401F">
        <w:t xml:space="preserve"> </w:t>
      </w:r>
      <w:r w:rsidR="00965835" w:rsidRPr="00DA401F">
        <w:t xml:space="preserve">suggested that </w:t>
      </w:r>
      <w:r w:rsidR="00AE766A" w:rsidRPr="00DA401F">
        <w:t xml:space="preserve">“funding from </w:t>
      </w:r>
      <w:r w:rsidR="00F83644" w:rsidRPr="00DA401F">
        <w:t>M</w:t>
      </w:r>
      <w:r w:rsidR="00AE766A" w:rsidRPr="00DA401F">
        <w:t xml:space="preserve">um and </w:t>
      </w:r>
      <w:r w:rsidR="00F83644" w:rsidRPr="00DA401F">
        <w:t>D</w:t>
      </w:r>
      <w:r w:rsidR="00AE766A" w:rsidRPr="00DA401F">
        <w:t>ad investors is a very inefficient use of capital”</w:t>
      </w:r>
      <w:r w:rsidR="0028266E" w:rsidRPr="00DA401F">
        <w:t xml:space="preserve">. </w:t>
      </w:r>
      <w:r w:rsidR="00891ABC" w:rsidRPr="00DA401F">
        <w:t>Another</w:t>
      </w:r>
      <w:r w:rsidR="003E0D04" w:rsidRPr="00DA401F">
        <w:t xml:space="preserve"> stakeholder from the </w:t>
      </w:r>
      <w:r w:rsidR="00EA2126" w:rsidRPr="00DA401F">
        <w:t xml:space="preserve">SDA </w:t>
      </w:r>
      <w:r w:rsidR="003E0D04" w:rsidRPr="00DA401F">
        <w:t xml:space="preserve">Banks and Funds </w:t>
      </w:r>
      <w:r w:rsidR="00D84C52" w:rsidRPr="00DA401F">
        <w:t>Consultation Group</w:t>
      </w:r>
      <w:r w:rsidR="003E0D04" w:rsidRPr="00DA401F">
        <w:t xml:space="preserve"> </w:t>
      </w:r>
      <w:r w:rsidR="005361D4" w:rsidRPr="00DA401F">
        <w:t>stated</w:t>
      </w:r>
      <w:r w:rsidR="00497C5A" w:rsidRPr="00DA401F">
        <w:t xml:space="preserve"> that </w:t>
      </w:r>
      <w:r w:rsidR="00024C60" w:rsidRPr="00DA401F">
        <w:rPr>
          <w:rFonts w:asciiTheme="minorHAnsi" w:hAnsiTheme="minorHAnsi"/>
          <w:szCs w:val="22"/>
        </w:rPr>
        <w:t>“</w:t>
      </w:r>
      <w:r w:rsidR="0028266E" w:rsidRPr="00DA401F">
        <w:rPr>
          <w:rFonts w:asciiTheme="minorHAnsi" w:hAnsiTheme="minorHAnsi"/>
          <w:szCs w:val="22"/>
        </w:rPr>
        <w:t>…</w:t>
      </w:r>
      <w:r w:rsidR="00C97CEB" w:rsidRPr="00DA401F">
        <w:t>there’s been a lot of Mum and Dad investors, property spru</w:t>
      </w:r>
      <w:r w:rsidR="0028266E" w:rsidRPr="00DA401F">
        <w:t>i</w:t>
      </w:r>
      <w:r w:rsidR="00C97CEB" w:rsidRPr="00DA401F">
        <w:t>kers, coming into that [SDA] market and really seeking to commoditise what is being provided to participants</w:t>
      </w:r>
      <w:r w:rsidR="00F65CE1" w:rsidRPr="00DA401F">
        <w:t>”</w:t>
      </w:r>
      <w:r w:rsidR="0028266E" w:rsidRPr="00DA401F">
        <w:t>.</w:t>
      </w:r>
    </w:p>
    <w:p w14:paraId="57DFD05A" w14:textId="77777777" w:rsidR="00CC5A6D" w:rsidRDefault="00F83644" w:rsidP="006720A0">
      <w:r w:rsidRPr="005A22C2">
        <w:t xml:space="preserve">The general sentiment was that these </w:t>
      </w:r>
      <w:r w:rsidR="000E0C5C" w:rsidRPr="005A22C2">
        <w:t>“</w:t>
      </w:r>
      <w:r w:rsidRPr="005A22C2">
        <w:t>Mum and Dad</w:t>
      </w:r>
      <w:r w:rsidR="000E0C5C" w:rsidRPr="005A22C2">
        <w:t>”</w:t>
      </w:r>
      <w:r w:rsidRPr="005A22C2">
        <w:t xml:space="preserve"> investors are </w:t>
      </w:r>
      <w:r w:rsidR="00FA0B79" w:rsidRPr="005A22C2">
        <w:t xml:space="preserve">investing primarily in suboptimal </w:t>
      </w:r>
      <w:r w:rsidR="002E1886" w:rsidRPr="005A22C2">
        <w:t>and often</w:t>
      </w:r>
      <w:r w:rsidR="00FA0B79" w:rsidRPr="005A22C2">
        <w:t xml:space="preserve"> greenfield locations</w:t>
      </w:r>
      <w:r w:rsidR="001112D5" w:rsidRPr="005A22C2">
        <w:t>, which is an inefficient use of their capital</w:t>
      </w:r>
      <w:r w:rsidR="000D7390" w:rsidRPr="005A22C2">
        <w:t xml:space="preserve">. In addition, stakeholders in the </w:t>
      </w:r>
      <w:r w:rsidR="00EA2126" w:rsidRPr="005A22C2">
        <w:t xml:space="preserve">SDA </w:t>
      </w:r>
      <w:r w:rsidR="00A1185C" w:rsidRPr="005A22C2">
        <w:t>Institutional</w:t>
      </w:r>
      <w:r w:rsidR="000D7390" w:rsidRPr="005A22C2">
        <w:t xml:space="preserve"> Investors </w:t>
      </w:r>
      <w:r w:rsidR="00D84C52" w:rsidRPr="005A22C2">
        <w:t>Consultation Group</w:t>
      </w:r>
      <w:r w:rsidR="000D7390" w:rsidRPr="005A22C2">
        <w:t xml:space="preserve"> </w:t>
      </w:r>
      <w:r w:rsidR="005361D4" w:rsidRPr="005A22C2">
        <w:t>stated</w:t>
      </w:r>
      <w:r w:rsidR="000D7390" w:rsidRPr="005A22C2">
        <w:t xml:space="preserve"> that these types of investors</w:t>
      </w:r>
      <w:r w:rsidR="001112D5" w:rsidRPr="005A22C2">
        <w:t xml:space="preserve"> are</w:t>
      </w:r>
      <w:r w:rsidR="0027313D" w:rsidRPr="005A22C2">
        <w:t xml:space="preserve"> not</w:t>
      </w:r>
      <w:r w:rsidR="001112D5" w:rsidRPr="005A22C2">
        <w:t xml:space="preserve"> able to contribute the </w:t>
      </w:r>
      <w:r w:rsidR="000D7390" w:rsidRPr="005A22C2">
        <w:t xml:space="preserve">necessary </w:t>
      </w:r>
      <w:r w:rsidR="001112D5" w:rsidRPr="005A22C2">
        <w:t>amount</w:t>
      </w:r>
      <w:r w:rsidR="000D7390" w:rsidRPr="005A22C2">
        <w:t>s</w:t>
      </w:r>
      <w:r w:rsidR="001112D5" w:rsidRPr="005A22C2">
        <w:t xml:space="preserve"> of capital required to meet the </w:t>
      </w:r>
      <w:r w:rsidR="00246C72" w:rsidRPr="005A22C2">
        <w:t xml:space="preserve">projected upcoming </w:t>
      </w:r>
      <w:r w:rsidR="00DF0CA9" w:rsidRPr="005A22C2">
        <w:t>demand</w:t>
      </w:r>
      <w:r w:rsidR="00246C72" w:rsidRPr="005A22C2">
        <w:t xml:space="preserve"> for SDA</w:t>
      </w:r>
      <w:r w:rsidR="002738F1" w:rsidRPr="005A22C2">
        <w:t>. The</w:t>
      </w:r>
      <w:r w:rsidR="007261F6" w:rsidRPr="005A22C2">
        <w:t xml:space="preserve"> </w:t>
      </w:r>
      <w:r w:rsidR="00D84C52" w:rsidRPr="005A22C2">
        <w:t>Consultation Group</w:t>
      </w:r>
      <w:r w:rsidR="007261F6" w:rsidRPr="005A22C2">
        <w:t xml:space="preserve"> </w:t>
      </w:r>
      <w:r w:rsidR="000E0C5C" w:rsidRPr="005A22C2">
        <w:t xml:space="preserve">emphasised </w:t>
      </w:r>
      <w:r w:rsidR="009D0CA6" w:rsidRPr="005A22C2">
        <w:t xml:space="preserve">that </w:t>
      </w:r>
      <w:r w:rsidR="00E6516F" w:rsidRPr="005A22C2">
        <w:t xml:space="preserve">the </w:t>
      </w:r>
      <w:r w:rsidR="000E0C5C" w:rsidRPr="005A22C2">
        <w:t>pricing model</w:t>
      </w:r>
      <w:r w:rsidR="00E6516F" w:rsidRPr="005A22C2">
        <w:t xml:space="preserve"> should be </w:t>
      </w:r>
      <w:r w:rsidR="00FD3C47" w:rsidRPr="005A22C2">
        <w:t xml:space="preserve">built to attract large investments </w:t>
      </w:r>
      <w:r w:rsidR="005D45CF" w:rsidRPr="005A22C2">
        <w:t>that</w:t>
      </w:r>
      <w:r w:rsidR="00FD3C47" w:rsidRPr="005A22C2">
        <w:t xml:space="preserve"> can support the </w:t>
      </w:r>
      <w:r w:rsidR="00E83FBD" w:rsidRPr="005A22C2">
        <w:t>scale that is required.</w:t>
      </w:r>
      <w:bookmarkStart w:id="272" w:name="_Ref126247981"/>
      <w:bookmarkStart w:id="273" w:name="_Ref126247502"/>
    </w:p>
    <w:p w14:paraId="6B0C8279" w14:textId="77777777" w:rsidR="00BD3D5B" w:rsidRDefault="00BD3D5B" w:rsidP="00BD3D5B"/>
    <w:p w14:paraId="67DE8AA9" w14:textId="5A3FFA24" w:rsidR="00BD3D5B" w:rsidRDefault="00BD3D5B" w:rsidP="00BD3D5B">
      <w:pPr>
        <w:tabs>
          <w:tab w:val="left" w:pos="3678"/>
        </w:tabs>
      </w:pPr>
    </w:p>
    <w:p w14:paraId="44E0A50F" w14:textId="610715DC" w:rsidR="00BD3D5B" w:rsidRPr="00BD3D5B" w:rsidRDefault="00BD3D5B" w:rsidP="00BD3D5B">
      <w:pPr>
        <w:sectPr w:rsidR="00BD3D5B" w:rsidRPr="00BD3D5B" w:rsidSect="00736B3B">
          <w:pgSz w:w="11906" w:h="16838" w:code="9"/>
          <w:pgMar w:top="1418" w:right="1418" w:bottom="1418" w:left="1418" w:header="709" w:footer="709" w:gutter="0"/>
          <w:cols w:space="708"/>
          <w:titlePg/>
          <w:docGrid w:linePitch="360"/>
        </w:sectPr>
      </w:pPr>
    </w:p>
    <w:p w14:paraId="53EA19C9" w14:textId="4EC7DBD0" w:rsidR="005C5EF8" w:rsidRPr="009F211E" w:rsidRDefault="00D4650D" w:rsidP="00E61F2F">
      <w:pPr>
        <w:pStyle w:val="Heading1"/>
        <w:spacing w:before="120" w:after="120"/>
        <w:rPr>
          <w:color w:val="6B2976"/>
        </w:rPr>
      </w:pPr>
      <w:bookmarkStart w:id="274" w:name="_Toc136006907"/>
      <w:bookmarkStart w:id="275" w:name="_Toc129783632"/>
      <w:bookmarkStart w:id="276" w:name="_Ref129789576"/>
      <w:r w:rsidRPr="009F211E">
        <w:rPr>
          <w:color w:val="6B2976"/>
        </w:rPr>
        <w:lastRenderedPageBreak/>
        <w:t xml:space="preserve">Appendix A – </w:t>
      </w:r>
      <w:r w:rsidR="005C5EF8" w:rsidRPr="009F211E">
        <w:rPr>
          <w:color w:val="6B2976"/>
        </w:rPr>
        <w:t>Consultation Activities</w:t>
      </w:r>
      <w:bookmarkEnd w:id="274"/>
    </w:p>
    <w:p w14:paraId="61D78E00" w14:textId="66CFFB57" w:rsidR="00A47429" w:rsidRPr="005A22C2" w:rsidRDefault="00D8255B" w:rsidP="00E61F2F">
      <w:pPr>
        <w:pStyle w:val="Heading2"/>
        <w:spacing w:before="120"/>
      </w:pPr>
      <w:bookmarkStart w:id="277" w:name="_Toc136006908"/>
      <w:r w:rsidRPr="005A22C2">
        <w:t>List of Submissions</w:t>
      </w:r>
      <w:bookmarkEnd w:id="272"/>
      <w:bookmarkEnd w:id="275"/>
      <w:bookmarkEnd w:id="276"/>
      <w:bookmarkEnd w:id="277"/>
    </w:p>
    <w:p w14:paraId="70ED9C90" w14:textId="6376DE7A" w:rsidR="00351CBC" w:rsidRPr="005A22C2" w:rsidRDefault="00351CBC" w:rsidP="006720A0">
      <w:r w:rsidRPr="005A22C2">
        <w:t>The following table list</w:t>
      </w:r>
      <w:r w:rsidR="005C5EF8" w:rsidRPr="005A22C2">
        <w:t>s the</w:t>
      </w:r>
      <w:r w:rsidRPr="005A22C2">
        <w:t xml:space="preserve"> </w:t>
      </w:r>
      <w:r w:rsidR="005C5EF8" w:rsidRPr="005A22C2">
        <w:t xml:space="preserve">46 </w:t>
      </w:r>
      <w:r w:rsidRPr="005A22C2">
        <w:t>submission</w:t>
      </w:r>
      <w:r w:rsidR="005C5EF8" w:rsidRPr="005A22C2">
        <w:t>s</w:t>
      </w:r>
      <w:r w:rsidRPr="005A22C2">
        <w:t xml:space="preserve"> received</w:t>
      </w:r>
      <w:r w:rsidR="000D33AE" w:rsidRPr="005A22C2">
        <w:t xml:space="preserve"> in response to the consultation paper</w:t>
      </w:r>
      <w:r w:rsidRPr="005A22C2">
        <w:t>.</w:t>
      </w:r>
    </w:p>
    <w:tbl>
      <w:tblPr>
        <w:tblStyle w:val="GridTable4-Accent5"/>
        <w:tblW w:w="5000" w:type="pct"/>
        <w:tblLook w:val="0420" w:firstRow="1" w:lastRow="0" w:firstColumn="0" w:lastColumn="0" w:noHBand="0" w:noVBand="1"/>
        <w:tblCaption w:val="Working Group 6 – Nursing supports"/>
      </w:tblPr>
      <w:tblGrid>
        <w:gridCol w:w="950"/>
        <w:gridCol w:w="8110"/>
      </w:tblGrid>
      <w:tr w:rsidR="00D8255B" w:rsidRPr="005A22C2" w14:paraId="6FE39FD6" w14:textId="77777777" w:rsidTr="00513E53">
        <w:trPr>
          <w:cnfStyle w:val="100000000000" w:firstRow="1" w:lastRow="0" w:firstColumn="0" w:lastColumn="0" w:oddVBand="0" w:evenVBand="0" w:oddHBand="0" w:evenHBand="0" w:firstRowFirstColumn="0" w:firstRowLastColumn="0" w:lastRowFirstColumn="0" w:lastRowLastColumn="0"/>
          <w:tblHeader/>
        </w:trPr>
        <w:tc>
          <w:tcPr>
            <w:tcW w:w="485" w:type="pct"/>
            <w:noWrap/>
            <w:hideMark/>
          </w:tcPr>
          <w:p w14:paraId="2995AC8B" w14:textId="5F49298C" w:rsidR="00D8255B" w:rsidRPr="005A22C2" w:rsidRDefault="00CC5A6D" w:rsidP="006720A0">
            <w:pPr>
              <w:rPr>
                <w:lang w:eastAsia="en-AU"/>
              </w:rPr>
            </w:pPr>
            <w:r w:rsidRPr="005A22C2">
              <w:rPr>
                <w:lang w:eastAsia="en-AU"/>
              </w:rPr>
              <w:t>Index No.</w:t>
            </w:r>
          </w:p>
        </w:tc>
        <w:tc>
          <w:tcPr>
            <w:tcW w:w="4515" w:type="pct"/>
            <w:noWrap/>
            <w:hideMark/>
          </w:tcPr>
          <w:p w14:paraId="6E09252A" w14:textId="0BDECD7E" w:rsidR="00D8255B" w:rsidRPr="005A22C2" w:rsidRDefault="00CC5A6D" w:rsidP="006720A0">
            <w:pPr>
              <w:rPr>
                <w:lang w:eastAsia="en-AU"/>
              </w:rPr>
            </w:pPr>
            <w:r w:rsidRPr="005A22C2">
              <w:rPr>
                <w:lang w:eastAsia="en-AU"/>
              </w:rPr>
              <w:t>Organisation</w:t>
            </w:r>
          </w:p>
        </w:tc>
      </w:tr>
      <w:tr w:rsidR="00D8255B" w:rsidRPr="005A22C2" w14:paraId="5087B635"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0A77BE05" w14:textId="77777777" w:rsidR="00D8255B" w:rsidRPr="005A22C2" w:rsidRDefault="00D8255B" w:rsidP="006720A0">
            <w:pPr>
              <w:rPr>
                <w:rFonts w:eastAsia="Times New Roman"/>
              </w:rPr>
            </w:pPr>
            <w:r w:rsidRPr="005A22C2">
              <w:t>S000</w:t>
            </w:r>
          </w:p>
        </w:tc>
        <w:tc>
          <w:tcPr>
            <w:tcW w:w="4515" w:type="pct"/>
            <w:noWrap/>
          </w:tcPr>
          <w:p w14:paraId="2EC1813C" w14:textId="77777777" w:rsidR="00D8255B" w:rsidRPr="005A22C2" w:rsidRDefault="00D8255B" w:rsidP="006720A0">
            <w:pPr>
              <w:rPr>
                <w:rFonts w:eastAsia="Times New Roman"/>
              </w:rPr>
            </w:pPr>
            <w:proofErr w:type="spellStart"/>
            <w:r w:rsidRPr="005A22C2">
              <w:t>Youngcare</w:t>
            </w:r>
            <w:proofErr w:type="spellEnd"/>
          </w:p>
        </w:tc>
      </w:tr>
      <w:tr w:rsidR="00D8255B" w:rsidRPr="005A22C2" w14:paraId="398EAF0B" w14:textId="77777777" w:rsidTr="00513E53">
        <w:tc>
          <w:tcPr>
            <w:tcW w:w="485" w:type="pct"/>
            <w:noWrap/>
          </w:tcPr>
          <w:p w14:paraId="0166002D" w14:textId="77777777" w:rsidR="00D8255B" w:rsidRPr="005A22C2" w:rsidRDefault="00D8255B" w:rsidP="006720A0">
            <w:pPr>
              <w:rPr>
                <w:rFonts w:eastAsia="Times New Roman"/>
              </w:rPr>
            </w:pPr>
            <w:r w:rsidRPr="005A22C2">
              <w:t>S001</w:t>
            </w:r>
          </w:p>
        </w:tc>
        <w:tc>
          <w:tcPr>
            <w:tcW w:w="4515" w:type="pct"/>
            <w:noWrap/>
          </w:tcPr>
          <w:p w14:paraId="4121678F" w14:textId="77777777" w:rsidR="00D8255B" w:rsidRPr="005A22C2" w:rsidRDefault="00D8255B" w:rsidP="006720A0">
            <w:pPr>
              <w:rPr>
                <w:rFonts w:eastAsia="Times New Roman"/>
              </w:rPr>
            </w:pPr>
            <w:r w:rsidRPr="005A22C2">
              <w:t>Social Infrastructure Investment Partners (</w:t>
            </w:r>
            <w:proofErr w:type="spellStart"/>
            <w:r w:rsidRPr="005A22C2">
              <w:t>Synergis</w:t>
            </w:r>
            <w:proofErr w:type="spellEnd"/>
            <w:r w:rsidRPr="005A22C2">
              <w:t xml:space="preserve"> Fund)</w:t>
            </w:r>
          </w:p>
        </w:tc>
      </w:tr>
      <w:tr w:rsidR="00D8255B" w:rsidRPr="005A22C2" w14:paraId="095028AF"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31DE12FC" w14:textId="77777777" w:rsidR="00D8255B" w:rsidRPr="005A22C2" w:rsidRDefault="00D8255B" w:rsidP="006720A0">
            <w:pPr>
              <w:rPr>
                <w:rFonts w:eastAsia="Times New Roman"/>
              </w:rPr>
            </w:pPr>
            <w:r w:rsidRPr="005A22C2">
              <w:t>S002</w:t>
            </w:r>
          </w:p>
        </w:tc>
        <w:tc>
          <w:tcPr>
            <w:tcW w:w="4515" w:type="pct"/>
            <w:noWrap/>
          </w:tcPr>
          <w:p w14:paraId="2F8B2D28" w14:textId="77777777" w:rsidR="00D8255B" w:rsidRPr="005A22C2" w:rsidRDefault="00D8255B" w:rsidP="006720A0">
            <w:pPr>
              <w:rPr>
                <w:rFonts w:eastAsia="Times New Roman"/>
              </w:rPr>
            </w:pPr>
            <w:r w:rsidRPr="005A22C2">
              <w:t>Inspire Impact</w:t>
            </w:r>
          </w:p>
        </w:tc>
      </w:tr>
      <w:tr w:rsidR="00D8255B" w:rsidRPr="005A22C2" w14:paraId="520912EF" w14:textId="77777777" w:rsidTr="00513E53">
        <w:tc>
          <w:tcPr>
            <w:tcW w:w="485" w:type="pct"/>
            <w:noWrap/>
          </w:tcPr>
          <w:p w14:paraId="63356A2F" w14:textId="77777777" w:rsidR="00D8255B" w:rsidRPr="005A22C2" w:rsidRDefault="00D8255B" w:rsidP="006720A0">
            <w:pPr>
              <w:rPr>
                <w:rFonts w:eastAsia="Times New Roman"/>
              </w:rPr>
            </w:pPr>
            <w:r w:rsidRPr="005A22C2">
              <w:t>S003</w:t>
            </w:r>
          </w:p>
        </w:tc>
        <w:tc>
          <w:tcPr>
            <w:tcW w:w="4515" w:type="pct"/>
            <w:noWrap/>
          </w:tcPr>
          <w:p w14:paraId="13377826" w14:textId="77777777" w:rsidR="00D8255B" w:rsidRPr="005A22C2" w:rsidRDefault="00D8255B" w:rsidP="006720A0">
            <w:pPr>
              <w:rPr>
                <w:rFonts w:eastAsia="Times New Roman"/>
              </w:rPr>
            </w:pPr>
            <w:r w:rsidRPr="005A22C2">
              <w:t>Enliven Housing</w:t>
            </w:r>
          </w:p>
        </w:tc>
      </w:tr>
      <w:tr w:rsidR="00D8255B" w:rsidRPr="005A22C2" w14:paraId="51B8F89B"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41283F74" w14:textId="77777777" w:rsidR="00D8255B" w:rsidRPr="005A22C2" w:rsidRDefault="00D8255B" w:rsidP="006720A0">
            <w:pPr>
              <w:rPr>
                <w:rFonts w:eastAsia="Times New Roman"/>
              </w:rPr>
            </w:pPr>
            <w:r w:rsidRPr="005A22C2">
              <w:t>S004</w:t>
            </w:r>
          </w:p>
        </w:tc>
        <w:tc>
          <w:tcPr>
            <w:tcW w:w="4515" w:type="pct"/>
            <w:noWrap/>
          </w:tcPr>
          <w:p w14:paraId="40171CCF" w14:textId="77777777" w:rsidR="00D8255B" w:rsidRPr="005A22C2" w:rsidRDefault="00D8255B" w:rsidP="006720A0">
            <w:pPr>
              <w:rPr>
                <w:rFonts w:eastAsia="Times New Roman"/>
              </w:rPr>
            </w:pPr>
            <w:proofErr w:type="spellStart"/>
            <w:r w:rsidRPr="005A22C2">
              <w:t>PowerHousing</w:t>
            </w:r>
            <w:proofErr w:type="spellEnd"/>
            <w:r w:rsidRPr="005A22C2">
              <w:t xml:space="preserve"> Australia </w:t>
            </w:r>
          </w:p>
        </w:tc>
      </w:tr>
      <w:tr w:rsidR="00D8255B" w:rsidRPr="005A22C2" w14:paraId="655330EA" w14:textId="77777777" w:rsidTr="00513E53">
        <w:tc>
          <w:tcPr>
            <w:tcW w:w="485" w:type="pct"/>
            <w:noWrap/>
          </w:tcPr>
          <w:p w14:paraId="4026301E" w14:textId="77777777" w:rsidR="00D8255B" w:rsidRPr="005A22C2" w:rsidRDefault="00D8255B" w:rsidP="006720A0">
            <w:pPr>
              <w:rPr>
                <w:rFonts w:eastAsia="Times New Roman"/>
              </w:rPr>
            </w:pPr>
            <w:r w:rsidRPr="005A22C2">
              <w:t>S005</w:t>
            </w:r>
          </w:p>
        </w:tc>
        <w:tc>
          <w:tcPr>
            <w:tcW w:w="4515" w:type="pct"/>
            <w:noWrap/>
          </w:tcPr>
          <w:p w14:paraId="1410D8A0" w14:textId="77777777" w:rsidR="00D8255B" w:rsidRPr="005A22C2" w:rsidRDefault="00D8255B" w:rsidP="006720A0">
            <w:pPr>
              <w:rPr>
                <w:rFonts w:eastAsia="Times New Roman"/>
              </w:rPr>
            </w:pPr>
            <w:r w:rsidRPr="005A22C2">
              <w:t>Excelsior Housing Services Pty Ltd (Excelsior Housing Services)</w:t>
            </w:r>
          </w:p>
        </w:tc>
      </w:tr>
      <w:tr w:rsidR="00D8255B" w:rsidRPr="005A22C2" w14:paraId="6E1E9639"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43886317" w14:textId="77777777" w:rsidR="00D8255B" w:rsidRPr="005A22C2" w:rsidRDefault="00D8255B" w:rsidP="006720A0">
            <w:pPr>
              <w:rPr>
                <w:rFonts w:eastAsia="Times New Roman"/>
              </w:rPr>
            </w:pPr>
            <w:r w:rsidRPr="005A22C2">
              <w:t>S006</w:t>
            </w:r>
          </w:p>
        </w:tc>
        <w:tc>
          <w:tcPr>
            <w:tcW w:w="4515" w:type="pct"/>
            <w:noWrap/>
          </w:tcPr>
          <w:p w14:paraId="624E3A47" w14:textId="77777777" w:rsidR="00D8255B" w:rsidRPr="005A22C2" w:rsidRDefault="00D8255B" w:rsidP="006720A0">
            <w:pPr>
              <w:rPr>
                <w:rFonts w:eastAsia="Times New Roman"/>
              </w:rPr>
            </w:pPr>
            <w:r w:rsidRPr="005A22C2">
              <w:t xml:space="preserve">National Disability Services </w:t>
            </w:r>
          </w:p>
        </w:tc>
      </w:tr>
      <w:tr w:rsidR="00D8255B" w:rsidRPr="005A22C2" w14:paraId="79C3EB59" w14:textId="77777777" w:rsidTr="00513E53">
        <w:tc>
          <w:tcPr>
            <w:tcW w:w="485" w:type="pct"/>
            <w:noWrap/>
          </w:tcPr>
          <w:p w14:paraId="26760025" w14:textId="77777777" w:rsidR="00D8255B" w:rsidRPr="005A22C2" w:rsidRDefault="00D8255B" w:rsidP="006720A0">
            <w:pPr>
              <w:rPr>
                <w:rFonts w:eastAsia="Times New Roman"/>
              </w:rPr>
            </w:pPr>
            <w:r w:rsidRPr="005A22C2">
              <w:t>S007</w:t>
            </w:r>
          </w:p>
        </w:tc>
        <w:tc>
          <w:tcPr>
            <w:tcW w:w="4515" w:type="pct"/>
            <w:noWrap/>
          </w:tcPr>
          <w:p w14:paraId="17F0539A" w14:textId="77777777" w:rsidR="00D8255B" w:rsidRPr="005A22C2" w:rsidRDefault="00D8255B" w:rsidP="006720A0">
            <w:pPr>
              <w:rPr>
                <w:rFonts w:eastAsia="Times New Roman"/>
              </w:rPr>
            </w:pPr>
            <w:r w:rsidRPr="005A22C2">
              <w:t>Carra Property</w:t>
            </w:r>
          </w:p>
        </w:tc>
      </w:tr>
      <w:tr w:rsidR="00D8255B" w:rsidRPr="005A22C2" w14:paraId="55134B57"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6C289C35" w14:textId="77777777" w:rsidR="00D8255B" w:rsidRPr="005A22C2" w:rsidRDefault="00D8255B" w:rsidP="006720A0">
            <w:pPr>
              <w:rPr>
                <w:rFonts w:eastAsia="Times New Roman"/>
              </w:rPr>
            </w:pPr>
            <w:r w:rsidRPr="005A22C2">
              <w:t>S008</w:t>
            </w:r>
          </w:p>
        </w:tc>
        <w:tc>
          <w:tcPr>
            <w:tcW w:w="4515" w:type="pct"/>
            <w:noWrap/>
          </w:tcPr>
          <w:p w14:paraId="6CFD863A" w14:textId="77777777" w:rsidR="00D8255B" w:rsidRPr="005A22C2" w:rsidRDefault="00D8255B" w:rsidP="006720A0">
            <w:pPr>
              <w:rPr>
                <w:rFonts w:eastAsia="Times New Roman"/>
              </w:rPr>
            </w:pPr>
            <w:r w:rsidRPr="005A22C2">
              <w:t>Prader Willi Syndrome Australia</w:t>
            </w:r>
          </w:p>
        </w:tc>
      </w:tr>
      <w:tr w:rsidR="00D8255B" w:rsidRPr="005A22C2" w14:paraId="71A9DBEB" w14:textId="77777777" w:rsidTr="00513E53">
        <w:tc>
          <w:tcPr>
            <w:tcW w:w="485" w:type="pct"/>
            <w:noWrap/>
          </w:tcPr>
          <w:p w14:paraId="603E3493" w14:textId="77777777" w:rsidR="00D8255B" w:rsidRPr="005A22C2" w:rsidRDefault="00D8255B" w:rsidP="006720A0">
            <w:pPr>
              <w:rPr>
                <w:rFonts w:eastAsia="Times New Roman"/>
              </w:rPr>
            </w:pPr>
            <w:r w:rsidRPr="005A22C2">
              <w:t>S009</w:t>
            </w:r>
          </w:p>
        </w:tc>
        <w:tc>
          <w:tcPr>
            <w:tcW w:w="4515" w:type="pct"/>
            <w:noWrap/>
          </w:tcPr>
          <w:p w14:paraId="4D73E1CA" w14:textId="77777777" w:rsidR="00D8255B" w:rsidRPr="005A22C2" w:rsidRDefault="00D8255B" w:rsidP="006720A0">
            <w:pPr>
              <w:rPr>
                <w:rFonts w:eastAsia="Times New Roman"/>
              </w:rPr>
            </w:pPr>
            <w:r w:rsidRPr="005A22C2">
              <w:t>Bayley House</w:t>
            </w:r>
          </w:p>
        </w:tc>
      </w:tr>
      <w:tr w:rsidR="00D8255B" w:rsidRPr="005A22C2" w14:paraId="645A8FA4"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1C66C8E6" w14:textId="77777777" w:rsidR="00D8255B" w:rsidRPr="005A22C2" w:rsidRDefault="00D8255B" w:rsidP="006720A0">
            <w:pPr>
              <w:rPr>
                <w:rFonts w:eastAsia="Times New Roman"/>
              </w:rPr>
            </w:pPr>
            <w:r w:rsidRPr="005A22C2">
              <w:t>S010</w:t>
            </w:r>
          </w:p>
        </w:tc>
        <w:tc>
          <w:tcPr>
            <w:tcW w:w="4515" w:type="pct"/>
            <w:noWrap/>
          </w:tcPr>
          <w:p w14:paraId="2E35E337" w14:textId="77777777" w:rsidR="00D8255B" w:rsidRPr="005A22C2" w:rsidRDefault="00D8255B" w:rsidP="006720A0">
            <w:pPr>
              <w:rPr>
                <w:rFonts w:eastAsia="Times New Roman"/>
              </w:rPr>
            </w:pPr>
            <w:r w:rsidRPr="005A22C2">
              <w:t>WAIGROUP Pty Ltd (WAIGROUP)</w:t>
            </w:r>
          </w:p>
        </w:tc>
      </w:tr>
      <w:tr w:rsidR="00D8255B" w:rsidRPr="005A22C2" w14:paraId="3EE387EF" w14:textId="77777777" w:rsidTr="00513E53">
        <w:tc>
          <w:tcPr>
            <w:tcW w:w="485" w:type="pct"/>
            <w:noWrap/>
          </w:tcPr>
          <w:p w14:paraId="01457E8B" w14:textId="77777777" w:rsidR="00D8255B" w:rsidRPr="005A22C2" w:rsidRDefault="00D8255B" w:rsidP="006720A0">
            <w:pPr>
              <w:rPr>
                <w:rFonts w:eastAsia="Times New Roman"/>
              </w:rPr>
            </w:pPr>
            <w:r w:rsidRPr="005A22C2">
              <w:t>S011</w:t>
            </w:r>
          </w:p>
        </w:tc>
        <w:tc>
          <w:tcPr>
            <w:tcW w:w="4515" w:type="pct"/>
            <w:noWrap/>
          </w:tcPr>
          <w:p w14:paraId="6214468D" w14:textId="77777777" w:rsidR="00D8255B" w:rsidRPr="005A22C2" w:rsidRDefault="00D8255B" w:rsidP="006720A0">
            <w:pPr>
              <w:rPr>
                <w:rFonts w:eastAsia="Times New Roman"/>
              </w:rPr>
            </w:pPr>
            <w:r w:rsidRPr="005A22C2">
              <w:t>Steve Anthony</w:t>
            </w:r>
          </w:p>
        </w:tc>
      </w:tr>
      <w:tr w:rsidR="00D8255B" w:rsidRPr="005A22C2" w14:paraId="49C925B9"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39E2B2AB" w14:textId="77777777" w:rsidR="00D8255B" w:rsidRPr="005A22C2" w:rsidRDefault="00D8255B" w:rsidP="006720A0">
            <w:pPr>
              <w:rPr>
                <w:rFonts w:eastAsia="Times New Roman"/>
              </w:rPr>
            </w:pPr>
            <w:r w:rsidRPr="005A22C2">
              <w:t>S012</w:t>
            </w:r>
          </w:p>
        </w:tc>
        <w:tc>
          <w:tcPr>
            <w:tcW w:w="4515" w:type="pct"/>
            <w:noWrap/>
          </w:tcPr>
          <w:p w14:paraId="48ED119A" w14:textId="77777777" w:rsidR="00D8255B" w:rsidRPr="005A22C2" w:rsidRDefault="00D8255B" w:rsidP="006720A0">
            <w:pPr>
              <w:rPr>
                <w:rFonts w:eastAsia="Times New Roman"/>
              </w:rPr>
            </w:pPr>
            <w:r w:rsidRPr="005A22C2">
              <w:t>MC Two Pty Ltd (MC Two)</w:t>
            </w:r>
          </w:p>
        </w:tc>
      </w:tr>
      <w:tr w:rsidR="00D8255B" w:rsidRPr="005A22C2" w14:paraId="45388721" w14:textId="77777777" w:rsidTr="00513E53">
        <w:tc>
          <w:tcPr>
            <w:tcW w:w="485" w:type="pct"/>
            <w:noWrap/>
          </w:tcPr>
          <w:p w14:paraId="44B90FCF" w14:textId="77777777" w:rsidR="00D8255B" w:rsidRPr="005A22C2" w:rsidRDefault="00D8255B" w:rsidP="006720A0">
            <w:pPr>
              <w:rPr>
                <w:rFonts w:eastAsia="Times New Roman"/>
              </w:rPr>
            </w:pPr>
            <w:r w:rsidRPr="005A22C2">
              <w:t>S013</w:t>
            </w:r>
          </w:p>
        </w:tc>
        <w:tc>
          <w:tcPr>
            <w:tcW w:w="4515" w:type="pct"/>
            <w:noWrap/>
          </w:tcPr>
          <w:p w14:paraId="0AA05DBB" w14:textId="77777777" w:rsidR="00D8255B" w:rsidRPr="005A22C2" w:rsidRDefault="00D8255B" w:rsidP="006720A0">
            <w:pPr>
              <w:rPr>
                <w:rFonts w:eastAsia="Times New Roman"/>
              </w:rPr>
            </w:pPr>
            <w:r w:rsidRPr="005A22C2">
              <w:t>Karen Shine</w:t>
            </w:r>
          </w:p>
        </w:tc>
      </w:tr>
      <w:tr w:rsidR="00D8255B" w:rsidRPr="005A22C2" w14:paraId="0E7C8C6E"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24A4DFAC" w14:textId="77777777" w:rsidR="00D8255B" w:rsidRPr="005A22C2" w:rsidRDefault="00D8255B" w:rsidP="006720A0">
            <w:pPr>
              <w:rPr>
                <w:rFonts w:eastAsia="Times New Roman"/>
              </w:rPr>
            </w:pPr>
            <w:r w:rsidRPr="005A22C2">
              <w:t>S014</w:t>
            </w:r>
          </w:p>
        </w:tc>
        <w:tc>
          <w:tcPr>
            <w:tcW w:w="4515" w:type="pct"/>
            <w:noWrap/>
          </w:tcPr>
          <w:p w14:paraId="6425856D" w14:textId="77777777" w:rsidR="00D8255B" w:rsidRPr="005A22C2" w:rsidRDefault="00D8255B" w:rsidP="006720A0">
            <w:pPr>
              <w:rPr>
                <w:rFonts w:eastAsia="Times New Roman"/>
              </w:rPr>
            </w:pPr>
            <w:proofErr w:type="spellStart"/>
            <w:r w:rsidRPr="005A22C2">
              <w:t>MiHaven</w:t>
            </w:r>
            <w:proofErr w:type="spellEnd"/>
          </w:p>
        </w:tc>
      </w:tr>
      <w:tr w:rsidR="00D8255B" w:rsidRPr="005A22C2" w14:paraId="0EF55E3C" w14:textId="77777777" w:rsidTr="00513E53">
        <w:tc>
          <w:tcPr>
            <w:tcW w:w="485" w:type="pct"/>
            <w:noWrap/>
          </w:tcPr>
          <w:p w14:paraId="5B2405AA" w14:textId="77777777" w:rsidR="00D8255B" w:rsidRPr="005A22C2" w:rsidRDefault="00D8255B" w:rsidP="006720A0">
            <w:pPr>
              <w:rPr>
                <w:rFonts w:eastAsia="Times New Roman"/>
              </w:rPr>
            </w:pPr>
            <w:r w:rsidRPr="005A22C2">
              <w:t>S015</w:t>
            </w:r>
          </w:p>
        </w:tc>
        <w:tc>
          <w:tcPr>
            <w:tcW w:w="4515" w:type="pct"/>
            <w:noWrap/>
          </w:tcPr>
          <w:p w14:paraId="0FFA4352" w14:textId="77777777" w:rsidR="00D8255B" w:rsidRPr="005A22C2" w:rsidRDefault="00D8255B" w:rsidP="006720A0">
            <w:pPr>
              <w:rPr>
                <w:rFonts w:eastAsia="Times New Roman"/>
              </w:rPr>
            </w:pPr>
            <w:proofErr w:type="spellStart"/>
            <w:r w:rsidRPr="005A22C2">
              <w:t>Wilmie</w:t>
            </w:r>
            <w:proofErr w:type="spellEnd"/>
            <w:r w:rsidRPr="005A22C2">
              <w:t xml:space="preserve"> </w:t>
            </w:r>
            <w:proofErr w:type="spellStart"/>
            <w:r w:rsidRPr="005A22C2">
              <w:t>Hallquist</w:t>
            </w:r>
            <w:proofErr w:type="spellEnd"/>
          </w:p>
        </w:tc>
      </w:tr>
      <w:tr w:rsidR="00D8255B" w:rsidRPr="005A22C2" w14:paraId="257EAC0C"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762CD52C" w14:textId="77777777" w:rsidR="00D8255B" w:rsidRPr="005A22C2" w:rsidRDefault="00D8255B" w:rsidP="006720A0">
            <w:pPr>
              <w:rPr>
                <w:rFonts w:eastAsia="Times New Roman"/>
              </w:rPr>
            </w:pPr>
            <w:r w:rsidRPr="005A22C2">
              <w:t>S016</w:t>
            </w:r>
          </w:p>
        </w:tc>
        <w:tc>
          <w:tcPr>
            <w:tcW w:w="4515" w:type="pct"/>
            <w:noWrap/>
          </w:tcPr>
          <w:p w14:paraId="30FAEDB9" w14:textId="77777777" w:rsidR="00D8255B" w:rsidRPr="005A22C2" w:rsidRDefault="00D8255B" w:rsidP="006720A0">
            <w:pPr>
              <w:rPr>
                <w:rFonts w:eastAsia="Times New Roman"/>
              </w:rPr>
            </w:pPr>
            <w:r w:rsidRPr="005A22C2">
              <w:t xml:space="preserve">Allan Hunter </w:t>
            </w:r>
          </w:p>
        </w:tc>
      </w:tr>
      <w:tr w:rsidR="00D8255B" w:rsidRPr="005A22C2" w14:paraId="65F3F7D5" w14:textId="77777777" w:rsidTr="00513E53">
        <w:tc>
          <w:tcPr>
            <w:tcW w:w="485" w:type="pct"/>
            <w:noWrap/>
          </w:tcPr>
          <w:p w14:paraId="079B1A09" w14:textId="77777777" w:rsidR="00D8255B" w:rsidRPr="005A22C2" w:rsidRDefault="00D8255B" w:rsidP="006720A0">
            <w:pPr>
              <w:rPr>
                <w:rFonts w:eastAsia="Times New Roman"/>
              </w:rPr>
            </w:pPr>
            <w:r w:rsidRPr="005A22C2">
              <w:t>S017</w:t>
            </w:r>
          </w:p>
        </w:tc>
        <w:tc>
          <w:tcPr>
            <w:tcW w:w="4515" w:type="pct"/>
            <w:noWrap/>
          </w:tcPr>
          <w:p w14:paraId="64427E4B" w14:textId="77777777" w:rsidR="00D8255B" w:rsidRPr="005A22C2" w:rsidRDefault="00D8255B" w:rsidP="006720A0">
            <w:pPr>
              <w:rPr>
                <w:rFonts w:eastAsia="Times New Roman"/>
              </w:rPr>
            </w:pPr>
            <w:r w:rsidRPr="005A22C2">
              <w:t>Tom Butler</w:t>
            </w:r>
          </w:p>
        </w:tc>
      </w:tr>
      <w:tr w:rsidR="00D8255B" w:rsidRPr="005A22C2" w14:paraId="3337956B"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5B77987E" w14:textId="77777777" w:rsidR="00D8255B" w:rsidRPr="005A22C2" w:rsidRDefault="00D8255B" w:rsidP="006720A0">
            <w:pPr>
              <w:rPr>
                <w:rFonts w:eastAsia="Times New Roman"/>
              </w:rPr>
            </w:pPr>
            <w:r w:rsidRPr="005A22C2">
              <w:t>S018</w:t>
            </w:r>
          </w:p>
        </w:tc>
        <w:tc>
          <w:tcPr>
            <w:tcW w:w="4515" w:type="pct"/>
            <w:noWrap/>
          </w:tcPr>
          <w:p w14:paraId="16220C1E" w14:textId="77777777" w:rsidR="00D8255B" w:rsidRPr="005A22C2" w:rsidRDefault="00D8255B" w:rsidP="006720A0">
            <w:pPr>
              <w:rPr>
                <w:rFonts w:eastAsia="Times New Roman"/>
              </w:rPr>
            </w:pPr>
            <w:proofErr w:type="spellStart"/>
            <w:r w:rsidRPr="005A22C2">
              <w:t>WesTrac</w:t>
            </w:r>
            <w:proofErr w:type="spellEnd"/>
            <w:r w:rsidRPr="005A22C2">
              <w:t xml:space="preserve"> Pty Ltd (</w:t>
            </w:r>
            <w:proofErr w:type="spellStart"/>
            <w:r w:rsidRPr="005A22C2">
              <w:t>WesTrac</w:t>
            </w:r>
            <w:proofErr w:type="spellEnd"/>
            <w:r w:rsidRPr="005A22C2">
              <w:t>)</w:t>
            </w:r>
          </w:p>
        </w:tc>
      </w:tr>
      <w:tr w:rsidR="00D8255B" w:rsidRPr="005A22C2" w14:paraId="4CA3769C" w14:textId="77777777" w:rsidTr="00513E53">
        <w:tc>
          <w:tcPr>
            <w:tcW w:w="485" w:type="pct"/>
            <w:noWrap/>
          </w:tcPr>
          <w:p w14:paraId="766BFE63" w14:textId="77777777" w:rsidR="00D8255B" w:rsidRPr="005A22C2" w:rsidRDefault="00D8255B" w:rsidP="006720A0">
            <w:pPr>
              <w:rPr>
                <w:rFonts w:eastAsia="Times New Roman"/>
              </w:rPr>
            </w:pPr>
            <w:r w:rsidRPr="005A22C2">
              <w:t>S019</w:t>
            </w:r>
          </w:p>
        </w:tc>
        <w:tc>
          <w:tcPr>
            <w:tcW w:w="4515" w:type="pct"/>
            <w:noWrap/>
          </w:tcPr>
          <w:p w14:paraId="280B17F9" w14:textId="3279FDD9" w:rsidR="00D8255B" w:rsidRPr="005A22C2" w:rsidRDefault="00D8255B" w:rsidP="006720A0">
            <w:pPr>
              <w:rPr>
                <w:rFonts w:eastAsia="Times New Roman"/>
              </w:rPr>
            </w:pPr>
            <w:r w:rsidRPr="005A22C2">
              <w:t>Jos</w:t>
            </w:r>
            <w:r w:rsidR="00E835B6" w:rsidRPr="005A22C2">
              <w:t>é</w:t>
            </w:r>
            <w:r w:rsidRPr="005A22C2">
              <w:t xml:space="preserve"> Robertson</w:t>
            </w:r>
          </w:p>
        </w:tc>
      </w:tr>
      <w:tr w:rsidR="00D8255B" w:rsidRPr="005A22C2" w14:paraId="7CB8CE57"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360A1FA1" w14:textId="77777777" w:rsidR="00D8255B" w:rsidRPr="005A22C2" w:rsidRDefault="00D8255B" w:rsidP="006720A0">
            <w:pPr>
              <w:rPr>
                <w:rFonts w:eastAsia="Times New Roman"/>
              </w:rPr>
            </w:pPr>
            <w:r w:rsidRPr="005A22C2">
              <w:t>S020</w:t>
            </w:r>
          </w:p>
        </w:tc>
        <w:tc>
          <w:tcPr>
            <w:tcW w:w="4515" w:type="pct"/>
            <w:noWrap/>
          </w:tcPr>
          <w:p w14:paraId="3D6C3EFA" w14:textId="77777777" w:rsidR="00D8255B" w:rsidRPr="005A22C2" w:rsidRDefault="00D8255B" w:rsidP="006720A0">
            <w:pPr>
              <w:rPr>
                <w:rFonts w:eastAsia="Times New Roman"/>
              </w:rPr>
            </w:pPr>
            <w:r w:rsidRPr="005A22C2">
              <w:t>JFA Purple Orange</w:t>
            </w:r>
          </w:p>
        </w:tc>
      </w:tr>
      <w:tr w:rsidR="00D8255B" w:rsidRPr="005A22C2" w14:paraId="18B48E44" w14:textId="77777777" w:rsidTr="00513E53">
        <w:tc>
          <w:tcPr>
            <w:tcW w:w="485" w:type="pct"/>
            <w:noWrap/>
          </w:tcPr>
          <w:p w14:paraId="58D0D16C" w14:textId="77777777" w:rsidR="00D8255B" w:rsidRPr="005A22C2" w:rsidRDefault="00D8255B" w:rsidP="006720A0">
            <w:pPr>
              <w:rPr>
                <w:rFonts w:eastAsia="Times New Roman"/>
              </w:rPr>
            </w:pPr>
            <w:r w:rsidRPr="005A22C2">
              <w:t>S021</w:t>
            </w:r>
          </w:p>
        </w:tc>
        <w:tc>
          <w:tcPr>
            <w:tcW w:w="4515" w:type="pct"/>
            <w:noWrap/>
          </w:tcPr>
          <w:p w14:paraId="5DFEF2C6" w14:textId="77777777" w:rsidR="00D8255B" w:rsidRPr="005A22C2" w:rsidRDefault="00D8255B" w:rsidP="006720A0">
            <w:pPr>
              <w:rPr>
                <w:rFonts w:eastAsia="Times New Roman"/>
              </w:rPr>
            </w:pPr>
            <w:r w:rsidRPr="005A22C2">
              <w:t>Australian Unity Limited (Australian Unity)</w:t>
            </w:r>
          </w:p>
        </w:tc>
      </w:tr>
      <w:tr w:rsidR="00D8255B" w:rsidRPr="005A22C2" w14:paraId="62B7D4F9"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61C2959A" w14:textId="77777777" w:rsidR="00D8255B" w:rsidRPr="005A22C2" w:rsidRDefault="00D8255B" w:rsidP="006720A0">
            <w:pPr>
              <w:rPr>
                <w:rFonts w:eastAsia="Times New Roman"/>
              </w:rPr>
            </w:pPr>
            <w:r w:rsidRPr="005A22C2">
              <w:lastRenderedPageBreak/>
              <w:t>S022</w:t>
            </w:r>
          </w:p>
        </w:tc>
        <w:tc>
          <w:tcPr>
            <w:tcW w:w="4515" w:type="pct"/>
            <w:noWrap/>
          </w:tcPr>
          <w:p w14:paraId="00F2190E" w14:textId="77777777" w:rsidR="00D8255B" w:rsidRPr="005A22C2" w:rsidRDefault="00D8255B" w:rsidP="006720A0">
            <w:pPr>
              <w:rPr>
                <w:rFonts w:eastAsia="Times New Roman"/>
              </w:rPr>
            </w:pPr>
            <w:r w:rsidRPr="005A22C2">
              <w:t>MyLife Housing</w:t>
            </w:r>
          </w:p>
        </w:tc>
      </w:tr>
      <w:tr w:rsidR="00D8255B" w:rsidRPr="005A22C2" w14:paraId="6D504D8F" w14:textId="77777777" w:rsidTr="00513E53">
        <w:tc>
          <w:tcPr>
            <w:tcW w:w="485" w:type="pct"/>
            <w:noWrap/>
          </w:tcPr>
          <w:p w14:paraId="417238B6" w14:textId="77777777" w:rsidR="00D8255B" w:rsidRPr="005A22C2" w:rsidRDefault="00D8255B" w:rsidP="006720A0">
            <w:pPr>
              <w:rPr>
                <w:rFonts w:eastAsia="Times New Roman"/>
              </w:rPr>
            </w:pPr>
            <w:r w:rsidRPr="005A22C2">
              <w:t>S023</w:t>
            </w:r>
          </w:p>
        </w:tc>
        <w:tc>
          <w:tcPr>
            <w:tcW w:w="4515" w:type="pct"/>
            <w:noWrap/>
          </w:tcPr>
          <w:p w14:paraId="55F684C5" w14:textId="77777777" w:rsidR="00D8255B" w:rsidRPr="005A22C2" w:rsidRDefault="00D8255B" w:rsidP="006720A0">
            <w:pPr>
              <w:rPr>
                <w:rFonts w:eastAsia="Times New Roman"/>
              </w:rPr>
            </w:pPr>
            <w:r w:rsidRPr="005A22C2">
              <w:t>Michelle O’Brien</w:t>
            </w:r>
          </w:p>
        </w:tc>
      </w:tr>
      <w:tr w:rsidR="00D8255B" w:rsidRPr="005A22C2" w14:paraId="575FACD1"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3CBC588B" w14:textId="77777777" w:rsidR="00D8255B" w:rsidRPr="005A22C2" w:rsidRDefault="00D8255B" w:rsidP="006720A0">
            <w:pPr>
              <w:rPr>
                <w:rFonts w:eastAsia="Times New Roman"/>
              </w:rPr>
            </w:pPr>
            <w:r w:rsidRPr="005A22C2">
              <w:t>S024</w:t>
            </w:r>
          </w:p>
        </w:tc>
        <w:tc>
          <w:tcPr>
            <w:tcW w:w="4515" w:type="pct"/>
            <w:noWrap/>
          </w:tcPr>
          <w:p w14:paraId="209D8E10" w14:textId="77777777" w:rsidR="00D8255B" w:rsidRPr="005A22C2" w:rsidRDefault="00D8255B" w:rsidP="006720A0">
            <w:pPr>
              <w:rPr>
                <w:rFonts w:eastAsia="Times New Roman"/>
              </w:rPr>
            </w:pPr>
            <w:r w:rsidRPr="005A22C2">
              <w:t>Lighthouse Infrastructure Management Limited (Lighthouse)</w:t>
            </w:r>
          </w:p>
        </w:tc>
      </w:tr>
      <w:tr w:rsidR="00D8255B" w:rsidRPr="005A22C2" w14:paraId="5125215A" w14:textId="77777777" w:rsidTr="00513E53">
        <w:tc>
          <w:tcPr>
            <w:tcW w:w="485" w:type="pct"/>
            <w:noWrap/>
          </w:tcPr>
          <w:p w14:paraId="0C759FD3" w14:textId="77777777" w:rsidR="00D8255B" w:rsidRPr="005A22C2" w:rsidRDefault="00D8255B" w:rsidP="006720A0">
            <w:pPr>
              <w:rPr>
                <w:rFonts w:eastAsia="Times New Roman"/>
              </w:rPr>
            </w:pPr>
            <w:r w:rsidRPr="005A22C2">
              <w:t>S025</w:t>
            </w:r>
          </w:p>
        </w:tc>
        <w:tc>
          <w:tcPr>
            <w:tcW w:w="4515" w:type="pct"/>
            <w:noWrap/>
          </w:tcPr>
          <w:p w14:paraId="17812996" w14:textId="77777777" w:rsidR="00D8255B" w:rsidRPr="005A22C2" w:rsidRDefault="00D8255B" w:rsidP="006720A0">
            <w:pPr>
              <w:rPr>
                <w:rFonts w:eastAsia="Times New Roman"/>
              </w:rPr>
            </w:pPr>
            <w:r w:rsidRPr="005A22C2">
              <w:t>Barwon Investment Partners</w:t>
            </w:r>
          </w:p>
        </w:tc>
      </w:tr>
      <w:tr w:rsidR="00D8255B" w:rsidRPr="005A22C2" w14:paraId="1E5C8161"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187D6CF0" w14:textId="77777777" w:rsidR="00D8255B" w:rsidRPr="005A22C2" w:rsidRDefault="00D8255B" w:rsidP="006720A0">
            <w:pPr>
              <w:rPr>
                <w:rFonts w:eastAsia="Times New Roman"/>
              </w:rPr>
            </w:pPr>
            <w:r w:rsidRPr="005A22C2">
              <w:t>S026</w:t>
            </w:r>
          </w:p>
        </w:tc>
        <w:tc>
          <w:tcPr>
            <w:tcW w:w="4515" w:type="pct"/>
            <w:noWrap/>
          </w:tcPr>
          <w:p w14:paraId="1EC8F49A" w14:textId="77777777" w:rsidR="00D8255B" w:rsidRPr="005A22C2" w:rsidRDefault="00D8255B" w:rsidP="006720A0">
            <w:pPr>
              <w:rPr>
                <w:rFonts w:eastAsia="Times New Roman"/>
              </w:rPr>
            </w:pPr>
            <w:r w:rsidRPr="005A22C2">
              <w:t>Link Wentworth</w:t>
            </w:r>
          </w:p>
        </w:tc>
      </w:tr>
      <w:tr w:rsidR="00D8255B" w:rsidRPr="005A22C2" w14:paraId="02438020" w14:textId="77777777" w:rsidTr="00513E53">
        <w:tc>
          <w:tcPr>
            <w:tcW w:w="485" w:type="pct"/>
            <w:noWrap/>
          </w:tcPr>
          <w:p w14:paraId="5DDC1A03" w14:textId="77777777" w:rsidR="00D8255B" w:rsidRPr="005A22C2" w:rsidRDefault="00D8255B" w:rsidP="006720A0">
            <w:pPr>
              <w:rPr>
                <w:rFonts w:eastAsia="Times New Roman"/>
              </w:rPr>
            </w:pPr>
            <w:r w:rsidRPr="005A22C2">
              <w:t>S027</w:t>
            </w:r>
          </w:p>
        </w:tc>
        <w:tc>
          <w:tcPr>
            <w:tcW w:w="4515" w:type="pct"/>
            <w:noWrap/>
          </w:tcPr>
          <w:p w14:paraId="5FDED2A2" w14:textId="77777777" w:rsidR="00D8255B" w:rsidRPr="005A22C2" w:rsidRDefault="00D8255B" w:rsidP="006720A0">
            <w:pPr>
              <w:rPr>
                <w:rFonts w:eastAsia="Times New Roman"/>
              </w:rPr>
            </w:pPr>
            <w:r w:rsidRPr="005A22C2">
              <w:t>Edenbridge Living</w:t>
            </w:r>
          </w:p>
        </w:tc>
      </w:tr>
      <w:tr w:rsidR="00D8255B" w:rsidRPr="005A22C2" w14:paraId="77FD4A0C"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7296F4FC" w14:textId="77777777" w:rsidR="00D8255B" w:rsidRPr="005A22C2" w:rsidRDefault="00D8255B" w:rsidP="006720A0">
            <w:pPr>
              <w:rPr>
                <w:rFonts w:eastAsia="Times New Roman"/>
              </w:rPr>
            </w:pPr>
            <w:r w:rsidRPr="005A22C2">
              <w:t>S028</w:t>
            </w:r>
          </w:p>
        </w:tc>
        <w:tc>
          <w:tcPr>
            <w:tcW w:w="4515" w:type="pct"/>
            <w:noWrap/>
          </w:tcPr>
          <w:p w14:paraId="24414B95" w14:textId="77777777" w:rsidR="00D8255B" w:rsidRPr="005A22C2" w:rsidRDefault="00D8255B" w:rsidP="006720A0">
            <w:pPr>
              <w:rPr>
                <w:rFonts w:eastAsia="Times New Roman"/>
              </w:rPr>
            </w:pPr>
            <w:r w:rsidRPr="005A22C2">
              <w:t>Endeavour Foundation</w:t>
            </w:r>
          </w:p>
        </w:tc>
      </w:tr>
      <w:tr w:rsidR="00D8255B" w:rsidRPr="005A22C2" w14:paraId="1AC01DF5" w14:textId="77777777" w:rsidTr="00513E53">
        <w:tc>
          <w:tcPr>
            <w:tcW w:w="485" w:type="pct"/>
            <w:noWrap/>
          </w:tcPr>
          <w:p w14:paraId="4B0EB408" w14:textId="77777777" w:rsidR="00D8255B" w:rsidRPr="005A22C2" w:rsidRDefault="00D8255B" w:rsidP="006720A0">
            <w:pPr>
              <w:rPr>
                <w:rFonts w:eastAsia="Times New Roman"/>
              </w:rPr>
            </w:pPr>
            <w:r w:rsidRPr="005A22C2">
              <w:t>S029</w:t>
            </w:r>
          </w:p>
        </w:tc>
        <w:tc>
          <w:tcPr>
            <w:tcW w:w="4515" w:type="pct"/>
            <w:noWrap/>
          </w:tcPr>
          <w:p w14:paraId="0E1D728C" w14:textId="77777777" w:rsidR="00D8255B" w:rsidRPr="005A22C2" w:rsidRDefault="00D8255B" w:rsidP="006720A0">
            <w:pPr>
              <w:rPr>
                <w:rFonts w:eastAsia="Times New Roman"/>
              </w:rPr>
            </w:pPr>
            <w:proofErr w:type="spellStart"/>
            <w:r w:rsidRPr="005A22C2">
              <w:t>Rehability</w:t>
            </w:r>
            <w:proofErr w:type="spellEnd"/>
            <w:r w:rsidRPr="005A22C2">
              <w:t xml:space="preserve"> Australia</w:t>
            </w:r>
          </w:p>
        </w:tc>
      </w:tr>
      <w:tr w:rsidR="00D8255B" w:rsidRPr="005A22C2" w14:paraId="7D2E647C"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574A0337" w14:textId="77777777" w:rsidR="00D8255B" w:rsidRPr="005A22C2" w:rsidRDefault="00D8255B" w:rsidP="006720A0">
            <w:pPr>
              <w:rPr>
                <w:rFonts w:eastAsia="Times New Roman"/>
              </w:rPr>
            </w:pPr>
            <w:r w:rsidRPr="005A22C2">
              <w:t>S030</w:t>
            </w:r>
          </w:p>
        </w:tc>
        <w:tc>
          <w:tcPr>
            <w:tcW w:w="4515" w:type="pct"/>
            <w:noWrap/>
          </w:tcPr>
          <w:p w14:paraId="4D6A2C32" w14:textId="77777777" w:rsidR="00D8255B" w:rsidRPr="005A22C2" w:rsidRDefault="00D8255B" w:rsidP="006720A0">
            <w:pPr>
              <w:rPr>
                <w:rFonts w:eastAsia="Times New Roman"/>
              </w:rPr>
            </w:pPr>
            <w:r w:rsidRPr="005A22C2">
              <w:t>Liveable Homes Australia</w:t>
            </w:r>
          </w:p>
        </w:tc>
      </w:tr>
      <w:tr w:rsidR="00D8255B" w:rsidRPr="005A22C2" w14:paraId="1823540C" w14:textId="77777777" w:rsidTr="00513E53">
        <w:tc>
          <w:tcPr>
            <w:tcW w:w="485" w:type="pct"/>
            <w:noWrap/>
          </w:tcPr>
          <w:p w14:paraId="77D1DF95" w14:textId="77777777" w:rsidR="00D8255B" w:rsidRPr="005A22C2" w:rsidRDefault="00D8255B" w:rsidP="006720A0">
            <w:pPr>
              <w:rPr>
                <w:rFonts w:eastAsia="Times New Roman"/>
              </w:rPr>
            </w:pPr>
            <w:r w:rsidRPr="005A22C2">
              <w:t>S031</w:t>
            </w:r>
          </w:p>
        </w:tc>
        <w:tc>
          <w:tcPr>
            <w:tcW w:w="4515" w:type="pct"/>
            <w:noWrap/>
          </w:tcPr>
          <w:p w14:paraId="497B3EC1" w14:textId="77777777" w:rsidR="00D8255B" w:rsidRPr="005A22C2" w:rsidRDefault="00D8255B" w:rsidP="006720A0">
            <w:pPr>
              <w:rPr>
                <w:rFonts w:eastAsia="Times New Roman"/>
              </w:rPr>
            </w:pPr>
            <w:r w:rsidRPr="005A22C2">
              <w:t>Macquarie Financial Products Management Limited (Macquarie Limited)</w:t>
            </w:r>
          </w:p>
        </w:tc>
      </w:tr>
      <w:tr w:rsidR="00D8255B" w:rsidRPr="005A22C2" w14:paraId="50822D44"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1E5C1359" w14:textId="77777777" w:rsidR="00D8255B" w:rsidRPr="005A22C2" w:rsidRDefault="00D8255B" w:rsidP="006720A0">
            <w:pPr>
              <w:rPr>
                <w:rFonts w:eastAsia="Times New Roman"/>
              </w:rPr>
            </w:pPr>
            <w:r w:rsidRPr="005A22C2">
              <w:t>S032</w:t>
            </w:r>
          </w:p>
        </w:tc>
        <w:tc>
          <w:tcPr>
            <w:tcW w:w="4515" w:type="pct"/>
            <w:noWrap/>
          </w:tcPr>
          <w:p w14:paraId="4D5EFFA5" w14:textId="77777777" w:rsidR="00D8255B" w:rsidRPr="005A22C2" w:rsidRDefault="00D8255B" w:rsidP="006720A0">
            <w:pPr>
              <w:rPr>
                <w:rFonts w:eastAsia="Times New Roman"/>
              </w:rPr>
            </w:pPr>
            <w:r w:rsidRPr="005A22C2">
              <w:t>National Australia Bank</w:t>
            </w:r>
          </w:p>
        </w:tc>
      </w:tr>
      <w:tr w:rsidR="00D8255B" w:rsidRPr="005A22C2" w14:paraId="0780C3C2" w14:textId="77777777" w:rsidTr="00513E53">
        <w:tc>
          <w:tcPr>
            <w:tcW w:w="485" w:type="pct"/>
            <w:noWrap/>
          </w:tcPr>
          <w:p w14:paraId="2D0F58C1" w14:textId="77777777" w:rsidR="00D8255B" w:rsidRPr="005A22C2" w:rsidRDefault="00D8255B" w:rsidP="006720A0">
            <w:pPr>
              <w:rPr>
                <w:rFonts w:eastAsia="Times New Roman"/>
              </w:rPr>
            </w:pPr>
            <w:r w:rsidRPr="005A22C2">
              <w:t>S033</w:t>
            </w:r>
          </w:p>
        </w:tc>
        <w:tc>
          <w:tcPr>
            <w:tcW w:w="4515" w:type="pct"/>
            <w:noWrap/>
          </w:tcPr>
          <w:p w14:paraId="40CCAFCB" w14:textId="77777777" w:rsidR="00D8255B" w:rsidRPr="005A22C2" w:rsidRDefault="00D8255B" w:rsidP="006720A0">
            <w:pPr>
              <w:rPr>
                <w:rFonts w:eastAsia="Times New Roman"/>
              </w:rPr>
            </w:pPr>
            <w:r w:rsidRPr="005A22C2">
              <w:t>NDISP</w:t>
            </w:r>
          </w:p>
        </w:tc>
      </w:tr>
      <w:tr w:rsidR="00D8255B" w:rsidRPr="005A22C2" w14:paraId="1BA98E3D"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71E2A81D" w14:textId="77777777" w:rsidR="00D8255B" w:rsidRPr="005A22C2" w:rsidRDefault="00D8255B" w:rsidP="006720A0">
            <w:pPr>
              <w:rPr>
                <w:rFonts w:eastAsia="Times New Roman"/>
              </w:rPr>
            </w:pPr>
            <w:r w:rsidRPr="005A22C2">
              <w:t>S034</w:t>
            </w:r>
          </w:p>
        </w:tc>
        <w:tc>
          <w:tcPr>
            <w:tcW w:w="4515" w:type="pct"/>
            <w:noWrap/>
          </w:tcPr>
          <w:p w14:paraId="1F585B0C" w14:textId="77777777" w:rsidR="00D8255B" w:rsidRPr="005A22C2" w:rsidRDefault="00D8255B" w:rsidP="006720A0">
            <w:pPr>
              <w:rPr>
                <w:rFonts w:eastAsia="Times New Roman"/>
              </w:rPr>
            </w:pPr>
            <w:r w:rsidRPr="005A22C2">
              <w:t>Summer Foundation</w:t>
            </w:r>
          </w:p>
        </w:tc>
      </w:tr>
      <w:tr w:rsidR="00D8255B" w:rsidRPr="005A22C2" w14:paraId="0013B429" w14:textId="77777777" w:rsidTr="00513E53">
        <w:tc>
          <w:tcPr>
            <w:tcW w:w="485" w:type="pct"/>
            <w:noWrap/>
          </w:tcPr>
          <w:p w14:paraId="52C27A73" w14:textId="77777777" w:rsidR="00D8255B" w:rsidRPr="005A22C2" w:rsidRDefault="00D8255B" w:rsidP="006720A0">
            <w:pPr>
              <w:rPr>
                <w:rFonts w:eastAsia="Times New Roman"/>
              </w:rPr>
            </w:pPr>
            <w:r w:rsidRPr="005A22C2">
              <w:t>S035</w:t>
            </w:r>
          </w:p>
        </w:tc>
        <w:tc>
          <w:tcPr>
            <w:tcW w:w="4515" w:type="pct"/>
            <w:noWrap/>
          </w:tcPr>
          <w:p w14:paraId="09E061C7" w14:textId="77777777" w:rsidR="00D8255B" w:rsidRPr="005A22C2" w:rsidRDefault="00D8255B" w:rsidP="006720A0">
            <w:pPr>
              <w:rPr>
                <w:rFonts w:eastAsia="Times New Roman"/>
              </w:rPr>
            </w:pPr>
            <w:r w:rsidRPr="005A22C2">
              <w:t>Pulse Property Solutions</w:t>
            </w:r>
          </w:p>
        </w:tc>
      </w:tr>
      <w:tr w:rsidR="00D8255B" w:rsidRPr="005A22C2" w14:paraId="07F7E791"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0EF34A76" w14:textId="77777777" w:rsidR="00D8255B" w:rsidRPr="005A22C2" w:rsidRDefault="00D8255B" w:rsidP="006720A0">
            <w:pPr>
              <w:rPr>
                <w:rFonts w:eastAsia="Times New Roman"/>
              </w:rPr>
            </w:pPr>
            <w:r w:rsidRPr="005A22C2">
              <w:t>S036</w:t>
            </w:r>
          </w:p>
        </w:tc>
        <w:tc>
          <w:tcPr>
            <w:tcW w:w="4515" w:type="pct"/>
            <w:noWrap/>
          </w:tcPr>
          <w:p w14:paraId="267C41E0" w14:textId="77777777" w:rsidR="00D8255B" w:rsidRPr="005A22C2" w:rsidRDefault="00D8255B" w:rsidP="006720A0">
            <w:pPr>
              <w:rPr>
                <w:rFonts w:eastAsia="Times New Roman"/>
              </w:rPr>
            </w:pPr>
            <w:r w:rsidRPr="005A22C2">
              <w:t>Home Fire Sprinkler Coalition Australia</w:t>
            </w:r>
          </w:p>
        </w:tc>
      </w:tr>
      <w:tr w:rsidR="00D8255B" w:rsidRPr="005A22C2" w14:paraId="050E3DDA" w14:textId="77777777" w:rsidTr="00513E53">
        <w:tc>
          <w:tcPr>
            <w:tcW w:w="485" w:type="pct"/>
            <w:noWrap/>
          </w:tcPr>
          <w:p w14:paraId="4C7B67FD" w14:textId="77777777" w:rsidR="00D8255B" w:rsidRPr="005A22C2" w:rsidRDefault="00D8255B" w:rsidP="006720A0">
            <w:pPr>
              <w:rPr>
                <w:rFonts w:eastAsia="Times New Roman"/>
              </w:rPr>
            </w:pPr>
            <w:r w:rsidRPr="005A22C2">
              <w:t>S037</w:t>
            </w:r>
          </w:p>
        </w:tc>
        <w:tc>
          <w:tcPr>
            <w:tcW w:w="4515" w:type="pct"/>
            <w:noWrap/>
          </w:tcPr>
          <w:p w14:paraId="3551253C" w14:textId="77777777" w:rsidR="00D8255B" w:rsidRPr="005A22C2" w:rsidRDefault="00D8255B" w:rsidP="006720A0">
            <w:pPr>
              <w:rPr>
                <w:rFonts w:eastAsia="Times New Roman"/>
              </w:rPr>
            </w:pPr>
            <w:proofErr w:type="spellStart"/>
            <w:r w:rsidRPr="005A22C2">
              <w:t>BlueCHP</w:t>
            </w:r>
            <w:proofErr w:type="spellEnd"/>
          </w:p>
        </w:tc>
      </w:tr>
      <w:tr w:rsidR="00D8255B" w:rsidRPr="005A22C2" w14:paraId="3F9FE196"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0E677983" w14:textId="77777777" w:rsidR="00D8255B" w:rsidRPr="005A22C2" w:rsidRDefault="00D8255B" w:rsidP="006720A0">
            <w:pPr>
              <w:rPr>
                <w:rFonts w:eastAsia="Times New Roman"/>
              </w:rPr>
            </w:pPr>
            <w:r w:rsidRPr="005A22C2">
              <w:t>S038</w:t>
            </w:r>
          </w:p>
        </w:tc>
        <w:tc>
          <w:tcPr>
            <w:tcW w:w="4515" w:type="pct"/>
            <w:noWrap/>
          </w:tcPr>
          <w:p w14:paraId="32AD5B9A" w14:textId="6E403705" w:rsidR="00D8255B" w:rsidRPr="005A22C2" w:rsidRDefault="00D8255B" w:rsidP="006720A0">
            <w:pPr>
              <w:rPr>
                <w:rFonts w:eastAsia="Times New Roman"/>
              </w:rPr>
            </w:pPr>
            <w:r w:rsidRPr="005A22C2">
              <w:t>Queensland Department of Seniors, Disability Services and Aboriginal and Torres Strait Islander Partnerships</w:t>
            </w:r>
          </w:p>
        </w:tc>
      </w:tr>
      <w:tr w:rsidR="00D8255B" w:rsidRPr="005A22C2" w14:paraId="2A3F7A13" w14:textId="77777777" w:rsidTr="00513E53">
        <w:tc>
          <w:tcPr>
            <w:tcW w:w="485" w:type="pct"/>
            <w:noWrap/>
          </w:tcPr>
          <w:p w14:paraId="739E0BA2" w14:textId="77777777" w:rsidR="00D8255B" w:rsidRPr="005A22C2" w:rsidRDefault="00D8255B" w:rsidP="006720A0">
            <w:pPr>
              <w:rPr>
                <w:rFonts w:eastAsia="Times New Roman"/>
              </w:rPr>
            </w:pPr>
            <w:r w:rsidRPr="005A22C2">
              <w:t>S039</w:t>
            </w:r>
          </w:p>
        </w:tc>
        <w:tc>
          <w:tcPr>
            <w:tcW w:w="4515" w:type="pct"/>
            <w:noWrap/>
          </w:tcPr>
          <w:p w14:paraId="11314562" w14:textId="77777777" w:rsidR="00D8255B" w:rsidRPr="005A22C2" w:rsidRDefault="00D8255B" w:rsidP="006720A0">
            <w:pPr>
              <w:rPr>
                <w:rFonts w:eastAsia="Times New Roman"/>
              </w:rPr>
            </w:pPr>
            <w:r w:rsidRPr="005A22C2">
              <w:t>DEC Housing</w:t>
            </w:r>
          </w:p>
        </w:tc>
      </w:tr>
      <w:tr w:rsidR="00D8255B" w:rsidRPr="005A22C2" w14:paraId="606F3036"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603AEA97" w14:textId="77777777" w:rsidR="00D8255B" w:rsidRPr="005A22C2" w:rsidRDefault="00D8255B" w:rsidP="006720A0">
            <w:pPr>
              <w:rPr>
                <w:rFonts w:eastAsia="Times New Roman"/>
              </w:rPr>
            </w:pPr>
            <w:r w:rsidRPr="005A22C2">
              <w:t>S040</w:t>
            </w:r>
          </w:p>
        </w:tc>
        <w:tc>
          <w:tcPr>
            <w:tcW w:w="4515" w:type="pct"/>
            <w:noWrap/>
          </w:tcPr>
          <w:p w14:paraId="4F468BD4" w14:textId="77777777" w:rsidR="00D8255B" w:rsidRPr="005A22C2" w:rsidRDefault="00D8255B" w:rsidP="006720A0">
            <w:pPr>
              <w:rPr>
                <w:rFonts w:eastAsia="Times New Roman"/>
              </w:rPr>
            </w:pPr>
            <w:r w:rsidRPr="005A22C2">
              <w:t>SDA+</w:t>
            </w:r>
          </w:p>
        </w:tc>
      </w:tr>
      <w:tr w:rsidR="00D8255B" w:rsidRPr="005A22C2" w14:paraId="0F35AA8F" w14:textId="77777777" w:rsidTr="00513E53">
        <w:tc>
          <w:tcPr>
            <w:tcW w:w="485" w:type="pct"/>
            <w:noWrap/>
          </w:tcPr>
          <w:p w14:paraId="24996C8C" w14:textId="77777777" w:rsidR="00D8255B" w:rsidRPr="005A22C2" w:rsidRDefault="00D8255B" w:rsidP="006720A0">
            <w:pPr>
              <w:rPr>
                <w:rFonts w:eastAsia="Times New Roman"/>
              </w:rPr>
            </w:pPr>
            <w:r w:rsidRPr="005A22C2">
              <w:t>S041</w:t>
            </w:r>
          </w:p>
        </w:tc>
        <w:tc>
          <w:tcPr>
            <w:tcW w:w="4515" w:type="pct"/>
            <w:noWrap/>
          </w:tcPr>
          <w:p w14:paraId="2CE60409" w14:textId="77777777" w:rsidR="00D8255B" w:rsidRPr="005A22C2" w:rsidRDefault="00D8255B" w:rsidP="006720A0">
            <w:pPr>
              <w:rPr>
                <w:rFonts w:eastAsia="Times New Roman"/>
              </w:rPr>
            </w:pPr>
            <w:r w:rsidRPr="005A22C2">
              <w:t>Perth Design and Construct</w:t>
            </w:r>
          </w:p>
        </w:tc>
      </w:tr>
      <w:tr w:rsidR="00D8255B" w:rsidRPr="005A22C2" w14:paraId="3091C87A"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18DCE8E6" w14:textId="77777777" w:rsidR="00D8255B" w:rsidRPr="005A22C2" w:rsidRDefault="00D8255B" w:rsidP="006720A0">
            <w:pPr>
              <w:rPr>
                <w:rFonts w:eastAsia="Times New Roman"/>
              </w:rPr>
            </w:pPr>
            <w:r w:rsidRPr="005A22C2">
              <w:t>S042</w:t>
            </w:r>
          </w:p>
        </w:tc>
        <w:tc>
          <w:tcPr>
            <w:tcW w:w="4515" w:type="pct"/>
            <w:noWrap/>
          </w:tcPr>
          <w:p w14:paraId="6DDF74D4" w14:textId="77777777" w:rsidR="00D8255B" w:rsidRPr="005A22C2" w:rsidRDefault="00D8255B" w:rsidP="006720A0">
            <w:pPr>
              <w:rPr>
                <w:rFonts w:eastAsia="Times New Roman"/>
              </w:rPr>
            </w:pPr>
            <w:r w:rsidRPr="005A22C2">
              <w:t>SDA Alliance</w:t>
            </w:r>
          </w:p>
        </w:tc>
      </w:tr>
      <w:tr w:rsidR="00D8255B" w:rsidRPr="005A22C2" w14:paraId="5BAA74DD" w14:textId="77777777" w:rsidTr="00513E53">
        <w:tc>
          <w:tcPr>
            <w:tcW w:w="485" w:type="pct"/>
            <w:noWrap/>
          </w:tcPr>
          <w:p w14:paraId="63C4B3AE" w14:textId="77777777" w:rsidR="00D8255B" w:rsidRPr="005A22C2" w:rsidRDefault="00D8255B" w:rsidP="006720A0">
            <w:r w:rsidRPr="005A22C2">
              <w:t>S043</w:t>
            </w:r>
          </w:p>
        </w:tc>
        <w:tc>
          <w:tcPr>
            <w:tcW w:w="4515" w:type="pct"/>
            <w:noWrap/>
          </w:tcPr>
          <w:p w14:paraId="0C2DFF5E" w14:textId="77777777" w:rsidR="00D8255B" w:rsidRPr="005A22C2" w:rsidRDefault="00D8255B" w:rsidP="006720A0">
            <w:r w:rsidRPr="005A22C2">
              <w:t xml:space="preserve">Iris M Ives </w:t>
            </w:r>
          </w:p>
        </w:tc>
      </w:tr>
      <w:tr w:rsidR="00C34ECD" w:rsidRPr="005A22C2" w14:paraId="65E31764"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64A325B1" w14:textId="2FB8C3C6" w:rsidR="00C34ECD" w:rsidRPr="005A22C2" w:rsidRDefault="006C491A" w:rsidP="006720A0">
            <w:r w:rsidRPr="005A22C2">
              <w:t>S044</w:t>
            </w:r>
          </w:p>
        </w:tc>
        <w:tc>
          <w:tcPr>
            <w:tcW w:w="4515" w:type="pct"/>
            <w:noWrap/>
          </w:tcPr>
          <w:p w14:paraId="61E9EAD7" w14:textId="6A2C57A2" w:rsidR="00C34ECD" w:rsidRPr="005A22C2" w:rsidRDefault="00513E53" w:rsidP="006720A0">
            <w:r w:rsidRPr="005A22C2">
              <w:t>Lisa Johnson</w:t>
            </w:r>
          </w:p>
        </w:tc>
      </w:tr>
      <w:tr w:rsidR="006C491A" w:rsidRPr="005A22C2" w14:paraId="68869A80" w14:textId="77777777" w:rsidTr="00513E53">
        <w:tc>
          <w:tcPr>
            <w:tcW w:w="485" w:type="pct"/>
            <w:noWrap/>
          </w:tcPr>
          <w:p w14:paraId="4D92BAE1" w14:textId="7630EF2C" w:rsidR="006C491A" w:rsidRPr="005A22C2" w:rsidRDefault="00513E53" w:rsidP="006720A0">
            <w:r w:rsidRPr="005A22C2">
              <w:t>S045</w:t>
            </w:r>
          </w:p>
        </w:tc>
        <w:tc>
          <w:tcPr>
            <w:tcW w:w="4515" w:type="pct"/>
            <w:noWrap/>
          </w:tcPr>
          <w:p w14:paraId="111833C4" w14:textId="2D4D745F" w:rsidR="006C491A" w:rsidRPr="005A22C2" w:rsidRDefault="00513E53" w:rsidP="006720A0">
            <w:r w:rsidRPr="005A22C2">
              <w:t>Vera Living</w:t>
            </w:r>
          </w:p>
        </w:tc>
      </w:tr>
      <w:tr w:rsidR="00513E53" w:rsidRPr="005A22C2" w14:paraId="41720CA6" w14:textId="77777777" w:rsidTr="00513E53">
        <w:trPr>
          <w:cnfStyle w:val="000000100000" w:firstRow="0" w:lastRow="0" w:firstColumn="0" w:lastColumn="0" w:oddVBand="0" w:evenVBand="0" w:oddHBand="1" w:evenHBand="0" w:firstRowFirstColumn="0" w:firstRowLastColumn="0" w:lastRowFirstColumn="0" w:lastRowLastColumn="0"/>
        </w:trPr>
        <w:tc>
          <w:tcPr>
            <w:tcW w:w="485" w:type="pct"/>
            <w:noWrap/>
          </w:tcPr>
          <w:p w14:paraId="36F42861" w14:textId="6EDCBE5B" w:rsidR="00513E53" w:rsidRPr="005A22C2" w:rsidRDefault="00513E53" w:rsidP="006720A0">
            <w:r w:rsidRPr="005A22C2">
              <w:t>S046</w:t>
            </w:r>
          </w:p>
        </w:tc>
        <w:tc>
          <w:tcPr>
            <w:tcW w:w="4515" w:type="pct"/>
            <w:noWrap/>
          </w:tcPr>
          <w:p w14:paraId="4FBDDA71" w14:textId="0A27BD95" w:rsidR="00513E53" w:rsidRPr="005A22C2" w:rsidRDefault="000B08C5" w:rsidP="006720A0">
            <w:r w:rsidRPr="005A22C2">
              <w:t xml:space="preserve">Victorian </w:t>
            </w:r>
            <w:r w:rsidR="00513E53" w:rsidRPr="005A22C2">
              <w:t>Department of Families, Fairness and Housing</w:t>
            </w:r>
          </w:p>
        </w:tc>
      </w:tr>
    </w:tbl>
    <w:p w14:paraId="642D7B1A" w14:textId="35F6C5F9" w:rsidR="000B08C5" w:rsidRPr="005A22C2" w:rsidRDefault="006B3CB1" w:rsidP="00567A93">
      <w:pPr>
        <w:pStyle w:val="Heading2"/>
        <w:spacing w:before="480"/>
      </w:pPr>
      <w:bookmarkStart w:id="278" w:name="_Ref135996381"/>
      <w:bookmarkStart w:id="279" w:name="_Toc136006910"/>
      <w:bookmarkStart w:id="280" w:name="_Toc129783634"/>
      <w:bookmarkEnd w:id="273"/>
      <w:r>
        <w:lastRenderedPageBreak/>
        <w:t>Organisations</w:t>
      </w:r>
      <w:r w:rsidR="000B08C5" w:rsidRPr="005A22C2">
        <w:t xml:space="preserve"> Consulted by the Review</w:t>
      </w:r>
      <w:bookmarkEnd w:id="278"/>
      <w:bookmarkEnd w:id="279"/>
      <w:r w:rsidR="000B08C5" w:rsidRPr="005A22C2">
        <w:t xml:space="preserve"> </w:t>
      </w:r>
    </w:p>
    <w:p w14:paraId="3FD880B8" w14:textId="15CD5EE5" w:rsidR="000B08C5" w:rsidRPr="005A22C2" w:rsidRDefault="000B08C5" w:rsidP="006720A0">
      <w:r w:rsidRPr="005A22C2">
        <w:t xml:space="preserve">The following table provides details of </w:t>
      </w:r>
      <w:r w:rsidR="00E90C64" w:rsidRPr="005A22C2">
        <w:t xml:space="preserve">the </w:t>
      </w:r>
      <w:r w:rsidR="00B52517">
        <w:t>organisations</w:t>
      </w:r>
      <w:r w:rsidR="006C4EB4">
        <w:t xml:space="preserve"> who </w:t>
      </w:r>
      <w:r w:rsidR="00E90C64" w:rsidRPr="005A22C2">
        <w:t xml:space="preserve">were engaged to provide specialised, technical evidence to the NDIA as part of the SDA Pricing Review. </w:t>
      </w:r>
    </w:p>
    <w:tbl>
      <w:tblPr>
        <w:tblStyle w:val="GridTable4-Accent1"/>
        <w:tblW w:w="4478" w:type="pct"/>
        <w:tblLayout w:type="fixed"/>
        <w:tblLook w:val="0420" w:firstRow="1" w:lastRow="0" w:firstColumn="0" w:lastColumn="0" w:noHBand="0" w:noVBand="1"/>
        <w:tblCaption w:val="Working Group 6 – Nursing supports"/>
      </w:tblPr>
      <w:tblGrid>
        <w:gridCol w:w="8114"/>
      </w:tblGrid>
      <w:tr w:rsidR="001558C5" w14:paraId="3D0030CE" w14:textId="77777777" w:rsidTr="00611EB0">
        <w:trPr>
          <w:cnfStyle w:val="100000000000" w:firstRow="1" w:lastRow="0" w:firstColumn="0" w:lastColumn="0" w:oddVBand="0" w:evenVBand="0" w:oddHBand="0" w:evenHBand="0" w:firstRowFirstColumn="0" w:firstRowLastColumn="0" w:lastRowFirstColumn="0" w:lastRowLastColumn="0"/>
          <w:tblHeader/>
        </w:trPr>
        <w:tc>
          <w:tcPr>
            <w:tcW w:w="5000" w:type="pct"/>
            <w:noWrap/>
            <w:hideMark/>
          </w:tcPr>
          <w:p w14:paraId="0CD0B018" w14:textId="77777777" w:rsidR="001558C5" w:rsidRPr="002A250A" w:rsidRDefault="001558C5" w:rsidP="00611EB0">
            <w:pPr>
              <w:rPr>
                <w:lang w:eastAsia="en-AU"/>
              </w:rPr>
            </w:pPr>
            <w:r w:rsidRPr="002A250A">
              <w:rPr>
                <w:lang w:eastAsia="en-AU"/>
              </w:rPr>
              <w:t>Name of Organisation</w:t>
            </w:r>
          </w:p>
        </w:tc>
      </w:tr>
      <w:tr w:rsidR="001558C5" w14:paraId="50F3DAC0"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B5D2F7E" w14:textId="77777777" w:rsidR="001558C5" w:rsidRDefault="001558C5" w:rsidP="00611EB0">
            <w:pPr>
              <w:rPr>
                <w:lang w:eastAsia="en-AU"/>
              </w:rPr>
            </w:pPr>
            <w:r>
              <w:rPr>
                <w:lang w:eastAsia="zh-CN" w:bidi="th-TH"/>
              </w:rPr>
              <w:t xml:space="preserve">Ability SDA </w:t>
            </w:r>
          </w:p>
        </w:tc>
      </w:tr>
      <w:tr w:rsidR="001558C5" w14:paraId="657DB16E"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361BD9C2" w14:textId="77777777" w:rsidR="001558C5" w:rsidRDefault="001558C5" w:rsidP="00611EB0">
            <w:pPr>
              <w:rPr>
                <w:lang w:eastAsia="zh-CN" w:bidi="th-TH"/>
              </w:rPr>
            </w:pPr>
            <w:r>
              <w:rPr>
                <w:lang w:eastAsia="zh-CN" w:bidi="th-TH"/>
              </w:rPr>
              <w:t>Access Australia</w:t>
            </w:r>
          </w:p>
        </w:tc>
      </w:tr>
      <w:tr w:rsidR="001558C5" w14:paraId="5B6971A6"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20CAD84" w14:textId="77777777" w:rsidR="001558C5" w:rsidRDefault="001558C5" w:rsidP="00611EB0">
            <w:pPr>
              <w:rPr>
                <w:lang w:eastAsia="zh-CN" w:bidi="th-TH"/>
              </w:rPr>
            </w:pPr>
            <w:r>
              <w:rPr>
                <w:lang w:eastAsia="zh-CN" w:bidi="th-TH"/>
              </w:rPr>
              <w:t>Accessible Homes Australia</w:t>
            </w:r>
          </w:p>
        </w:tc>
      </w:tr>
      <w:tr w:rsidR="001558C5" w14:paraId="02345E9B"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739DF31" w14:textId="77777777" w:rsidR="001558C5" w:rsidRDefault="001558C5" w:rsidP="00611EB0">
            <w:pPr>
              <w:rPr>
                <w:lang w:eastAsia="zh-CN" w:bidi="th-TH"/>
              </w:rPr>
            </w:pPr>
            <w:r>
              <w:rPr>
                <w:lang w:eastAsia="zh-CN" w:bidi="th-TH"/>
              </w:rPr>
              <w:t xml:space="preserve">Adapt Housing </w:t>
            </w:r>
          </w:p>
        </w:tc>
      </w:tr>
      <w:tr w:rsidR="001558C5" w14:paraId="50157848"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E1E00E7" w14:textId="77777777" w:rsidR="001558C5" w:rsidRDefault="001558C5" w:rsidP="00611EB0">
            <w:pPr>
              <w:rPr>
                <w:lang w:eastAsia="zh-CN" w:bidi="th-TH"/>
              </w:rPr>
            </w:pPr>
            <w:proofErr w:type="spellStart"/>
            <w:r>
              <w:rPr>
                <w:lang w:eastAsia="zh-CN" w:bidi="th-TH"/>
              </w:rPr>
              <w:t>AnglicareSA</w:t>
            </w:r>
            <w:proofErr w:type="spellEnd"/>
            <w:r>
              <w:rPr>
                <w:lang w:eastAsia="zh-CN" w:bidi="th-TH"/>
              </w:rPr>
              <w:t> </w:t>
            </w:r>
          </w:p>
        </w:tc>
      </w:tr>
      <w:tr w:rsidR="001558C5" w14:paraId="3B372BBA"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2B4553F" w14:textId="77777777" w:rsidR="001558C5" w:rsidRDefault="001558C5" w:rsidP="00611EB0">
            <w:pPr>
              <w:rPr>
                <w:lang w:eastAsia="zh-CN" w:bidi="th-TH"/>
              </w:rPr>
            </w:pPr>
            <w:r>
              <w:rPr>
                <w:lang w:eastAsia="zh-CN" w:bidi="th-TH"/>
              </w:rPr>
              <w:t>Apeiron Homes </w:t>
            </w:r>
          </w:p>
        </w:tc>
      </w:tr>
      <w:tr w:rsidR="001558C5" w14:paraId="513433EA"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E95503E" w14:textId="77777777" w:rsidR="001558C5" w:rsidRDefault="001558C5" w:rsidP="00611EB0">
            <w:pPr>
              <w:rPr>
                <w:lang w:eastAsia="zh-CN" w:bidi="th-TH"/>
              </w:rPr>
            </w:pPr>
            <w:proofErr w:type="spellStart"/>
            <w:r>
              <w:rPr>
                <w:lang w:eastAsia="zh-CN" w:bidi="th-TH"/>
              </w:rPr>
              <w:t>Aruma</w:t>
            </w:r>
            <w:proofErr w:type="spellEnd"/>
          </w:p>
        </w:tc>
      </w:tr>
      <w:tr w:rsidR="001558C5" w14:paraId="6F36D78C"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AB8663B" w14:textId="77777777" w:rsidR="001558C5" w:rsidRDefault="001558C5" w:rsidP="00611EB0">
            <w:pPr>
              <w:rPr>
                <w:lang w:eastAsia="zh-CN" w:bidi="th-TH"/>
              </w:rPr>
            </w:pPr>
            <w:r>
              <w:rPr>
                <w:lang w:eastAsia="zh-CN" w:bidi="th-TH"/>
              </w:rPr>
              <w:t>Australia New Zealand Bank (ANZ)</w:t>
            </w:r>
          </w:p>
        </w:tc>
      </w:tr>
      <w:tr w:rsidR="001558C5" w14:paraId="375F6D8F"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5F80834" w14:textId="77777777" w:rsidR="001558C5" w:rsidRDefault="001558C5" w:rsidP="00611EB0">
            <w:pPr>
              <w:rPr>
                <w:lang w:eastAsia="zh-CN" w:bidi="th-TH"/>
              </w:rPr>
            </w:pPr>
            <w:r>
              <w:rPr>
                <w:lang w:eastAsia="zh-CN" w:bidi="th-TH"/>
              </w:rPr>
              <w:t>Australian Unity</w:t>
            </w:r>
          </w:p>
        </w:tc>
      </w:tr>
      <w:tr w:rsidR="001558C5" w14:paraId="4ED9082E"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2FAE967" w14:textId="77777777" w:rsidR="001558C5" w:rsidRDefault="001558C5" w:rsidP="00611EB0">
            <w:pPr>
              <w:rPr>
                <w:lang w:eastAsia="zh-CN" w:bidi="th-TH"/>
              </w:rPr>
            </w:pPr>
            <w:r>
              <w:rPr>
                <w:lang w:eastAsia="zh-CN" w:bidi="th-TH"/>
              </w:rPr>
              <w:t xml:space="preserve">Bandara and Associates </w:t>
            </w:r>
          </w:p>
        </w:tc>
      </w:tr>
      <w:tr w:rsidR="001558C5" w14:paraId="7E7776DC"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71BBEE6" w14:textId="77777777" w:rsidR="001558C5" w:rsidRDefault="001558C5" w:rsidP="00611EB0">
            <w:pPr>
              <w:rPr>
                <w:lang w:eastAsia="zh-CN" w:bidi="th-TH"/>
              </w:rPr>
            </w:pPr>
            <w:r>
              <w:rPr>
                <w:lang w:eastAsia="zh-CN" w:bidi="th-TH"/>
              </w:rPr>
              <w:t>Bank Australia</w:t>
            </w:r>
          </w:p>
        </w:tc>
      </w:tr>
      <w:tr w:rsidR="001558C5" w14:paraId="55F15633"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817D91F" w14:textId="77777777" w:rsidR="001558C5" w:rsidRDefault="001558C5" w:rsidP="00611EB0">
            <w:pPr>
              <w:rPr>
                <w:lang w:eastAsia="zh-CN" w:bidi="th-TH"/>
              </w:rPr>
            </w:pPr>
            <w:r>
              <w:rPr>
                <w:lang w:eastAsia="zh-CN" w:bidi="th-TH"/>
              </w:rPr>
              <w:t>Barwon Investment Partners</w:t>
            </w:r>
          </w:p>
        </w:tc>
      </w:tr>
      <w:tr w:rsidR="001558C5" w14:paraId="4C805C3A"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684B77F" w14:textId="77777777" w:rsidR="001558C5" w:rsidRDefault="001558C5" w:rsidP="00611EB0">
            <w:pPr>
              <w:rPr>
                <w:lang w:eastAsia="zh-CN" w:bidi="th-TH"/>
              </w:rPr>
            </w:pPr>
            <w:r>
              <w:rPr>
                <w:lang w:eastAsia="zh-CN" w:bidi="th-TH"/>
              </w:rPr>
              <w:t>Bayley House</w:t>
            </w:r>
          </w:p>
        </w:tc>
      </w:tr>
      <w:tr w:rsidR="001558C5" w14:paraId="1D07FC42"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35EF5C8" w14:textId="77777777" w:rsidR="001558C5" w:rsidRDefault="001558C5" w:rsidP="00611EB0">
            <w:pPr>
              <w:rPr>
                <w:lang w:eastAsia="zh-CN" w:bidi="th-TH"/>
              </w:rPr>
            </w:pPr>
            <w:r>
              <w:rPr>
                <w:lang w:eastAsia="zh-CN" w:bidi="th-TH"/>
              </w:rPr>
              <w:t>Blue CHP</w:t>
            </w:r>
          </w:p>
        </w:tc>
      </w:tr>
      <w:tr w:rsidR="001558C5" w14:paraId="048342FC"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6653A87" w14:textId="77777777" w:rsidR="001558C5" w:rsidRDefault="001558C5" w:rsidP="00611EB0">
            <w:pPr>
              <w:rPr>
                <w:lang w:eastAsia="zh-CN" w:bidi="th-TH"/>
              </w:rPr>
            </w:pPr>
            <w:r>
              <w:rPr>
                <w:lang w:eastAsia="zh-CN" w:bidi="th-TH"/>
              </w:rPr>
              <w:t xml:space="preserve">Bridge Housing </w:t>
            </w:r>
          </w:p>
        </w:tc>
      </w:tr>
      <w:tr w:rsidR="001558C5" w14:paraId="2A460B52"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3AAD6D47" w14:textId="77777777" w:rsidR="001558C5" w:rsidRDefault="001558C5" w:rsidP="00611EB0">
            <w:pPr>
              <w:rPr>
                <w:lang w:eastAsia="zh-CN" w:bidi="th-TH"/>
              </w:rPr>
            </w:pPr>
            <w:r>
              <w:rPr>
                <w:lang w:eastAsia="zh-CN" w:bidi="th-TH"/>
              </w:rPr>
              <w:t>Bright Light</w:t>
            </w:r>
          </w:p>
        </w:tc>
      </w:tr>
      <w:tr w:rsidR="001558C5" w14:paraId="46E77694"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C2D0A0D" w14:textId="77777777" w:rsidR="001558C5" w:rsidRDefault="001558C5" w:rsidP="00611EB0">
            <w:pPr>
              <w:rPr>
                <w:lang w:eastAsia="zh-CN" w:bidi="th-TH"/>
              </w:rPr>
            </w:pPr>
            <w:r>
              <w:rPr>
                <w:lang w:eastAsia="zh-CN" w:bidi="th-TH"/>
              </w:rPr>
              <w:t>Carra Property </w:t>
            </w:r>
          </w:p>
        </w:tc>
      </w:tr>
      <w:tr w:rsidR="001558C5" w14:paraId="4308EE3D"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38BCEE26" w14:textId="77777777" w:rsidR="001558C5" w:rsidRDefault="001558C5" w:rsidP="00611EB0">
            <w:pPr>
              <w:rPr>
                <w:lang w:eastAsia="zh-CN" w:bidi="th-TH"/>
              </w:rPr>
            </w:pPr>
            <w:r>
              <w:rPr>
                <w:lang w:eastAsia="zh-CN" w:bidi="th-TH"/>
              </w:rPr>
              <w:t xml:space="preserve">Cerebral Palsy Alliance </w:t>
            </w:r>
          </w:p>
        </w:tc>
      </w:tr>
      <w:tr w:rsidR="001558C5" w14:paraId="7FFB86BD"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8A86A1C" w14:textId="77777777" w:rsidR="001558C5" w:rsidRDefault="001558C5" w:rsidP="00611EB0">
            <w:pPr>
              <w:rPr>
                <w:lang w:eastAsia="zh-CN" w:bidi="th-TH"/>
              </w:rPr>
            </w:pPr>
            <w:r>
              <w:rPr>
                <w:lang w:eastAsia="zh-CN" w:bidi="th-TH"/>
              </w:rPr>
              <w:t xml:space="preserve">Community Housing Canberra (CHC Australia) </w:t>
            </w:r>
          </w:p>
        </w:tc>
      </w:tr>
      <w:tr w:rsidR="001558C5" w14:paraId="44BE24E9"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F6D074E" w14:textId="77777777" w:rsidR="001558C5" w:rsidRDefault="001558C5" w:rsidP="00611EB0">
            <w:pPr>
              <w:rPr>
                <w:lang w:eastAsia="zh-CN" w:bidi="th-TH"/>
              </w:rPr>
            </w:pPr>
            <w:r>
              <w:rPr>
                <w:lang w:eastAsia="zh-CN" w:bidi="th-TH"/>
              </w:rPr>
              <w:t xml:space="preserve">Community Housing Limited </w:t>
            </w:r>
          </w:p>
        </w:tc>
      </w:tr>
      <w:tr w:rsidR="001558C5" w14:paraId="480E231E"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D9AD5EF" w14:textId="77777777" w:rsidR="001558C5" w:rsidRDefault="001558C5" w:rsidP="00611EB0">
            <w:pPr>
              <w:rPr>
                <w:lang w:eastAsia="zh-CN" w:bidi="th-TH"/>
              </w:rPr>
            </w:pPr>
            <w:r>
              <w:rPr>
                <w:lang w:eastAsia="zh-CN" w:bidi="th-TH"/>
              </w:rPr>
              <w:t>Conscious Investment</w:t>
            </w:r>
          </w:p>
        </w:tc>
      </w:tr>
      <w:tr w:rsidR="001558C5" w14:paraId="2165AF21"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16601F3" w14:textId="77777777" w:rsidR="001558C5" w:rsidRDefault="001558C5" w:rsidP="00611EB0">
            <w:pPr>
              <w:rPr>
                <w:lang w:eastAsia="zh-CN" w:bidi="th-TH"/>
              </w:rPr>
            </w:pPr>
            <w:r>
              <w:rPr>
                <w:lang w:eastAsia="zh-CN" w:bidi="th-TH"/>
              </w:rPr>
              <w:t>DEC Housing</w:t>
            </w:r>
          </w:p>
        </w:tc>
      </w:tr>
      <w:tr w:rsidR="001558C5" w14:paraId="6F648CFB"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4FC5563" w14:textId="77777777" w:rsidR="001558C5" w:rsidRDefault="001558C5" w:rsidP="00611EB0">
            <w:pPr>
              <w:rPr>
                <w:lang w:eastAsia="zh-CN" w:bidi="th-TH"/>
              </w:rPr>
            </w:pPr>
            <w:r>
              <w:rPr>
                <w:lang w:eastAsia="zh-CN" w:bidi="th-TH"/>
              </w:rPr>
              <w:t>Disability Housing Australia </w:t>
            </w:r>
          </w:p>
        </w:tc>
      </w:tr>
      <w:tr w:rsidR="001558C5" w14:paraId="225D3C45"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F81671A" w14:textId="77777777" w:rsidR="001558C5" w:rsidRDefault="001558C5" w:rsidP="00611EB0">
            <w:pPr>
              <w:rPr>
                <w:lang w:eastAsia="zh-CN" w:bidi="th-TH"/>
              </w:rPr>
            </w:pPr>
            <w:r>
              <w:rPr>
                <w:lang w:eastAsia="zh-CN" w:bidi="th-TH"/>
              </w:rPr>
              <w:t xml:space="preserve">Disability Housing Solutions </w:t>
            </w:r>
          </w:p>
        </w:tc>
      </w:tr>
      <w:tr w:rsidR="001558C5" w14:paraId="74AFCAD1"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DDDE53A" w14:textId="77777777" w:rsidR="001558C5" w:rsidRDefault="001558C5" w:rsidP="00611EB0">
            <w:pPr>
              <w:rPr>
                <w:lang w:eastAsia="zh-CN" w:bidi="th-TH"/>
              </w:rPr>
            </w:pPr>
            <w:r>
              <w:rPr>
                <w:lang w:eastAsia="zh-CN" w:bidi="th-TH"/>
              </w:rPr>
              <w:t xml:space="preserve">Disability Living </w:t>
            </w:r>
          </w:p>
        </w:tc>
      </w:tr>
      <w:tr w:rsidR="001558C5" w14:paraId="2A232BE0"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1704B1BC" w14:textId="77777777" w:rsidR="001558C5" w:rsidRDefault="001558C5" w:rsidP="00611EB0">
            <w:pPr>
              <w:rPr>
                <w:lang w:eastAsia="zh-CN" w:bidi="th-TH"/>
              </w:rPr>
            </w:pPr>
            <w:r>
              <w:rPr>
                <w:lang w:eastAsia="zh-CN" w:bidi="th-TH"/>
              </w:rPr>
              <w:t>Edenbridge Living</w:t>
            </w:r>
          </w:p>
        </w:tc>
      </w:tr>
      <w:tr w:rsidR="001558C5" w14:paraId="7DEDEBA5"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256FB28" w14:textId="77777777" w:rsidR="001558C5" w:rsidRDefault="001558C5" w:rsidP="00611EB0">
            <w:pPr>
              <w:rPr>
                <w:lang w:eastAsia="zh-CN" w:bidi="th-TH"/>
              </w:rPr>
            </w:pPr>
            <w:r>
              <w:rPr>
                <w:lang w:eastAsia="zh-CN" w:bidi="th-TH"/>
              </w:rPr>
              <w:t>Empowered Liveability </w:t>
            </w:r>
          </w:p>
        </w:tc>
      </w:tr>
      <w:tr w:rsidR="001558C5" w14:paraId="6A456DEB"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B760909" w14:textId="77777777" w:rsidR="001558C5" w:rsidRDefault="001558C5" w:rsidP="00611EB0">
            <w:pPr>
              <w:rPr>
                <w:lang w:eastAsia="zh-CN" w:bidi="th-TH"/>
              </w:rPr>
            </w:pPr>
            <w:r>
              <w:rPr>
                <w:lang w:eastAsia="zh-CN" w:bidi="th-TH"/>
              </w:rPr>
              <w:t>Endeavour Housing</w:t>
            </w:r>
          </w:p>
        </w:tc>
      </w:tr>
      <w:tr w:rsidR="001558C5" w14:paraId="238845BB"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496AD70" w14:textId="77777777" w:rsidR="001558C5" w:rsidRDefault="001558C5" w:rsidP="00611EB0">
            <w:pPr>
              <w:rPr>
                <w:lang w:eastAsia="zh-CN" w:bidi="th-TH"/>
              </w:rPr>
            </w:pPr>
            <w:r>
              <w:rPr>
                <w:lang w:eastAsia="zh-CN" w:bidi="th-TH"/>
              </w:rPr>
              <w:t>Enliven Housing</w:t>
            </w:r>
          </w:p>
        </w:tc>
      </w:tr>
      <w:tr w:rsidR="001558C5" w14:paraId="026C3761"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3DE7D892" w14:textId="77777777" w:rsidR="001558C5" w:rsidRDefault="001558C5" w:rsidP="00611EB0">
            <w:pPr>
              <w:rPr>
                <w:lang w:eastAsia="zh-CN" w:bidi="th-TH"/>
              </w:rPr>
            </w:pPr>
            <w:proofErr w:type="spellStart"/>
            <w:r>
              <w:rPr>
                <w:lang w:eastAsia="zh-CN" w:bidi="th-TH"/>
              </w:rPr>
              <w:t>Everhomes</w:t>
            </w:r>
            <w:proofErr w:type="spellEnd"/>
            <w:r>
              <w:rPr>
                <w:lang w:eastAsia="zh-CN" w:bidi="th-TH"/>
              </w:rPr>
              <w:t xml:space="preserve"> </w:t>
            </w:r>
          </w:p>
        </w:tc>
      </w:tr>
      <w:tr w:rsidR="001558C5" w14:paraId="51B86DFA"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C952BA7" w14:textId="77777777" w:rsidR="001558C5" w:rsidRDefault="001558C5" w:rsidP="00611EB0">
            <w:pPr>
              <w:rPr>
                <w:lang w:eastAsia="zh-CN" w:bidi="th-TH"/>
              </w:rPr>
            </w:pPr>
            <w:r>
              <w:rPr>
                <w:lang w:eastAsia="zh-CN" w:bidi="th-TH"/>
              </w:rPr>
              <w:t>Evolve Housing Limited</w:t>
            </w:r>
          </w:p>
        </w:tc>
      </w:tr>
      <w:tr w:rsidR="001558C5" w14:paraId="18E6F5D1"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B5FE528" w14:textId="77777777" w:rsidR="001558C5" w:rsidRDefault="001558C5" w:rsidP="00611EB0">
            <w:pPr>
              <w:rPr>
                <w:lang w:eastAsia="zh-CN" w:bidi="th-TH"/>
              </w:rPr>
            </w:pPr>
            <w:r>
              <w:rPr>
                <w:lang w:eastAsia="zh-CN" w:bidi="th-TH"/>
              </w:rPr>
              <w:t>Excelsior Housing Services</w:t>
            </w:r>
          </w:p>
        </w:tc>
      </w:tr>
      <w:tr w:rsidR="001558C5" w14:paraId="603D1600"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F7114EF" w14:textId="77777777" w:rsidR="001558C5" w:rsidRDefault="001558C5" w:rsidP="00611EB0">
            <w:pPr>
              <w:rPr>
                <w:lang w:eastAsia="zh-CN" w:bidi="th-TH"/>
              </w:rPr>
            </w:pPr>
            <w:r>
              <w:rPr>
                <w:lang w:eastAsia="zh-CN" w:bidi="th-TH"/>
              </w:rPr>
              <w:lastRenderedPageBreak/>
              <w:t>Focus ACT (</w:t>
            </w:r>
            <w:proofErr w:type="spellStart"/>
            <w:r>
              <w:rPr>
                <w:lang w:eastAsia="zh-CN" w:bidi="th-TH"/>
              </w:rPr>
              <w:t>YourHome</w:t>
            </w:r>
            <w:proofErr w:type="spellEnd"/>
            <w:r>
              <w:rPr>
                <w:lang w:eastAsia="zh-CN" w:bidi="th-TH"/>
              </w:rPr>
              <w:t xml:space="preserve"> Canberra) </w:t>
            </w:r>
          </w:p>
        </w:tc>
      </w:tr>
      <w:tr w:rsidR="001558C5" w14:paraId="6B1C9AF2"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281DD89" w14:textId="77777777" w:rsidR="001558C5" w:rsidRDefault="001558C5" w:rsidP="00611EB0">
            <w:pPr>
              <w:rPr>
                <w:lang w:eastAsia="zh-CN" w:bidi="th-TH"/>
              </w:rPr>
            </w:pPr>
            <w:r>
              <w:rPr>
                <w:lang w:eastAsia="zh-CN" w:bidi="th-TH"/>
              </w:rPr>
              <w:t>Gen U </w:t>
            </w:r>
          </w:p>
        </w:tc>
      </w:tr>
      <w:tr w:rsidR="001558C5" w14:paraId="68333A48"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3712F5F" w14:textId="77777777" w:rsidR="001558C5" w:rsidRDefault="001558C5" w:rsidP="00611EB0">
            <w:pPr>
              <w:rPr>
                <w:lang w:eastAsia="zh-CN" w:bidi="th-TH"/>
              </w:rPr>
            </w:pPr>
            <w:r>
              <w:rPr>
                <w:lang w:eastAsia="zh-CN" w:bidi="th-TH"/>
              </w:rPr>
              <w:t xml:space="preserve">Good Housing </w:t>
            </w:r>
          </w:p>
        </w:tc>
      </w:tr>
      <w:tr w:rsidR="001558C5" w14:paraId="61D6F1D3"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104FD625" w14:textId="77777777" w:rsidR="001558C5" w:rsidRDefault="001558C5" w:rsidP="00611EB0">
            <w:pPr>
              <w:rPr>
                <w:lang w:eastAsia="zh-CN" w:bidi="th-TH"/>
              </w:rPr>
            </w:pPr>
            <w:r>
              <w:rPr>
                <w:lang w:eastAsia="zh-CN" w:bidi="th-TH"/>
              </w:rPr>
              <w:t xml:space="preserve">GR8 property </w:t>
            </w:r>
          </w:p>
        </w:tc>
      </w:tr>
      <w:tr w:rsidR="001558C5" w14:paraId="69FA6891"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E082830" w14:textId="77777777" w:rsidR="001558C5" w:rsidRDefault="001558C5" w:rsidP="00611EB0">
            <w:pPr>
              <w:rPr>
                <w:lang w:eastAsia="zh-CN" w:bidi="th-TH"/>
              </w:rPr>
            </w:pPr>
            <w:r>
              <w:rPr>
                <w:lang w:eastAsia="zh-CN" w:bidi="th-TH"/>
              </w:rPr>
              <w:t xml:space="preserve">Guardian Living </w:t>
            </w:r>
          </w:p>
        </w:tc>
      </w:tr>
      <w:tr w:rsidR="001558C5" w14:paraId="467ED4F1"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68A662E" w14:textId="77777777" w:rsidR="001558C5" w:rsidRDefault="001558C5" w:rsidP="00611EB0">
            <w:pPr>
              <w:rPr>
                <w:lang w:eastAsia="zh-CN" w:bidi="th-TH"/>
              </w:rPr>
            </w:pPr>
            <w:r>
              <w:rPr>
                <w:lang w:eastAsia="zh-CN" w:bidi="th-TH"/>
              </w:rPr>
              <w:t xml:space="preserve">Hartley Lifecare </w:t>
            </w:r>
          </w:p>
        </w:tc>
      </w:tr>
      <w:tr w:rsidR="001558C5" w14:paraId="69689455"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ABC006A" w14:textId="77777777" w:rsidR="001558C5" w:rsidRDefault="001558C5" w:rsidP="00611EB0">
            <w:pPr>
              <w:rPr>
                <w:lang w:eastAsia="zh-CN" w:bidi="th-TH"/>
              </w:rPr>
            </w:pPr>
            <w:r>
              <w:rPr>
                <w:lang w:eastAsia="zh-CN" w:bidi="th-TH"/>
              </w:rPr>
              <w:t>Holding Redlich</w:t>
            </w:r>
          </w:p>
        </w:tc>
      </w:tr>
      <w:tr w:rsidR="001558C5" w14:paraId="28A44224"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C0F7910" w14:textId="77777777" w:rsidR="001558C5" w:rsidRDefault="001558C5" w:rsidP="00611EB0">
            <w:pPr>
              <w:rPr>
                <w:lang w:eastAsia="zh-CN" w:bidi="th-TH"/>
              </w:rPr>
            </w:pPr>
            <w:r>
              <w:rPr>
                <w:lang w:eastAsia="zh-CN" w:bidi="th-TH"/>
              </w:rPr>
              <w:t>Homes Victoria</w:t>
            </w:r>
          </w:p>
        </w:tc>
      </w:tr>
      <w:tr w:rsidR="001558C5" w14:paraId="0EBF8330"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08A2523" w14:textId="77777777" w:rsidR="001558C5" w:rsidRDefault="001558C5" w:rsidP="00611EB0">
            <w:pPr>
              <w:rPr>
                <w:lang w:eastAsia="zh-CN" w:bidi="th-TH"/>
              </w:rPr>
            </w:pPr>
            <w:r>
              <w:rPr>
                <w:lang w:eastAsia="zh-CN" w:bidi="th-TH"/>
              </w:rPr>
              <w:t>Hopkins Centre</w:t>
            </w:r>
          </w:p>
        </w:tc>
      </w:tr>
      <w:tr w:rsidR="001558C5" w14:paraId="1C563AAA"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4188940" w14:textId="77777777" w:rsidR="001558C5" w:rsidRDefault="001558C5" w:rsidP="00611EB0">
            <w:pPr>
              <w:rPr>
                <w:lang w:eastAsia="zh-CN" w:bidi="th-TH"/>
              </w:rPr>
            </w:pPr>
            <w:r>
              <w:rPr>
                <w:lang w:eastAsia="zh-CN" w:bidi="th-TH"/>
              </w:rPr>
              <w:t>Housing Choices</w:t>
            </w:r>
          </w:p>
        </w:tc>
      </w:tr>
      <w:tr w:rsidR="001558C5" w14:paraId="50643B43"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33153A24" w14:textId="77777777" w:rsidR="001558C5" w:rsidRDefault="001558C5" w:rsidP="00611EB0">
            <w:pPr>
              <w:rPr>
                <w:lang w:eastAsia="zh-CN" w:bidi="th-TH"/>
              </w:rPr>
            </w:pPr>
            <w:r>
              <w:rPr>
                <w:lang w:eastAsia="zh-CN" w:bidi="th-TH"/>
              </w:rPr>
              <w:t>Hume Community Housing</w:t>
            </w:r>
          </w:p>
        </w:tc>
      </w:tr>
      <w:tr w:rsidR="001558C5" w14:paraId="7D2D09FB"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30425E6B" w14:textId="77777777" w:rsidR="001558C5" w:rsidRDefault="001558C5" w:rsidP="00611EB0">
            <w:pPr>
              <w:rPr>
                <w:lang w:eastAsia="zh-CN" w:bidi="th-TH"/>
              </w:rPr>
            </w:pPr>
            <w:r>
              <w:rPr>
                <w:lang w:eastAsia="zh-CN" w:bidi="th-TH"/>
              </w:rPr>
              <w:t xml:space="preserve">Identity WA </w:t>
            </w:r>
          </w:p>
        </w:tc>
      </w:tr>
      <w:tr w:rsidR="001558C5" w14:paraId="3E15C9FD"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3E4DD97" w14:textId="77777777" w:rsidR="001558C5" w:rsidRDefault="001558C5" w:rsidP="00611EB0">
            <w:pPr>
              <w:rPr>
                <w:lang w:eastAsia="zh-CN" w:bidi="th-TH"/>
              </w:rPr>
            </w:pPr>
            <w:proofErr w:type="spellStart"/>
            <w:r>
              <w:rPr>
                <w:lang w:eastAsia="zh-CN" w:bidi="th-TH"/>
              </w:rPr>
              <w:t>Illowra</w:t>
            </w:r>
            <w:proofErr w:type="spellEnd"/>
          </w:p>
        </w:tc>
      </w:tr>
      <w:tr w:rsidR="001558C5" w14:paraId="514E5C72"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4F2CA78" w14:textId="77777777" w:rsidR="001558C5" w:rsidRDefault="001558C5" w:rsidP="00611EB0">
            <w:pPr>
              <w:rPr>
                <w:lang w:eastAsia="zh-CN" w:bidi="th-TH"/>
              </w:rPr>
            </w:pPr>
            <w:r>
              <w:rPr>
                <w:lang w:eastAsia="zh-CN" w:bidi="th-TH"/>
              </w:rPr>
              <w:t xml:space="preserve">Independent Living Villages (ILV) </w:t>
            </w:r>
          </w:p>
        </w:tc>
      </w:tr>
      <w:tr w:rsidR="001558C5" w14:paraId="3DDC5C04"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63D6F1C" w14:textId="77777777" w:rsidR="001558C5" w:rsidRDefault="001558C5" w:rsidP="00611EB0">
            <w:pPr>
              <w:rPr>
                <w:lang w:eastAsia="zh-CN" w:bidi="th-TH"/>
              </w:rPr>
            </w:pPr>
            <w:proofErr w:type="spellStart"/>
            <w:r>
              <w:rPr>
                <w:lang w:eastAsia="zh-CN" w:bidi="th-TH"/>
              </w:rPr>
              <w:t>insitu</w:t>
            </w:r>
            <w:proofErr w:type="spellEnd"/>
            <w:r>
              <w:rPr>
                <w:lang w:eastAsia="zh-CN" w:bidi="th-TH"/>
              </w:rPr>
              <w:t xml:space="preserve"> Housing </w:t>
            </w:r>
          </w:p>
        </w:tc>
      </w:tr>
      <w:tr w:rsidR="001558C5" w14:paraId="513CD19A"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9C2CCEF" w14:textId="77777777" w:rsidR="001558C5" w:rsidRDefault="001558C5" w:rsidP="00611EB0">
            <w:pPr>
              <w:rPr>
                <w:lang w:eastAsia="zh-CN" w:bidi="th-TH"/>
              </w:rPr>
            </w:pPr>
            <w:r>
              <w:rPr>
                <w:lang w:eastAsia="zh-CN" w:bidi="th-TH"/>
              </w:rPr>
              <w:t>Inspire Impact</w:t>
            </w:r>
          </w:p>
        </w:tc>
      </w:tr>
      <w:tr w:rsidR="001558C5" w14:paraId="6C366E63"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541E68D" w14:textId="77777777" w:rsidR="001558C5" w:rsidRDefault="001558C5" w:rsidP="00611EB0">
            <w:pPr>
              <w:rPr>
                <w:lang w:eastAsia="zh-CN" w:bidi="th-TH"/>
              </w:rPr>
            </w:pPr>
            <w:r>
              <w:rPr>
                <w:lang w:eastAsia="zh-CN" w:bidi="th-TH"/>
              </w:rPr>
              <w:t xml:space="preserve">Langford Support Services </w:t>
            </w:r>
          </w:p>
        </w:tc>
      </w:tr>
      <w:tr w:rsidR="001558C5" w14:paraId="48DBB983"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F35AA85" w14:textId="77777777" w:rsidR="001558C5" w:rsidRDefault="001558C5" w:rsidP="00611EB0">
            <w:pPr>
              <w:rPr>
                <w:lang w:eastAsia="zh-CN" w:bidi="th-TH"/>
              </w:rPr>
            </w:pPr>
            <w:r>
              <w:rPr>
                <w:lang w:eastAsia="zh-CN" w:bidi="th-TH"/>
              </w:rPr>
              <w:t>Life without barriers </w:t>
            </w:r>
          </w:p>
        </w:tc>
      </w:tr>
      <w:tr w:rsidR="001558C5" w14:paraId="38E3D90D"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3068A08C" w14:textId="77777777" w:rsidR="001558C5" w:rsidRDefault="001558C5" w:rsidP="00611EB0">
            <w:pPr>
              <w:rPr>
                <w:lang w:eastAsia="zh-CN" w:bidi="th-TH"/>
              </w:rPr>
            </w:pPr>
            <w:r>
              <w:rPr>
                <w:lang w:eastAsia="zh-CN" w:bidi="th-TH"/>
              </w:rPr>
              <w:t>Lighthouse Infrastructure</w:t>
            </w:r>
          </w:p>
        </w:tc>
      </w:tr>
      <w:tr w:rsidR="001558C5" w14:paraId="698632C3"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180A986C" w14:textId="77777777" w:rsidR="001558C5" w:rsidRDefault="001558C5" w:rsidP="00611EB0">
            <w:pPr>
              <w:rPr>
                <w:lang w:eastAsia="zh-CN" w:bidi="th-TH"/>
              </w:rPr>
            </w:pPr>
            <w:r>
              <w:rPr>
                <w:lang w:eastAsia="zh-CN" w:bidi="th-TH"/>
              </w:rPr>
              <w:t>Link Wentworth</w:t>
            </w:r>
          </w:p>
        </w:tc>
      </w:tr>
      <w:tr w:rsidR="001558C5" w14:paraId="73ECAAAC"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C564046" w14:textId="77777777" w:rsidR="001558C5" w:rsidRDefault="001558C5" w:rsidP="00611EB0">
            <w:pPr>
              <w:rPr>
                <w:lang w:eastAsia="zh-CN" w:bidi="th-TH"/>
              </w:rPr>
            </w:pPr>
            <w:r>
              <w:rPr>
                <w:lang w:eastAsia="zh-CN" w:bidi="th-TH"/>
              </w:rPr>
              <w:t>Li-</w:t>
            </w:r>
            <w:proofErr w:type="spellStart"/>
            <w:r>
              <w:rPr>
                <w:lang w:eastAsia="zh-CN" w:bidi="th-TH"/>
              </w:rPr>
              <w:t>Ve</w:t>
            </w:r>
            <w:proofErr w:type="spellEnd"/>
            <w:r>
              <w:rPr>
                <w:lang w:eastAsia="zh-CN" w:bidi="th-TH"/>
              </w:rPr>
              <w:t xml:space="preserve"> Tasmania </w:t>
            </w:r>
          </w:p>
        </w:tc>
      </w:tr>
      <w:tr w:rsidR="001558C5" w14:paraId="4CFD64CE"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95C823E" w14:textId="77777777" w:rsidR="001558C5" w:rsidRDefault="001558C5" w:rsidP="00611EB0">
            <w:pPr>
              <w:rPr>
                <w:lang w:eastAsia="zh-CN" w:bidi="th-TH"/>
              </w:rPr>
            </w:pPr>
            <w:r>
              <w:rPr>
                <w:lang w:eastAsia="zh-CN" w:bidi="th-TH"/>
              </w:rPr>
              <w:t xml:space="preserve">Liveable Homes Australia </w:t>
            </w:r>
          </w:p>
        </w:tc>
      </w:tr>
      <w:tr w:rsidR="001558C5" w14:paraId="1B78DF7E"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30111C56" w14:textId="77777777" w:rsidR="001558C5" w:rsidRDefault="001558C5" w:rsidP="00611EB0">
            <w:pPr>
              <w:rPr>
                <w:lang w:eastAsia="zh-CN" w:bidi="th-TH"/>
              </w:rPr>
            </w:pPr>
            <w:r>
              <w:rPr>
                <w:lang w:eastAsia="zh-CN" w:bidi="th-TH"/>
              </w:rPr>
              <w:t>Macquarie Limited</w:t>
            </w:r>
          </w:p>
        </w:tc>
      </w:tr>
      <w:tr w:rsidR="001558C5" w14:paraId="584E1D5B"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722ACDC" w14:textId="77777777" w:rsidR="001558C5" w:rsidRDefault="001558C5" w:rsidP="00611EB0">
            <w:pPr>
              <w:rPr>
                <w:lang w:eastAsia="zh-CN" w:bidi="th-TH"/>
              </w:rPr>
            </w:pPr>
            <w:r>
              <w:rPr>
                <w:lang w:eastAsia="zh-CN" w:bidi="th-TH"/>
              </w:rPr>
              <w:t>MC Two Pty Ltd</w:t>
            </w:r>
          </w:p>
        </w:tc>
      </w:tr>
      <w:tr w:rsidR="001558C5" w14:paraId="08865C9D"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7C9170E" w14:textId="77777777" w:rsidR="001558C5" w:rsidRDefault="001558C5" w:rsidP="00611EB0">
            <w:pPr>
              <w:rPr>
                <w:lang w:eastAsia="zh-CN" w:bidi="th-TH"/>
              </w:rPr>
            </w:pPr>
            <w:r>
              <w:rPr>
                <w:lang w:eastAsia="zh-CN" w:bidi="th-TH"/>
              </w:rPr>
              <w:t>M3 Property Group</w:t>
            </w:r>
          </w:p>
        </w:tc>
      </w:tr>
      <w:tr w:rsidR="001558C5" w14:paraId="618BC786"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59BB56C" w14:textId="77777777" w:rsidR="001558C5" w:rsidRDefault="001558C5" w:rsidP="00611EB0">
            <w:pPr>
              <w:rPr>
                <w:lang w:eastAsia="zh-CN" w:bidi="th-TH"/>
              </w:rPr>
            </w:pPr>
            <w:r>
              <w:rPr>
                <w:lang w:eastAsia="zh-CN" w:bidi="th-TH"/>
              </w:rPr>
              <w:t xml:space="preserve">Metcalf Group SA </w:t>
            </w:r>
          </w:p>
        </w:tc>
      </w:tr>
      <w:tr w:rsidR="001558C5" w14:paraId="1E992C83"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A7250F9" w14:textId="77777777" w:rsidR="001558C5" w:rsidRDefault="001558C5" w:rsidP="00611EB0">
            <w:pPr>
              <w:rPr>
                <w:lang w:eastAsia="zh-CN" w:bidi="th-TH"/>
              </w:rPr>
            </w:pPr>
            <w:r>
              <w:rPr>
                <w:lang w:eastAsia="zh-CN" w:bidi="th-TH"/>
              </w:rPr>
              <w:t xml:space="preserve">Metricon </w:t>
            </w:r>
          </w:p>
        </w:tc>
      </w:tr>
      <w:tr w:rsidR="001558C5" w14:paraId="344552AA"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54D5F13" w14:textId="77777777" w:rsidR="001558C5" w:rsidRDefault="001558C5" w:rsidP="00611EB0">
            <w:pPr>
              <w:rPr>
                <w:lang w:eastAsia="zh-CN" w:bidi="th-TH"/>
              </w:rPr>
            </w:pPr>
            <w:proofErr w:type="spellStart"/>
            <w:r>
              <w:rPr>
                <w:lang w:eastAsia="zh-CN" w:bidi="th-TH"/>
              </w:rPr>
              <w:t>MiHaven</w:t>
            </w:r>
            <w:proofErr w:type="spellEnd"/>
          </w:p>
        </w:tc>
      </w:tr>
      <w:tr w:rsidR="001558C5" w14:paraId="0DC98EB9"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28119D9" w14:textId="77777777" w:rsidR="001558C5" w:rsidRDefault="001558C5" w:rsidP="00611EB0">
            <w:pPr>
              <w:rPr>
                <w:lang w:eastAsia="zh-CN" w:bidi="th-TH"/>
              </w:rPr>
            </w:pPr>
            <w:proofErr w:type="spellStart"/>
            <w:r>
              <w:rPr>
                <w:lang w:eastAsia="zh-CN" w:bidi="th-TH"/>
              </w:rPr>
              <w:t>Minda</w:t>
            </w:r>
            <w:proofErr w:type="spellEnd"/>
            <w:r>
              <w:rPr>
                <w:lang w:eastAsia="zh-CN" w:bidi="th-TH"/>
              </w:rPr>
              <w:t xml:space="preserve"> Housing </w:t>
            </w:r>
          </w:p>
        </w:tc>
      </w:tr>
      <w:tr w:rsidR="001558C5" w14:paraId="0E05AD74"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8751079" w14:textId="77777777" w:rsidR="001558C5" w:rsidRDefault="001558C5" w:rsidP="00611EB0">
            <w:pPr>
              <w:rPr>
                <w:lang w:eastAsia="zh-CN" w:bidi="th-TH"/>
              </w:rPr>
            </w:pPr>
            <w:r>
              <w:rPr>
                <w:lang w:eastAsia="zh-CN" w:bidi="th-TH"/>
              </w:rPr>
              <w:t xml:space="preserve">MS Society of Queensland </w:t>
            </w:r>
          </w:p>
        </w:tc>
      </w:tr>
      <w:tr w:rsidR="001558C5" w14:paraId="33A5A654"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ADBF729" w14:textId="77777777" w:rsidR="001558C5" w:rsidRDefault="001558C5" w:rsidP="00611EB0">
            <w:pPr>
              <w:rPr>
                <w:lang w:eastAsia="zh-CN" w:bidi="th-TH"/>
              </w:rPr>
            </w:pPr>
            <w:r>
              <w:rPr>
                <w:lang w:eastAsia="zh-CN" w:bidi="th-TH"/>
              </w:rPr>
              <w:t xml:space="preserve">Multicap </w:t>
            </w:r>
          </w:p>
        </w:tc>
      </w:tr>
      <w:tr w:rsidR="001558C5" w14:paraId="6B1A0BCD"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4EAB476" w14:textId="77777777" w:rsidR="001558C5" w:rsidRDefault="001558C5" w:rsidP="00611EB0">
            <w:pPr>
              <w:rPr>
                <w:lang w:eastAsia="zh-CN" w:bidi="th-TH"/>
              </w:rPr>
            </w:pPr>
            <w:r>
              <w:rPr>
                <w:lang w:eastAsia="zh-CN" w:bidi="th-TH"/>
              </w:rPr>
              <w:t>My Specialised Accommodation Solutions</w:t>
            </w:r>
          </w:p>
        </w:tc>
      </w:tr>
      <w:tr w:rsidR="001558C5" w14:paraId="7927706D"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14397E7" w14:textId="77777777" w:rsidR="001558C5" w:rsidRDefault="001558C5" w:rsidP="00611EB0">
            <w:pPr>
              <w:rPr>
                <w:lang w:eastAsia="zh-CN" w:bidi="th-TH"/>
              </w:rPr>
            </w:pPr>
            <w:r>
              <w:rPr>
                <w:lang w:eastAsia="zh-CN" w:bidi="th-TH"/>
              </w:rPr>
              <w:t xml:space="preserve">MyLife Housing </w:t>
            </w:r>
          </w:p>
        </w:tc>
      </w:tr>
      <w:tr w:rsidR="001558C5" w14:paraId="1B778E0D"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910FAEF" w14:textId="77777777" w:rsidR="001558C5" w:rsidRDefault="001558C5" w:rsidP="00611EB0">
            <w:pPr>
              <w:rPr>
                <w:lang w:eastAsia="zh-CN" w:bidi="th-TH"/>
              </w:rPr>
            </w:pPr>
            <w:r>
              <w:rPr>
                <w:lang w:eastAsia="zh-CN" w:bidi="th-TH"/>
              </w:rPr>
              <w:t>National Australia Bank (NAB)</w:t>
            </w:r>
          </w:p>
        </w:tc>
      </w:tr>
      <w:tr w:rsidR="001558C5" w14:paraId="6257C6DA"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4913980" w14:textId="77777777" w:rsidR="001558C5" w:rsidRDefault="001558C5" w:rsidP="00611EB0">
            <w:pPr>
              <w:rPr>
                <w:lang w:eastAsia="zh-CN" w:bidi="th-TH"/>
              </w:rPr>
            </w:pPr>
            <w:r>
              <w:rPr>
                <w:lang w:eastAsia="zh-CN" w:bidi="th-TH"/>
              </w:rPr>
              <w:t>National Disability Services</w:t>
            </w:r>
          </w:p>
        </w:tc>
      </w:tr>
      <w:tr w:rsidR="001558C5" w14:paraId="7F58F94B"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C7493DA" w14:textId="77777777" w:rsidR="001558C5" w:rsidRDefault="001558C5" w:rsidP="00611EB0">
            <w:pPr>
              <w:rPr>
                <w:lang w:eastAsia="zh-CN" w:bidi="th-TH"/>
              </w:rPr>
            </w:pPr>
            <w:r>
              <w:rPr>
                <w:lang w:eastAsia="zh-CN" w:bidi="th-TH"/>
              </w:rPr>
              <w:t>NDISP</w:t>
            </w:r>
          </w:p>
        </w:tc>
      </w:tr>
      <w:tr w:rsidR="001558C5" w14:paraId="7F4EBBA9"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1360B00E" w14:textId="77777777" w:rsidR="001558C5" w:rsidRDefault="001558C5" w:rsidP="00611EB0">
            <w:pPr>
              <w:rPr>
                <w:lang w:eastAsia="zh-CN" w:bidi="th-TH"/>
              </w:rPr>
            </w:pPr>
            <w:proofErr w:type="spellStart"/>
            <w:r>
              <w:rPr>
                <w:lang w:eastAsia="zh-CN" w:bidi="th-TH"/>
              </w:rPr>
              <w:lastRenderedPageBreak/>
              <w:t>Nesti</w:t>
            </w:r>
            <w:proofErr w:type="spellEnd"/>
            <w:r>
              <w:rPr>
                <w:lang w:eastAsia="zh-CN" w:bidi="th-TH"/>
              </w:rPr>
              <w:t xml:space="preserve"> </w:t>
            </w:r>
          </w:p>
        </w:tc>
      </w:tr>
      <w:tr w:rsidR="001558C5" w14:paraId="3FFFF366"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A82338A" w14:textId="77777777" w:rsidR="001558C5" w:rsidRDefault="001558C5" w:rsidP="00611EB0">
            <w:pPr>
              <w:rPr>
                <w:lang w:eastAsia="zh-CN" w:bidi="th-TH"/>
              </w:rPr>
            </w:pPr>
            <w:r>
              <w:rPr>
                <w:lang w:eastAsia="zh-CN" w:bidi="th-TH"/>
              </w:rPr>
              <w:t>Orion Care </w:t>
            </w:r>
          </w:p>
        </w:tc>
      </w:tr>
      <w:tr w:rsidR="001558C5" w14:paraId="247CEB9E"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92967B8" w14:textId="77777777" w:rsidR="001558C5" w:rsidRDefault="001558C5" w:rsidP="00611EB0">
            <w:pPr>
              <w:rPr>
                <w:lang w:eastAsia="zh-CN" w:bidi="th-TH"/>
              </w:rPr>
            </w:pPr>
            <w:r>
              <w:rPr>
                <w:lang w:eastAsia="zh-CN" w:bidi="th-TH"/>
              </w:rPr>
              <w:t xml:space="preserve">Perth Design + Construct </w:t>
            </w:r>
          </w:p>
        </w:tc>
      </w:tr>
      <w:tr w:rsidR="001558C5" w14:paraId="12D11F32"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767C3D8" w14:textId="77777777" w:rsidR="001558C5" w:rsidRDefault="001558C5" w:rsidP="00611EB0">
            <w:pPr>
              <w:rPr>
                <w:lang w:eastAsia="zh-CN" w:bidi="th-TH"/>
              </w:rPr>
            </w:pPr>
            <w:r>
              <w:rPr>
                <w:lang w:eastAsia="zh-CN" w:bidi="th-TH"/>
              </w:rPr>
              <w:t xml:space="preserve">Pulse Property Solutions </w:t>
            </w:r>
          </w:p>
        </w:tc>
      </w:tr>
      <w:tr w:rsidR="001558C5" w14:paraId="3D8795B9"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BA67FF3" w14:textId="77777777" w:rsidR="001558C5" w:rsidRDefault="001558C5" w:rsidP="00611EB0">
            <w:pPr>
              <w:rPr>
                <w:lang w:eastAsia="zh-CN" w:bidi="th-TH"/>
              </w:rPr>
            </w:pPr>
            <w:r>
              <w:rPr>
                <w:lang w:eastAsia="zh-CN" w:bidi="th-TH"/>
              </w:rPr>
              <w:t xml:space="preserve">Rare Innovation and Unify SDA </w:t>
            </w:r>
          </w:p>
        </w:tc>
      </w:tr>
      <w:tr w:rsidR="001558C5" w14:paraId="10BFD14B"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1587AB35" w14:textId="77777777" w:rsidR="001558C5" w:rsidRDefault="001558C5" w:rsidP="00611EB0">
            <w:pPr>
              <w:rPr>
                <w:lang w:eastAsia="zh-CN" w:bidi="th-TH"/>
              </w:rPr>
            </w:pPr>
            <w:r>
              <w:rPr>
                <w:lang w:eastAsia="zh-CN" w:bidi="th-TH"/>
              </w:rPr>
              <w:t xml:space="preserve">Rocky Bay </w:t>
            </w:r>
          </w:p>
        </w:tc>
      </w:tr>
      <w:tr w:rsidR="001558C5" w14:paraId="373427E9"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9CCF733" w14:textId="77777777" w:rsidR="001558C5" w:rsidRDefault="001558C5" w:rsidP="00611EB0">
            <w:pPr>
              <w:rPr>
                <w:lang w:eastAsia="zh-CN" w:bidi="th-TH"/>
              </w:rPr>
            </w:pPr>
            <w:r>
              <w:rPr>
                <w:lang w:eastAsia="zh-CN" w:bidi="th-TH"/>
              </w:rPr>
              <w:t xml:space="preserve">Sana Living </w:t>
            </w:r>
          </w:p>
        </w:tc>
      </w:tr>
      <w:tr w:rsidR="001558C5" w14:paraId="013B9D28"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6EBDAF3" w14:textId="77777777" w:rsidR="001558C5" w:rsidRDefault="001558C5" w:rsidP="00611EB0">
            <w:pPr>
              <w:rPr>
                <w:lang w:eastAsia="zh-CN" w:bidi="th-TH"/>
              </w:rPr>
            </w:pPr>
            <w:r w:rsidRPr="00E20B27">
              <w:rPr>
                <w:lang w:eastAsia="zh-CN" w:bidi="th-TH"/>
              </w:rPr>
              <w:t xml:space="preserve">SDA + </w:t>
            </w:r>
          </w:p>
        </w:tc>
      </w:tr>
      <w:tr w:rsidR="001558C5" w14:paraId="5767F177"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708CB30" w14:textId="77777777" w:rsidR="001558C5" w:rsidRDefault="001558C5" w:rsidP="00611EB0">
            <w:pPr>
              <w:rPr>
                <w:lang w:eastAsia="zh-CN" w:bidi="th-TH"/>
              </w:rPr>
            </w:pPr>
            <w:r>
              <w:rPr>
                <w:lang w:eastAsia="zh-CN" w:bidi="th-TH"/>
              </w:rPr>
              <w:t>SDA Alliance</w:t>
            </w:r>
          </w:p>
        </w:tc>
      </w:tr>
      <w:tr w:rsidR="001558C5" w14:paraId="3033EAA7"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9A73F4B" w14:textId="77777777" w:rsidR="001558C5" w:rsidRDefault="001558C5" w:rsidP="00611EB0">
            <w:pPr>
              <w:rPr>
                <w:lang w:eastAsia="zh-CN" w:bidi="th-TH"/>
              </w:rPr>
            </w:pPr>
            <w:r>
              <w:rPr>
                <w:lang w:eastAsia="zh-CN" w:bidi="th-TH"/>
              </w:rPr>
              <w:t xml:space="preserve">SDA Com </w:t>
            </w:r>
          </w:p>
        </w:tc>
      </w:tr>
      <w:tr w:rsidR="001558C5" w14:paraId="5606F0AB"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2BDCA4E" w14:textId="77777777" w:rsidR="001558C5" w:rsidRDefault="001558C5" w:rsidP="00611EB0">
            <w:pPr>
              <w:rPr>
                <w:lang w:eastAsia="zh-CN" w:bidi="th-TH"/>
              </w:rPr>
            </w:pPr>
            <w:r>
              <w:rPr>
                <w:lang w:eastAsia="zh-CN" w:bidi="th-TH"/>
              </w:rPr>
              <w:t xml:space="preserve">SDA Management Australia </w:t>
            </w:r>
          </w:p>
        </w:tc>
      </w:tr>
      <w:tr w:rsidR="001558C5" w14:paraId="6CB506A5"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34BC442" w14:textId="77777777" w:rsidR="001558C5" w:rsidRDefault="001558C5" w:rsidP="00611EB0">
            <w:pPr>
              <w:rPr>
                <w:lang w:eastAsia="zh-CN" w:bidi="th-TH"/>
              </w:rPr>
            </w:pPr>
            <w:r>
              <w:rPr>
                <w:lang w:eastAsia="zh-CN" w:bidi="th-TH"/>
              </w:rPr>
              <w:t>SDA Options </w:t>
            </w:r>
          </w:p>
        </w:tc>
      </w:tr>
      <w:tr w:rsidR="001558C5" w14:paraId="06D3B494"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77CCCCA4" w14:textId="77777777" w:rsidR="001558C5" w:rsidRDefault="001558C5" w:rsidP="00611EB0">
            <w:pPr>
              <w:rPr>
                <w:lang w:eastAsia="zh-CN" w:bidi="th-TH"/>
              </w:rPr>
            </w:pPr>
            <w:r>
              <w:rPr>
                <w:lang w:eastAsia="zh-CN" w:bidi="th-TH"/>
              </w:rPr>
              <w:t>Summer Foundation</w:t>
            </w:r>
          </w:p>
        </w:tc>
      </w:tr>
      <w:tr w:rsidR="001558C5" w14:paraId="1AA591C8"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2C35521" w14:textId="77777777" w:rsidR="001558C5" w:rsidRDefault="001558C5" w:rsidP="00611EB0">
            <w:pPr>
              <w:rPr>
                <w:lang w:eastAsia="zh-CN" w:bidi="th-TH"/>
              </w:rPr>
            </w:pPr>
            <w:r>
              <w:rPr>
                <w:lang w:eastAsia="zh-CN" w:bidi="th-TH"/>
              </w:rPr>
              <w:t>Super Community Care </w:t>
            </w:r>
          </w:p>
        </w:tc>
      </w:tr>
      <w:tr w:rsidR="001558C5" w14:paraId="276287CD"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CD66160" w14:textId="77777777" w:rsidR="001558C5" w:rsidRDefault="001558C5" w:rsidP="00611EB0">
            <w:pPr>
              <w:rPr>
                <w:lang w:eastAsia="zh-CN" w:bidi="th-TH"/>
              </w:rPr>
            </w:pPr>
            <w:r>
              <w:rPr>
                <w:lang w:eastAsia="zh-CN" w:bidi="th-TH"/>
              </w:rPr>
              <w:t>Synapse Australia</w:t>
            </w:r>
          </w:p>
        </w:tc>
      </w:tr>
      <w:tr w:rsidR="001558C5" w14:paraId="5440FC00"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A009AD8" w14:textId="77777777" w:rsidR="001558C5" w:rsidRDefault="001558C5" w:rsidP="00611EB0">
            <w:pPr>
              <w:rPr>
                <w:lang w:eastAsia="zh-CN" w:bidi="th-TH"/>
              </w:rPr>
            </w:pPr>
            <w:r>
              <w:rPr>
                <w:lang w:eastAsia="zh-CN" w:bidi="th-TH"/>
              </w:rPr>
              <w:t xml:space="preserve">Synapse </w:t>
            </w:r>
          </w:p>
        </w:tc>
      </w:tr>
      <w:tr w:rsidR="001558C5" w14:paraId="7F307778"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C107A4B" w14:textId="77777777" w:rsidR="001558C5" w:rsidRDefault="001558C5" w:rsidP="00611EB0">
            <w:pPr>
              <w:rPr>
                <w:lang w:eastAsia="zh-CN" w:bidi="th-TH"/>
              </w:rPr>
            </w:pPr>
            <w:proofErr w:type="spellStart"/>
            <w:r>
              <w:rPr>
                <w:lang w:eastAsia="zh-CN" w:bidi="th-TH"/>
              </w:rPr>
              <w:t>Synergis</w:t>
            </w:r>
            <w:proofErr w:type="spellEnd"/>
          </w:p>
        </w:tc>
      </w:tr>
      <w:tr w:rsidR="001558C5" w14:paraId="7AA5B84D"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16429D6" w14:textId="77777777" w:rsidR="001558C5" w:rsidRDefault="001558C5" w:rsidP="00611EB0">
            <w:pPr>
              <w:rPr>
                <w:lang w:eastAsia="zh-CN" w:bidi="th-TH"/>
              </w:rPr>
            </w:pPr>
            <w:r>
              <w:rPr>
                <w:lang w:eastAsia="zh-CN" w:bidi="th-TH"/>
              </w:rPr>
              <w:t xml:space="preserve">The </w:t>
            </w:r>
            <w:proofErr w:type="spellStart"/>
            <w:r>
              <w:rPr>
                <w:lang w:eastAsia="zh-CN" w:bidi="th-TH"/>
              </w:rPr>
              <w:t>Kalculators</w:t>
            </w:r>
            <w:proofErr w:type="spellEnd"/>
            <w:r>
              <w:rPr>
                <w:lang w:eastAsia="zh-CN" w:bidi="th-TH"/>
              </w:rPr>
              <w:t> </w:t>
            </w:r>
          </w:p>
        </w:tc>
      </w:tr>
      <w:tr w:rsidR="001558C5" w14:paraId="041059D5"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29C5FB4" w14:textId="77777777" w:rsidR="001558C5" w:rsidRDefault="001558C5" w:rsidP="00611EB0">
            <w:pPr>
              <w:rPr>
                <w:lang w:eastAsia="zh-CN" w:bidi="th-TH"/>
              </w:rPr>
            </w:pPr>
            <w:r>
              <w:rPr>
                <w:lang w:eastAsia="zh-CN" w:bidi="th-TH"/>
              </w:rPr>
              <w:t>Uniting Communities </w:t>
            </w:r>
          </w:p>
        </w:tc>
      </w:tr>
      <w:tr w:rsidR="001558C5" w14:paraId="408AAAF3"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252E0E7" w14:textId="77777777" w:rsidR="001558C5" w:rsidRDefault="001558C5" w:rsidP="00611EB0">
            <w:pPr>
              <w:rPr>
                <w:lang w:eastAsia="zh-CN" w:bidi="th-TH"/>
              </w:rPr>
            </w:pPr>
            <w:r>
              <w:rPr>
                <w:lang w:eastAsia="zh-CN" w:bidi="th-TH"/>
              </w:rPr>
              <w:t>Unity Housing</w:t>
            </w:r>
          </w:p>
        </w:tc>
      </w:tr>
      <w:tr w:rsidR="001558C5" w14:paraId="2F64EA95"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2CD0C7D" w14:textId="77777777" w:rsidR="001558C5" w:rsidRDefault="001558C5" w:rsidP="00611EB0">
            <w:pPr>
              <w:rPr>
                <w:lang w:eastAsia="zh-CN" w:bidi="th-TH"/>
              </w:rPr>
            </w:pPr>
            <w:r>
              <w:rPr>
                <w:lang w:eastAsia="zh-CN" w:bidi="th-TH"/>
              </w:rPr>
              <w:t xml:space="preserve">Vera Living </w:t>
            </w:r>
          </w:p>
        </w:tc>
      </w:tr>
      <w:tr w:rsidR="001558C5" w14:paraId="7A7767DA"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4D88216E" w14:textId="77777777" w:rsidR="001558C5" w:rsidRDefault="001558C5" w:rsidP="00611EB0">
            <w:pPr>
              <w:rPr>
                <w:lang w:eastAsia="zh-CN" w:bidi="th-TH"/>
              </w:rPr>
            </w:pPr>
            <w:r>
              <w:rPr>
                <w:lang w:eastAsia="zh-CN" w:bidi="th-TH"/>
              </w:rPr>
              <w:t>Westpac Banking Corporation</w:t>
            </w:r>
          </w:p>
        </w:tc>
      </w:tr>
      <w:tr w:rsidR="001558C5" w14:paraId="68E3242E"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51D80FCE" w14:textId="77777777" w:rsidR="001558C5" w:rsidRDefault="001558C5" w:rsidP="00611EB0">
            <w:pPr>
              <w:rPr>
                <w:lang w:eastAsia="zh-CN" w:bidi="th-TH"/>
              </w:rPr>
            </w:pPr>
            <w:proofErr w:type="spellStart"/>
            <w:r>
              <w:rPr>
                <w:lang w:eastAsia="zh-CN" w:bidi="th-TH"/>
              </w:rPr>
              <w:t>Westrac</w:t>
            </w:r>
            <w:proofErr w:type="spellEnd"/>
          </w:p>
        </w:tc>
      </w:tr>
      <w:tr w:rsidR="001558C5" w14:paraId="4B0233A4"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6CEFEA73" w14:textId="77777777" w:rsidR="001558C5" w:rsidRDefault="001558C5" w:rsidP="00611EB0">
            <w:pPr>
              <w:rPr>
                <w:lang w:eastAsia="zh-CN" w:bidi="th-TH"/>
              </w:rPr>
            </w:pPr>
            <w:proofErr w:type="spellStart"/>
            <w:r>
              <w:rPr>
                <w:lang w:eastAsia="zh-CN" w:bidi="th-TH"/>
              </w:rPr>
              <w:t>Yaran</w:t>
            </w:r>
            <w:proofErr w:type="spellEnd"/>
            <w:r>
              <w:rPr>
                <w:lang w:eastAsia="zh-CN" w:bidi="th-TH"/>
              </w:rPr>
              <w:t xml:space="preserve"> Property Group </w:t>
            </w:r>
          </w:p>
        </w:tc>
      </w:tr>
      <w:tr w:rsidR="001558C5" w14:paraId="15AC50E9" w14:textId="77777777" w:rsidTr="00611EB0">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2E83E9C7" w14:textId="77777777" w:rsidR="001558C5" w:rsidRDefault="001558C5" w:rsidP="00611EB0">
            <w:pPr>
              <w:rPr>
                <w:lang w:eastAsia="zh-CN" w:bidi="th-TH"/>
              </w:rPr>
            </w:pPr>
            <w:r>
              <w:rPr>
                <w:lang w:eastAsia="zh-CN" w:bidi="th-TH"/>
              </w:rPr>
              <w:t>Yooralla </w:t>
            </w:r>
          </w:p>
        </w:tc>
      </w:tr>
      <w:tr w:rsidR="001558C5" w14:paraId="79911CE5" w14:textId="77777777" w:rsidTr="00611EB0">
        <w:tc>
          <w:tcPr>
            <w:tcW w:w="5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noWrap/>
            <w:hideMark/>
          </w:tcPr>
          <w:p w14:paraId="0EA8B76A" w14:textId="77777777" w:rsidR="001558C5" w:rsidRDefault="001558C5" w:rsidP="00611EB0">
            <w:pPr>
              <w:rPr>
                <w:lang w:eastAsia="zh-CN" w:bidi="th-TH"/>
              </w:rPr>
            </w:pPr>
            <w:proofErr w:type="spellStart"/>
            <w:r>
              <w:rPr>
                <w:lang w:eastAsia="zh-CN" w:bidi="th-TH"/>
              </w:rPr>
              <w:t>Youngcare</w:t>
            </w:r>
            <w:proofErr w:type="spellEnd"/>
          </w:p>
        </w:tc>
      </w:tr>
    </w:tbl>
    <w:p w14:paraId="6AB6B7EB" w14:textId="176FD024" w:rsidR="005C5F95" w:rsidRPr="005A22C2" w:rsidRDefault="005C5F95" w:rsidP="006720A0">
      <w:pPr>
        <w:sectPr w:rsidR="005C5F95" w:rsidRPr="005A22C2" w:rsidSect="00736B3B">
          <w:pgSz w:w="11906" w:h="16838" w:code="9"/>
          <w:pgMar w:top="1418" w:right="1418" w:bottom="1418" w:left="1418" w:header="709" w:footer="709" w:gutter="0"/>
          <w:cols w:space="708"/>
          <w:titlePg/>
          <w:docGrid w:linePitch="360"/>
        </w:sectPr>
      </w:pPr>
    </w:p>
    <w:p w14:paraId="47EFD120" w14:textId="65BA2928" w:rsidR="006249CC" w:rsidRPr="009F211E" w:rsidRDefault="00042803" w:rsidP="006720A0">
      <w:pPr>
        <w:pStyle w:val="Heading1"/>
        <w:rPr>
          <w:color w:val="6B2976"/>
        </w:rPr>
      </w:pPr>
      <w:bookmarkStart w:id="281" w:name="_Toc136006911"/>
      <w:r w:rsidRPr="009F211E">
        <w:rPr>
          <w:color w:val="6B2976"/>
        </w:rPr>
        <w:lastRenderedPageBreak/>
        <w:t>Glossary</w:t>
      </w:r>
      <w:bookmarkEnd w:id="280"/>
      <w:bookmarkEnd w:id="281"/>
    </w:p>
    <w:tbl>
      <w:tblPr>
        <w:tblStyle w:val="GridTable4-Accent1"/>
        <w:tblW w:w="9040" w:type="dxa"/>
        <w:tblLook w:val="04A0" w:firstRow="1" w:lastRow="0" w:firstColumn="1" w:lastColumn="0" w:noHBand="0" w:noVBand="1"/>
      </w:tblPr>
      <w:tblGrid>
        <w:gridCol w:w="2097"/>
        <w:gridCol w:w="6943"/>
      </w:tblGrid>
      <w:tr w:rsidR="00624368" w:rsidRPr="005A22C2" w14:paraId="245E6FF5" w14:textId="77777777" w:rsidTr="006249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38DE43E2" w14:textId="77777777" w:rsidR="00624368" w:rsidRPr="005A22C2" w:rsidRDefault="00624368" w:rsidP="006720A0">
            <w:r w:rsidRPr="005A22C2">
              <w:t>Term</w:t>
            </w:r>
          </w:p>
        </w:tc>
        <w:tc>
          <w:tcPr>
            <w:tcW w:w="7202" w:type="dxa"/>
          </w:tcPr>
          <w:p w14:paraId="41DF08B9" w14:textId="77777777" w:rsidR="00624368" w:rsidRPr="005A22C2" w:rsidRDefault="00624368" w:rsidP="006720A0">
            <w:pPr>
              <w:cnfStyle w:val="100000000000" w:firstRow="1" w:lastRow="0" w:firstColumn="0" w:lastColumn="0" w:oddVBand="0" w:evenVBand="0" w:oddHBand="0" w:evenHBand="0" w:firstRowFirstColumn="0" w:firstRowLastColumn="0" w:lastRowFirstColumn="0" w:lastRowLastColumn="0"/>
            </w:pPr>
            <w:r w:rsidRPr="005A22C2">
              <w:t>Definition</w:t>
            </w:r>
          </w:p>
        </w:tc>
      </w:tr>
      <w:tr w:rsidR="00624368" w:rsidRPr="005A22C2" w14:paraId="077C14E3"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F9E02C" w14:textId="77777777" w:rsidR="00624368" w:rsidRPr="005A22C2" w:rsidRDefault="00624368" w:rsidP="006720A0">
            <w:r w:rsidRPr="005A22C2">
              <w:t>Apartment</w:t>
            </w:r>
          </w:p>
        </w:tc>
        <w:tc>
          <w:tcPr>
            <w:tcW w:w="7202" w:type="dxa"/>
          </w:tcPr>
          <w:p w14:paraId="6E19CD7A"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Apartments are self-contained units occupying only part of a larger residential building.</w:t>
            </w:r>
          </w:p>
          <w:p w14:paraId="6EECA4D3"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Apartments are typically built above or below another dwelling. Self-contained dwellings that are separated from other dwellings by walls alone are not apartments but are likely to be a villa, duplex or townhouse.</w:t>
            </w:r>
          </w:p>
        </w:tc>
      </w:tr>
      <w:tr w:rsidR="00624368" w:rsidRPr="005A22C2" w14:paraId="3B8B993E"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7DE87D48" w14:textId="77777777" w:rsidR="00624368" w:rsidRPr="005A22C2" w:rsidRDefault="00624368" w:rsidP="006720A0">
            <w:r w:rsidRPr="005A22C2">
              <w:t>Basic Design Category</w:t>
            </w:r>
          </w:p>
        </w:tc>
        <w:tc>
          <w:tcPr>
            <w:tcW w:w="7202" w:type="dxa"/>
          </w:tcPr>
          <w:p w14:paraId="5B1B25F2"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 xml:space="preserve">Housing without specialist design features but with a location or other features that cater for the needs of people with disability and assist with the delivery of support services. </w:t>
            </w:r>
          </w:p>
        </w:tc>
      </w:tr>
      <w:tr w:rsidR="00624368" w:rsidRPr="005A22C2" w14:paraId="295B2EEC"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4C28CB" w14:textId="77777777" w:rsidR="00624368" w:rsidRPr="005A22C2" w:rsidRDefault="00624368" w:rsidP="006720A0">
            <w:r w:rsidRPr="005A22C2">
              <w:t xml:space="preserve">Brownfield </w:t>
            </w:r>
          </w:p>
        </w:tc>
        <w:tc>
          <w:tcPr>
            <w:tcW w:w="7202" w:type="dxa"/>
          </w:tcPr>
          <w:p w14:paraId="08C5DA7A" w14:textId="1E14E862"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 xml:space="preserve">Denoting or relating to land or premises that </w:t>
            </w:r>
            <w:proofErr w:type="gramStart"/>
            <w:r w:rsidRPr="005A22C2">
              <w:t>are located in</w:t>
            </w:r>
            <w:proofErr w:type="gramEnd"/>
            <w:r w:rsidRPr="005A22C2">
              <w:t xml:space="preserve"> an area that previous has been subject to development.</w:t>
            </w:r>
          </w:p>
        </w:tc>
      </w:tr>
      <w:tr w:rsidR="00624368" w:rsidRPr="005A22C2" w14:paraId="615933A0"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2A23DAD8" w14:textId="77777777" w:rsidR="00624368" w:rsidRPr="005A22C2" w:rsidRDefault="00624368" w:rsidP="006720A0">
            <w:r w:rsidRPr="005A22C2">
              <w:t>CAPM</w:t>
            </w:r>
          </w:p>
        </w:tc>
        <w:tc>
          <w:tcPr>
            <w:tcW w:w="7202" w:type="dxa"/>
          </w:tcPr>
          <w:p w14:paraId="3C8F5268"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Capital Asset Pricing Model</w:t>
            </w:r>
          </w:p>
        </w:tc>
      </w:tr>
      <w:tr w:rsidR="00624368" w:rsidRPr="005A22C2" w14:paraId="5C23837C"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1E64C8" w14:textId="4606AA3E" w:rsidR="00624368" w:rsidRPr="005A22C2" w:rsidRDefault="00624368" w:rsidP="006720A0">
            <w:r w:rsidRPr="005A22C2">
              <w:t>Class 1b</w:t>
            </w:r>
          </w:p>
        </w:tc>
        <w:tc>
          <w:tcPr>
            <w:tcW w:w="7202" w:type="dxa"/>
          </w:tcPr>
          <w:p w14:paraId="470D1676" w14:textId="03FE163E"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 xml:space="preserve">A class of building defined by the </w:t>
            </w:r>
            <w:r w:rsidR="001D5DEB" w:rsidRPr="005A22C2">
              <w:t>National Construction Code th</w:t>
            </w:r>
            <w:r w:rsidRPr="005A22C2">
              <w:t xml:space="preserve">at is </w:t>
            </w:r>
            <w:r w:rsidR="001D5DEB" w:rsidRPr="005A22C2">
              <w:t>used for</w:t>
            </w:r>
            <w:r w:rsidRPr="005A22C2">
              <w:t xml:space="preserve"> boarding house</w:t>
            </w:r>
            <w:r w:rsidR="001D5DEB" w:rsidRPr="005A22C2">
              <w:t>s</w:t>
            </w:r>
            <w:r w:rsidRPr="005A22C2">
              <w:t>, guest house</w:t>
            </w:r>
            <w:r w:rsidR="001D5DEB" w:rsidRPr="005A22C2">
              <w:t>s</w:t>
            </w:r>
            <w:r w:rsidRPr="005A22C2">
              <w:t xml:space="preserve"> or hostel</w:t>
            </w:r>
            <w:r w:rsidR="001D5DEB" w:rsidRPr="005A22C2">
              <w:t>s</w:t>
            </w:r>
            <w:r w:rsidRPr="005A22C2">
              <w:t xml:space="preserve"> (or the like) that </w:t>
            </w:r>
            <w:r w:rsidR="001D5DEB" w:rsidRPr="005A22C2">
              <w:t>have</w:t>
            </w:r>
            <w:r w:rsidRPr="005A22C2">
              <w:t xml:space="preserve"> a total floor area less than 300m</w:t>
            </w:r>
            <w:r w:rsidRPr="005A22C2">
              <w:rPr>
                <w:vertAlign w:val="superscript"/>
              </w:rPr>
              <w:t>2</w:t>
            </w:r>
            <w:r w:rsidRPr="005A22C2">
              <w:t xml:space="preserve"> and ordinarily has less than 12 residents. </w:t>
            </w:r>
          </w:p>
        </w:tc>
      </w:tr>
      <w:tr w:rsidR="00624368" w:rsidRPr="005A22C2" w14:paraId="5979CC6A"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597804FC" w14:textId="704AFA94" w:rsidR="00624368" w:rsidRPr="005A22C2" w:rsidRDefault="00624368" w:rsidP="006720A0">
            <w:r w:rsidRPr="005A22C2">
              <w:t>Class 2</w:t>
            </w:r>
          </w:p>
        </w:tc>
        <w:tc>
          <w:tcPr>
            <w:tcW w:w="7202" w:type="dxa"/>
          </w:tcPr>
          <w:p w14:paraId="6C6428B0" w14:textId="5CE6B0EB"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 xml:space="preserve">A class of building defined by the </w:t>
            </w:r>
            <w:r w:rsidR="001D5DEB" w:rsidRPr="005A22C2">
              <w:t xml:space="preserve">National Construction Code </w:t>
            </w:r>
            <w:r w:rsidRPr="005A22C2">
              <w:t xml:space="preserve">that is </w:t>
            </w:r>
            <w:r w:rsidR="001D5DEB" w:rsidRPr="005A22C2">
              <w:t xml:space="preserve">used for </w:t>
            </w:r>
            <w:r w:rsidRPr="005A22C2">
              <w:t>building</w:t>
            </w:r>
            <w:r w:rsidR="001D5DEB" w:rsidRPr="005A22C2">
              <w:t>s</w:t>
            </w:r>
            <w:r w:rsidRPr="005A22C2">
              <w:t xml:space="preserve"> containing 2 or more sole-occupancy units, each being a separate dwelling. </w:t>
            </w:r>
          </w:p>
        </w:tc>
      </w:tr>
      <w:tr w:rsidR="00624368" w:rsidRPr="005A22C2" w14:paraId="46E51C16"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A3EEAD" w14:textId="7B7A7175" w:rsidR="00624368" w:rsidRPr="005A22C2" w:rsidRDefault="00624368" w:rsidP="006720A0">
            <w:r w:rsidRPr="005A22C2">
              <w:t>Class 3</w:t>
            </w:r>
          </w:p>
        </w:tc>
        <w:tc>
          <w:tcPr>
            <w:tcW w:w="7202" w:type="dxa"/>
          </w:tcPr>
          <w:p w14:paraId="0291632D" w14:textId="28BB330B"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 xml:space="preserve">A class of building defined by the </w:t>
            </w:r>
            <w:r w:rsidR="001D5DEB" w:rsidRPr="005A22C2">
              <w:t xml:space="preserve">National Construction Code </w:t>
            </w:r>
            <w:r w:rsidRPr="005A22C2">
              <w:t xml:space="preserve">that is </w:t>
            </w:r>
            <w:r w:rsidR="001D5DEB" w:rsidRPr="005A22C2">
              <w:t>used for</w:t>
            </w:r>
            <w:r w:rsidRPr="005A22C2">
              <w:t xml:space="preserve"> </w:t>
            </w:r>
            <w:r w:rsidR="001D5DEB" w:rsidRPr="005A22C2">
              <w:t xml:space="preserve">a </w:t>
            </w:r>
            <w:r w:rsidRPr="005A22C2">
              <w:t xml:space="preserve">residential building, other than a building of Class 1 or Class 2, </w:t>
            </w:r>
            <w:r w:rsidR="001D5DEB" w:rsidRPr="005A22C2">
              <w:t>that</w:t>
            </w:r>
            <w:r w:rsidRPr="005A22C2">
              <w:t xml:space="preserve"> is a common place of long term or transient living for </w:t>
            </w:r>
            <w:proofErr w:type="gramStart"/>
            <w:r w:rsidRPr="005A22C2">
              <w:t>a number of</w:t>
            </w:r>
            <w:proofErr w:type="gramEnd"/>
            <w:r w:rsidRPr="005A22C2">
              <w:t xml:space="preserve"> unrelated people. This may include:</w:t>
            </w:r>
          </w:p>
          <w:p w14:paraId="1E9659C4" w14:textId="77777777" w:rsidR="00624368" w:rsidRPr="005A22C2" w:rsidRDefault="00624368" w:rsidP="006720A0">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5A22C2">
              <w:t xml:space="preserve">A boarding house, guest house, hostel, lodging house or backpackers </w:t>
            </w:r>
            <w:proofErr w:type="gramStart"/>
            <w:r w:rsidRPr="005A22C2">
              <w:t>accommodation;</w:t>
            </w:r>
            <w:proofErr w:type="gramEnd"/>
          </w:p>
          <w:p w14:paraId="08FE7253" w14:textId="77777777" w:rsidR="00624368" w:rsidRPr="005A22C2" w:rsidRDefault="00624368" w:rsidP="006720A0">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5A22C2">
              <w:t>A residential part of a hotel or motel;</w:t>
            </w:r>
          </w:p>
          <w:p w14:paraId="24749486" w14:textId="77777777" w:rsidR="00624368" w:rsidRPr="005A22C2" w:rsidRDefault="00624368" w:rsidP="006720A0">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5A22C2">
              <w:t>A residential part of a school;</w:t>
            </w:r>
          </w:p>
          <w:p w14:paraId="452864CE" w14:textId="77777777" w:rsidR="00A47429" w:rsidRPr="005A22C2" w:rsidRDefault="00624368" w:rsidP="006720A0">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5A22C2">
              <w:t>Accommodation for the aged, children or people with disabilities;</w:t>
            </w:r>
          </w:p>
          <w:p w14:paraId="7354AB39" w14:textId="2DC3A1F1" w:rsidR="00624368" w:rsidRPr="005A22C2" w:rsidRDefault="00624368" w:rsidP="006720A0">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5A22C2">
              <w:t>A residential part of a health-care building which accommodates members of staff; or</w:t>
            </w:r>
          </w:p>
          <w:p w14:paraId="12399A67" w14:textId="77777777" w:rsidR="00624368" w:rsidRPr="005A22C2" w:rsidRDefault="00624368" w:rsidP="006720A0">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5A22C2">
              <w:t>A residential part of a detention centre.</w:t>
            </w:r>
          </w:p>
        </w:tc>
      </w:tr>
      <w:tr w:rsidR="00624368" w:rsidRPr="005A22C2" w14:paraId="37ED3170"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30334414" w14:textId="77777777" w:rsidR="00624368" w:rsidRPr="005A22C2" w:rsidRDefault="00624368" w:rsidP="006720A0">
            <w:r w:rsidRPr="005A22C2">
              <w:t>CPI</w:t>
            </w:r>
          </w:p>
        </w:tc>
        <w:tc>
          <w:tcPr>
            <w:tcW w:w="7202" w:type="dxa"/>
          </w:tcPr>
          <w:p w14:paraId="39C79007" w14:textId="54E67378"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A22C2">
              <w:rPr>
                <w:rFonts w:asciiTheme="minorHAnsi" w:hAnsiTheme="minorHAnsi" w:cstheme="minorHAnsi"/>
                <w:szCs w:val="16"/>
              </w:rPr>
              <w:t>Consumer Price Index</w:t>
            </w:r>
            <w:r w:rsidR="00A83259" w:rsidRPr="005A22C2">
              <w:rPr>
                <w:rFonts w:asciiTheme="minorHAnsi" w:hAnsiTheme="minorHAnsi" w:cstheme="minorHAnsi"/>
                <w:szCs w:val="16"/>
              </w:rPr>
              <w:t xml:space="preserve"> – </w:t>
            </w:r>
            <w:hyperlink r:id="rId26" w:history="1">
              <w:r w:rsidR="00A83259" w:rsidRPr="005A22C2">
                <w:rPr>
                  <w:rStyle w:val="Hyperlink"/>
                  <w:rFonts w:asciiTheme="minorHAnsi" w:hAnsiTheme="minorHAnsi" w:cstheme="minorHAnsi"/>
                  <w:szCs w:val="16"/>
                </w:rPr>
                <w:t>Consumer Price Index, Australia, December Quarter 2022 | Australian Bureau of Statistics (abs.gov.au)</w:t>
              </w:r>
            </w:hyperlink>
          </w:p>
        </w:tc>
      </w:tr>
      <w:tr w:rsidR="00624368" w:rsidRPr="005A22C2" w14:paraId="33BBECED"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8E67D0" w14:textId="77777777" w:rsidR="00624368" w:rsidRPr="005A22C2" w:rsidRDefault="00624368" w:rsidP="006720A0">
            <w:r w:rsidRPr="005A22C2">
              <w:t>Duplex</w:t>
            </w:r>
          </w:p>
        </w:tc>
        <w:tc>
          <w:tcPr>
            <w:tcW w:w="7202" w:type="dxa"/>
          </w:tcPr>
          <w:p w14:paraId="6F314D08"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Villas, duplexes and townhouses are dwellings for three or less residents.</w:t>
            </w:r>
          </w:p>
          <w:p w14:paraId="31EBBA22" w14:textId="77777777" w:rsidR="00A47429"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Villas, duplexes and townhouses are generally separate but semi-attached properties within a single land title or strata titled area.</w:t>
            </w:r>
          </w:p>
          <w:p w14:paraId="19009397" w14:textId="77777777" w:rsidR="00A47429"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lastRenderedPageBreak/>
              <w:t>Dwellings will be separated from other villas/duplexes/townhouses by a fire-resisting wall (although fire resistance is not required for Existing Stock).</w:t>
            </w:r>
          </w:p>
          <w:p w14:paraId="726F85E2" w14:textId="77777777" w:rsidR="00A47429"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 xml:space="preserve">Each villa, duplex or townhouse must have a separate and reasonably accessible entry to/exit from the property, and participants must not be able to internally travel between dwellings. That is, participants must be required to exit one dwelling </w:t>
            </w:r>
            <w:proofErr w:type="gramStart"/>
            <w:r w:rsidRPr="005A22C2">
              <w:t>in order to</w:t>
            </w:r>
            <w:proofErr w:type="gramEnd"/>
            <w:r w:rsidRPr="005A22C2">
              <w:t xml:space="preserve"> enter another. Restricted internal access between dwellings may be provided for support staff only.</w:t>
            </w:r>
          </w:p>
          <w:p w14:paraId="584A4167" w14:textId="354F2E9F"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Villas, duplexes and townhouses may also be ancillary dwellings that are located on the same parcel of land as another dwelling (</w:t>
            </w:r>
            <w:r w:rsidR="007E2D44">
              <w:t>for example:</w:t>
            </w:r>
            <w:r w:rsidRPr="005A22C2">
              <w:t xml:space="preserve"> fully self-contained ‘granny flats’).</w:t>
            </w:r>
          </w:p>
        </w:tc>
      </w:tr>
      <w:tr w:rsidR="00624368" w:rsidRPr="005A22C2" w14:paraId="2AAA2CF0"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4B7D1823" w14:textId="77777777" w:rsidR="00624368" w:rsidRPr="005A22C2" w:rsidRDefault="00624368" w:rsidP="006720A0">
            <w:r w:rsidRPr="005A22C2">
              <w:lastRenderedPageBreak/>
              <w:t>Equity Beta</w:t>
            </w:r>
          </w:p>
        </w:tc>
        <w:tc>
          <w:tcPr>
            <w:tcW w:w="7202" w:type="dxa"/>
          </w:tcPr>
          <w:p w14:paraId="1913E0F7"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 xml:space="preserve">A measure of the volatility, or systematic risk, of a security or portfolio in comparison to the </w:t>
            </w:r>
            <w:proofErr w:type="gramStart"/>
            <w:r w:rsidRPr="005A22C2">
              <w:t>market as a whole</w:t>
            </w:r>
            <w:proofErr w:type="gramEnd"/>
            <w:r w:rsidRPr="005A22C2">
              <w:t>.</w:t>
            </w:r>
          </w:p>
        </w:tc>
      </w:tr>
      <w:tr w:rsidR="00624368" w:rsidRPr="005A22C2" w14:paraId="66C2F26F"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8AB86B" w14:textId="60AB0B9F" w:rsidR="00624368" w:rsidRPr="005A22C2" w:rsidRDefault="00624368" w:rsidP="006720A0">
            <w:r w:rsidRPr="005A22C2">
              <w:t>Existing Stock</w:t>
            </w:r>
          </w:p>
        </w:tc>
        <w:tc>
          <w:tcPr>
            <w:tcW w:w="7202" w:type="dxa"/>
          </w:tcPr>
          <w:p w14:paraId="2DD1DAC8" w14:textId="1AADEF1F"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A</w:t>
            </w:r>
            <w:r w:rsidR="001D5DEB" w:rsidRPr="005A22C2">
              <w:t>n SDA</w:t>
            </w:r>
            <w:r w:rsidRPr="005A22C2">
              <w:t xml:space="preserve"> dwelling that is enrolled to house five or fewer long-term residents and that was built before 1 April 2016 and that was used as disability related supported accommodation under a previous state, territory, or Commonwealth scheme. Existing dwellings must comply with the requirements of a New Build.</w:t>
            </w:r>
          </w:p>
        </w:tc>
      </w:tr>
      <w:tr w:rsidR="00624368" w:rsidRPr="005A22C2" w14:paraId="41550937"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5FDB8CF9" w14:textId="10A7E852" w:rsidR="00624368" w:rsidRPr="005A22C2" w:rsidRDefault="00624368" w:rsidP="006720A0">
            <w:r w:rsidRPr="005A22C2">
              <w:t>Fully Accessible Design Category</w:t>
            </w:r>
          </w:p>
        </w:tc>
        <w:tc>
          <w:tcPr>
            <w:tcW w:w="7202" w:type="dxa"/>
          </w:tcPr>
          <w:p w14:paraId="04BC27F1"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 xml:space="preserve">Housing that has been designed to incorporate a high level of physical access provision for people with significant physical impairment. </w:t>
            </w:r>
          </w:p>
        </w:tc>
      </w:tr>
      <w:tr w:rsidR="00624368" w:rsidRPr="005A22C2" w14:paraId="53F7C37F"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4F5373" w14:textId="77777777" w:rsidR="00624368" w:rsidRPr="005A22C2" w:rsidRDefault="00624368" w:rsidP="006720A0">
            <w:r w:rsidRPr="005A22C2">
              <w:t>Gearing Ratio</w:t>
            </w:r>
          </w:p>
        </w:tc>
        <w:tc>
          <w:tcPr>
            <w:tcW w:w="7202" w:type="dxa"/>
          </w:tcPr>
          <w:p w14:paraId="5C416620"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A measure of how much of a company’s operations are funded using debt vs funding received from shareholders as equity.</w:t>
            </w:r>
          </w:p>
        </w:tc>
      </w:tr>
      <w:tr w:rsidR="00624368" w:rsidRPr="005A22C2" w14:paraId="3F18C051"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6313D23A" w14:textId="77777777" w:rsidR="00624368" w:rsidRPr="005A22C2" w:rsidRDefault="00624368" w:rsidP="006720A0">
            <w:r w:rsidRPr="005A22C2">
              <w:t>Greenfield</w:t>
            </w:r>
          </w:p>
        </w:tc>
        <w:tc>
          <w:tcPr>
            <w:tcW w:w="7202" w:type="dxa"/>
          </w:tcPr>
          <w:p w14:paraId="0A74D4EA" w14:textId="48958CF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 xml:space="preserve">Denoting or relating to land or premises that </w:t>
            </w:r>
            <w:proofErr w:type="gramStart"/>
            <w:r w:rsidRPr="005A22C2">
              <w:t>are located in</w:t>
            </w:r>
            <w:proofErr w:type="gramEnd"/>
            <w:r w:rsidRPr="005A22C2">
              <w:t xml:space="preserve"> an area that has not previously been subject to development.</w:t>
            </w:r>
          </w:p>
        </w:tc>
      </w:tr>
      <w:tr w:rsidR="00624368" w:rsidRPr="005A22C2" w14:paraId="14FFDFEC"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396BCD1" w14:textId="77777777" w:rsidR="00624368" w:rsidRPr="005A22C2" w:rsidRDefault="00624368" w:rsidP="006720A0">
            <w:r w:rsidRPr="005A22C2">
              <w:t>Group Homes</w:t>
            </w:r>
          </w:p>
        </w:tc>
        <w:tc>
          <w:tcPr>
            <w:tcW w:w="7202" w:type="dxa"/>
          </w:tcPr>
          <w:p w14:paraId="38D66C27"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 xml:space="preserve">Group homes are distinguished from other houses by the larger number of residents (four or five long-term residents). </w:t>
            </w:r>
          </w:p>
        </w:tc>
      </w:tr>
      <w:tr w:rsidR="00624368" w:rsidRPr="005A22C2" w14:paraId="08B98B86"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373E2CB6" w14:textId="77777777" w:rsidR="00624368" w:rsidRPr="005A22C2" w:rsidRDefault="00624368" w:rsidP="006720A0">
            <w:r w:rsidRPr="005A22C2">
              <w:t>GST</w:t>
            </w:r>
          </w:p>
        </w:tc>
        <w:tc>
          <w:tcPr>
            <w:tcW w:w="7202" w:type="dxa"/>
          </w:tcPr>
          <w:p w14:paraId="674622FF"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Goods and Services Tax</w:t>
            </w:r>
          </w:p>
        </w:tc>
      </w:tr>
      <w:tr w:rsidR="00624368" w:rsidRPr="005A22C2" w14:paraId="66A61895"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0DE5407" w14:textId="3639B353" w:rsidR="00624368" w:rsidRPr="005A22C2" w:rsidRDefault="00624368" w:rsidP="006720A0">
            <w:r w:rsidRPr="005A22C2">
              <w:t>House</w:t>
            </w:r>
          </w:p>
        </w:tc>
        <w:tc>
          <w:tcPr>
            <w:tcW w:w="7202" w:type="dxa"/>
          </w:tcPr>
          <w:p w14:paraId="2C4A61B1" w14:textId="61004585" w:rsidR="00624368" w:rsidRPr="005A22C2" w:rsidRDefault="000A7C1B" w:rsidP="006720A0">
            <w:pPr>
              <w:cnfStyle w:val="000000100000" w:firstRow="0" w:lastRow="0" w:firstColumn="0" w:lastColumn="0" w:oddVBand="0" w:evenVBand="0" w:oddHBand="1" w:evenHBand="0" w:firstRowFirstColumn="0" w:firstRowLastColumn="0" w:lastRowFirstColumn="0" w:lastRowLastColumn="0"/>
            </w:pPr>
            <w:r w:rsidRPr="005A22C2">
              <w:t xml:space="preserve">A </w:t>
            </w:r>
            <w:r w:rsidR="00624368" w:rsidRPr="005A22C2">
              <w:t>House</w:t>
            </w:r>
            <w:r w:rsidRPr="005A22C2">
              <w:t xml:space="preserve"> is a </w:t>
            </w:r>
            <w:r w:rsidR="00624368" w:rsidRPr="005A22C2">
              <w:t>detached low-rise dwelling with garden or courtyard areas.</w:t>
            </w:r>
          </w:p>
          <w:p w14:paraId="3C929247" w14:textId="2935209E"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To be a house (rather than a villa/duplex/townhouse) the dwelling must be located on a clearly separated land area (</w:t>
            </w:r>
            <w:r w:rsidR="007E2D44">
              <w:t xml:space="preserve">for example, </w:t>
            </w:r>
            <w:r w:rsidRPr="005A22C2">
              <w:t>separated by a fence, hedge or other form of delineation that is in keeping with the character of the neighbourhood).</w:t>
            </w:r>
          </w:p>
          <w:p w14:paraId="5E027280"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It must not share a wall, roof, entry area, driveway, car parking or outdoor area with any dwelling other than an ancillary villa/duplex/townhouse with no more than one resident.</w:t>
            </w:r>
          </w:p>
          <w:p w14:paraId="1EEF87FF" w14:textId="10170D93"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 xml:space="preserve">A house is not to have more than two ancillary villa/duplex/townhouses, otherwise the primary dwelling is likely to be </w:t>
            </w:r>
            <w:r w:rsidR="000E0C5C" w:rsidRPr="005A22C2">
              <w:t>consider</w:t>
            </w:r>
            <w:r w:rsidRPr="005A22C2">
              <w:t>ed a villa/duplex/townhouse.</w:t>
            </w:r>
          </w:p>
          <w:p w14:paraId="6640FFE6"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lastRenderedPageBreak/>
              <w:t xml:space="preserve">Each house must have a land area that is proportional with the number of residents and keeps with similar properties in the neighbourhood. </w:t>
            </w:r>
          </w:p>
        </w:tc>
      </w:tr>
      <w:tr w:rsidR="00624368" w:rsidRPr="005A22C2" w14:paraId="62943B82"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0D09F9E7" w14:textId="0A1BCE22" w:rsidR="00624368" w:rsidRPr="005A22C2" w:rsidRDefault="00624368" w:rsidP="006720A0">
            <w:r w:rsidRPr="005A22C2">
              <w:lastRenderedPageBreak/>
              <w:t>High Physical Support Design Category</w:t>
            </w:r>
          </w:p>
        </w:tc>
        <w:tc>
          <w:tcPr>
            <w:tcW w:w="7202" w:type="dxa"/>
          </w:tcPr>
          <w:p w14:paraId="52C4CA5D"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Housing that has been designed to incorporate a high level of physical access provision for people with significant physical impairment and requiring very high levels of support.</w:t>
            </w:r>
          </w:p>
        </w:tc>
      </w:tr>
      <w:tr w:rsidR="00624368" w:rsidRPr="005A22C2" w14:paraId="353980CA"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BBBCF61" w14:textId="344B249B" w:rsidR="00624368" w:rsidRPr="005A22C2" w:rsidRDefault="00624368" w:rsidP="006720A0">
            <w:r w:rsidRPr="005A22C2">
              <w:t>Improved Liveability</w:t>
            </w:r>
            <w:r w:rsidR="00E93B2F" w:rsidRPr="005A22C2">
              <w:t xml:space="preserve"> </w:t>
            </w:r>
            <w:r w:rsidRPr="005A22C2">
              <w:t>Design Category</w:t>
            </w:r>
          </w:p>
        </w:tc>
        <w:tc>
          <w:tcPr>
            <w:tcW w:w="7202" w:type="dxa"/>
          </w:tcPr>
          <w:p w14:paraId="1F0F9E52"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 xml:space="preserve">Housing that has been designed to improve ‘liveability’ by incorporating a reasonable level of physical access and enhanced provision for people with sensory, intellectual or cognitive impairment. </w:t>
            </w:r>
          </w:p>
        </w:tc>
      </w:tr>
      <w:tr w:rsidR="00624368" w:rsidRPr="005A22C2" w14:paraId="32A506F2"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492D0C78" w14:textId="77777777" w:rsidR="00624368" w:rsidRPr="005A22C2" w:rsidRDefault="00624368" w:rsidP="006720A0">
            <w:r w:rsidRPr="005A22C2">
              <w:t>Interest Cover Ratio</w:t>
            </w:r>
          </w:p>
        </w:tc>
        <w:tc>
          <w:tcPr>
            <w:tcW w:w="7202" w:type="dxa"/>
          </w:tcPr>
          <w:p w14:paraId="60442DFC"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A debt and profitability ratio used to determine how easily a company can pay interest on its outstanding debt.</w:t>
            </w:r>
          </w:p>
        </w:tc>
      </w:tr>
      <w:tr w:rsidR="00624368" w:rsidRPr="005A22C2" w14:paraId="445DA059"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08490F" w14:textId="22ED1D37" w:rsidR="00624368" w:rsidRPr="005A22C2" w:rsidRDefault="00624368" w:rsidP="006720A0">
            <w:r w:rsidRPr="005A22C2">
              <w:t>Legacy Stock</w:t>
            </w:r>
          </w:p>
        </w:tc>
        <w:tc>
          <w:tcPr>
            <w:tcW w:w="7202" w:type="dxa"/>
          </w:tcPr>
          <w:p w14:paraId="58E78171" w14:textId="4B737FF8"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A</w:t>
            </w:r>
            <w:r w:rsidR="001D5DEB" w:rsidRPr="005A22C2">
              <w:t xml:space="preserve">n SDA </w:t>
            </w:r>
            <w:r w:rsidRPr="005A22C2">
              <w:t xml:space="preserve">dwelling that meets the </w:t>
            </w:r>
            <w:r w:rsidR="001D5DEB" w:rsidRPr="005A22C2">
              <w:t xml:space="preserve">SDA </w:t>
            </w:r>
            <w:r w:rsidRPr="005A22C2">
              <w:t>Existing Stock requirements except that it houses more than 5 residents.</w:t>
            </w:r>
          </w:p>
        </w:tc>
      </w:tr>
      <w:tr w:rsidR="00624368" w:rsidRPr="005A22C2" w14:paraId="3287B226"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56DD44B5" w14:textId="77777777" w:rsidR="00624368" w:rsidRPr="005A22C2" w:rsidRDefault="00624368" w:rsidP="006720A0">
            <w:r w:rsidRPr="005A22C2">
              <w:t>LVR</w:t>
            </w:r>
          </w:p>
        </w:tc>
        <w:tc>
          <w:tcPr>
            <w:tcW w:w="7202" w:type="dxa"/>
          </w:tcPr>
          <w:p w14:paraId="01A1AD72"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Loan to Value Ratio</w:t>
            </w:r>
          </w:p>
        </w:tc>
      </w:tr>
      <w:tr w:rsidR="00624368" w:rsidRPr="005A22C2" w14:paraId="35A2BD34"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ACA3D71" w14:textId="77777777" w:rsidR="00624368" w:rsidRPr="005A22C2" w:rsidRDefault="00624368" w:rsidP="006720A0">
            <w:r w:rsidRPr="005A22C2">
              <w:t>m</w:t>
            </w:r>
            <w:r w:rsidRPr="005A22C2">
              <w:rPr>
                <w:vertAlign w:val="superscript"/>
              </w:rPr>
              <w:t>2</w:t>
            </w:r>
          </w:p>
        </w:tc>
        <w:tc>
          <w:tcPr>
            <w:tcW w:w="7202" w:type="dxa"/>
          </w:tcPr>
          <w:p w14:paraId="5BA3CAAA"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Metres squared</w:t>
            </w:r>
          </w:p>
        </w:tc>
      </w:tr>
      <w:tr w:rsidR="00624368" w:rsidRPr="005A22C2" w14:paraId="1142A9C1"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0414B9BC" w14:textId="424E5473" w:rsidR="00624368" w:rsidRPr="005A22C2" w:rsidRDefault="00624368" w:rsidP="006720A0">
            <w:r w:rsidRPr="005A22C2">
              <w:t>New Build</w:t>
            </w:r>
            <w:r w:rsidR="001D5DEB" w:rsidRPr="005A22C2">
              <w:t xml:space="preserve"> Dwelling</w:t>
            </w:r>
          </w:p>
        </w:tc>
        <w:tc>
          <w:tcPr>
            <w:tcW w:w="7202" w:type="dxa"/>
          </w:tcPr>
          <w:p w14:paraId="2A26100E" w14:textId="64901DEB"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A</w:t>
            </w:r>
            <w:r w:rsidR="001D5DEB" w:rsidRPr="005A22C2">
              <w:t>n SDA</w:t>
            </w:r>
            <w:r w:rsidRPr="005A22C2">
              <w:t xml:space="preserve"> dwelling that is enrolled to house five or fewer long-term residents and that was issued its first certificate of occupancy, or equivalent, on or after 1 April 2016. All its shared areas, and any bedrooms for use by SDA-eligible participants must comply with the Minimum Requirements for a Design Category other than Basic.</w:t>
            </w:r>
          </w:p>
        </w:tc>
      </w:tr>
      <w:tr w:rsidR="00624368" w:rsidRPr="005A22C2" w14:paraId="45F1EE19"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576FB39" w14:textId="7C4AAC96" w:rsidR="00624368" w:rsidRPr="005A22C2" w:rsidRDefault="00624368" w:rsidP="006720A0">
            <w:r w:rsidRPr="005A22C2">
              <w:t>New Build (refurbished)</w:t>
            </w:r>
            <w:r w:rsidR="001D5DEB" w:rsidRPr="005A22C2">
              <w:t xml:space="preserve"> Dwelling</w:t>
            </w:r>
          </w:p>
        </w:tc>
        <w:tc>
          <w:tcPr>
            <w:tcW w:w="7202" w:type="dxa"/>
          </w:tcPr>
          <w:p w14:paraId="009096B2" w14:textId="62249C91"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A</w:t>
            </w:r>
            <w:r w:rsidR="001D5DEB" w:rsidRPr="005A22C2">
              <w:t>n SDA</w:t>
            </w:r>
            <w:r w:rsidRPr="005A22C2">
              <w:t xml:space="preserve"> dwelling that was built before 1 April 2016 but that has been significantly refurbished since 1 April 2016 and now meets </w:t>
            </w:r>
            <w:proofErr w:type="gramStart"/>
            <w:r w:rsidRPr="005A22C2">
              <w:t>all of</w:t>
            </w:r>
            <w:proofErr w:type="gramEnd"/>
            <w:r w:rsidRPr="005A22C2">
              <w:t xml:space="preserve"> the requirements for a</w:t>
            </w:r>
            <w:r w:rsidR="001D5DEB" w:rsidRPr="005A22C2">
              <w:t>n SDA</w:t>
            </w:r>
            <w:r w:rsidRPr="005A22C2">
              <w:t xml:space="preserve"> New Build.</w:t>
            </w:r>
          </w:p>
        </w:tc>
      </w:tr>
      <w:tr w:rsidR="00624368" w:rsidRPr="005A22C2" w14:paraId="315539C8"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6D482134" w14:textId="77777777" w:rsidR="00624368" w:rsidRPr="005A22C2" w:rsidRDefault="00624368" w:rsidP="006720A0">
            <w:r w:rsidRPr="005A22C2">
              <w:t>NDIA</w:t>
            </w:r>
          </w:p>
        </w:tc>
        <w:tc>
          <w:tcPr>
            <w:tcW w:w="7202" w:type="dxa"/>
          </w:tcPr>
          <w:p w14:paraId="032EB152"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National Disability Insurance Agency</w:t>
            </w:r>
          </w:p>
        </w:tc>
      </w:tr>
      <w:tr w:rsidR="00624368" w:rsidRPr="005A22C2" w14:paraId="02C65A9F"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9680D5" w14:textId="77777777" w:rsidR="00624368" w:rsidRPr="005A22C2" w:rsidRDefault="00624368" w:rsidP="006720A0">
            <w:r w:rsidRPr="005A22C2">
              <w:t>NDIS</w:t>
            </w:r>
          </w:p>
        </w:tc>
        <w:tc>
          <w:tcPr>
            <w:tcW w:w="7202" w:type="dxa"/>
          </w:tcPr>
          <w:p w14:paraId="01D92753"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National Disability Insurance Scheme</w:t>
            </w:r>
          </w:p>
        </w:tc>
      </w:tr>
      <w:tr w:rsidR="00624368" w:rsidRPr="005A22C2" w14:paraId="3F51F77F"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0E8F3379" w14:textId="411B57F3" w:rsidR="00624368" w:rsidRPr="005A22C2" w:rsidRDefault="002D434A" w:rsidP="006720A0">
            <w:r w:rsidRPr="005A22C2">
              <w:t>Onsite Overnight Accommodation</w:t>
            </w:r>
          </w:p>
        </w:tc>
        <w:tc>
          <w:tcPr>
            <w:tcW w:w="7202" w:type="dxa"/>
          </w:tcPr>
          <w:p w14:paraId="26B66BCA"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 xml:space="preserve">Onsite Overnight Assistance </w:t>
            </w:r>
          </w:p>
        </w:tc>
      </w:tr>
      <w:tr w:rsidR="00624368" w:rsidRPr="005A22C2" w14:paraId="17E633C5"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7198F33" w14:textId="77777777" w:rsidR="00624368" w:rsidRPr="005A22C2" w:rsidRDefault="00624368" w:rsidP="006720A0">
            <w:r w:rsidRPr="005A22C2">
              <w:t>Robust Design Category</w:t>
            </w:r>
          </w:p>
        </w:tc>
        <w:tc>
          <w:tcPr>
            <w:tcW w:w="7202" w:type="dxa"/>
          </w:tcPr>
          <w:p w14:paraId="7A9742AF" w14:textId="0DBB1FAB"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Housing that has been design</w:t>
            </w:r>
            <w:r w:rsidR="000E0C5C" w:rsidRPr="005A22C2">
              <w:t>ed</w:t>
            </w:r>
            <w:r w:rsidRPr="005A22C2">
              <w:t xml:space="preserve"> to incorporate a high level of physical access provision and be very resilient, while reducing the likelihood of reactive maintenance and reducing the risk to the participant and the community. </w:t>
            </w:r>
          </w:p>
        </w:tc>
      </w:tr>
      <w:tr w:rsidR="00624368" w:rsidRPr="005A22C2" w14:paraId="1BA72ECC"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755CCF06" w14:textId="77777777" w:rsidR="00624368" w:rsidRPr="005A22C2" w:rsidRDefault="00624368" w:rsidP="006720A0">
            <w:r w:rsidRPr="005A22C2">
              <w:t>SA3</w:t>
            </w:r>
          </w:p>
        </w:tc>
        <w:tc>
          <w:tcPr>
            <w:tcW w:w="7202" w:type="dxa"/>
          </w:tcPr>
          <w:p w14:paraId="047F1DCF" w14:textId="21C62000"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A22C2">
              <w:rPr>
                <w:rFonts w:asciiTheme="minorHAnsi" w:hAnsiTheme="minorHAnsi" w:cstheme="minorHAnsi"/>
                <w:szCs w:val="16"/>
              </w:rPr>
              <w:t>Statistical Area Level 3</w:t>
            </w:r>
            <w:r w:rsidR="00E00A56" w:rsidRPr="005A22C2">
              <w:rPr>
                <w:rFonts w:asciiTheme="minorHAnsi" w:hAnsiTheme="minorHAnsi" w:cstheme="minorHAnsi"/>
                <w:szCs w:val="16"/>
              </w:rPr>
              <w:t xml:space="preserve"> </w:t>
            </w:r>
            <w:r w:rsidR="001D5DEB" w:rsidRPr="005A22C2">
              <w:rPr>
                <w:rFonts w:asciiTheme="minorHAnsi" w:hAnsiTheme="minorHAnsi" w:cstheme="minorHAnsi"/>
                <w:szCs w:val="16"/>
              </w:rPr>
              <w:t>–</w:t>
            </w:r>
            <w:r w:rsidR="00E00A56" w:rsidRPr="005A22C2">
              <w:rPr>
                <w:rFonts w:asciiTheme="minorHAnsi" w:hAnsiTheme="minorHAnsi" w:cstheme="minorHAnsi"/>
                <w:szCs w:val="16"/>
              </w:rPr>
              <w:t xml:space="preserve"> see </w:t>
            </w:r>
            <w:hyperlink r:id="rId27" w:anchor=":~:text=Statistical%20Areas%20Level%203%20%28SA3s%29%20are%20designed%20for,most%20have%20populations%20between%2030%2C000%20and%20130%2C000%20people." w:history="1">
              <w:r w:rsidR="00E00A56" w:rsidRPr="005A22C2">
                <w:rPr>
                  <w:rStyle w:val="Hyperlink"/>
                  <w:rFonts w:asciiTheme="minorHAnsi" w:hAnsiTheme="minorHAnsi" w:cstheme="minorHAnsi"/>
                  <w:szCs w:val="16"/>
                </w:rPr>
                <w:t>Australian Statistical Geography Standard (ASGS) Edition 3, July 2021 - June 2026 | Australian Bureau of Statistics (abs.gov.au)</w:t>
              </w:r>
            </w:hyperlink>
          </w:p>
        </w:tc>
      </w:tr>
      <w:tr w:rsidR="00624368" w:rsidRPr="005A22C2" w14:paraId="0A38B8F6"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7BAFC1B" w14:textId="77777777" w:rsidR="00624368" w:rsidRPr="005A22C2" w:rsidRDefault="00624368" w:rsidP="006720A0">
            <w:r w:rsidRPr="005A22C2">
              <w:t>SA4</w:t>
            </w:r>
          </w:p>
        </w:tc>
        <w:tc>
          <w:tcPr>
            <w:tcW w:w="7202" w:type="dxa"/>
          </w:tcPr>
          <w:p w14:paraId="5B669A42" w14:textId="7B6C01C4"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6"/>
              </w:rPr>
            </w:pPr>
            <w:r w:rsidRPr="005A22C2">
              <w:rPr>
                <w:rFonts w:asciiTheme="minorHAnsi" w:hAnsiTheme="minorHAnsi" w:cstheme="minorHAnsi"/>
                <w:szCs w:val="16"/>
              </w:rPr>
              <w:t>Statistical Area Level 4</w:t>
            </w:r>
            <w:r w:rsidR="001D5DEB" w:rsidRPr="005A22C2">
              <w:rPr>
                <w:rFonts w:asciiTheme="minorHAnsi" w:hAnsiTheme="minorHAnsi" w:cstheme="minorHAnsi"/>
                <w:szCs w:val="16"/>
              </w:rPr>
              <w:t xml:space="preserve"> – see </w:t>
            </w:r>
            <w:hyperlink r:id="rId28" w:anchor=":~:text=Statistical%20Areas%20Level%203%20%28SA3s%29%20are%20designed%20for,most%20have%20populations%20between%2030%2C000%20and%20130%2C000%20people." w:history="1">
              <w:r w:rsidR="001D5DEB" w:rsidRPr="005A22C2">
                <w:rPr>
                  <w:rStyle w:val="Hyperlink"/>
                  <w:rFonts w:asciiTheme="minorHAnsi" w:hAnsiTheme="minorHAnsi" w:cstheme="minorHAnsi"/>
                  <w:szCs w:val="16"/>
                </w:rPr>
                <w:t>Australian Statistical Geography Standard (ASGS) Edition 3, July 2021 - June 2026 | Australian Bureau of Statistics (abs.gov.au)</w:t>
              </w:r>
            </w:hyperlink>
          </w:p>
        </w:tc>
      </w:tr>
      <w:tr w:rsidR="00624368" w:rsidRPr="005A22C2" w14:paraId="1A452B6C"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3D1C66D2" w14:textId="77777777" w:rsidR="00624368" w:rsidRPr="005A22C2" w:rsidRDefault="00624368" w:rsidP="006720A0">
            <w:r w:rsidRPr="005A22C2">
              <w:t>SDA</w:t>
            </w:r>
          </w:p>
        </w:tc>
        <w:tc>
          <w:tcPr>
            <w:tcW w:w="7202" w:type="dxa"/>
          </w:tcPr>
          <w:p w14:paraId="05A15BA3"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Specialist Disability Accommodation</w:t>
            </w:r>
          </w:p>
        </w:tc>
      </w:tr>
      <w:tr w:rsidR="00624368" w:rsidRPr="005A22C2" w14:paraId="45AE9680"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9F9258" w14:textId="77777777" w:rsidR="00624368" w:rsidRPr="005A22C2" w:rsidRDefault="00624368" w:rsidP="006720A0">
            <w:r w:rsidRPr="005A22C2">
              <w:t>SDA Design Standard</w:t>
            </w:r>
          </w:p>
        </w:tc>
        <w:tc>
          <w:tcPr>
            <w:tcW w:w="7202" w:type="dxa"/>
          </w:tcPr>
          <w:p w14:paraId="06BE1815"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 xml:space="preserve">Documents the detailed design requirements for newly built SDA seeking enrolment under the NDIS. </w:t>
            </w:r>
          </w:p>
        </w:tc>
      </w:tr>
      <w:tr w:rsidR="00624368" w:rsidRPr="005A22C2" w14:paraId="5EAAB7BA"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55D0812B" w14:textId="77777777" w:rsidR="00624368" w:rsidRPr="005A22C2" w:rsidRDefault="00624368" w:rsidP="006720A0">
            <w:r w:rsidRPr="005A22C2">
              <w:lastRenderedPageBreak/>
              <w:t xml:space="preserve">Strata </w:t>
            </w:r>
          </w:p>
        </w:tc>
        <w:tc>
          <w:tcPr>
            <w:tcW w:w="7202" w:type="dxa"/>
          </w:tcPr>
          <w:p w14:paraId="3AF83234"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A model of property ownership in Australia that allows individuals to buy ownership in a larger property or building. Owners of a ‘lot’ within a strata complex own their own lot as well as a share in the ‘common property’.</w:t>
            </w:r>
          </w:p>
        </w:tc>
      </w:tr>
      <w:tr w:rsidR="00624368" w:rsidRPr="005A22C2" w14:paraId="54A22F01"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57354F" w14:textId="77777777" w:rsidR="00624368" w:rsidRPr="005A22C2" w:rsidRDefault="00624368" w:rsidP="006720A0">
            <w:r w:rsidRPr="005A22C2">
              <w:t>SIL</w:t>
            </w:r>
          </w:p>
        </w:tc>
        <w:tc>
          <w:tcPr>
            <w:tcW w:w="7202" w:type="dxa"/>
          </w:tcPr>
          <w:p w14:paraId="6AA4F043" w14:textId="77777777" w:rsidR="00624368" w:rsidRPr="005A22C2" w:rsidRDefault="00624368" w:rsidP="006720A0">
            <w:pPr>
              <w:cnfStyle w:val="000000100000" w:firstRow="0" w:lastRow="0" w:firstColumn="0" w:lastColumn="0" w:oddVBand="0" w:evenVBand="0" w:oddHBand="1" w:evenHBand="0" w:firstRowFirstColumn="0" w:firstRowLastColumn="0" w:lastRowFirstColumn="0" w:lastRowLastColumn="0"/>
            </w:pPr>
            <w:r w:rsidRPr="005A22C2">
              <w:t>Supported Independent Living</w:t>
            </w:r>
          </w:p>
        </w:tc>
      </w:tr>
      <w:tr w:rsidR="00624368" w:rsidRPr="005A22C2" w14:paraId="03BDB92B" w14:textId="77777777" w:rsidTr="006249CC">
        <w:tc>
          <w:tcPr>
            <w:cnfStyle w:val="001000000000" w:firstRow="0" w:lastRow="0" w:firstColumn="1" w:lastColumn="0" w:oddVBand="0" w:evenVBand="0" w:oddHBand="0" w:evenHBand="0" w:firstRowFirstColumn="0" w:firstRowLastColumn="0" w:lastRowFirstColumn="0" w:lastRowLastColumn="0"/>
            <w:tcW w:w="1838" w:type="dxa"/>
          </w:tcPr>
          <w:p w14:paraId="6CF20C15" w14:textId="77777777" w:rsidR="00624368" w:rsidRPr="005A22C2" w:rsidRDefault="00624368" w:rsidP="006720A0">
            <w:r w:rsidRPr="005A22C2">
              <w:t>Townhouse</w:t>
            </w:r>
          </w:p>
        </w:tc>
        <w:tc>
          <w:tcPr>
            <w:tcW w:w="7202" w:type="dxa"/>
          </w:tcPr>
          <w:p w14:paraId="1CC66FDA" w14:textId="77777777" w:rsidR="00624368" w:rsidRPr="005A22C2" w:rsidRDefault="00624368" w:rsidP="006720A0">
            <w:pPr>
              <w:cnfStyle w:val="000000000000" w:firstRow="0" w:lastRow="0" w:firstColumn="0" w:lastColumn="0" w:oddVBand="0" w:evenVBand="0" w:oddHBand="0" w:evenHBand="0" w:firstRowFirstColumn="0" w:firstRowLastColumn="0" w:lastRowFirstColumn="0" w:lastRowLastColumn="0"/>
            </w:pPr>
            <w:r w:rsidRPr="005A22C2">
              <w:t>Refer to the definition for Duplex</w:t>
            </w:r>
          </w:p>
        </w:tc>
      </w:tr>
      <w:tr w:rsidR="00624368" w:rsidRPr="007B6007" w14:paraId="6643683C" w14:textId="77777777" w:rsidTr="0062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075583A" w14:textId="77777777" w:rsidR="00624368" w:rsidRPr="005A22C2" w:rsidRDefault="00624368" w:rsidP="006720A0">
            <w:r w:rsidRPr="005A22C2">
              <w:t>Villas</w:t>
            </w:r>
          </w:p>
        </w:tc>
        <w:tc>
          <w:tcPr>
            <w:tcW w:w="7202" w:type="dxa"/>
          </w:tcPr>
          <w:p w14:paraId="50C665FC" w14:textId="77777777" w:rsidR="00624368" w:rsidRPr="00122DC8" w:rsidRDefault="00624368" w:rsidP="006720A0">
            <w:pPr>
              <w:cnfStyle w:val="000000100000" w:firstRow="0" w:lastRow="0" w:firstColumn="0" w:lastColumn="0" w:oddVBand="0" w:evenVBand="0" w:oddHBand="1" w:evenHBand="0" w:firstRowFirstColumn="0" w:firstRowLastColumn="0" w:lastRowFirstColumn="0" w:lastRowLastColumn="0"/>
            </w:pPr>
            <w:r w:rsidRPr="005A22C2">
              <w:t>Refer to the definition for Duplex</w:t>
            </w:r>
          </w:p>
        </w:tc>
      </w:tr>
      <w:bookmarkEnd w:id="14"/>
    </w:tbl>
    <w:p w14:paraId="26603990" w14:textId="0171C9A2" w:rsidR="00DF4740" w:rsidRPr="007B6007" w:rsidRDefault="00DF4740" w:rsidP="00212A02"/>
    <w:sectPr w:rsidR="00DF4740" w:rsidRPr="007B6007" w:rsidSect="00736B3B">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21EF" w14:textId="77777777" w:rsidR="000B479B" w:rsidRDefault="000B479B" w:rsidP="006720A0">
      <w:r>
        <w:separator/>
      </w:r>
    </w:p>
    <w:p w14:paraId="3CAA92E9" w14:textId="77777777" w:rsidR="000B479B" w:rsidRDefault="000B479B" w:rsidP="006720A0"/>
  </w:endnote>
  <w:endnote w:type="continuationSeparator" w:id="0">
    <w:p w14:paraId="0D401FA4" w14:textId="77777777" w:rsidR="000B479B" w:rsidRDefault="000B479B" w:rsidP="006720A0">
      <w:r>
        <w:continuationSeparator/>
      </w:r>
    </w:p>
    <w:p w14:paraId="700A89C0" w14:textId="77777777" w:rsidR="000B479B" w:rsidRDefault="000B479B" w:rsidP="006720A0"/>
  </w:endnote>
  <w:endnote w:type="continuationNotice" w:id="1">
    <w:p w14:paraId="235FA075" w14:textId="77777777" w:rsidR="000B479B" w:rsidRDefault="000B479B" w:rsidP="006720A0"/>
    <w:p w14:paraId="269B5CCE" w14:textId="77777777" w:rsidR="000B479B" w:rsidRDefault="000B479B" w:rsidP="00672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1A14" w14:textId="77777777" w:rsidR="00D71FA7" w:rsidRDefault="00D71FA7" w:rsidP="00D71FA7">
    <w:pPr>
      <w:pStyle w:val="Footer"/>
      <w:framePr w:wrap="auto" w:vAnchor="margin" w:yAlign="inline"/>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4103" w14:textId="5687EA53" w:rsidR="00E54788" w:rsidRDefault="00856B02" w:rsidP="00D71FA7">
    <w:pPr>
      <w:jc w:val="right"/>
    </w:pPr>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991602"/>
      <w:docPartObj>
        <w:docPartGallery w:val="Page Numbers (Bottom of Page)"/>
        <w:docPartUnique/>
      </w:docPartObj>
    </w:sdtPr>
    <w:sdtEndPr>
      <w:rPr>
        <w:noProof/>
      </w:rPr>
    </w:sdtEndPr>
    <w:sdtContent>
      <w:p w14:paraId="61AC6270" w14:textId="4C6FC718" w:rsidR="00F96738" w:rsidRDefault="00F96738" w:rsidP="00F96738">
        <w:pPr>
          <w:pStyle w:val="Footer"/>
          <w:framePr w:wrap="around"/>
        </w:pPr>
        <w:r>
          <w:fldChar w:fldCharType="begin"/>
        </w:r>
        <w:r>
          <w:instrText xml:space="preserve"> PAGE   \* MERGEFORMAT </w:instrText>
        </w:r>
        <w:r>
          <w:fldChar w:fldCharType="separate"/>
        </w:r>
        <w:r>
          <w:rPr>
            <w:noProof/>
          </w:rPr>
          <w:t>2</w:t>
        </w:r>
        <w:r>
          <w:rPr>
            <w:noProof/>
          </w:rPr>
          <w:fldChar w:fldCharType="end"/>
        </w:r>
      </w:p>
    </w:sdtContent>
  </w:sdt>
  <w:p w14:paraId="2C85D10D" w14:textId="77777777" w:rsidR="0067682D" w:rsidRDefault="0067682D">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6520" w14:textId="77777777" w:rsidR="00450836" w:rsidRDefault="00450836" w:rsidP="00D71FA7">
    <w:pPr>
      <w:jc w:val="right"/>
    </w:pPr>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04D2" w14:textId="6886010D" w:rsidR="00E54788" w:rsidRPr="00567A93" w:rsidRDefault="00E54788" w:rsidP="00D71FA7">
    <w:pPr>
      <w:pStyle w:val="Footer"/>
      <w:framePr w:wrap="auto" w:vAnchor="margin" w:yAlign="inline"/>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B210" w14:textId="2582D18B" w:rsidR="00450836" w:rsidRDefault="00450836" w:rsidP="00D71FA7">
    <w:pPr>
      <w:jc w:val="right"/>
    </w:pPr>
    <w:r>
      <w:fldChar w:fldCharType="begin"/>
    </w:r>
    <w:r>
      <w:instrText xml:space="preserve"> PAGE   \* MERGEFORMAT </w:instrText>
    </w:r>
    <w:r>
      <w:fldChar w:fldCharType="separate"/>
    </w:r>
    <w:r>
      <w:rPr>
        <w:noProof/>
      </w:rPr>
      <w:t>1</w:t>
    </w:r>
    <w:r>
      <w:rPr>
        <w:noProof/>
      </w:rPr>
      <w:fldChar w:fldCharType="end"/>
    </w:r>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903614"/>
      <w:docPartObj>
        <w:docPartGallery w:val="Page Numbers (Bottom of Page)"/>
        <w:docPartUnique/>
      </w:docPartObj>
    </w:sdtPr>
    <w:sdtEndPr>
      <w:rPr>
        <w:noProof/>
      </w:rPr>
    </w:sdtEndPr>
    <w:sdtContent>
      <w:p w14:paraId="7941F99A" w14:textId="668321EE" w:rsidR="00D71FA7" w:rsidRDefault="00D71FA7" w:rsidP="00D71FA7">
        <w:pPr>
          <w:pStyle w:val="Footer"/>
          <w:framePr w:wrap="auto" w:vAnchor="margin" w:yAlign="inline"/>
          <w:jc w:val="right"/>
        </w:pPr>
        <w:r>
          <w:fldChar w:fldCharType="begin"/>
        </w:r>
        <w:r>
          <w:instrText xml:space="preserve"> PAGE   \* MERGEFORMAT </w:instrText>
        </w:r>
        <w:r>
          <w:fldChar w:fldCharType="separate"/>
        </w:r>
        <w:r>
          <w:rPr>
            <w:noProof/>
          </w:rPr>
          <w:t>2</w:t>
        </w:r>
        <w:r>
          <w:rPr>
            <w:noProof/>
          </w:rPr>
          <w:fldChar w:fldCharType="end"/>
        </w:r>
      </w:p>
    </w:sdtContent>
  </w:sdt>
  <w:p w14:paraId="340302DC" w14:textId="77777777" w:rsidR="00D71FA7" w:rsidRPr="00567A93" w:rsidRDefault="00D71FA7" w:rsidP="00D71FA7">
    <w:pPr>
      <w:pStyle w:val="Footer"/>
      <w:framePr w:wrap="auto" w:vAnchor="margin" w:yAlign="inlin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1B05" w14:textId="77777777" w:rsidR="000B479B" w:rsidRDefault="000B479B" w:rsidP="006720A0">
      <w:r>
        <w:separator/>
      </w:r>
    </w:p>
  </w:footnote>
  <w:footnote w:type="continuationSeparator" w:id="0">
    <w:p w14:paraId="00B456CD" w14:textId="77777777" w:rsidR="000B479B" w:rsidRDefault="000B479B" w:rsidP="006720A0">
      <w:r>
        <w:continuationSeparator/>
      </w:r>
    </w:p>
    <w:p w14:paraId="2172A155" w14:textId="77777777" w:rsidR="000B479B" w:rsidRDefault="000B479B" w:rsidP="006720A0"/>
  </w:footnote>
  <w:footnote w:type="continuationNotice" w:id="1">
    <w:p w14:paraId="41FFDDBE" w14:textId="77777777" w:rsidR="000B479B" w:rsidRDefault="000B479B" w:rsidP="00672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D64F" w14:textId="5A443825" w:rsidR="0067682D" w:rsidRPr="0067682D" w:rsidRDefault="0067682D" w:rsidP="0067682D">
    <w:pPr>
      <w:pStyle w:val="Header"/>
      <w:jc w:val="center"/>
      <w:rPr>
        <w:b/>
        <w:bCs/>
        <w:color w:val="C00000"/>
      </w:rPr>
    </w:pPr>
  </w:p>
  <w:p w14:paraId="316F2E74" w14:textId="3C01C479" w:rsidR="000577C9" w:rsidRPr="003731F1" w:rsidRDefault="000577C9" w:rsidP="00672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8DAA" w14:textId="0730927F" w:rsidR="0067682D" w:rsidRPr="0067682D" w:rsidRDefault="0067682D" w:rsidP="0067682D">
    <w:pPr>
      <w:pStyle w:val="Header"/>
      <w:jc w:val="center"/>
      <w:rPr>
        <w:rFonts w:cs="Arial"/>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F36"/>
    <w:multiLevelType w:val="hybridMultilevel"/>
    <w:tmpl w:val="6AA4B5C8"/>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07131BF3"/>
    <w:multiLevelType w:val="hybridMultilevel"/>
    <w:tmpl w:val="F6F0E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62CC5"/>
    <w:multiLevelType w:val="hybridMultilevel"/>
    <w:tmpl w:val="CB84123E"/>
    <w:lvl w:ilvl="0" w:tplc="7520BF14">
      <w:start w:val="1"/>
      <w:numFmt w:val="bullet"/>
      <w:pStyle w:val="DotPoint"/>
      <w:lvlText w:val=""/>
      <w:lvlJc w:val="left"/>
      <w:pPr>
        <w:ind w:left="567" w:hanging="283"/>
      </w:pPr>
      <w:rPr>
        <w:rFonts w:ascii="Symbol" w:hAnsi="Symbol" w:hint="default"/>
        <w:color w:val="auto"/>
      </w:rPr>
    </w:lvl>
    <w:lvl w:ilvl="1" w:tplc="FF88AB46">
      <w:start w:val="1"/>
      <w:numFmt w:val="bullet"/>
      <w:lvlText w:val="o"/>
      <w:lvlJc w:val="left"/>
      <w:pPr>
        <w:ind w:left="851" w:hanging="284"/>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numFmt w:val="bullet"/>
      <w:lvlText w:val="•"/>
      <w:lvlJc w:val="left"/>
      <w:pPr>
        <w:ind w:left="2880" w:hanging="360"/>
      </w:pPr>
      <w:rPr>
        <w:rFonts w:ascii="Arial" w:eastAsiaTheme="minorEastAsia" w:hAnsi="Arial" w:cs="Aria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1D3035"/>
    <w:multiLevelType w:val="hybridMultilevel"/>
    <w:tmpl w:val="AE186ADE"/>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51864"/>
    <w:multiLevelType w:val="hybridMultilevel"/>
    <w:tmpl w:val="F662A3E8"/>
    <w:lvl w:ilvl="0" w:tplc="BBC04722">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510640"/>
    <w:multiLevelType w:val="hybridMultilevel"/>
    <w:tmpl w:val="D3B45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010435"/>
    <w:multiLevelType w:val="hybridMultilevel"/>
    <w:tmpl w:val="4364B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CB40AD"/>
    <w:multiLevelType w:val="hybridMultilevel"/>
    <w:tmpl w:val="02225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4D42D0"/>
    <w:multiLevelType w:val="hybridMultilevel"/>
    <w:tmpl w:val="EEB2A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662544"/>
    <w:multiLevelType w:val="hybridMultilevel"/>
    <w:tmpl w:val="A92A610C"/>
    <w:lvl w:ilvl="0" w:tplc="7B98DF06">
      <w:start w:val="2"/>
      <w:numFmt w:val="decimal"/>
      <w:lvlText w:val="%1."/>
      <w:lvlJc w:val="left"/>
      <w:pPr>
        <w:ind w:left="720" w:hanging="360"/>
      </w:pPr>
      <w:rPr>
        <w:rFonts w:hint="default"/>
        <w:b w:val="0"/>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B50197"/>
    <w:multiLevelType w:val="hybridMultilevel"/>
    <w:tmpl w:val="6D00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4D3571"/>
    <w:multiLevelType w:val="hybridMultilevel"/>
    <w:tmpl w:val="1F16F21E"/>
    <w:lvl w:ilvl="0" w:tplc="FFFFFFFF">
      <w:start w:val="1"/>
      <w:numFmt w:val="decimal"/>
      <w:lvlText w:val="%1."/>
      <w:lvlJc w:val="left"/>
      <w:pPr>
        <w:ind w:left="720" w:hanging="360"/>
      </w:pPr>
      <w:rPr>
        <w:b w:val="0"/>
        <w:bCs/>
        <w:i w:val="0"/>
        <w:i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4B2CA3"/>
    <w:multiLevelType w:val="hybridMultilevel"/>
    <w:tmpl w:val="27A0672C"/>
    <w:lvl w:ilvl="0" w:tplc="D13EB6B4">
      <w:start w:val="9"/>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94174C"/>
    <w:multiLevelType w:val="hybridMultilevel"/>
    <w:tmpl w:val="0D48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16155E"/>
    <w:multiLevelType w:val="hybridMultilevel"/>
    <w:tmpl w:val="1F16F21E"/>
    <w:lvl w:ilvl="0" w:tplc="FFFFFFFF">
      <w:start w:val="1"/>
      <w:numFmt w:val="decimal"/>
      <w:lvlText w:val="%1."/>
      <w:lvlJc w:val="left"/>
      <w:pPr>
        <w:ind w:left="720" w:hanging="360"/>
      </w:pPr>
      <w:rPr>
        <w:b w:val="0"/>
        <w:bCs/>
        <w:i w:val="0"/>
        <w:i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D9483D"/>
    <w:multiLevelType w:val="hybridMultilevel"/>
    <w:tmpl w:val="036C7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973830"/>
    <w:multiLevelType w:val="hybridMultilevel"/>
    <w:tmpl w:val="46407F8C"/>
    <w:lvl w:ilvl="0" w:tplc="7174EA68">
      <w:start w:val="1"/>
      <w:numFmt w:val="decimal"/>
      <w:lvlText w:val="%1."/>
      <w:lvlJc w:val="left"/>
      <w:pPr>
        <w:ind w:left="567" w:hanging="567"/>
      </w:pPr>
      <w:rPr>
        <w:rFonts w:hint="default"/>
      </w:rPr>
    </w:lvl>
    <w:lvl w:ilvl="1" w:tplc="5694CA1A">
      <w:start w:val="1"/>
      <w:numFmt w:val="lowerLetter"/>
      <w:lvlText w:val="%2."/>
      <w:lvlJc w:val="left"/>
      <w:pPr>
        <w:ind w:left="1134"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4F5425"/>
    <w:multiLevelType w:val="hybridMultilevel"/>
    <w:tmpl w:val="9EC68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6D4E3C"/>
    <w:multiLevelType w:val="hybridMultilevel"/>
    <w:tmpl w:val="10E46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27423D"/>
    <w:multiLevelType w:val="hybridMultilevel"/>
    <w:tmpl w:val="F662A3E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7C552B"/>
    <w:multiLevelType w:val="hybridMultilevel"/>
    <w:tmpl w:val="B6CC24AE"/>
    <w:lvl w:ilvl="0" w:tplc="B27A8B1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502D1393"/>
    <w:multiLevelType w:val="hybridMultilevel"/>
    <w:tmpl w:val="AC84B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682269"/>
    <w:multiLevelType w:val="hybridMultilevel"/>
    <w:tmpl w:val="BA084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970DA7"/>
    <w:multiLevelType w:val="hybridMultilevel"/>
    <w:tmpl w:val="1E32E1EC"/>
    <w:lvl w:ilvl="0" w:tplc="FFFFFFFF">
      <w:start w:val="1"/>
      <w:numFmt w:val="decimal"/>
      <w:lvlText w:val="%1."/>
      <w:lvlJc w:val="left"/>
      <w:pPr>
        <w:ind w:left="720" w:hanging="360"/>
      </w:pPr>
      <w:rPr>
        <w:b w:val="0"/>
        <w:bCs/>
        <w:i w:val="0"/>
        <w:i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F161F9"/>
    <w:multiLevelType w:val="multilevel"/>
    <w:tmpl w:val="021064F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none"/>
      <w:lvlText w:val=""/>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84906C0"/>
    <w:multiLevelType w:val="hybridMultilevel"/>
    <w:tmpl w:val="1E32E1EC"/>
    <w:lvl w:ilvl="0" w:tplc="44F4DACA">
      <w:start w:val="1"/>
      <w:numFmt w:val="decimal"/>
      <w:lvlText w:val="%1."/>
      <w:lvlJc w:val="left"/>
      <w:pPr>
        <w:ind w:left="720" w:hanging="360"/>
      </w:pPr>
      <w:rPr>
        <w:b w:val="0"/>
        <w:bCs/>
        <w:i w:val="0"/>
        <w:iCs w:val="0"/>
      </w:rPr>
    </w:lvl>
    <w:lvl w:ilvl="1" w:tplc="B35438BC">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232E3B"/>
    <w:multiLevelType w:val="hybridMultilevel"/>
    <w:tmpl w:val="AE186ADE"/>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461B34"/>
    <w:multiLevelType w:val="hybridMultilevel"/>
    <w:tmpl w:val="A732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B073A8"/>
    <w:multiLevelType w:val="hybridMultilevel"/>
    <w:tmpl w:val="1F16F21E"/>
    <w:lvl w:ilvl="0" w:tplc="FFFFFFFF">
      <w:start w:val="1"/>
      <w:numFmt w:val="decimal"/>
      <w:lvlText w:val="%1."/>
      <w:lvlJc w:val="left"/>
      <w:pPr>
        <w:ind w:left="720" w:hanging="360"/>
      </w:pPr>
      <w:rPr>
        <w:b w:val="0"/>
        <w:bCs/>
        <w:i w:val="0"/>
        <w:i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D25DB7"/>
    <w:multiLevelType w:val="hybridMultilevel"/>
    <w:tmpl w:val="EFDA2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DC0EEB"/>
    <w:multiLevelType w:val="hybridMultilevel"/>
    <w:tmpl w:val="1AF4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D268E7"/>
    <w:multiLevelType w:val="hybridMultilevel"/>
    <w:tmpl w:val="6E620118"/>
    <w:lvl w:ilvl="0" w:tplc="77C2EC54">
      <w:start w:val="2"/>
      <w:numFmt w:val="decimal"/>
      <w:lvlText w:val="%1."/>
      <w:lvlJc w:val="left"/>
      <w:pPr>
        <w:ind w:left="720" w:hanging="360"/>
      </w:pPr>
      <w:rPr>
        <w:rFonts w:hint="default"/>
        <w:b w:val="0"/>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633B14"/>
    <w:multiLevelType w:val="hybridMultilevel"/>
    <w:tmpl w:val="40462460"/>
    <w:lvl w:ilvl="0" w:tplc="740C5B68">
      <w:start w:val="1"/>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990330791">
    <w:abstractNumId w:val="2"/>
  </w:num>
  <w:num w:numId="2" w16cid:durableId="1292983312">
    <w:abstractNumId w:val="26"/>
  </w:num>
  <w:num w:numId="3" w16cid:durableId="1416975498">
    <w:abstractNumId w:val="1"/>
  </w:num>
  <w:num w:numId="4" w16cid:durableId="1129784867">
    <w:abstractNumId w:val="8"/>
  </w:num>
  <w:num w:numId="5" w16cid:durableId="1117067386">
    <w:abstractNumId w:val="19"/>
  </w:num>
  <w:num w:numId="6" w16cid:durableId="634917039">
    <w:abstractNumId w:val="9"/>
  </w:num>
  <w:num w:numId="7" w16cid:durableId="710692519">
    <w:abstractNumId w:val="5"/>
  </w:num>
  <w:num w:numId="8" w16cid:durableId="1812941635">
    <w:abstractNumId w:val="0"/>
  </w:num>
  <w:num w:numId="9" w16cid:durableId="1698581103">
    <w:abstractNumId w:val="27"/>
  </w:num>
  <w:num w:numId="10" w16cid:durableId="2124809934">
    <w:abstractNumId w:val="3"/>
  </w:num>
  <w:num w:numId="11" w16cid:durableId="1397389985">
    <w:abstractNumId w:val="24"/>
  </w:num>
  <w:num w:numId="12" w16cid:durableId="328483254">
    <w:abstractNumId w:val="32"/>
  </w:num>
  <w:num w:numId="13" w16cid:durableId="809173294">
    <w:abstractNumId w:val="15"/>
  </w:num>
  <w:num w:numId="14" w16cid:durableId="489292570">
    <w:abstractNumId w:val="12"/>
  </w:num>
  <w:num w:numId="15" w16cid:durableId="332073770">
    <w:abstractNumId w:val="29"/>
  </w:num>
  <w:num w:numId="16" w16cid:durableId="588389719">
    <w:abstractNumId w:val="10"/>
  </w:num>
  <w:num w:numId="17" w16cid:durableId="1739285876">
    <w:abstractNumId w:val="25"/>
  </w:num>
  <w:num w:numId="18" w16cid:durableId="819227590">
    <w:abstractNumId w:val="25"/>
    <w:lvlOverride w:ilvl="0">
      <w:lvl w:ilvl="0">
        <w:start w:val="1"/>
        <w:numFmt w:val="decimal"/>
        <w:pStyle w:val="Heading1"/>
        <w:lvlText w:val="%1"/>
        <w:lvlJc w:val="left"/>
        <w:pPr>
          <w:ind w:left="567" w:hanging="567"/>
        </w:pPr>
        <w:rPr>
          <w:rFonts w:ascii="Arial Bold" w:hAnsi="Arial Bold" w:hint="default"/>
          <w:b/>
          <w:i w:val="0"/>
          <w:caps w:val="0"/>
          <w:strike w:val="0"/>
          <w:dstrike w:val="0"/>
          <w:vanish w:val="0"/>
          <w:color w:val="7030A0"/>
          <w:sz w:val="28"/>
          <w:vertAlign w:val="baseline"/>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16cid:durableId="828251773">
    <w:abstractNumId w:val="16"/>
  </w:num>
  <w:num w:numId="20" w16cid:durableId="1832406740">
    <w:abstractNumId w:val="21"/>
  </w:num>
  <w:num w:numId="21" w16cid:durableId="1705515167">
    <w:abstractNumId w:val="13"/>
  </w:num>
  <w:num w:numId="22" w16cid:durableId="608202856">
    <w:abstractNumId w:val="4"/>
  </w:num>
  <w:num w:numId="23" w16cid:durableId="972907407">
    <w:abstractNumId w:val="6"/>
  </w:num>
  <w:num w:numId="24" w16cid:durableId="564071541">
    <w:abstractNumId w:val="17"/>
  </w:num>
  <w:num w:numId="25" w16cid:durableId="1595475387">
    <w:abstractNumId w:val="20"/>
  </w:num>
  <w:num w:numId="26" w16cid:durableId="248084160">
    <w:abstractNumId w:val="28"/>
  </w:num>
  <w:num w:numId="27" w16cid:durableId="1509250090">
    <w:abstractNumId w:val="25"/>
  </w:num>
  <w:num w:numId="28" w16cid:durableId="1613786348">
    <w:abstractNumId w:val="25"/>
  </w:num>
  <w:num w:numId="29" w16cid:durableId="914246602">
    <w:abstractNumId w:val="33"/>
  </w:num>
  <w:num w:numId="30" w16cid:durableId="1318264202">
    <w:abstractNumId w:val="31"/>
  </w:num>
  <w:num w:numId="31" w16cid:durableId="2005929949">
    <w:abstractNumId w:val="11"/>
  </w:num>
  <w:num w:numId="32" w16cid:durableId="1023677345">
    <w:abstractNumId w:val="18"/>
  </w:num>
  <w:num w:numId="33" w16cid:durableId="18242067">
    <w:abstractNumId w:val="22"/>
  </w:num>
  <w:num w:numId="34" w16cid:durableId="1143547984">
    <w:abstractNumId w:val="23"/>
  </w:num>
  <w:num w:numId="35" w16cid:durableId="1743482913">
    <w:abstractNumId w:val="30"/>
  </w:num>
  <w:num w:numId="36" w16cid:durableId="1407410853">
    <w:abstractNumId w:val="7"/>
  </w:num>
  <w:num w:numId="37" w16cid:durableId="45296030">
    <w:abstractNumId w:val="14"/>
  </w:num>
  <w:num w:numId="38" w16cid:durableId="1308823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GridTable5Dark-Accent1"/>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AA"/>
    <w:rsid w:val="00000015"/>
    <w:rsid w:val="000000C2"/>
    <w:rsid w:val="000001D9"/>
    <w:rsid w:val="00000289"/>
    <w:rsid w:val="0000037E"/>
    <w:rsid w:val="00000511"/>
    <w:rsid w:val="0000089A"/>
    <w:rsid w:val="0000090F"/>
    <w:rsid w:val="0000092C"/>
    <w:rsid w:val="00000B94"/>
    <w:rsid w:val="00000E4A"/>
    <w:rsid w:val="00000E8A"/>
    <w:rsid w:val="00000FE6"/>
    <w:rsid w:val="00001060"/>
    <w:rsid w:val="00001108"/>
    <w:rsid w:val="000012A5"/>
    <w:rsid w:val="000012D5"/>
    <w:rsid w:val="000013B4"/>
    <w:rsid w:val="000013EB"/>
    <w:rsid w:val="0000148B"/>
    <w:rsid w:val="00001517"/>
    <w:rsid w:val="0000153E"/>
    <w:rsid w:val="00001549"/>
    <w:rsid w:val="0000154F"/>
    <w:rsid w:val="000015F4"/>
    <w:rsid w:val="0000164D"/>
    <w:rsid w:val="00001665"/>
    <w:rsid w:val="0000173C"/>
    <w:rsid w:val="00001779"/>
    <w:rsid w:val="00001823"/>
    <w:rsid w:val="000018F5"/>
    <w:rsid w:val="000019FE"/>
    <w:rsid w:val="00001B06"/>
    <w:rsid w:val="00001BB6"/>
    <w:rsid w:val="00001BE6"/>
    <w:rsid w:val="00001CFA"/>
    <w:rsid w:val="00001DB3"/>
    <w:rsid w:val="00001DDC"/>
    <w:rsid w:val="00001E35"/>
    <w:rsid w:val="00001F2D"/>
    <w:rsid w:val="00001F68"/>
    <w:rsid w:val="0000210D"/>
    <w:rsid w:val="00002125"/>
    <w:rsid w:val="000021E0"/>
    <w:rsid w:val="000022F8"/>
    <w:rsid w:val="0000234F"/>
    <w:rsid w:val="00002416"/>
    <w:rsid w:val="00002585"/>
    <w:rsid w:val="000025D5"/>
    <w:rsid w:val="00002747"/>
    <w:rsid w:val="000027BD"/>
    <w:rsid w:val="000028A9"/>
    <w:rsid w:val="000028CC"/>
    <w:rsid w:val="00002B05"/>
    <w:rsid w:val="00002B17"/>
    <w:rsid w:val="00002C40"/>
    <w:rsid w:val="00002C79"/>
    <w:rsid w:val="00002CE7"/>
    <w:rsid w:val="00002D13"/>
    <w:rsid w:val="00002D18"/>
    <w:rsid w:val="00002D6B"/>
    <w:rsid w:val="00002D98"/>
    <w:rsid w:val="00002E11"/>
    <w:rsid w:val="00002E55"/>
    <w:rsid w:val="00002E79"/>
    <w:rsid w:val="00002FE0"/>
    <w:rsid w:val="0000305C"/>
    <w:rsid w:val="00003084"/>
    <w:rsid w:val="000031AE"/>
    <w:rsid w:val="00003220"/>
    <w:rsid w:val="0000336D"/>
    <w:rsid w:val="000033CD"/>
    <w:rsid w:val="000034F1"/>
    <w:rsid w:val="00003579"/>
    <w:rsid w:val="000035F9"/>
    <w:rsid w:val="000037B8"/>
    <w:rsid w:val="00003AAC"/>
    <w:rsid w:val="00003B1E"/>
    <w:rsid w:val="00003B6E"/>
    <w:rsid w:val="00003B6F"/>
    <w:rsid w:val="00003BB0"/>
    <w:rsid w:val="00003DCF"/>
    <w:rsid w:val="00003EF9"/>
    <w:rsid w:val="00003F8D"/>
    <w:rsid w:val="00003FD7"/>
    <w:rsid w:val="00003FEE"/>
    <w:rsid w:val="00004036"/>
    <w:rsid w:val="00004115"/>
    <w:rsid w:val="000041F3"/>
    <w:rsid w:val="00004211"/>
    <w:rsid w:val="000042B6"/>
    <w:rsid w:val="00004369"/>
    <w:rsid w:val="0000454E"/>
    <w:rsid w:val="00004563"/>
    <w:rsid w:val="00004619"/>
    <w:rsid w:val="0000473D"/>
    <w:rsid w:val="0000493B"/>
    <w:rsid w:val="000049E9"/>
    <w:rsid w:val="00004B26"/>
    <w:rsid w:val="00004B9F"/>
    <w:rsid w:val="00004C67"/>
    <w:rsid w:val="00004C6D"/>
    <w:rsid w:val="00004C77"/>
    <w:rsid w:val="00004DEC"/>
    <w:rsid w:val="00004EEC"/>
    <w:rsid w:val="00004FA8"/>
    <w:rsid w:val="00004FAB"/>
    <w:rsid w:val="000050E3"/>
    <w:rsid w:val="00005125"/>
    <w:rsid w:val="0000521B"/>
    <w:rsid w:val="000052E2"/>
    <w:rsid w:val="0000548E"/>
    <w:rsid w:val="000054C4"/>
    <w:rsid w:val="0000557B"/>
    <w:rsid w:val="00005590"/>
    <w:rsid w:val="000055A5"/>
    <w:rsid w:val="000055CF"/>
    <w:rsid w:val="00005713"/>
    <w:rsid w:val="00005743"/>
    <w:rsid w:val="00005771"/>
    <w:rsid w:val="0000577D"/>
    <w:rsid w:val="00005795"/>
    <w:rsid w:val="000057CA"/>
    <w:rsid w:val="00005825"/>
    <w:rsid w:val="00005901"/>
    <w:rsid w:val="0000596E"/>
    <w:rsid w:val="00005A12"/>
    <w:rsid w:val="00005ABC"/>
    <w:rsid w:val="00005C16"/>
    <w:rsid w:val="00005C8D"/>
    <w:rsid w:val="00005D3C"/>
    <w:rsid w:val="00005D8C"/>
    <w:rsid w:val="00005E60"/>
    <w:rsid w:val="00005E70"/>
    <w:rsid w:val="00005EF6"/>
    <w:rsid w:val="00005FC1"/>
    <w:rsid w:val="00005FD6"/>
    <w:rsid w:val="000060CA"/>
    <w:rsid w:val="00006295"/>
    <w:rsid w:val="0000631E"/>
    <w:rsid w:val="000064DE"/>
    <w:rsid w:val="000065BC"/>
    <w:rsid w:val="000065E9"/>
    <w:rsid w:val="00006615"/>
    <w:rsid w:val="00006646"/>
    <w:rsid w:val="0000672B"/>
    <w:rsid w:val="00006863"/>
    <w:rsid w:val="0000691D"/>
    <w:rsid w:val="00006A91"/>
    <w:rsid w:val="00006B42"/>
    <w:rsid w:val="00006C7D"/>
    <w:rsid w:val="00006CDD"/>
    <w:rsid w:val="00006DD2"/>
    <w:rsid w:val="00006F0C"/>
    <w:rsid w:val="00006F3C"/>
    <w:rsid w:val="00006FCF"/>
    <w:rsid w:val="0000708D"/>
    <w:rsid w:val="00007131"/>
    <w:rsid w:val="0000722F"/>
    <w:rsid w:val="00007254"/>
    <w:rsid w:val="0000725F"/>
    <w:rsid w:val="000072BF"/>
    <w:rsid w:val="000073AD"/>
    <w:rsid w:val="00007451"/>
    <w:rsid w:val="00007488"/>
    <w:rsid w:val="0000749C"/>
    <w:rsid w:val="00007539"/>
    <w:rsid w:val="0000764B"/>
    <w:rsid w:val="000076C8"/>
    <w:rsid w:val="0000776E"/>
    <w:rsid w:val="00007834"/>
    <w:rsid w:val="000078BB"/>
    <w:rsid w:val="0000797C"/>
    <w:rsid w:val="000079AC"/>
    <w:rsid w:val="000079B9"/>
    <w:rsid w:val="00007A52"/>
    <w:rsid w:val="00007A83"/>
    <w:rsid w:val="00007B1D"/>
    <w:rsid w:val="00007BE7"/>
    <w:rsid w:val="00007D01"/>
    <w:rsid w:val="00007D81"/>
    <w:rsid w:val="00007DB8"/>
    <w:rsid w:val="00007DC2"/>
    <w:rsid w:val="00007DCC"/>
    <w:rsid w:val="00007DD6"/>
    <w:rsid w:val="00007EAE"/>
    <w:rsid w:val="00007ED6"/>
    <w:rsid w:val="00007F1A"/>
    <w:rsid w:val="00007F6F"/>
    <w:rsid w:val="00007FD7"/>
    <w:rsid w:val="00010184"/>
    <w:rsid w:val="000103A7"/>
    <w:rsid w:val="00010659"/>
    <w:rsid w:val="000106BF"/>
    <w:rsid w:val="0001080F"/>
    <w:rsid w:val="000108A5"/>
    <w:rsid w:val="00010973"/>
    <w:rsid w:val="00010A3C"/>
    <w:rsid w:val="00010B09"/>
    <w:rsid w:val="00010B3F"/>
    <w:rsid w:val="00010B4A"/>
    <w:rsid w:val="00010B52"/>
    <w:rsid w:val="00010B69"/>
    <w:rsid w:val="00010C27"/>
    <w:rsid w:val="00010C7B"/>
    <w:rsid w:val="00010DA6"/>
    <w:rsid w:val="00010EA8"/>
    <w:rsid w:val="00010F8E"/>
    <w:rsid w:val="000110AA"/>
    <w:rsid w:val="000110D6"/>
    <w:rsid w:val="00011102"/>
    <w:rsid w:val="0001111C"/>
    <w:rsid w:val="00011154"/>
    <w:rsid w:val="0001123D"/>
    <w:rsid w:val="0001137C"/>
    <w:rsid w:val="000113B3"/>
    <w:rsid w:val="000114C8"/>
    <w:rsid w:val="00011522"/>
    <w:rsid w:val="00011585"/>
    <w:rsid w:val="00011A4D"/>
    <w:rsid w:val="00011C03"/>
    <w:rsid w:val="00011C52"/>
    <w:rsid w:val="00011CFC"/>
    <w:rsid w:val="00011D0A"/>
    <w:rsid w:val="00011D0D"/>
    <w:rsid w:val="00011D42"/>
    <w:rsid w:val="00011D73"/>
    <w:rsid w:val="00011DEF"/>
    <w:rsid w:val="00011EA0"/>
    <w:rsid w:val="0001210E"/>
    <w:rsid w:val="00012126"/>
    <w:rsid w:val="000121DA"/>
    <w:rsid w:val="0001220C"/>
    <w:rsid w:val="0001241B"/>
    <w:rsid w:val="00012667"/>
    <w:rsid w:val="00012683"/>
    <w:rsid w:val="00012844"/>
    <w:rsid w:val="000128BB"/>
    <w:rsid w:val="000128EC"/>
    <w:rsid w:val="00012964"/>
    <w:rsid w:val="00012A0F"/>
    <w:rsid w:val="00012A62"/>
    <w:rsid w:val="00012AD5"/>
    <w:rsid w:val="00012AF6"/>
    <w:rsid w:val="00012C16"/>
    <w:rsid w:val="00012C42"/>
    <w:rsid w:val="00012C77"/>
    <w:rsid w:val="00012D38"/>
    <w:rsid w:val="00012D6E"/>
    <w:rsid w:val="00012E9C"/>
    <w:rsid w:val="00012EA0"/>
    <w:rsid w:val="00012F4B"/>
    <w:rsid w:val="00012FA1"/>
    <w:rsid w:val="00013041"/>
    <w:rsid w:val="0001308A"/>
    <w:rsid w:val="000131E4"/>
    <w:rsid w:val="00013328"/>
    <w:rsid w:val="00013476"/>
    <w:rsid w:val="00013550"/>
    <w:rsid w:val="000135CB"/>
    <w:rsid w:val="0001383A"/>
    <w:rsid w:val="000138AC"/>
    <w:rsid w:val="000138C2"/>
    <w:rsid w:val="000138ED"/>
    <w:rsid w:val="000139C9"/>
    <w:rsid w:val="00013B2B"/>
    <w:rsid w:val="00013C4B"/>
    <w:rsid w:val="00013D2F"/>
    <w:rsid w:val="00013E3A"/>
    <w:rsid w:val="00013E63"/>
    <w:rsid w:val="00013E75"/>
    <w:rsid w:val="00013E8D"/>
    <w:rsid w:val="00013EA5"/>
    <w:rsid w:val="00013EFF"/>
    <w:rsid w:val="00013F20"/>
    <w:rsid w:val="00013FFA"/>
    <w:rsid w:val="00014076"/>
    <w:rsid w:val="00014107"/>
    <w:rsid w:val="0001416A"/>
    <w:rsid w:val="000141D0"/>
    <w:rsid w:val="000141E3"/>
    <w:rsid w:val="000142B5"/>
    <w:rsid w:val="00014311"/>
    <w:rsid w:val="0001433F"/>
    <w:rsid w:val="00014356"/>
    <w:rsid w:val="000143C8"/>
    <w:rsid w:val="00014406"/>
    <w:rsid w:val="0001447B"/>
    <w:rsid w:val="0001449F"/>
    <w:rsid w:val="000145A5"/>
    <w:rsid w:val="00014695"/>
    <w:rsid w:val="000146FD"/>
    <w:rsid w:val="00014814"/>
    <w:rsid w:val="0001487A"/>
    <w:rsid w:val="00014889"/>
    <w:rsid w:val="0001489F"/>
    <w:rsid w:val="00014934"/>
    <w:rsid w:val="00014A1D"/>
    <w:rsid w:val="00014A68"/>
    <w:rsid w:val="00014D28"/>
    <w:rsid w:val="00014D8B"/>
    <w:rsid w:val="00014DCE"/>
    <w:rsid w:val="00014E32"/>
    <w:rsid w:val="00014EDD"/>
    <w:rsid w:val="0001513D"/>
    <w:rsid w:val="00015147"/>
    <w:rsid w:val="00015319"/>
    <w:rsid w:val="0001539D"/>
    <w:rsid w:val="000153E4"/>
    <w:rsid w:val="00015485"/>
    <w:rsid w:val="000154A9"/>
    <w:rsid w:val="0001556E"/>
    <w:rsid w:val="000155D7"/>
    <w:rsid w:val="000155EA"/>
    <w:rsid w:val="0001560C"/>
    <w:rsid w:val="00015671"/>
    <w:rsid w:val="00015693"/>
    <w:rsid w:val="000156D9"/>
    <w:rsid w:val="00015873"/>
    <w:rsid w:val="000158D6"/>
    <w:rsid w:val="000158EA"/>
    <w:rsid w:val="00015936"/>
    <w:rsid w:val="000159DC"/>
    <w:rsid w:val="000159E1"/>
    <w:rsid w:val="00015A3A"/>
    <w:rsid w:val="00015D3C"/>
    <w:rsid w:val="00015E48"/>
    <w:rsid w:val="00015ECC"/>
    <w:rsid w:val="00015F07"/>
    <w:rsid w:val="00015F14"/>
    <w:rsid w:val="00016044"/>
    <w:rsid w:val="00016177"/>
    <w:rsid w:val="00016254"/>
    <w:rsid w:val="000164EC"/>
    <w:rsid w:val="000164ED"/>
    <w:rsid w:val="00016527"/>
    <w:rsid w:val="00016597"/>
    <w:rsid w:val="0001662E"/>
    <w:rsid w:val="0001678A"/>
    <w:rsid w:val="00016946"/>
    <w:rsid w:val="00016DEE"/>
    <w:rsid w:val="00016E73"/>
    <w:rsid w:val="00016EB5"/>
    <w:rsid w:val="00016ED4"/>
    <w:rsid w:val="00016F16"/>
    <w:rsid w:val="00016FDA"/>
    <w:rsid w:val="00017075"/>
    <w:rsid w:val="0001709D"/>
    <w:rsid w:val="00017160"/>
    <w:rsid w:val="000171C6"/>
    <w:rsid w:val="0001730B"/>
    <w:rsid w:val="00017479"/>
    <w:rsid w:val="00017549"/>
    <w:rsid w:val="0001755F"/>
    <w:rsid w:val="0001757C"/>
    <w:rsid w:val="000175AC"/>
    <w:rsid w:val="000175D0"/>
    <w:rsid w:val="000176A2"/>
    <w:rsid w:val="00017752"/>
    <w:rsid w:val="0001776B"/>
    <w:rsid w:val="000177F4"/>
    <w:rsid w:val="0001783C"/>
    <w:rsid w:val="000178A9"/>
    <w:rsid w:val="00017A0C"/>
    <w:rsid w:val="00017A9E"/>
    <w:rsid w:val="00017B05"/>
    <w:rsid w:val="00017BC6"/>
    <w:rsid w:val="00017C5F"/>
    <w:rsid w:val="00017D2D"/>
    <w:rsid w:val="00017D9B"/>
    <w:rsid w:val="00017DA9"/>
    <w:rsid w:val="00017E84"/>
    <w:rsid w:val="00017E92"/>
    <w:rsid w:val="00017ECD"/>
    <w:rsid w:val="00017F4D"/>
    <w:rsid w:val="00017F73"/>
    <w:rsid w:val="0002002D"/>
    <w:rsid w:val="00020066"/>
    <w:rsid w:val="000201BA"/>
    <w:rsid w:val="00020426"/>
    <w:rsid w:val="00020427"/>
    <w:rsid w:val="000205F2"/>
    <w:rsid w:val="00020638"/>
    <w:rsid w:val="00020714"/>
    <w:rsid w:val="00020926"/>
    <w:rsid w:val="00020A2B"/>
    <w:rsid w:val="00020A5F"/>
    <w:rsid w:val="00020B43"/>
    <w:rsid w:val="00020C3F"/>
    <w:rsid w:val="00020DB2"/>
    <w:rsid w:val="00020F08"/>
    <w:rsid w:val="00020F36"/>
    <w:rsid w:val="0002101E"/>
    <w:rsid w:val="00021333"/>
    <w:rsid w:val="000213CF"/>
    <w:rsid w:val="000214A9"/>
    <w:rsid w:val="000215E4"/>
    <w:rsid w:val="00021780"/>
    <w:rsid w:val="000218B9"/>
    <w:rsid w:val="0002197F"/>
    <w:rsid w:val="00021AE1"/>
    <w:rsid w:val="00021C05"/>
    <w:rsid w:val="00021C30"/>
    <w:rsid w:val="00021C44"/>
    <w:rsid w:val="00021D51"/>
    <w:rsid w:val="00021F57"/>
    <w:rsid w:val="00022017"/>
    <w:rsid w:val="0002238D"/>
    <w:rsid w:val="00022484"/>
    <w:rsid w:val="00022540"/>
    <w:rsid w:val="0002264E"/>
    <w:rsid w:val="000227A2"/>
    <w:rsid w:val="00022982"/>
    <w:rsid w:val="00022AB3"/>
    <w:rsid w:val="00022B1C"/>
    <w:rsid w:val="00022B7F"/>
    <w:rsid w:val="00022BE9"/>
    <w:rsid w:val="00022C04"/>
    <w:rsid w:val="00022C3C"/>
    <w:rsid w:val="00022CA2"/>
    <w:rsid w:val="00022CCF"/>
    <w:rsid w:val="00022CFB"/>
    <w:rsid w:val="00022DA2"/>
    <w:rsid w:val="00022E67"/>
    <w:rsid w:val="00022EE2"/>
    <w:rsid w:val="00022F4E"/>
    <w:rsid w:val="00022F82"/>
    <w:rsid w:val="00022FB9"/>
    <w:rsid w:val="00022FE4"/>
    <w:rsid w:val="00023373"/>
    <w:rsid w:val="000234A0"/>
    <w:rsid w:val="000235A2"/>
    <w:rsid w:val="00023658"/>
    <w:rsid w:val="000239E4"/>
    <w:rsid w:val="00023BA8"/>
    <w:rsid w:val="00023C51"/>
    <w:rsid w:val="00023CAC"/>
    <w:rsid w:val="00023E7A"/>
    <w:rsid w:val="00023F21"/>
    <w:rsid w:val="00024151"/>
    <w:rsid w:val="000241CE"/>
    <w:rsid w:val="00024218"/>
    <w:rsid w:val="0002426F"/>
    <w:rsid w:val="000243DA"/>
    <w:rsid w:val="000243F2"/>
    <w:rsid w:val="0002442E"/>
    <w:rsid w:val="000244A1"/>
    <w:rsid w:val="000244AB"/>
    <w:rsid w:val="00024502"/>
    <w:rsid w:val="0002450C"/>
    <w:rsid w:val="00024532"/>
    <w:rsid w:val="00024553"/>
    <w:rsid w:val="00024570"/>
    <w:rsid w:val="000245C6"/>
    <w:rsid w:val="000245C9"/>
    <w:rsid w:val="0002478D"/>
    <w:rsid w:val="0002484E"/>
    <w:rsid w:val="00024A86"/>
    <w:rsid w:val="00024BA2"/>
    <w:rsid w:val="00024BBE"/>
    <w:rsid w:val="00024C04"/>
    <w:rsid w:val="00024C60"/>
    <w:rsid w:val="00024C72"/>
    <w:rsid w:val="00024D0B"/>
    <w:rsid w:val="00024D4C"/>
    <w:rsid w:val="00024DDF"/>
    <w:rsid w:val="00024F77"/>
    <w:rsid w:val="000250A6"/>
    <w:rsid w:val="000251A1"/>
    <w:rsid w:val="00025288"/>
    <w:rsid w:val="000252DA"/>
    <w:rsid w:val="0002531A"/>
    <w:rsid w:val="00025357"/>
    <w:rsid w:val="0002537A"/>
    <w:rsid w:val="00025393"/>
    <w:rsid w:val="000253CA"/>
    <w:rsid w:val="00025462"/>
    <w:rsid w:val="00025489"/>
    <w:rsid w:val="000254EA"/>
    <w:rsid w:val="00025530"/>
    <w:rsid w:val="000256FE"/>
    <w:rsid w:val="00025863"/>
    <w:rsid w:val="00025871"/>
    <w:rsid w:val="00025889"/>
    <w:rsid w:val="00025914"/>
    <w:rsid w:val="00025939"/>
    <w:rsid w:val="00025949"/>
    <w:rsid w:val="000259CD"/>
    <w:rsid w:val="000259CE"/>
    <w:rsid w:val="00025A2D"/>
    <w:rsid w:val="00025A60"/>
    <w:rsid w:val="00025BE4"/>
    <w:rsid w:val="00025F9F"/>
    <w:rsid w:val="000260D9"/>
    <w:rsid w:val="00026139"/>
    <w:rsid w:val="000261FE"/>
    <w:rsid w:val="00026266"/>
    <w:rsid w:val="00026278"/>
    <w:rsid w:val="000262C5"/>
    <w:rsid w:val="0002631F"/>
    <w:rsid w:val="0002657F"/>
    <w:rsid w:val="00026622"/>
    <w:rsid w:val="00026639"/>
    <w:rsid w:val="000266C4"/>
    <w:rsid w:val="0002675C"/>
    <w:rsid w:val="00026781"/>
    <w:rsid w:val="00026792"/>
    <w:rsid w:val="00026793"/>
    <w:rsid w:val="0002680A"/>
    <w:rsid w:val="000268A6"/>
    <w:rsid w:val="00026A72"/>
    <w:rsid w:val="00026AF8"/>
    <w:rsid w:val="00026D1F"/>
    <w:rsid w:val="00026D47"/>
    <w:rsid w:val="00026E57"/>
    <w:rsid w:val="000270D3"/>
    <w:rsid w:val="00027194"/>
    <w:rsid w:val="000272E1"/>
    <w:rsid w:val="00027305"/>
    <w:rsid w:val="000275E1"/>
    <w:rsid w:val="00027646"/>
    <w:rsid w:val="000276B7"/>
    <w:rsid w:val="000276F3"/>
    <w:rsid w:val="000279F7"/>
    <w:rsid w:val="00027CA9"/>
    <w:rsid w:val="00027E91"/>
    <w:rsid w:val="00027F2D"/>
    <w:rsid w:val="000300B9"/>
    <w:rsid w:val="000300ED"/>
    <w:rsid w:val="0003013E"/>
    <w:rsid w:val="000301E1"/>
    <w:rsid w:val="00030208"/>
    <w:rsid w:val="0003032E"/>
    <w:rsid w:val="00030396"/>
    <w:rsid w:val="0003054C"/>
    <w:rsid w:val="000305B8"/>
    <w:rsid w:val="000305FA"/>
    <w:rsid w:val="00030616"/>
    <w:rsid w:val="00030971"/>
    <w:rsid w:val="000309CF"/>
    <w:rsid w:val="000309F9"/>
    <w:rsid w:val="00030A7D"/>
    <w:rsid w:val="00030A8B"/>
    <w:rsid w:val="00030B3E"/>
    <w:rsid w:val="00030C59"/>
    <w:rsid w:val="00030C83"/>
    <w:rsid w:val="00030CD8"/>
    <w:rsid w:val="00030E5F"/>
    <w:rsid w:val="0003117B"/>
    <w:rsid w:val="000311B2"/>
    <w:rsid w:val="00031200"/>
    <w:rsid w:val="000312FA"/>
    <w:rsid w:val="00031326"/>
    <w:rsid w:val="00031350"/>
    <w:rsid w:val="0003144D"/>
    <w:rsid w:val="00031512"/>
    <w:rsid w:val="00031565"/>
    <w:rsid w:val="0003195A"/>
    <w:rsid w:val="000319D7"/>
    <w:rsid w:val="00031B04"/>
    <w:rsid w:val="00031C09"/>
    <w:rsid w:val="00031C63"/>
    <w:rsid w:val="00031CA9"/>
    <w:rsid w:val="00031CD5"/>
    <w:rsid w:val="00031D59"/>
    <w:rsid w:val="00031F39"/>
    <w:rsid w:val="00032120"/>
    <w:rsid w:val="0003230C"/>
    <w:rsid w:val="000323A4"/>
    <w:rsid w:val="000323A7"/>
    <w:rsid w:val="00032419"/>
    <w:rsid w:val="0003244D"/>
    <w:rsid w:val="00032510"/>
    <w:rsid w:val="000325A4"/>
    <w:rsid w:val="000325BD"/>
    <w:rsid w:val="000325D0"/>
    <w:rsid w:val="00032618"/>
    <w:rsid w:val="0003267C"/>
    <w:rsid w:val="00032722"/>
    <w:rsid w:val="0003273F"/>
    <w:rsid w:val="000327C7"/>
    <w:rsid w:val="000327EE"/>
    <w:rsid w:val="0003282D"/>
    <w:rsid w:val="0003286B"/>
    <w:rsid w:val="00032930"/>
    <w:rsid w:val="00032968"/>
    <w:rsid w:val="00032A18"/>
    <w:rsid w:val="00032A7E"/>
    <w:rsid w:val="00032A9F"/>
    <w:rsid w:val="00032B98"/>
    <w:rsid w:val="00032C4C"/>
    <w:rsid w:val="00032C63"/>
    <w:rsid w:val="00032D24"/>
    <w:rsid w:val="00032D3A"/>
    <w:rsid w:val="00032D9C"/>
    <w:rsid w:val="00032DBE"/>
    <w:rsid w:val="00032F8E"/>
    <w:rsid w:val="00033061"/>
    <w:rsid w:val="000330E4"/>
    <w:rsid w:val="00033282"/>
    <w:rsid w:val="00033366"/>
    <w:rsid w:val="000334C3"/>
    <w:rsid w:val="00033515"/>
    <w:rsid w:val="0003356E"/>
    <w:rsid w:val="00033647"/>
    <w:rsid w:val="00033686"/>
    <w:rsid w:val="000336E9"/>
    <w:rsid w:val="0003374F"/>
    <w:rsid w:val="00033980"/>
    <w:rsid w:val="0003399B"/>
    <w:rsid w:val="00033A88"/>
    <w:rsid w:val="00033B07"/>
    <w:rsid w:val="00033BDB"/>
    <w:rsid w:val="00033CB8"/>
    <w:rsid w:val="00033E27"/>
    <w:rsid w:val="00033FC9"/>
    <w:rsid w:val="00034155"/>
    <w:rsid w:val="00034174"/>
    <w:rsid w:val="00034408"/>
    <w:rsid w:val="0003468C"/>
    <w:rsid w:val="0003469F"/>
    <w:rsid w:val="00034783"/>
    <w:rsid w:val="00034913"/>
    <w:rsid w:val="00034B58"/>
    <w:rsid w:val="00034B7E"/>
    <w:rsid w:val="00034BD1"/>
    <w:rsid w:val="00034CAB"/>
    <w:rsid w:val="00034E19"/>
    <w:rsid w:val="00034E49"/>
    <w:rsid w:val="00034EBF"/>
    <w:rsid w:val="00034EDC"/>
    <w:rsid w:val="00034FA7"/>
    <w:rsid w:val="0003500B"/>
    <w:rsid w:val="00035061"/>
    <w:rsid w:val="0003509A"/>
    <w:rsid w:val="0003512F"/>
    <w:rsid w:val="0003513B"/>
    <w:rsid w:val="00035191"/>
    <w:rsid w:val="0003525B"/>
    <w:rsid w:val="000352EF"/>
    <w:rsid w:val="000352F1"/>
    <w:rsid w:val="00035357"/>
    <w:rsid w:val="000354EC"/>
    <w:rsid w:val="00035580"/>
    <w:rsid w:val="000355DB"/>
    <w:rsid w:val="000355DC"/>
    <w:rsid w:val="000355EA"/>
    <w:rsid w:val="000355F0"/>
    <w:rsid w:val="0003565A"/>
    <w:rsid w:val="000356A8"/>
    <w:rsid w:val="000359C2"/>
    <w:rsid w:val="00035B14"/>
    <w:rsid w:val="00035D99"/>
    <w:rsid w:val="00035DCC"/>
    <w:rsid w:val="00035EA1"/>
    <w:rsid w:val="00036026"/>
    <w:rsid w:val="00036051"/>
    <w:rsid w:val="00036162"/>
    <w:rsid w:val="000362B8"/>
    <w:rsid w:val="0003630E"/>
    <w:rsid w:val="0003632A"/>
    <w:rsid w:val="0003632D"/>
    <w:rsid w:val="00036361"/>
    <w:rsid w:val="00036384"/>
    <w:rsid w:val="000363E3"/>
    <w:rsid w:val="000363E4"/>
    <w:rsid w:val="00036412"/>
    <w:rsid w:val="00036413"/>
    <w:rsid w:val="00036510"/>
    <w:rsid w:val="0003659B"/>
    <w:rsid w:val="00036614"/>
    <w:rsid w:val="0003661F"/>
    <w:rsid w:val="0003664E"/>
    <w:rsid w:val="0003679A"/>
    <w:rsid w:val="000367B4"/>
    <w:rsid w:val="00036857"/>
    <w:rsid w:val="00036943"/>
    <w:rsid w:val="0003699A"/>
    <w:rsid w:val="000369CD"/>
    <w:rsid w:val="000369E0"/>
    <w:rsid w:val="00036A37"/>
    <w:rsid w:val="00036CDF"/>
    <w:rsid w:val="00036E73"/>
    <w:rsid w:val="00036FB9"/>
    <w:rsid w:val="00036FFE"/>
    <w:rsid w:val="00037160"/>
    <w:rsid w:val="00037162"/>
    <w:rsid w:val="00037197"/>
    <w:rsid w:val="0003732A"/>
    <w:rsid w:val="000373C1"/>
    <w:rsid w:val="00037417"/>
    <w:rsid w:val="0003751D"/>
    <w:rsid w:val="000376EA"/>
    <w:rsid w:val="00037897"/>
    <w:rsid w:val="0003790C"/>
    <w:rsid w:val="00037AD0"/>
    <w:rsid w:val="00037BC6"/>
    <w:rsid w:val="00037CCE"/>
    <w:rsid w:val="00037CFA"/>
    <w:rsid w:val="00037CFB"/>
    <w:rsid w:val="00037D19"/>
    <w:rsid w:val="00037E94"/>
    <w:rsid w:val="00037F22"/>
    <w:rsid w:val="00040038"/>
    <w:rsid w:val="000400DC"/>
    <w:rsid w:val="000401F8"/>
    <w:rsid w:val="0004020F"/>
    <w:rsid w:val="0004024A"/>
    <w:rsid w:val="0004024D"/>
    <w:rsid w:val="00040311"/>
    <w:rsid w:val="000404B5"/>
    <w:rsid w:val="000404CA"/>
    <w:rsid w:val="00040508"/>
    <w:rsid w:val="000405FD"/>
    <w:rsid w:val="000407B9"/>
    <w:rsid w:val="00040812"/>
    <w:rsid w:val="000408AE"/>
    <w:rsid w:val="000408D0"/>
    <w:rsid w:val="000409FD"/>
    <w:rsid w:val="00040A47"/>
    <w:rsid w:val="00040AFB"/>
    <w:rsid w:val="00040B19"/>
    <w:rsid w:val="00040B2E"/>
    <w:rsid w:val="00040CE6"/>
    <w:rsid w:val="00040D02"/>
    <w:rsid w:val="00040D45"/>
    <w:rsid w:val="00040E44"/>
    <w:rsid w:val="00040F11"/>
    <w:rsid w:val="00040F2B"/>
    <w:rsid w:val="00040FC6"/>
    <w:rsid w:val="00041010"/>
    <w:rsid w:val="00041132"/>
    <w:rsid w:val="00041159"/>
    <w:rsid w:val="000411B4"/>
    <w:rsid w:val="0004121E"/>
    <w:rsid w:val="000412E1"/>
    <w:rsid w:val="000413CF"/>
    <w:rsid w:val="00041488"/>
    <w:rsid w:val="00041491"/>
    <w:rsid w:val="00041527"/>
    <w:rsid w:val="0004152A"/>
    <w:rsid w:val="00041629"/>
    <w:rsid w:val="0004164C"/>
    <w:rsid w:val="000417A4"/>
    <w:rsid w:val="00041832"/>
    <w:rsid w:val="00041893"/>
    <w:rsid w:val="000418CB"/>
    <w:rsid w:val="00041AE6"/>
    <w:rsid w:val="00041BB1"/>
    <w:rsid w:val="00041C95"/>
    <w:rsid w:val="00041DBE"/>
    <w:rsid w:val="00041F07"/>
    <w:rsid w:val="00041F15"/>
    <w:rsid w:val="00041FE0"/>
    <w:rsid w:val="00042054"/>
    <w:rsid w:val="000420CC"/>
    <w:rsid w:val="00042171"/>
    <w:rsid w:val="0004221B"/>
    <w:rsid w:val="0004248E"/>
    <w:rsid w:val="000424B5"/>
    <w:rsid w:val="00042803"/>
    <w:rsid w:val="000428E0"/>
    <w:rsid w:val="000429FF"/>
    <w:rsid w:val="00042B5B"/>
    <w:rsid w:val="00042C03"/>
    <w:rsid w:val="00042C5A"/>
    <w:rsid w:val="00042C62"/>
    <w:rsid w:val="00042C68"/>
    <w:rsid w:val="00042D7A"/>
    <w:rsid w:val="00042E85"/>
    <w:rsid w:val="00042EB1"/>
    <w:rsid w:val="000432C0"/>
    <w:rsid w:val="00043558"/>
    <w:rsid w:val="000435D5"/>
    <w:rsid w:val="0004361E"/>
    <w:rsid w:val="0004364B"/>
    <w:rsid w:val="0004366A"/>
    <w:rsid w:val="0004378B"/>
    <w:rsid w:val="00043855"/>
    <w:rsid w:val="00043857"/>
    <w:rsid w:val="0004387B"/>
    <w:rsid w:val="00043887"/>
    <w:rsid w:val="000438CE"/>
    <w:rsid w:val="00043910"/>
    <w:rsid w:val="00043B91"/>
    <w:rsid w:val="00043D19"/>
    <w:rsid w:val="00043D8C"/>
    <w:rsid w:val="00043F2B"/>
    <w:rsid w:val="00043F52"/>
    <w:rsid w:val="00043FD1"/>
    <w:rsid w:val="00043FFC"/>
    <w:rsid w:val="00044040"/>
    <w:rsid w:val="00044113"/>
    <w:rsid w:val="00044159"/>
    <w:rsid w:val="00044339"/>
    <w:rsid w:val="000443F9"/>
    <w:rsid w:val="00044419"/>
    <w:rsid w:val="00044445"/>
    <w:rsid w:val="00044453"/>
    <w:rsid w:val="000444D8"/>
    <w:rsid w:val="000444E6"/>
    <w:rsid w:val="000446D9"/>
    <w:rsid w:val="00044730"/>
    <w:rsid w:val="0004477A"/>
    <w:rsid w:val="000447BF"/>
    <w:rsid w:val="0004492D"/>
    <w:rsid w:val="0004492F"/>
    <w:rsid w:val="0004495C"/>
    <w:rsid w:val="00044A04"/>
    <w:rsid w:val="00044A0E"/>
    <w:rsid w:val="00044A20"/>
    <w:rsid w:val="00044A63"/>
    <w:rsid w:val="00044AA1"/>
    <w:rsid w:val="00044BB9"/>
    <w:rsid w:val="00044C07"/>
    <w:rsid w:val="00044C2B"/>
    <w:rsid w:val="00044DBE"/>
    <w:rsid w:val="00044E74"/>
    <w:rsid w:val="00044E78"/>
    <w:rsid w:val="00044F8B"/>
    <w:rsid w:val="00044FA3"/>
    <w:rsid w:val="00044FEE"/>
    <w:rsid w:val="000450AD"/>
    <w:rsid w:val="000451C0"/>
    <w:rsid w:val="0004521E"/>
    <w:rsid w:val="00045386"/>
    <w:rsid w:val="0004539E"/>
    <w:rsid w:val="00045456"/>
    <w:rsid w:val="00045498"/>
    <w:rsid w:val="00045590"/>
    <w:rsid w:val="000455B3"/>
    <w:rsid w:val="00045619"/>
    <w:rsid w:val="0004566A"/>
    <w:rsid w:val="0004567D"/>
    <w:rsid w:val="000456C4"/>
    <w:rsid w:val="000457A4"/>
    <w:rsid w:val="00045834"/>
    <w:rsid w:val="000459E1"/>
    <w:rsid w:val="00045A00"/>
    <w:rsid w:val="00045B04"/>
    <w:rsid w:val="00045B06"/>
    <w:rsid w:val="00045B7E"/>
    <w:rsid w:val="00045D80"/>
    <w:rsid w:val="00045D9E"/>
    <w:rsid w:val="00045E15"/>
    <w:rsid w:val="00045E4F"/>
    <w:rsid w:val="00045E54"/>
    <w:rsid w:val="00045E9B"/>
    <w:rsid w:val="00045F1E"/>
    <w:rsid w:val="00045F68"/>
    <w:rsid w:val="0004600A"/>
    <w:rsid w:val="00046178"/>
    <w:rsid w:val="000464D7"/>
    <w:rsid w:val="00046545"/>
    <w:rsid w:val="00046556"/>
    <w:rsid w:val="0004664C"/>
    <w:rsid w:val="00046677"/>
    <w:rsid w:val="000466AC"/>
    <w:rsid w:val="00046708"/>
    <w:rsid w:val="000467CA"/>
    <w:rsid w:val="0004681A"/>
    <w:rsid w:val="00046853"/>
    <w:rsid w:val="00046863"/>
    <w:rsid w:val="000468A4"/>
    <w:rsid w:val="000468EF"/>
    <w:rsid w:val="00046953"/>
    <w:rsid w:val="00046A91"/>
    <w:rsid w:val="00046B65"/>
    <w:rsid w:val="00046C0D"/>
    <w:rsid w:val="00046D83"/>
    <w:rsid w:val="00046E80"/>
    <w:rsid w:val="00046EC0"/>
    <w:rsid w:val="00046FE9"/>
    <w:rsid w:val="0004701D"/>
    <w:rsid w:val="0004705F"/>
    <w:rsid w:val="000471AD"/>
    <w:rsid w:val="00047206"/>
    <w:rsid w:val="00047248"/>
    <w:rsid w:val="0004732B"/>
    <w:rsid w:val="00047383"/>
    <w:rsid w:val="000473FB"/>
    <w:rsid w:val="000474B0"/>
    <w:rsid w:val="00047576"/>
    <w:rsid w:val="0004758F"/>
    <w:rsid w:val="0004761B"/>
    <w:rsid w:val="0004777D"/>
    <w:rsid w:val="00047790"/>
    <w:rsid w:val="00047845"/>
    <w:rsid w:val="000479C2"/>
    <w:rsid w:val="00047A5A"/>
    <w:rsid w:val="00047A74"/>
    <w:rsid w:val="00047A8D"/>
    <w:rsid w:val="00047AC3"/>
    <w:rsid w:val="00047D3D"/>
    <w:rsid w:val="00047E2C"/>
    <w:rsid w:val="00047EFC"/>
    <w:rsid w:val="00047F71"/>
    <w:rsid w:val="00047FCB"/>
    <w:rsid w:val="000500B2"/>
    <w:rsid w:val="00050129"/>
    <w:rsid w:val="00050155"/>
    <w:rsid w:val="0005017D"/>
    <w:rsid w:val="000501EF"/>
    <w:rsid w:val="00050280"/>
    <w:rsid w:val="00050294"/>
    <w:rsid w:val="00050372"/>
    <w:rsid w:val="000503F8"/>
    <w:rsid w:val="0005046E"/>
    <w:rsid w:val="000504A3"/>
    <w:rsid w:val="000504B3"/>
    <w:rsid w:val="00050527"/>
    <w:rsid w:val="0005065C"/>
    <w:rsid w:val="0005071A"/>
    <w:rsid w:val="0005091E"/>
    <w:rsid w:val="00050950"/>
    <w:rsid w:val="000509C0"/>
    <w:rsid w:val="00050A0B"/>
    <w:rsid w:val="00050B18"/>
    <w:rsid w:val="00050B78"/>
    <w:rsid w:val="00050BE0"/>
    <w:rsid w:val="00050D42"/>
    <w:rsid w:val="00050DDA"/>
    <w:rsid w:val="00050E44"/>
    <w:rsid w:val="00050F2A"/>
    <w:rsid w:val="00050F90"/>
    <w:rsid w:val="000511CB"/>
    <w:rsid w:val="00051256"/>
    <w:rsid w:val="000512E2"/>
    <w:rsid w:val="00051324"/>
    <w:rsid w:val="000514E2"/>
    <w:rsid w:val="000514F9"/>
    <w:rsid w:val="0005162B"/>
    <w:rsid w:val="000516A3"/>
    <w:rsid w:val="000516B5"/>
    <w:rsid w:val="00051862"/>
    <w:rsid w:val="000519C7"/>
    <w:rsid w:val="00051AC5"/>
    <w:rsid w:val="00051AC9"/>
    <w:rsid w:val="00051B46"/>
    <w:rsid w:val="00051B5C"/>
    <w:rsid w:val="00051BB6"/>
    <w:rsid w:val="00051BF5"/>
    <w:rsid w:val="00051CDA"/>
    <w:rsid w:val="00051E8B"/>
    <w:rsid w:val="00052037"/>
    <w:rsid w:val="00052042"/>
    <w:rsid w:val="00052164"/>
    <w:rsid w:val="00052176"/>
    <w:rsid w:val="00052242"/>
    <w:rsid w:val="000522BF"/>
    <w:rsid w:val="000522C0"/>
    <w:rsid w:val="00052428"/>
    <w:rsid w:val="0005249C"/>
    <w:rsid w:val="000525E5"/>
    <w:rsid w:val="000525FF"/>
    <w:rsid w:val="0005266A"/>
    <w:rsid w:val="0005266E"/>
    <w:rsid w:val="00052698"/>
    <w:rsid w:val="000526E6"/>
    <w:rsid w:val="00052748"/>
    <w:rsid w:val="00052807"/>
    <w:rsid w:val="00052ADA"/>
    <w:rsid w:val="00052B76"/>
    <w:rsid w:val="00052C2D"/>
    <w:rsid w:val="00052CA2"/>
    <w:rsid w:val="00052F1B"/>
    <w:rsid w:val="00053073"/>
    <w:rsid w:val="0005307A"/>
    <w:rsid w:val="000530D7"/>
    <w:rsid w:val="000531B4"/>
    <w:rsid w:val="000532F5"/>
    <w:rsid w:val="00053336"/>
    <w:rsid w:val="000534A6"/>
    <w:rsid w:val="000535B4"/>
    <w:rsid w:val="000535C9"/>
    <w:rsid w:val="00053605"/>
    <w:rsid w:val="00053673"/>
    <w:rsid w:val="000538C1"/>
    <w:rsid w:val="00053CCF"/>
    <w:rsid w:val="00053CF4"/>
    <w:rsid w:val="00053E1E"/>
    <w:rsid w:val="00053EDB"/>
    <w:rsid w:val="0005406A"/>
    <w:rsid w:val="000541E4"/>
    <w:rsid w:val="0005429B"/>
    <w:rsid w:val="00054376"/>
    <w:rsid w:val="000543AD"/>
    <w:rsid w:val="00054424"/>
    <w:rsid w:val="000545F8"/>
    <w:rsid w:val="0005485D"/>
    <w:rsid w:val="00054913"/>
    <w:rsid w:val="00054972"/>
    <w:rsid w:val="000549D5"/>
    <w:rsid w:val="00054A49"/>
    <w:rsid w:val="00054ADB"/>
    <w:rsid w:val="00054C13"/>
    <w:rsid w:val="00054D94"/>
    <w:rsid w:val="00054E07"/>
    <w:rsid w:val="00054E87"/>
    <w:rsid w:val="00054E93"/>
    <w:rsid w:val="0005504A"/>
    <w:rsid w:val="00055063"/>
    <w:rsid w:val="000550AF"/>
    <w:rsid w:val="000551E2"/>
    <w:rsid w:val="00055216"/>
    <w:rsid w:val="0005523A"/>
    <w:rsid w:val="00055266"/>
    <w:rsid w:val="00055350"/>
    <w:rsid w:val="0005538A"/>
    <w:rsid w:val="00055490"/>
    <w:rsid w:val="000556EB"/>
    <w:rsid w:val="00055762"/>
    <w:rsid w:val="00055783"/>
    <w:rsid w:val="000557EA"/>
    <w:rsid w:val="0005581E"/>
    <w:rsid w:val="0005586F"/>
    <w:rsid w:val="0005591B"/>
    <w:rsid w:val="00055961"/>
    <w:rsid w:val="00055AB9"/>
    <w:rsid w:val="00055BE6"/>
    <w:rsid w:val="00055C57"/>
    <w:rsid w:val="00055CD0"/>
    <w:rsid w:val="00055CE7"/>
    <w:rsid w:val="00055D3F"/>
    <w:rsid w:val="00055D77"/>
    <w:rsid w:val="00055DDD"/>
    <w:rsid w:val="00055E9D"/>
    <w:rsid w:val="00055EF6"/>
    <w:rsid w:val="00055F63"/>
    <w:rsid w:val="0005603D"/>
    <w:rsid w:val="00056040"/>
    <w:rsid w:val="0005607F"/>
    <w:rsid w:val="00056246"/>
    <w:rsid w:val="0005635F"/>
    <w:rsid w:val="00056376"/>
    <w:rsid w:val="00056382"/>
    <w:rsid w:val="000563A0"/>
    <w:rsid w:val="00056405"/>
    <w:rsid w:val="000565B6"/>
    <w:rsid w:val="000565F0"/>
    <w:rsid w:val="000565F8"/>
    <w:rsid w:val="00056629"/>
    <w:rsid w:val="0005679F"/>
    <w:rsid w:val="000567E4"/>
    <w:rsid w:val="00056848"/>
    <w:rsid w:val="00056968"/>
    <w:rsid w:val="00056A1B"/>
    <w:rsid w:val="00056A80"/>
    <w:rsid w:val="00056E00"/>
    <w:rsid w:val="00056E05"/>
    <w:rsid w:val="00056E6C"/>
    <w:rsid w:val="00056EFC"/>
    <w:rsid w:val="0005713E"/>
    <w:rsid w:val="0005714A"/>
    <w:rsid w:val="000571F9"/>
    <w:rsid w:val="000572C9"/>
    <w:rsid w:val="00057345"/>
    <w:rsid w:val="000573DD"/>
    <w:rsid w:val="000573EF"/>
    <w:rsid w:val="00057420"/>
    <w:rsid w:val="000575BA"/>
    <w:rsid w:val="000575C3"/>
    <w:rsid w:val="000575F4"/>
    <w:rsid w:val="00057793"/>
    <w:rsid w:val="000577C9"/>
    <w:rsid w:val="00057998"/>
    <w:rsid w:val="00057A3A"/>
    <w:rsid w:val="00057B6B"/>
    <w:rsid w:val="00057BDA"/>
    <w:rsid w:val="00057C24"/>
    <w:rsid w:val="00057D38"/>
    <w:rsid w:val="00057D59"/>
    <w:rsid w:val="00057D6F"/>
    <w:rsid w:val="00057DB6"/>
    <w:rsid w:val="00057E70"/>
    <w:rsid w:val="00057EFC"/>
    <w:rsid w:val="00057F21"/>
    <w:rsid w:val="0006003A"/>
    <w:rsid w:val="00060058"/>
    <w:rsid w:val="0006024F"/>
    <w:rsid w:val="00060549"/>
    <w:rsid w:val="0006054D"/>
    <w:rsid w:val="00060602"/>
    <w:rsid w:val="00060614"/>
    <w:rsid w:val="00060695"/>
    <w:rsid w:val="000606A0"/>
    <w:rsid w:val="0006079E"/>
    <w:rsid w:val="000607E1"/>
    <w:rsid w:val="000607F7"/>
    <w:rsid w:val="00060966"/>
    <w:rsid w:val="00060A26"/>
    <w:rsid w:val="00060A65"/>
    <w:rsid w:val="00060ABA"/>
    <w:rsid w:val="00060B53"/>
    <w:rsid w:val="00060C64"/>
    <w:rsid w:val="00060CB3"/>
    <w:rsid w:val="00060ED5"/>
    <w:rsid w:val="00060FB7"/>
    <w:rsid w:val="00060FF7"/>
    <w:rsid w:val="000611E1"/>
    <w:rsid w:val="000612DB"/>
    <w:rsid w:val="00061554"/>
    <w:rsid w:val="00061721"/>
    <w:rsid w:val="00061774"/>
    <w:rsid w:val="000617FB"/>
    <w:rsid w:val="000617FD"/>
    <w:rsid w:val="0006180D"/>
    <w:rsid w:val="000618E5"/>
    <w:rsid w:val="00061986"/>
    <w:rsid w:val="00061A19"/>
    <w:rsid w:val="00061A97"/>
    <w:rsid w:val="00061ACF"/>
    <w:rsid w:val="00061BDB"/>
    <w:rsid w:val="00061D8D"/>
    <w:rsid w:val="00061DDA"/>
    <w:rsid w:val="00061EFA"/>
    <w:rsid w:val="00061FD7"/>
    <w:rsid w:val="00062129"/>
    <w:rsid w:val="00062253"/>
    <w:rsid w:val="000622B1"/>
    <w:rsid w:val="00062472"/>
    <w:rsid w:val="00062528"/>
    <w:rsid w:val="00062559"/>
    <w:rsid w:val="000625C5"/>
    <w:rsid w:val="0006278A"/>
    <w:rsid w:val="0006282C"/>
    <w:rsid w:val="000628C6"/>
    <w:rsid w:val="000628F1"/>
    <w:rsid w:val="00062923"/>
    <w:rsid w:val="00062AC1"/>
    <w:rsid w:val="00062D9A"/>
    <w:rsid w:val="00062E33"/>
    <w:rsid w:val="00062E3B"/>
    <w:rsid w:val="00062F55"/>
    <w:rsid w:val="00062FDD"/>
    <w:rsid w:val="0006303A"/>
    <w:rsid w:val="0006324A"/>
    <w:rsid w:val="00063362"/>
    <w:rsid w:val="000634FB"/>
    <w:rsid w:val="00063561"/>
    <w:rsid w:val="00063569"/>
    <w:rsid w:val="0006365F"/>
    <w:rsid w:val="000636BE"/>
    <w:rsid w:val="000636C8"/>
    <w:rsid w:val="0006370E"/>
    <w:rsid w:val="00063727"/>
    <w:rsid w:val="00063807"/>
    <w:rsid w:val="0006384F"/>
    <w:rsid w:val="0006387D"/>
    <w:rsid w:val="00063B24"/>
    <w:rsid w:val="00063C2F"/>
    <w:rsid w:val="00063CAE"/>
    <w:rsid w:val="00063D31"/>
    <w:rsid w:val="00063F46"/>
    <w:rsid w:val="00063F76"/>
    <w:rsid w:val="00063FCC"/>
    <w:rsid w:val="000640FC"/>
    <w:rsid w:val="00064210"/>
    <w:rsid w:val="000642D1"/>
    <w:rsid w:val="00064501"/>
    <w:rsid w:val="000645A2"/>
    <w:rsid w:val="00064677"/>
    <w:rsid w:val="000647F1"/>
    <w:rsid w:val="00064A1A"/>
    <w:rsid w:val="00064A5E"/>
    <w:rsid w:val="00064B6D"/>
    <w:rsid w:val="00064B92"/>
    <w:rsid w:val="00064BB2"/>
    <w:rsid w:val="00064C26"/>
    <w:rsid w:val="00064C8B"/>
    <w:rsid w:val="00064D2B"/>
    <w:rsid w:val="00064E12"/>
    <w:rsid w:val="00064E9D"/>
    <w:rsid w:val="00064EA4"/>
    <w:rsid w:val="00064F0A"/>
    <w:rsid w:val="00065203"/>
    <w:rsid w:val="0006523F"/>
    <w:rsid w:val="0006535D"/>
    <w:rsid w:val="0006538A"/>
    <w:rsid w:val="000653B2"/>
    <w:rsid w:val="000653F7"/>
    <w:rsid w:val="000653FA"/>
    <w:rsid w:val="00065510"/>
    <w:rsid w:val="000658F2"/>
    <w:rsid w:val="00065A1A"/>
    <w:rsid w:val="00065B07"/>
    <w:rsid w:val="00065B19"/>
    <w:rsid w:val="00065B74"/>
    <w:rsid w:val="00065C1F"/>
    <w:rsid w:val="00065C23"/>
    <w:rsid w:val="00065C64"/>
    <w:rsid w:val="00065CD4"/>
    <w:rsid w:val="00065CF4"/>
    <w:rsid w:val="00065D2E"/>
    <w:rsid w:val="00065DB1"/>
    <w:rsid w:val="00065EC9"/>
    <w:rsid w:val="00065F04"/>
    <w:rsid w:val="00066020"/>
    <w:rsid w:val="000660C6"/>
    <w:rsid w:val="00066128"/>
    <w:rsid w:val="0006618A"/>
    <w:rsid w:val="00066287"/>
    <w:rsid w:val="00066322"/>
    <w:rsid w:val="000663B1"/>
    <w:rsid w:val="00066409"/>
    <w:rsid w:val="00066676"/>
    <w:rsid w:val="00066684"/>
    <w:rsid w:val="000667C3"/>
    <w:rsid w:val="00066A33"/>
    <w:rsid w:val="00066C93"/>
    <w:rsid w:val="00066E54"/>
    <w:rsid w:val="00066EA2"/>
    <w:rsid w:val="00066FA0"/>
    <w:rsid w:val="00067105"/>
    <w:rsid w:val="0006717A"/>
    <w:rsid w:val="00067215"/>
    <w:rsid w:val="000672DD"/>
    <w:rsid w:val="0006735F"/>
    <w:rsid w:val="00067479"/>
    <w:rsid w:val="00067517"/>
    <w:rsid w:val="00067608"/>
    <w:rsid w:val="0006766D"/>
    <w:rsid w:val="000676F6"/>
    <w:rsid w:val="00067777"/>
    <w:rsid w:val="00067798"/>
    <w:rsid w:val="00067802"/>
    <w:rsid w:val="00067806"/>
    <w:rsid w:val="000678ED"/>
    <w:rsid w:val="00067911"/>
    <w:rsid w:val="00067B45"/>
    <w:rsid w:val="00067D56"/>
    <w:rsid w:val="00067D89"/>
    <w:rsid w:val="00067EB4"/>
    <w:rsid w:val="00067F58"/>
    <w:rsid w:val="00070121"/>
    <w:rsid w:val="00070124"/>
    <w:rsid w:val="000701FC"/>
    <w:rsid w:val="0007033B"/>
    <w:rsid w:val="000704F6"/>
    <w:rsid w:val="00070608"/>
    <w:rsid w:val="0007060F"/>
    <w:rsid w:val="000706D4"/>
    <w:rsid w:val="00070792"/>
    <w:rsid w:val="000707B2"/>
    <w:rsid w:val="000707F3"/>
    <w:rsid w:val="0007080C"/>
    <w:rsid w:val="0007094D"/>
    <w:rsid w:val="000709AE"/>
    <w:rsid w:val="00070B14"/>
    <w:rsid w:val="00070CB3"/>
    <w:rsid w:val="00070D8B"/>
    <w:rsid w:val="00070DAF"/>
    <w:rsid w:val="00070DD7"/>
    <w:rsid w:val="00070EB5"/>
    <w:rsid w:val="00070ED5"/>
    <w:rsid w:val="00070EDA"/>
    <w:rsid w:val="00070EEA"/>
    <w:rsid w:val="00070F68"/>
    <w:rsid w:val="00070FDB"/>
    <w:rsid w:val="000711DA"/>
    <w:rsid w:val="00071265"/>
    <w:rsid w:val="000712F6"/>
    <w:rsid w:val="0007139B"/>
    <w:rsid w:val="000714CD"/>
    <w:rsid w:val="00071519"/>
    <w:rsid w:val="0007153A"/>
    <w:rsid w:val="00071613"/>
    <w:rsid w:val="0007169F"/>
    <w:rsid w:val="000716BF"/>
    <w:rsid w:val="0007187C"/>
    <w:rsid w:val="00071892"/>
    <w:rsid w:val="0007194D"/>
    <w:rsid w:val="00071A66"/>
    <w:rsid w:val="00071AC7"/>
    <w:rsid w:val="00071C20"/>
    <w:rsid w:val="00071C4D"/>
    <w:rsid w:val="00071C5C"/>
    <w:rsid w:val="00071EA6"/>
    <w:rsid w:val="00071F8B"/>
    <w:rsid w:val="0007207B"/>
    <w:rsid w:val="000721DB"/>
    <w:rsid w:val="00072214"/>
    <w:rsid w:val="000722B9"/>
    <w:rsid w:val="0007238B"/>
    <w:rsid w:val="0007257E"/>
    <w:rsid w:val="000725E6"/>
    <w:rsid w:val="0007263C"/>
    <w:rsid w:val="00072676"/>
    <w:rsid w:val="0007274E"/>
    <w:rsid w:val="0007275F"/>
    <w:rsid w:val="000729E0"/>
    <w:rsid w:val="000729E7"/>
    <w:rsid w:val="00072ADE"/>
    <w:rsid w:val="00072B31"/>
    <w:rsid w:val="00072B65"/>
    <w:rsid w:val="00072C91"/>
    <w:rsid w:val="00072C96"/>
    <w:rsid w:val="00072CA5"/>
    <w:rsid w:val="00072CB7"/>
    <w:rsid w:val="00072D91"/>
    <w:rsid w:val="00072F49"/>
    <w:rsid w:val="000731CA"/>
    <w:rsid w:val="000732D5"/>
    <w:rsid w:val="0007332D"/>
    <w:rsid w:val="000733D0"/>
    <w:rsid w:val="00073416"/>
    <w:rsid w:val="00073420"/>
    <w:rsid w:val="000734BA"/>
    <w:rsid w:val="00073533"/>
    <w:rsid w:val="00073540"/>
    <w:rsid w:val="000735A6"/>
    <w:rsid w:val="00073604"/>
    <w:rsid w:val="0007366D"/>
    <w:rsid w:val="00073709"/>
    <w:rsid w:val="0007372D"/>
    <w:rsid w:val="000737AB"/>
    <w:rsid w:val="00073A41"/>
    <w:rsid w:val="00073BB4"/>
    <w:rsid w:val="00073C07"/>
    <w:rsid w:val="00073D94"/>
    <w:rsid w:val="00073EA2"/>
    <w:rsid w:val="00074252"/>
    <w:rsid w:val="00074311"/>
    <w:rsid w:val="000743B9"/>
    <w:rsid w:val="0007441D"/>
    <w:rsid w:val="00074450"/>
    <w:rsid w:val="0007451F"/>
    <w:rsid w:val="00074562"/>
    <w:rsid w:val="00074657"/>
    <w:rsid w:val="000747B2"/>
    <w:rsid w:val="000747E8"/>
    <w:rsid w:val="00074858"/>
    <w:rsid w:val="00074864"/>
    <w:rsid w:val="000748D9"/>
    <w:rsid w:val="0007491B"/>
    <w:rsid w:val="00074969"/>
    <w:rsid w:val="00074979"/>
    <w:rsid w:val="00074A2E"/>
    <w:rsid w:val="00074AE9"/>
    <w:rsid w:val="00074B1F"/>
    <w:rsid w:val="00074E4E"/>
    <w:rsid w:val="00074ECD"/>
    <w:rsid w:val="00075009"/>
    <w:rsid w:val="000750A9"/>
    <w:rsid w:val="000753A8"/>
    <w:rsid w:val="000753CE"/>
    <w:rsid w:val="000753E8"/>
    <w:rsid w:val="000753F9"/>
    <w:rsid w:val="0007552D"/>
    <w:rsid w:val="00075585"/>
    <w:rsid w:val="000755BD"/>
    <w:rsid w:val="00075625"/>
    <w:rsid w:val="0007578F"/>
    <w:rsid w:val="000758CC"/>
    <w:rsid w:val="00075A55"/>
    <w:rsid w:val="00075A8D"/>
    <w:rsid w:val="00075B58"/>
    <w:rsid w:val="00075B62"/>
    <w:rsid w:val="00075B6D"/>
    <w:rsid w:val="00075B75"/>
    <w:rsid w:val="00075BAC"/>
    <w:rsid w:val="00075CAD"/>
    <w:rsid w:val="00075D81"/>
    <w:rsid w:val="00075DB8"/>
    <w:rsid w:val="00075E3F"/>
    <w:rsid w:val="00075EA9"/>
    <w:rsid w:val="00075F9E"/>
    <w:rsid w:val="0007602E"/>
    <w:rsid w:val="00076090"/>
    <w:rsid w:val="00076094"/>
    <w:rsid w:val="000762D4"/>
    <w:rsid w:val="000762F2"/>
    <w:rsid w:val="00076497"/>
    <w:rsid w:val="00076502"/>
    <w:rsid w:val="0007678E"/>
    <w:rsid w:val="000767BE"/>
    <w:rsid w:val="0007684C"/>
    <w:rsid w:val="000768B4"/>
    <w:rsid w:val="00076900"/>
    <w:rsid w:val="0007691A"/>
    <w:rsid w:val="0007698C"/>
    <w:rsid w:val="00076A38"/>
    <w:rsid w:val="00076A3E"/>
    <w:rsid w:val="00076B19"/>
    <w:rsid w:val="00076C21"/>
    <w:rsid w:val="00076C38"/>
    <w:rsid w:val="00076C91"/>
    <w:rsid w:val="00076DC8"/>
    <w:rsid w:val="00076EC8"/>
    <w:rsid w:val="0007702D"/>
    <w:rsid w:val="00077043"/>
    <w:rsid w:val="0007704B"/>
    <w:rsid w:val="00077304"/>
    <w:rsid w:val="000776E2"/>
    <w:rsid w:val="0007775C"/>
    <w:rsid w:val="00077811"/>
    <w:rsid w:val="000779FD"/>
    <w:rsid w:val="00077A12"/>
    <w:rsid w:val="00077C53"/>
    <w:rsid w:val="00077CD7"/>
    <w:rsid w:val="00077DA7"/>
    <w:rsid w:val="00077EA6"/>
    <w:rsid w:val="00077FFC"/>
    <w:rsid w:val="0008005A"/>
    <w:rsid w:val="000802A5"/>
    <w:rsid w:val="000802B7"/>
    <w:rsid w:val="00080318"/>
    <w:rsid w:val="00080343"/>
    <w:rsid w:val="000804C4"/>
    <w:rsid w:val="000805BF"/>
    <w:rsid w:val="0008060A"/>
    <w:rsid w:val="0008065E"/>
    <w:rsid w:val="000807F9"/>
    <w:rsid w:val="0008089F"/>
    <w:rsid w:val="00080A81"/>
    <w:rsid w:val="00080BC9"/>
    <w:rsid w:val="00080BE4"/>
    <w:rsid w:val="00080BF3"/>
    <w:rsid w:val="00080C3F"/>
    <w:rsid w:val="00081078"/>
    <w:rsid w:val="00081389"/>
    <w:rsid w:val="000813B0"/>
    <w:rsid w:val="0008142F"/>
    <w:rsid w:val="000814A8"/>
    <w:rsid w:val="000814B6"/>
    <w:rsid w:val="000814BE"/>
    <w:rsid w:val="0008152D"/>
    <w:rsid w:val="00081726"/>
    <w:rsid w:val="00081754"/>
    <w:rsid w:val="00081775"/>
    <w:rsid w:val="000818E4"/>
    <w:rsid w:val="0008195B"/>
    <w:rsid w:val="00081996"/>
    <w:rsid w:val="00081BC2"/>
    <w:rsid w:val="00081CB3"/>
    <w:rsid w:val="00081D2B"/>
    <w:rsid w:val="00081D4D"/>
    <w:rsid w:val="00081DFF"/>
    <w:rsid w:val="00081E37"/>
    <w:rsid w:val="00081FAB"/>
    <w:rsid w:val="00082107"/>
    <w:rsid w:val="0008231C"/>
    <w:rsid w:val="00082512"/>
    <w:rsid w:val="000825A5"/>
    <w:rsid w:val="000828B7"/>
    <w:rsid w:val="000829D0"/>
    <w:rsid w:val="00082AC8"/>
    <w:rsid w:val="00082C2F"/>
    <w:rsid w:val="00082D33"/>
    <w:rsid w:val="00082DA5"/>
    <w:rsid w:val="00082FA4"/>
    <w:rsid w:val="0008307C"/>
    <w:rsid w:val="000830FB"/>
    <w:rsid w:val="0008331B"/>
    <w:rsid w:val="0008339D"/>
    <w:rsid w:val="0008344B"/>
    <w:rsid w:val="000834B8"/>
    <w:rsid w:val="00083598"/>
    <w:rsid w:val="000835D9"/>
    <w:rsid w:val="00083787"/>
    <w:rsid w:val="0008382D"/>
    <w:rsid w:val="000838C4"/>
    <w:rsid w:val="00083A63"/>
    <w:rsid w:val="00083DEC"/>
    <w:rsid w:val="0008404C"/>
    <w:rsid w:val="000840EE"/>
    <w:rsid w:val="00084131"/>
    <w:rsid w:val="00084181"/>
    <w:rsid w:val="000841ED"/>
    <w:rsid w:val="00084255"/>
    <w:rsid w:val="000842A4"/>
    <w:rsid w:val="000842A8"/>
    <w:rsid w:val="000844EF"/>
    <w:rsid w:val="00084610"/>
    <w:rsid w:val="000846E5"/>
    <w:rsid w:val="00084723"/>
    <w:rsid w:val="00084937"/>
    <w:rsid w:val="00084987"/>
    <w:rsid w:val="000849A6"/>
    <w:rsid w:val="00084A22"/>
    <w:rsid w:val="00084B5A"/>
    <w:rsid w:val="00084C01"/>
    <w:rsid w:val="00084D47"/>
    <w:rsid w:val="00084D6B"/>
    <w:rsid w:val="00085053"/>
    <w:rsid w:val="000850A3"/>
    <w:rsid w:val="000850A5"/>
    <w:rsid w:val="0008513D"/>
    <w:rsid w:val="0008518B"/>
    <w:rsid w:val="00085235"/>
    <w:rsid w:val="000853DC"/>
    <w:rsid w:val="00085427"/>
    <w:rsid w:val="000854BC"/>
    <w:rsid w:val="0008551C"/>
    <w:rsid w:val="00085551"/>
    <w:rsid w:val="00085555"/>
    <w:rsid w:val="000856B5"/>
    <w:rsid w:val="00085847"/>
    <w:rsid w:val="0008584C"/>
    <w:rsid w:val="0008588E"/>
    <w:rsid w:val="00085A03"/>
    <w:rsid w:val="00085A52"/>
    <w:rsid w:val="00085A73"/>
    <w:rsid w:val="00085A9A"/>
    <w:rsid w:val="00085AED"/>
    <w:rsid w:val="00085F73"/>
    <w:rsid w:val="00085F9C"/>
    <w:rsid w:val="00086085"/>
    <w:rsid w:val="0008613D"/>
    <w:rsid w:val="000861B5"/>
    <w:rsid w:val="00086204"/>
    <w:rsid w:val="000862F8"/>
    <w:rsid w:val="00086337"/>
    <w:rsid w:val="00086399"/>
    <w:rsid w:val="000863BF"/>
    <w:rsid w:val="00086974"/>
    <w:rsid w:val="0008697F"/>
    <w:rsid w:val="000869E4"/>
    <w:rsid w:val="00086A4C"/>
    <w:rsid w:val="00086A77"/>
    <w:rsid w:val="00086BDE"/>
    <w:rsid w:val="00086C41"/>
    <w:rsid w:val="00086CAD"/>
    <w:rsid w:val="00086CCB"/>
    <w:rsid w:val="00086D43"/>
    <w:rsid w:val="00086EBF"/>
    <w:rsid w:val="0008715B"/>
    <w:rsid w:val="00087208"/>
    <w:rsid w:val="00087264"/>
    <w:rsid w:val="0008732E"/>
    <w:rsid w:val="00087387"/>
    <w:rsid w:val="0008738F"/>
    <w:rsid w:val="0008739B"/>
    <w:rsid w:val="00087490"/>
    <w:rsid w:val="000875F4"/>
    <w:rsid w:val="000877B1"/>
    <w:rsid w:val="00087851"/>
    <w:rsid w:val="000878BC"/>
    <w:rsid w:val="00087A46"/>
    <w:rsid w:val="00087A57"/>
    <w:rsid w:val="00087A6C"/>
    <w:rsid w:val="00087B2F"/>
    <w:rsid w:val="00087CBF"/>
    <w:rsid w:val="00087DF8"/>
    <w:rsid w:val="00087E13"/>
    <w:rsid w:val="00087F7C"/>
    <w:rsid w:val="00087FD9"/>
    <w:rsid w:val="0009013A"/>
    <w:rsid w:val="0009017C"/>
    <w:rsid w:val="00090254"/>
    <w:rsid w:val="00090294"/>
    <w:rsid w:val="00090504"/>
    <w:rsid w:val="0009051A"/>
    <w:rsid w:val="00090716"/>
    <w:rsid w:val="000907C6"/>
    <w:rsid w:val="00090862"/>
    <w:rsid w:val="0009089A"/>
    <w:rsid w:val="000908BB"/>
    <w:rsid w:val="00090B3C"/>
    <w:rsid w:val="00090E3D"/>
    <w:rsid w:val="00090F57"/>
    <w:rsid w:val="00090FD7"/>
    <w:rsid w:val="0009101F"/>
    <w:rsid w:val="0009103F"/>
    <w:rsid w:val="0009109F"/>
    <w:rsid w:val="000910F2"/>
    <w:rsid w:val="000912AC"/>
    <w:rsid w:val="000912B6"/>
    <w:rsid w:val="000912CC"/>
    <w:rsid w:val="000913DF"/>
    <w:rsid w:val="0009144E"/>
    <w:rsid w:val="000914FE"/>
    <w:rsid w:val="0009151A"/>
    <w:rsid w:val="00091562"/>
    <w:rsid w:val="0009177A"/>
    <w:rsid w:val="000918BC"/>
    <w:rsid w:val="000919DC"/>
    <w:rsid w:val="00091A03"/>
    <w:rsid w:val="00091B7E"/>
    <w:rsid w:val="00091DF8"/>
    <w:rsid w:val="00091E02"/>
    <w:rsid w:val="00091E05"/>
    <w:rsid w:val="00092056"/>
    <w:rsid w:val="000920BC"/>
    <w:rsid w:val="0009221F"/>
    <w:rsid w:val="00092254"/>
    <w:rsid w:val="0009228D"/>
    <w:rsid w:val="00092308"/>
    <w:rsid w:val="00092387"/>
    <w:rsid w:val="0009258E"/>
    <w:rsid w:val="00092854"/>
    <w:rsid w:val="0009287D"/>
    <w:rsid w:val="000928BD"/>
    <w:rsid w:val="0009299D"/>
    <w:rsid w:val="000929FD"/>
    <w:rsid w:val="00092AC4"/>
    <w:rsid w:val="00092C49"/>
    <w:rsid w:val="00092CF3"/>
    <w:rsid w:val="00092E50"/>
    <w:rsid w:val="00092EA9"/>
    <w:rsid w:val="00092ED0"/>
    <w:rsid w:val="00093173"/>
    <w:rsid w:val="000931D4"/>
    <w:rsid w:val="00093202"/>
    <w:rsid w:val="0009327A"/>
    <w:rsid w:val="000932D0"/>
    <w:rsid w:val="00093319"/>
    <w:rsid w:val="00093378"/>
    <w:rsid w:val="000935EA"/>
    <w:rsid w:val="000936CD"/>
    <w:rsid w:val="00093724"/>
    <w:rsid w:val="0009378D"/>
    <w:rsid w:val="00093845"/>
    <w:rsid w:val="0009391D"/>
    <w:rsid w:val="00093920"/>
    <w:rsid w:val="00093A22"/>
    <w:rsid w:val="00093C54"/>
    <w:rsid w:val="00093D38"/>
    <w:rsid w:val="00093D46"/>
    <w:rsid w:val="00093D4D"/>
    <w:rsid w:val="00093DE5"/>
    <w:rsid w:val="00093E64"/>
    <w:rsid w:val="00093EA6"/>
    <w:rsid w:val="00093F45"/>
    <w:rsid w:val="00093F69"/>
    <w:rsid w:val="00094050"/>
    <w:rsid w:val="000941EA"/>
    <w:rsid w:val="000941F9"/>
    <w:rsid w:val="000943B1"/>
    <w:rsid w:val="0009445E"/>
    <w:rsid w:val="000944A4"/>
    <w:rsid w:val="000944F8"/>
    <w:rsid w:val="00094519"/>
    <w:rsid w:val="00094568"/>
    <w:rsid w:val="00094578"/>
    <w:rsid w:val="000946CC"/>
    <w:rsid w:val="000946DA"/>
    <w:rsid w:val="00094717"/>
    <w:rsid w:val="000947A7"/>
    <w:rsid w:val="00094B43"/>
    <w:rsid w:val="00094BE2"/>
    <w:rsid w:val="00094CC8"/>
    <w:rsid w:val="00094D25"/>
    <w:rsid w:val="00094D82"/>
    <w:rsid w:val="00094E68"/>
    <w:rsid w:val="00094E7C"/>
    <w:rsid w:val="00094F84"/>
    <w:rsid w:val="00095058"/>
    <w:rsid w:val="00095090"/>
    <w:rsid w:val="000950EE"/>
    <w:rsid w:val="00095127"/>
    <w:rsid w:val="00095147"/>
    <w:rsid w:val="00095371"/>
    <w:rsid w:val="0009537D"/>
    <w:rsid w:val="000953CF"/>
    <w:rsid w:val="0009541F"/>
    <w:rsid w:val="00095424"/>
    <w:rsid w:val="00095523"/>
    <w:rsid w:val="000955C2"/>
    <w:rsid w:val="0009581B"/>
    <w:rsid w:val="00095899"/>
    <w:rsid w:val="000958CC"/>
    <w:rsid w:val="000959AD"/>
    <w:rsid w:val="00095A1D"/>
    <w:rsid w:val="00095A27"/>
    <w:rsid w:val="00095B8F"/>
    <w:rsid w:val="00095C28"/>
    <w:rsid w:val="00095C40"/>
    <w:rsid w:val="00095CBD"/>
    <w:rsid w:val="00095CCD"/>
    <w:rsid w:val="00095D38"/>
    <w:rsid w:val="00095DE8"/>
    <w:rsid w:val="00095E31"/>
    <w:rsid w:val="00095E69"/>
    <w:rsid w:val="00095E73"/>
    <w:rsid w:val="00095F4B"/>
    <w:rsid w:val="000960E1"/>
    <w:rsid w:val="00096193"/>
    <w:rsid w:val="000961FF"/>
    <w:rsid w:val="00096283"/>
    <w:rsid w:val="0009628C"/>
    <w:rsid w:val="0009632F"/>
    <w:rsid w:val="000963BA"/>
    <w:rsid w:val="0009640E"/>
    <w:rsid w:val="00096468"/>
    <w:rsid w:val="0009685A"/>
    <w:rsid w:val="00096885"/>
    <w:rsid w:val="00096897"/>
    <w:rsid w:val="000968FA"/>
    <w:rsid w:val="000969C0"/>
    <w:rsid w:val="00096B25"/>
    <w:rsid w:val="00096B60"/>
    <w:rsid w:val="00096BA5"/>
    <w:rsid w:val="00096BC6"/>
    <w:rsid w:val="00096C27"/>
    <w:rsid w:val="00096C67"/>
    <w:rsid w:val="00096C91"/>
    <w:rsid w:val="00096E1C"/>
    <w:rsid w:val="00096E71"/>
    <w:rsid w:val="00096E7A"/>
    <w:rsid w:val="00096EBB"/>
    <w:rsid w:val="00096FEE"/>
    <w:rsid w:val="000971D5"/>
    <w:rsid w:val="00097377"/>
    <w:rsid w:val="000974A0"/>
    <w:rsid w:val="00097510"/>
    <w:rsid w:val="00097531"/>
    <w:rsid w:val="000975AD"/>
    <w:rsid w:val="000975BB"/>
    <w:rsid w:val="00097620"/>
    <w:rsid w:val="00097636"/>
    <w:rsid w:val="00097678"/>
    <w:rsid w:val="00097721"/>
    <w:rsid w:val="0009772A"/>
    <w:rsid w:val="000977F2"/>
    <w:rsid w:val="00097964"/>
    <w:rsid w:val="00097BA6"/>
    <w:rsid w:val="00097C15"/>
    <w:rsid w:val="00097C3C"/>
    <w:rsid w:val="00097C9D"/>
    <w:rsid w:val="00097D1F"/>
    <w:rsid w:val="00097DF8"/>
    <w:rsid w:val="00097EAE"/>
    <w:rsid w:val="00097FCF"/>
    <w:rsid w:val="000A0055"/>
    <w:rsid w:val="000A01F5"/>
    <w:rsid w:val="000A035E"/>
    <w:rsid w:val="000A0636"/>
    <w:rsid w:val="000A075B"/>
    <w:rsid w:val="000A0773"/>
    <w:rsid w:val="000A081C"/>
    <w:rsid w:val="000A082B"/>
    <w:rsid w:val="000A0834"/>
    <w:rsid w:val="000A085B"/>
    <w:rsid w:val="000A09A9"/>
    <w:rsid w:val="000A09B7"/>
    <w:rsid w:val="000A0A90"/>
    <w:rsid w:val="000A0AC9"/>
    <w:rsid w:val="000A0AD8"/>
    <w:rsid w:val="000A0C61"/>
    <w:rsid w:val="000A0CEF"/>
    <w:rsid w:val="000A0E1E"/>
    <w:rsid w:val="000A0E6D"/>
    <w:rsid w:val="000A0FC3"/>
    <w:rsid w:val="000A119B"/>
    <w:rsid w:val="000A12A8"/>
    <w:rsid w:val="000A12BA"/>
    <w:rsid w:val="000A1383"/>
    <w:rsid w:val="000A1409"/>
    <w:rsid w:val="000A142D"/>
    <w:rsid w:val="000A1488"/>
    <w:rsid w:val="000A152A"/>
    <w:rsid w:val="000A169C"/>
    <w:rsid w:val="000A19A9"/>
    <w:rsid w:val="000A1B1F"/>
    <w:rsid w:val="000A1B78"/>
    <w:rsid w:val="000A1B91"/>
    <w:rsid w:val="000A1C78"/>
    <w:rsid w:val="000A1D1C"/>
    <w:rsid w:val="000A1D20"/>
    <w:rsid w:val="000A1F0A"/>
    <w:rsid w:val="000A202C"/>
    <w:rsid w:val="000A2032"/>
    <w:rsid w:val="000A2039"/>
    <w:rsid w:val="000A2066"/>
    <w:rsid w:val="000A211F"/>
    <w:rsid w:val="000A21D3"/>
    <w:rsid w:val="000A21D8"/>
    <w:rsid w:val="000A22AF"/>
    <w:rsid w:val="000A2417"/>
    <w:rsid w:val="000A24C7"/>
    <w:rsid w:val="000A261A"/>
    <w:rsid w:val="000A2654"/>
    <w:rsid w:val="000A265A"/>
    <w:rsid w:val="000A268E"/>
    <w:rsid w:val="000A2956"/>
    <w:rsid w:val="000A2B3E"/>
    <w:rsid w:val="000A2BE3"/>
    <w:rsid w:val="000A2D3B"/>
    <w:rsid w:val="000A2D6E"/>
    <w:rsid w:val="000A2EA3"/>
    <w:rsid w:val="000A2F02"/>
    <w:rsid w:val="000A2F45"/>
    <w:rsid w:val="000A2F4B"/>
    <w:rsid w:val="000A2F6E"/>
    <w:rsid w:val="000A2FA1"/>
    <w:rsid w:val="000A300D"/>
    <w:rsid w:val="000A310A"/>
    <w:rsid w:val="000A31E8"/>
    <w:rsid w:val="000A3228"/>
    <w:rsid w:val="000A32CE"/>
    <w:rsid w:val="000A349E"/>
    <w:rsid w:val="000A34FB"/>
    <w:rsid w:val="000A350C"/>
    <w:rsid w:val="000A3533"/>
    <w:rsid w:val="000A3538"/>
    <w:rsid w:val="000A355E"/>
    <w:rsid w:val="000A36AB"/>
    <w:rsid w:val="000A395A"/>
    <w:rsid w:val="000A3A25"/>
    <w:rsid w:val="000A3A3E"/>
    <w:rsid w:val="000A3A88"/>
    <w:rsid w:val="000A3AD7"/>
    <w:rsid w:val="000A3AF8"/>
    <w:rsid w:val="000A3B18"/>
    <w:rsid w:val="000A3C38"/>
    <w:rsid w:val="000A3CFE"/>
    <w:rsid w:val="000A3D31"/>
    <w:rsid w:val="000A3DCD"/>
    <w:rsid w:val="000A3DD1"/>
    <w:rsid w:val="000A3F0A"/>
    <w:rsid w:val="000A3F91"/>
    <w:rsid w:val="000A4269"/>
    <w:rsid w:val="000A448B"/>
    <w:rsid w:val="000A44E5"/>
    <w:rsid w:val="000A44EA"/>
    <w:rsid w:val="000A4737"/>
    <w:rsid w:val="000A476D"/>
    <w:rsid w:val="000A47D2"/>
    <w:rsid w:val="000A4837"/>
    <w:rsid w:val="000A4902"/>
    <w:rsid w:val="000A4B66"/>
    <w:rsid w:val="000A4C70"/>
    <w:rsid w:val="000A4DA5"/>
    <w:rsid w:val="000A4DCD"/>
    <w:rsid w:val="000A4E56"/>
    <w:rsid w:val="000A4F06"/>
    <w:rsid w:val="000A506C"/>
    <w:rsid w:val="000A5070"/>
    <w:rsid w:val="000A5291"/>
    <w:rsid w:val="000A52BF"/>
    <w:rsid w:val="000A5327"/>
    <w:rsid w:val="000A5442"/>
    <w:rsid w:val="000A54A3"/>
    <w:rsid w:val="000A54D1"/>
    <w:rsid w:val="000A54E1"/>
    <w:rsid w:val="000A54F4"/>
    <w:rsid w:val="000A562F"/>
    <w:rsid w:val="000A566C"/>
    <w:rsid w:val="000A569A"/>
    <w:rsid w:val="000A57A5"/>
    <w:rsid w:val="000A57DC"/>
    <w:rsid w:val="000A5804"/>
    <w:rsid w:val="000A5842"/>
    <w:rsid w:val="000A58D2"/>
    <w:rsid w:val="000A593C"/>
    <w:rsid w:val="000A59E5"/>
    <w:rsid w:val="000A5B87"/>
    <w:rsid w:val="000A5B8D"/>
    <w:rsid w:val="000A5BD6"/>
    <w:rsid w:val="000A5D53"/>
    <w:rsid w:val="000A5D55"/>
    <w:rsid w:val="000A5EF0"/>
    <w:rsid w:val="000A5F3E"/>
    <w:rsid w:val="000A5F54"/>
    <w:rsid w:val="000A6103"/>
    <w:rsid w:val="000A618A"/>
    <w:rsid w:val="000A61E4"/>
    <w:rsid w:val="000A61FC"/>
    <w:rsid w:val="000A6227"/>
    <w:rsid w:val="000A62BD"/>
    <w:rsid w:val="000A631E"/>
    <w:rsid w:val="000A6478"/>
    <w:rsid w:val="000A6497"/>
    <w:rsid w:val="000A649A"/>
    <w:rsid w:val="000A6570"/>
    <w:rsid w:val="000A657D"/>
    <w:rsid w:val="000A65C2"/>
    <w:rsid w:val="000A67A5"/>
    <w:rsid w:val="000A682D"/>
    <w:rsid w:val="000A6853"/>
    <w:rsid w:val="000A686C"/>
    <w:rsid w:val="000A68B7"/>
    <w:rsid w:val="000A68BA"/>
    <w:rsid w:val="000A69CC"/>
    <w:rsid w:val="000A69E2"/>
    <w:rsid w:val="000A6BF7"/>
    <w:rsid w:val="000A6BFB"/>
    <w:rsid w:val="000A6E1D"/>
    <w:rsid w:val="000A6EA9"/>
    <w:rsid w:val="000A6F03"/>
    <w:rsid w:val="000A71BA"/>
    <w:rsid w:val="000A71C6"/>
    <w:rsid w:val="000A71FD"/>
    <w:rsid w:val="000A7209"/>
    <w:rsid w:val="000A7228"/>
    <w:rsid w:val="000A73A5"/>
    <w:rsid w:val="000A7420"/>
    <w:rsid w:val="000A745A"/>
    <w:rsid w:val="000A74C1"/>
    <w:rsid w:val="000A752B"/>
    <w:rsid w:val="000A75D6"/>
    <w:rsid w:val="000A780A"/>
    <w:rsid w:val="000A7816"/>
    <w:rsid w:val="000A7901"/>
    <w:rsid w:val="000A7955"/>
    <w:rsid w:val="000A7AE6"/>
    <w:rsid w:val="000A7C0A"/>
    <w:rsid w:val="000A7C1B"/>
    <w:rsid w:val="000A7C34"/>
    <w:rsid w:val="000A7EFC"/>
    <w:rsid w:val="000B0271"/>
    <w:rsid w:val="000B027D"/>
    <w:rsid w:val="000B033B"/>
    <w:rsid w:val="000B038D"/>
    <w:rsid w:val="000B0433"/>
    <w:rsid w:val="000B06D7"/>
    <w:rsid w:val="000B07C9"/>
    <w:rsid w:val="000B08C5"/>
    <w:rsid w:val="000B0AA8"/>
    <w:rsid w:val="000B0AC7"/>
    <w:rsid w:val="000B0AF5"/>
    <w:rsid w:val="000B0C3B"/>
    <w:rsid w:val="000B0D37"/>
    <w:rsid w:val="000B0DD7"/>
    <w:rsid w:val="000B0DE4"/>
    <w:rsid w:val="000B0EC3"/>
    <w:rsid w:val="000B10AD"/>
    <w:rsid w:val="000B10C2"/>
    <w:rsid w:val="000B1144"/>
    <w:rsid w:val="000B115C"/>
    <w:rsid w:val="000B1191"/>
    <w:rsid w:val="000B11DF"/>
    <w:rsid w:val="000B12CD"/>
    <w:rsid w:val="000B12CF"/>
    <w:rsid w:val="000B1328"/>
    <w:rsid w:val="000B13DC"/>
    <w:rsid w:val="000B141F"/>
    <w:rsid w:val="000B1481"/>
    <w:rsid w:val="000B1488"/>
    <w:rsid w:val="000B14F3"/>
    <w:rsid w:val="000B1537"/>
    <w:rsid w:val="000B16A7"/>
    <w:rsid w:val="000B16F6"/>
    <w:rsid w:val="000B1704"/>
    <w:rsid w:val="000B17C3"/>
    <w:rsid w:val="000B17CD"/>
    <w:rsid w:val="000B192E"/>
    <w:rsid w:val="000B196B"/>
    <w:rsid w:val="000B19BC"/>
    <w:rsid w:val="000B1A1F"/>
    <w:rsid w:val="000B1A4A"/>
    <w:rsid w:val="000B1B33"/>
    <w:rsid w:val="000B1DA2"/>
    <w:rsid w:val="000B1DAF"/>
    <w:rsid w:val="000B1E2F"/>
    <w:rsid w:val="000B1E39"/>
    <w:rsid w:val="000B1E43"/>
    <w:rsid w:val="000B1F24"/>
    <w:rsid w:val="000B1F4B"/>
    <w:rsid w:val="000B1FB3"/>
    <w:rsid w:val="000B2029"/>
    <w:rsid w:val="000B2056"/>
    <w:rsid w:val="000B2158"/>
    <w:rsid w:val="000B2356"/>
    <w:rsid w:val="000B239E"/>
    <w:rsid w:val="000B23E9"/>
    <w:rsid w:val="000B243E"/>
    <w:rsid w:val="000B25A1"/>
    <w:rsid w:val="000B2646"/>
    <w:rsid w:val="000B264A"/>
    <w:rsid w:val="000B26BB"/>
    <w:rsid w:val="000B26D5"/>
    <w:rsid w:val="000B270F"/>
    <w:rsid w:val="000B29C2"/>
    <w:rsid w:val="000B2B2A"/>
    <w:rsid w:val="000B2B68"/>
    <w:rsid w:val="000B2D5C"/>
    <w:rsid w:val="000B2D81"/>
    <w:rsid w:val="000B2DAA"/>
    <w:rsid w:val="000B2DE4"/>
    <w:rsid w:val="000B2E25"/>
    <w:rsid w:val="000B2E6C"/>
    <w:rsid w:val="000B2EA4"/>
    <w:rsid w:val="000B2EEE"/>
    <w:rsid w:val="000B2F98"/>
    <w:rsid w:val="000B31C4"/>
    <w:rsid w:val="000B3375"/>
    <w:rsid w:val="000B33E7"/>
    <w:rsid w:val="000B33F9"/>
    <w:rsid w:val="000B34D8"/>
    <w:rsid w:val="000B34EA"/>
    <w:rsid w:val="000B3596"/>
    <w:rsid w:val="000B359B"/>
    <w:rsid w:val="000B370B"/>
    <w:rsid w:val="000B3796"/>
    <w:rsid w:val="000B37BC"/>
    <w:rsid w:val="000B398F"/>
    <w:rsid w:val="000B3994"/>
    <w:rsid w:val="000B3A03"/>
    <w:rsid w:val="000B3A15"/>
    <w:rsid w:val="000B3B38"/>
    <w:rsid w:val="000B3C15"/>
    <w:rsid w:val="000B3DC9"/>
    <w:rsid w:val="000B3E7A"/>
    <w:rsid w:val="000B3F7B"/>
    <w:rsid w:val="000B3FB9"/>
    <w:rsid w:val="000B4056"/>
    <w:rsid w:val="000B40BF"/>
    <w:rsid w:val="000B4259"/>
    <w:rsid w:val="000B42A3"/>
    <w:rsid w:val="000B43D2"/>
    <w:rsid w:val="000B4462"/>
    <w:rsid w:val="000B4507"/>
    <w:rsid w:val="000B450C"/>
    <w:rsid w:val="000B4563"/>
    <w:rsid w:val="000B469C"/>
    <w:rsid w:val="000B4772"/>
    <w:rsid w:val="000B479B"/>
    <w:rsid w:val="000B486F"/>
    <w:rsid w:val="000B4C6F"/>
    <w:rsid w:val="000B4CA0"/>
    <w:rsid w:val="000B4D1B"/>
    <w:rsid w:val="000B4D61"/>
    <w:rsid w:val="000B4FE3"/>
    <w:rsid w:val="000B51E7"/>
    <w:rsid w:val="000B52D8"/>
    <w:rsid w:val="000B5407"/>
    <w:rsid w:val="000B54E7"/>
    <w:rsid w:val="000B5685"/>
    <w:rsid w:val="000B56A6"/>
    <w:rsid w:val="000B56FB"/>
    <w:rsid w:val="000B5755"/>
    <w:rsid w:val="000B5823"/>
    <w:rsid w:val="000B58D3"/>
    <w:rsid w:val="000B59F1"/>
    <w:rsid w:val="000B5BCA"/>
    <w:rsid w:val="000B5BD4"/>
    <w:rsid w:val="000B5C03"/>
    <w:rsid w:val="000B5D5B"/>
    <w:rsid w:val="000B5DDC"/>
    <w:rsid w:val="000B5E3E"/>
    <w:rsid w:val="000B5E8A"/>
    <w:rsid w:val="000B5F69"/>
    <w:rsid w:val="000B5F91"/>
    <w:rsid w:val="000B607E"/>
    <w:rsid w:val="000B62A8"/>
    <w:rsid w:val="000B62BA"/>
    <w:rsid w:val="000B62DA"/>
    <w:rsid w:val="000B633F"/>
    <w:rsid w:val="000B63DE"/>
    <w:rsid w:val="000B6443"/>
    <w:rsid w:val="000B6470"/>
    <w:rsid w:val="000B64E7"/>
    <w:rsid w:val="000B6582"/>
    <w:rsid w:val="000B6600"/>
    <w:rsid w:val="000B661C"/>
    <w:rsid w:val="000B6878"/>
    <w:rsid w:val="000B6B57"/>
    <w:rsid w:val="000B6BF6"/>
    <w:rsid w:val="000B6C4A"/>
    <w:rsid w:val="000B6D6D"/>
    <w:rsid w:val="000B6F37"/>
    <w:rsid w:val="000B6FD2"/>
    <w:rsid w:val="000B70BA"/>
    <w:rsid w:val="000B71EC"/>
    <w:rsid w:val="000B724E"/>
    <w:rsid w:val="000B7421"/>
    <w:rsid w:val="000B743B"/>
    <w:rsid w:val="000B7663"/>
    <w:rsid w:val="000B772F"/>
    <w:rsid w:val="000B77DC"/>
    <w:rsid w:val="000B77DE"/>
    <w:rsid w:val="000B7882"/>
    <w:rsid w:val="000B78A3"/>
    <w:rsid w:val="000B7A45"/>
    <w:rsid w:val="000B7AA9"/>
    <w:rsid w:val="000B7D05"/>
    <w:rsid w:val="000B7EE7"/>
    <w:rsid w:val="000B7F4B"/>
    <w:rsid w:val="000B7FC8"/>
    <w:rsid w:val="000B7FE9"/>
    <w:rsid w:val="000C0069"/>
    <w:rsid w:val="000C01EC"/>
    <w:rsid w:val="000C0390"/>
    <w:rsid w:val="000C03A1"/>
    <w:rsid w:val="000C0417"/>
    <w:rsid w:val="000C0518"/>
    <w:rsid w:val="000C059A"/>
    <w:rsid w:val="000C0698"/>
    <w:rsid w:val="000C07F7"/>
    <w:rsid w:val="000C08CC"/>
    <w:rsid w:val="000C0944"/>
    <w:rsid w:val="000C0A0D"/>
    <w:rsid w:val="000C0A90"/>
    <w:rsid w:val="000C0B26"/>
    <w:rsid w:val="000C0C77"/>
    <w:rsid w:val="000C0CA9"/>
    <w:rsid w:val="000C0CAF"/>
    <w:rsid w:val="000C0CE8"/>
    <w:rsid w:val="000C0D5C"/>
    <w:rsid w:val="000C0DEE"/>
    <w:rsid w:val="000C0EA3"/>
    <w:rsid w:val="000C0F1F"/>
    <w:rsid w:val="000C0F5E"/>
    <w:rsid w:val="000C0F67"/>
    <w:rsid w:val="000C1262"/>
    <w:rsid w:val="000C12A9"/>
    <w:rsid w:val="000C1378"/>
    <w:rsid w:val="000C152A"/>
    <w:rsid w:val="000C1576"/>
    <w:rsid w:val="000C15A6"/>
    <w:rsid w:val="000C1664"/>
    <w:rsid w:val="000C1665"/>
    <w:rsid w:val="000C1773"/>
    <w:rsid w:val="000C19EC"/>
    <w:rsid w:val="000C1B55"/>
    <w:rsid w:val="000C1B77"/>
    <w:rsid w:val="000C1C99"/>
    <w:rsid w:val="000C1EE5"/>
    <w:rsid w:val="000C1F84"/>
    <w:rsid w:val="000C1F93"/>
    <w:rsid w:val="000C2064"/>
    <w:rsid w:val="000C210B"/>
    <w:rsid w:val="000C234E"/>
    <w:rsid w:val="000C23EF"/>
    <w:rsid w:val="000C24C8"/>
    <w:rsid w:val="000C2554"/>
    <w:rsid w:val="000C25BA"/>
    <w:rsid w:val="000C2607"/>
    <w:rsid w:val="000C2611"/>
    <w:rsid w:val="000C2615"/>
    <w:rsid w:val="000C271C"/>
    <w:rsid w:val="000C27D6"/>
    <w:rsid w:val="000C291D"/>
    <w:rsid w:val="000C2939"/>
    <w:rsid w:val="000C295B"/>
    <w:rsid w:val="000C2974"/>
    <w:rsid w:val="000C2A58"/>
    <w:rsid w:val="000C2A96"/>
    <w:rsid w:val="000C2ADF"/>
    <w:rsid w:val="000C2D61"/>
    <w:rsid w:val="000C2D7C"/>
    <w:rsid w:val="000C2DC8"/>
    <w:rsid w:val="000C2DEE"/>
    <w:rsid w:val="000C306C"/>
    <w:rsid w:val="000C314F"/>
    <w:rsid w:val="000C3192"/>
    <w:rsid w:val="000C31A2"/>
    <w:rsid w:val="000C3236"/>
    <w:rsid w:val="000C328A"/>
    <w:rsid w:val="000C3293"/>
    <w:rsid w:val="000C32ED"/>
    <w:rsid w:val="000C33EF"/>
    <w:rsid w:val="000C343B"/>
    <w:rsid w:val="000C345E"/>
    <w:rsid w:val="000C350D"/>
    <w:rsid w:val="000C3639"/>
    <w:rsid w:val="000C3694"/>
    <w:rsid w:val="000C36DB"/>
    <w:rsid w:val="000C376C"/>
    <w:rsid w:val="000C378E"/>
    <w:rsid w:val="000C3845"/>
    <w:rsid w:val="000C38DD"/>
    <w:rsid w:val="000C3910"/>
    <w:rsid w:val="000C3968"/>
    <w:rsid w:val="000C3A53"/>
    <w:rsid w:val="000C3AA1"/>
    <w:rsid w:val="000C3B3F"/>
    <w:rsid w:val="000C3BC0"/>
    <w:rsid w:val="000C3C9E"/>
    <w:rsid w:val="000C3D49"/>
    <w:rsid w:val="000C3DC0"/>
    <w:rsid w:val="000C3DD6"/>
    <w:rsid w:val="000C3E33"/>
    <w:rsid w:val="000C3EE9"/>
    <w:rsid w:val="000C3EFA"/>
    <w:rsid w:val="000C3F4D"/>
    <w:rsid w:val="000C3F8E"/>
    <w:rsid w:val="000C40DE"/>
    <w:rsid w:val="000C42BE"/>
    <w:rsid w:val="000C4434"/>
    <w:rsid w:val="000C4883"/>
    <w:rsid w:val="000C4916"/>
    <w:rsid w:val="000C4A77"/>
    <w:rsid w:val="000C4AEF"/>
    <w:rsid w:val="000C4BC0"/>
    <w:rsid w:val="000C4C0E"/>
    <w:rsid w:val="000C4C51"/>
    <w:rsid w:val="000C4CB3"/>
    <w:rsid w:val="000C4D67"/>
    <w:rsid w:val="000C4D88"/>
    <w:rsid w:val="000C4E11"/>
    <w:rsid w:val="000C4F14"/>
    <w:rsid w:val="000C4F8D"/>
    <w:rsid w:val="000C51B7"/>
    <w:rsid w:val="000C5204"/>
    <w:rsid w:val="000C52F3"/>
    <w:rsid w:val="000C530C"/>
    <w:rsid w:val="000C5383"/>
    <w:rsid w:val="000C53BF"/>
    <w:rsid w:val="000C540B"/>
    <w:rsid w:val="000C5439"/>
    <w:rsid w:val="000C54E7"/>
    <w:rsid w:val="000C55C1"/>
    <w:rsid w:val="000C56DC"/>
    <w:rsid w:val="000C56E6"/>
    <w:rsid w:val="000C5744"/>
    <w:rsid w:val="000C58F0"/>
    <w:rsid w:val="000C5937"/>
    <w:rsid w:val="000C5951"/>
    <w:rsid w:val="000C59B5"/>
    <w:rsid w:val="000C5BB5"/>
    <w:rsid w:val="000C5C3A"/>
    <w:rsid w:val="000C5D28"/>
    <w:rsid w:val="000C5DF7"/>
    <w:rsid w:val="000C5F64"/>
    <w:rsid w:val="000C5F8D"/>
    <w:rsid w:val="000C6127"/>
    <w:rsid w:val="000C6227"/>
    <w:rsid w:val="000C624C"/>
    <w:rsid w:val="000C6278"/>
    <w:rsid w:val="000C634C"/>
    <w:rsid w:val="000C646A"/>
    <w:rsid w:val="000C6590"/>
    <w:rsid w:val="000C659A"/>
    <w:rsid w:val="000C65C8"/>
    <w:rsid w:val="000C67E4"/>
    <w:rsid w:val="000C6898"/>
    <w:rsid w:val="000C68B7"/>
    <w:rsid w:val="000C68DB"/>
    <w:rsid w:val="000C68F0"/>
    <w:rsid w:val="000C69BA"/>
    <w:rsid w:val="000C6ACD"/>
    <w:rsid w:val="000C6AF7"/>
    <w:rsid w:val="000C6B50"/>
    <w:rsid w:val="000C6B63"/>
    <w:rsid w:val="000C6B7A"/>
    <w:rsid w:val="000C6C3A"/>
    <w:rsid w:val="000C6C5B"/>
    <w:rsid w:val="000C6D63"/>
    <w:rsid w:val="000C6EBB"/>
    <w:rsid w:val="000C71A0"/>
    <w:rsid w:val="000C7223"/>
    <w:rsid w:val="000C724B"/>
    <w:rsid w:val="000C7266"/>
    <w:rsid w:val="000C7273"/>
    <w:rsid w:val="000C7296"/>
    <w:rsid w:val="000C72EE"/>
    <w:rsid w:val="000C731F"/>
    <w:rsid w:val="000C7481"/>
    <w:rsid w:val="000C77B7"/>
    <w:rsid w:val="000C77D4"/>
    <w:rsid w:val="000C7A0D"/>
    <w:rsid w:val="000C7A7B"/>
    <w:rsid w:val="000C7AC5"/>
    <w:rsid w:val="000C7C49"/>
    <w:rsid w:val="000C7D8C"/>
    <w:rsid w:val="000C7E4D"/>
    <w:rsid w:val="000D0064"/>
    <w:rsid w:val="000D00BC"/>
    <w:rsid w:val="000D01FD"/>
    <w:rsid w:val="000D0233"/>
    <w:rsid w:val="000D0305"/>
    <w:rsid w:val="000D041D"/>
    <w:rsid w:val="000D0504"/>
    <w:rsid w:val="000D0555"/>
    <w:rsid w:val="000D056B"/>
    <w:rsid w:val="000D05F9"/>
    <w:rsid w:val="000D06B9"/>
    <w:rsid w:val="000D0808"/>
    <w:rsid w:val="000D0938"/>
    <w:rsid w:val="000D0978"/>
    <w:rsid w:val="000D098E"/>
    <w:rsid w:val="000D0A79"/>
    <w:rsid w:val="000D0B8E"/>
    <w:rsid w:val="000D0BE4"/>
    <w:rsid w:val="000D0D87"/>
    <w:rsid w:val="000D0E28"/>
    <w:rsid w:val="000D0E55"/>
    <w:rsid w:val="000D0EB2"/>
    <w:rsid w:val="000D0EDC"/>
    <w:rsid w:val="000D0F4E"/>
    <w:rsid w:val="000D102D"/>
    <w:rsid w:val="000D1037"/>
    <w:rsid w:val="000D10E6"/>
    <w:rsid w:val="000D112A"/>
    <w:rsid w:val="000D1130"/>
    <w:rsid w:val="000D13B5"/>
    <w:rsid w:val="000D13BD"/>
    <w:rsid w:val="000D14AB"/>
    <w:rsid w:val="000D1574"/>
    <w:rsid w:val="000D1606"/>
    <w:rsid w:val="000D1647"/>
    <w:rsid w:val="000D1924"/>
    <w:rsid w:val="000D1A4F"/>
    <w:rsid w:val="000D1A55"/>
    <w:rsid w:val="000D1BB7"/>
    <w:rsid w:val="000D1D5F"/>
    <w:rsid w:val="000D1E0A"/>
    <w:rsid w:val="000D1E51"/>
    <w:rsid w:val="000D1F25"/>
    <w:rsid w:val="000D1F5F"/>
    <w:rsid w:val="000D1FD5"/>
    <w:rsid w:val="000D20A7"/>
    <w:rsid w:val="000D215B"/>
    <w:rsid w:val="000D21E7"/>
    <w:rsid w:val="000D228E"/>
    <w:rsid w:val="000D22C0"/>
    <w:rsid w:val="000D23D5"/>
    <w:rsid w:val="000D2409"/>
    <w:rsid w:val="000D243E"/>
    <w:rsid w:val="000D2531"/>
    <w:rsid w:val="000D2595"/>
    <w:rsid w:val="000D2737"/>
    <w:rsid w:val="000D2750"/>
    <w:rsid w:val="000D288A"/>
    <w:rsid w:val="000D28F2"/>
    <w:rsid w:val="000D2A25"/>
    <w:rsid w:val="000D2A3A"/>
    <w:rsid w:val="000D2A80"/>
    <w:rsid w:val="000D2B30"/>
    <w:rsid w:val="000D2B34"/>
    <w:rsid w:val="000D2C68"/>
    <w:rsid w:val="000D2C8D"/>
    <w:rsid w:val="000D2D41"/>
    <w:rsid w:val="000D2E4E"/>
    <w:rsid w:val="000D2EC2"/>
    <w:rsid w:val="000D2EF0"/>
    <w:rsid w:val="000D3032"/>
    <w:rsid w:val="000D308D"/>
    <w:rsid w:val="000D30A9"/>
    <w:rsid w:val="000D3112"/>
    <w:rsid w:val="000D33AE"/>
    <w:rsid w:val="000D33CA"/>
    <w:rsid w:val="000D3423"/>
    <w:rsid w:val="000D3458"/>
    <w:rsid w:val="000D3524"/>
    <w:rsid w:val="000D353F"/>
    <w:rsid w:val="000D35E9"/>
    <w:rsid w:val="000D36DC"/>
    <w:rsid w:val="000D37D5"/>
    <w:rsid w:val="000D380E"/>
    <w:rsid w:val="000D3831"/>
    <w:rsid w:val="000D3849"/>
    <w:rsid w:val="000D388C"/>
    <w:rsid w:val="000D3903"/>
    <w:rsid w:val="000D399C"/>
    <w:rsid w:val="000D3AC8"/>
    <w:rsid w:val="000D3AD9"/>
    <w:rsid w:val="000D3CCC"/>
    <w:rsid w:val="000D3E36"/>
    <w:rsid w:val="000D3ED2"/>
    <w:rsid w:val="000D3EED"/>
    <w:rsid w:val="000D3FC3"/>
    <w:rsid w:val="000D4024"/>
    <w:rsid w:val="000D414B"/>
    <w:rsid w:val="000D41A5"/>
    <w:rsid w:val="000D41E2"/>
    <w:rsid w:val="000D4351"/>
    <w:rsid w:val="000D43DA"/>
    <w:rsid w:val="000D4432"/>
    <w:rsid w:val="000D4520"/>
    <w:rsid w:val="000D4558"/>
    <w:rsid w:val="000D45FE"/>
    <w:rsid w:val="000D4699"/>
    <w:rsid w:val="000D470B"/>
    <w:rsid w:val="000D4791"/>
    <w:rsid w:val="000D4919"/>
    <w:rsid w:val="000D4B09"/>
    <w:rsid w:val="000D4BA7"/>
    <w:rsid w:val="000D4BE9"/>
    <w:rsid w:val="000D4C11"/>
    <w:rsid w:val="000D4C29"/>
    <w:rsid w:val="000D4CAA"/>
    <w:rsid w:val="000D4CD0"/>
    <w:rsid w:val="000D4D4D"/>
    <w:rsid w:val="000D4D80"/>
    <w:rsid w:val="000D4ED2"/>
    <w:rsid w:val="000D4F45"/>
    <w:rsid w:val="000D5030"/>
    <w:rsid w:val="000D51B3"/>
    <w:rsid w:val="000D51C9"/>
    <w:rsid w:val="000D5324"/>
    <w:rsid w:val="000D53D5"/>
    <w:rsid w:val="000D546C"/>
    <w:rsid w:val="000D5499"/>
    <w:rsid w:val="000D54EC"/>
    <w:rsid w:val="000D5540"/>
    <w:rsid w:val="000D55F3"/>
    <w:rsid w:val="000D5659"/>
    <w:rsid w:val="000D567C"/>
    <w:rsid w:val="000D5745"/>
    <w:rsid w:val="000D5756"/>
    <w:rsid w:val="000D579B"/>
    <w:rsid w:val="000D5A0E"/>
    <w:rsid w:val="000D5A4F"/>
    <w:rsid w:val="000D5C0D"/>
    <w:rsid w:val="000D5C75"/>
    <w:rsid w:val="000D5C91"/>
    <w:rsid w:val="000D5D2B"/>
    <w:rsid w:val="000D5DEE"/>
    <w:rsid w:val="000D5E0C"/>
    <w:rsid w:val="000D5E5D"/>
    <w:rsid w:val="000D5EA5"/>
    <w:rsid w:val="000D5F03"/>
    <w:rsid w:val="000D60D9"/>
    <w:rsid w:val="000D6201"/>
    <w:rsid w:val="000D6287"/>
    <w:rsid w:val="000D62A7"/>
    <w:rsid w:val="000D639F"/>
    <w:rsid w:val="000D63CB"/>
    <w:rsid w:val="000D6478"/>
    <w:rsid w:val="000D6553"/>
    <w:rsid w:val="000D65B2"/>
    <w:rsid w:val="000D65F4"/>
    <w:rsid w:val="000D6736"/>
    <w:rsid w:val="000D6805"/>
    <w:rsid w:val="000D68B5"/>
    <w:rsid w:val="000D694F"/>
    <w:rsid w:val="000D6973"/>
    <w:rsid w:val="000D69B8"/>
    <w:rsid w:val="000D6A99"/>
    <w:rsid w:val="000D6AD9"/>
    <w:rsid w:val="000D6B2B"/>
    <w:rsid w:val="000D6C15"/>
    <w:rsid w:val="000D6C1C"/>
    <w:rsid w:val="000D6C37"/>
    <w:rsid w:val="000D6C55"/>
    <w:rsid w:val="000D6CA6"/>
    <w:rsid w:val="000D6E73"/>
    <w:rsid w:val="000D6EB6"/>
    <w:rsid w:val="000D6FD9"/>
    <w:rsid w:val="000D6FF0"/>
    <w:rsid w:val="000D7075"/>
    <w:rsid w:val="000D7376"/>
    <w:rsid w:val="000D7390"/>
    <w:rsid w:val="000D740C"/>
    <w:rsid w:val="000D7446"/>
    <w:rsid w:val="000D745C"/>
    <w:rsid w:val="000D747B"/>
    <w:rsid w:val="000D7499"/>
    <w:rsid w:val="000D750F"/>
    <w:rsid w:val="000D751F"/>
    <w:rsid w:val="000D75C7"/>
    <w:rsid w:val="000D75F0"/>
    <w:rsid w:val="000D75F7"/>
    <w:rsid w:val="000D7644"/>
    <w:rsid w:val="000D766E"/>
    <w:rsid w:val="000D770E"/>
    <w:rsid w:val="000D773E"/>
    <w:rsid w:val="000D7773"/>
    <w:rsid w:val="000D7785"/>
    <w:rsid w:val="000D7878"/>
    <w:rsid w:val="000D7943"/>
    <w:rsid w:val="000D7989"/>
    <w:rsid w:val="000D7BC4"/>
    <w:rsid w:val="000D7CFD"/>
    <w:rsid w:val="000D7EDA"/>
    <w:rsid w:val="000D7FB1"/>
    <w:rsid w:val="000E0002"/>
    <w:rsid w:val="000E0055"/>
    <w:rsid w:val="000E0082"/>
    <w:rsid w:val="000E0203"/>
    <w:rsid w:val="000E02B8"/>
    <w:rsid w:val="000E033E"/>
    <w:rsid w:val="000E0442"/>
    <w:rsid w:val="000E04B7"/>
    <w:rsid w:val="000E05C4"/>
    <w:rsid w:val="000E066D"/>
    <w:rsid w:val="000E06DD"/>
    <w:rsid w:val="000E06E2"/>
    <w:rsid w:val="000E070C"/>
    <w:rsid w:val="000E0714"/>
    <w:rsid w:val="000E07AF"/>
    <w:rsid w:val="000E07BF"/>
    <w:rsid w:val="000E0826"/>
    <w:rsid w:val="000E0ACC"/>
    <w:rsid w:val="000E0C5C"/>
    <w:rsid w:val="000E0C8B"/>
    <w:rsid w:val="000E0CAA"/>
    <w:rsid w:val="000E0CB6"/>
    <w:rsid w:val="000E0CC1"/>
    <w:rsid w:val="000E0D1A"/>
    <w:rsid w:val="000E0E6A"/>
    <w:rsid w:val="000E0E7B"/>
    <w:rsid w:val="000E0EB8"/>
    <w:rsid w:val="000E0FA3"/>
    <w:rsid w:val="000E103C"/>
    <w:rsid w:val="000E104A"/>
    <w:rsid w:val="000E10ED"/>
    <w:rsid w:val="000E1221"/>
    <w:rsid w:val="000E1231"/>
    <w:rsid w:val="000E1295"/>
    <w:rsid w:val="000E12F2"/>
    <w:rsid w:val="000E1318"/>
    <w:rsid w:val="000E134A"/>
    <w:rsid w:val="000E16A7"/>
    <w:rsid w:val="000E16D1"/>
    <w:rsid w:val="000E1910"/>
    <w:rsid w:val="000E19AC"/>
    <w:rsid w:val="000E1B90"/>
    <w:rsid w:val="000E1C75"/>
    <w:rsid w:val="000E1DBE"/>
    <w:rsid w:val="000E1E59"/>
    <w:rsid w:val="000E1F12"/>
    <w:rsid w:val="000E1FDF"/>
    <w:rsid w:val="000E2087"/>
    <w:rsid w:val="000E208D"/>
    <w:rsid w:val="000E2094"/>
    <w:rsid w:val="000E237B"/>
    <w:rsid w:val="000E23A7"/>
    <w:rsid w:val="000E2408"/>
    <w:rsid w:val="000E2483"/>
    <w:rsid w:val="000E2494"/>
    <w:rsid w:val="000E24B7"/>
    <w:rsid w:val="000E2539"/>
    <w:rsid w:val="000E2652"/>
    <w:rsid w:val="000E2685"/>
    <w:rsid w:val="000E268B"/>
    <w:rsid w:val="000E26B6"/>
    <w:rsid w:val="000E26D1"/>
    <w:rsid w:val="000E2775"/>
    <w:rsid w:val="000E280F"/>
    <w:rsid w:val="000E2A2D"/>
    <w:rsid w:val="000E2A8B"/>
    <w:rsid w:val="000E2B86"/>
    <w:rsid w:val="000E2B9B"/>
    <w:rsid w:val="000E2C0E"/>
    <w:rsid w:val="000E2C80"/>
    <w:rsid w:val="000E2CCF"/>
    <w:rsid w:val="000E2D57"/>
    <w:rsid w:val="000E2F97"/>
    <w:rsid w:val="000E2FF8"/>
    <w:rsid w:val="000E3004"/>
    <w:rsid w:val="000E32BA"/>
    <w:rsid w:val="000E334C"/>
    <w:rsid w:val="000E3354"/>
    <w:rsid w:val="000E3416"/>
    <w:rsid w:val="000E342C"/>
    <w:rsid w:val="000E3436"/>
    <w:rsid w:val="000E351B"/>
    <w:rsid w:val="000E3623"/>
    <w:rsid w:val="000E3807"/>
    <w:rsid w:val="000E3936"/>
    <w:rsid w:val="000E394A"/>
    <w:rsid w:val="000E3958"/>
    <w:rsid w:val="000E3AE6"/>
    <w:rsid w:val="000E3AF6"/>
    <w:rsid w:val="000E3B03"/>
    <w:rsid w:val="000E3C77"/>
    <w:rsid w:val="000E3DF2"/>
    <w:rsid w:val="000E3F0C"/>
    <w:rsid w:val="000E3FFA"/>
    <w:rsid w:val="000E4020"/>
    <w:rsid w:val="000E40A8"/>
    <w:rsid w:val="000E4112"/>
    <w:rsid w:val="000E4219"/>
    <w:rsid w:val="000E42AA"/>
    <w:rsid w:val="000E4310"/>
    <w:rsid w:val="000E435B"/>
    <w:rsid w:val="000E43E4"/>
    <w:rsid w:val="000E444A"/>
    <w:rsid w:val="000E449C"/>
    <w:rsid w:val="000E4576"/>
    <w:rsid w:val="000E4629"/>
    <w:rsid w:val="000E4692"/>
    <w:rsid w:val="000E4712"/>
    <w:rsid w:val="000E4717"/>
    <w:rsid w:val="000E47A7"/>
    <w:rsid w:val="000E48AC"/>
    <w:rsid w:val="000E48D2"/>
    <w:rsid w:val="000E4969"/>
    <w:rsid w:val="000E49EF"/>
    <w:rsid w:val="000E4AAB"/>
    <w:rsid w:val="000E4C14"/>
    <w:rsid w:val="000E4C2B"/>
    <w:rsid w:val="000E4C7D"/>
    <w:rsid w:val="000E4CAB"/>
    <w:rsid w:val="000E4D02"/>
    <w:rsid w:val="000E4DDE"/>
    <w:rsid w:val="000E4EFE"/>
    <w:rsid w:val="000E4F08"/>
    <w:rsid w:val="000E4F38"/>
    <w:rsid w:val="000E4F97"/>
    <w:rsid w:val="000E5191"/>
    <w:rsid w:val="000E530B"/>
    <w:rsid w:val="000E5344"/>
    <w:rsid w:val="000E56A4"/>
    <w:rsid w:val="000E56BA"/>
    <w:rsid w:val="000E5762"/>
    <w:rsid w:val="000E5775"/>
    <w:rsid w:val="000E584F"/>
    <w:rsid w:val="000E58CA"/>
    <w:rsid w:val="000E59B6"/>
    <w:rsid w:val="000E59E6"/>
    <w:rsid w:val="000E5A75"/>
    <w:rsid w:val="000E5C06"/>
    <w:rsid w:val="000E5C68"/>
    <w:rsid w:val="000E5C7A"/>
    <w:rsid w:val="000E5DE0"/>
    <w:rsid w:val="000E5E10"/>
    <w:rsid w:val="000E5E26"/>
    <w:rsid w:val="000E5F23"/>
    <w:rsid w:val="000E5FA3"/>
    <w:rsid w:val="000E6083"/>
    <w:rsid w:val="000E611D"/>
    <w:rsid w:val="000E6227"/>
    <w:rsid w:val="000E6305"/>
    <w:rsid w:val="000E6395"/>
    <w:rsid w:val="000E639C"/>
    <w:rsid w:val="000E63E3"/>
    <w:rsid w:val="000E6498"/>
    <w:rsid w:val="000E649F"/>
    <w:rsid w:val="000E64BD"/>
    <w:rsid w:val="000E650B"/>
    <w:rsid w:val="000E6834"/>
    <w:rsid w:val="000E6885"/>
    <w:rsid w:val="000E6924"/>
    <w:rsid w:val="000E6949"/>
    <w:rsid w:val="000E6A25"/>
    <w:rsid w:val="000E6AFA"/>
    <w:rsid w:val="000E6BC5"/>
    <w:rsid w:val="000E6CDF"/>
    <w:rsid w:val="000E6D23"/>
    <w:rsid w:val="000E6D3F"/>
    <w:rsid w:val="000E6D50"/>
    <w:rsid w:val="000E6E59"/>
    <w:rsid w:val="000E6EBD"/>
    <w:rsid w:val="000E6EC0"/>
    <w:rsid w:val="000E6F16"/>
    <w:rsid w:val="000E6FE2"/>
    <w:rsid w:val="000E71C6"/>
    <w:rsid w:val="000E7291"/>
    <w:rsid w:val="000E7292"/>
    <w:rsid w:val="000E72CB"/>
    <w:rsid w:val="000E735D"/>
    <w:rsid w:val="000E73CB"/>
    <w:rsid w:val="000E74BB"/>
    <w:rsid w:val="000E74F5"/>
    <w:rsid w:val="000E7588"/>
    <w:rsid w:val="000E76CA"/>
    <w:rsid w:val="000E7799"/>
    <w:rsid w:val="000E7836"/>
    <w:rsid w:val="000E78DB"/>
    <w:rsid w:val="000E7952"/>
    <w:rsid w:val="000E7987"/>
    <w:rsid w:val="000E7A71"/>
    <w:rsid w:val="000E7B41"/>
    <w:rsid w:val="000E7BC4"/>
    <w:rsid w:val="000E7D1D"/>
    <w:rsid w:val="000E7F14"/>
    <w:rsid w:val="000F003C"/>
    <w:rsid w:val="000F015F"/>
    <w:rsid w:val="000F0191"/>
    <w:rsid w:val="000F01C8"/>
    <w:rsid w:val="000F02ED"/>
    <w:rsid w:val="000F0387"/>
    <w:rsid w:val="000F0501"/>
    <w:rsid w:val="000F051B"/>
    <w:rsid w:val="000F0558"/>
    <w:rsid w:val="000F05F0"/>
    <w:rsid w:val="000F066F"/>
    <w:rsid w:val="000F0AC6"/>
    <w:rsid w:val="000F0AF0"/>
    <w:rsid w:val="000F0BA1"/>
    <w:rsid w:val="000F0BBA"/>
    <w:rsid w:val="000F0BC9"/>
    <w:rsid w:val="000F0BED"/>
    <w:rsid w:val="000F0C0F"/>
    <w:rsid w:val="000F0C85"/>
    <w:rsid w:val="000F0C9A"/>
    <w:rsid w:val="000F0D6A"/>
    <w:rsid w:val="000F0E43"/>
    <w:rsid w:val="000F0E95"/>
    <w:rsid w:val="000F0ED0"/>
    <w:rsid w:val="000F0EF9"/>
    <w:rsid w:val="000F10B6"/>
    <w:rsid w:val="000F1170"/>
    <w:rsid w:val="000F1235"/>
    <w:rsid w:val="000F131F"/>
    <w:rsid w:val="000F134D"/>
    <w:rsid w:val="000F1377"/>
    <w:rsid w:val="000F1782"/>
    <w:rsid w:val="000F17C6"/>
    <w:rsid w:val="000F1810"/>
    <w:rsid w:val="000F1859"/>
    <w:rsid w:val="000F19B0"/>
    <w:rsid w:val="000F1AD6"/>
    <w:rsid w:val="000F1AD8"/>
    <w:rsid w:val="000F1BFE"/>
    <w:rsid w:val="000F1DF3"/>
    <w:rsid w:val="000F2048"/>
    <w:rsid w:val="000F20C2"/>
    <w:rsid w:val="000F20D9"/>
    <w:rsid w:val="000F21DF"/>
    <w:rsid w:val="000F2291"/>
    <w:rsid w:val="000F22A3"/>
    <w:rsid w:val="000F22D6"/>
    <w:rsid w:val="000F2389"/>
    <w:rsid w:val="000F247C"/>
    <w:rsid w:val="000F2483"/>
    <w:rsid w:val="000F24CE"/>
    <w:rsid w:val="000F24FE"/>
    <w:rsid w:val="000F2528"/>
    <w:rsid w:val="000F258E"/>
    <w:rsid w:val="000F2599"/>
    <w:rsid w:val="000F25C2"/>
    <w:rsid w:val="000F264C"/>
    <w:rsid w:val="000F26D3"/>
    <w:rsid w:val="000F29B3"/>
    <w:rsid w:val="000F29D0"/>
    <w:rsid w:val="000F2A94"/>
    <w:rsid w:val="000F2B54"/>
    <w:rsid w:val="000F2B9A"/>
    <w:rsid w:val="000F2DE9"/>
    <w:rsid w:val="000F2DF9"/>
    <w:rsid w:val="000F2DFE"/>
    <w:rsid w:val="000F2F1A"/>
    <w:rsid w:val="000F2F78"/>
    <w:rsid w:val="000F2FA9"/>
    <w:rsid w:val="000F2FC2"/>
    <w:rsid w:val="000F301B"/>
    <w:rsid w:val="000F3049"/>
    <w:rsid w:val="000F31F8"/>
    <w:rsid w:val="000F32E4"/>
    <w:rsid w:val="000F3444"/>
    <w:rsid w:val="000F3486"/>
    <w:rsid w:val="000F355F"/>
    <w:rsid w:val="000F35C1"/>
    <w:rsid w:val="000F35D5"/>
    <w:rsid w:val="000F360B"/>
    <w:rsid w:val="000F364C"/>
    <w:rsid w:val="000F36F0"/>
    <w:rsid w:val="000F3875"/>
    <w:rsid w:val="000F3900"/>
    <w:rsid w:val="000F3987"/>
    <w:rsid w:val="000F3A45"/>
    <w:rsid w:val="000F3A9E"/>
    <w:rsid w:val="000F3ABF"/>
    <w:rsid w:val="000F3ADE"/>
    <w:rsid w:val="000F3B43"/>
    <w:rsid w:val="000F3C0E"/>
    <w:rsid w:val="000F3C7F"/>
    <w:rsid w:val="000F3DB1"/>
    <w:rsid w:val="000F3DCD"/>
    <w:rsid w:val="000F3E7F"/>
    <w:rsid w:val="000F3ED7"/>
    <w:rsid w:val="000F4052"/>
    <w:rsid w:val="000F40A8"/>
    <w:rsid w:val="000F4114"/>
    <w:rsid w:val="000F4281"/>
    <w:rsid w:val="000F42BF"/>
    <w:rsid w:val="000F4465"/>
    <w:rsid w:val="000F455D"/>
    <w:rsid w:val="000F460B"/>
    <w:rsid w:val="000F4643"/>
    <w:rsid w:val="000F466A"/>
    <w:rsid w:val="000F467C"/>
    <w:rsid w:val="000F49BB"/>
    <w:rsid w:val="000F4ACB"/>
    <w:rsid w:val="000F4AF9"/>
    <w:rsid w:val="000F4E12"/>
    <w:rsid w:val="000F4E31"/>
    <w:rsid w:val="000F4E90"/>
    <w:rsid w:val="000F4ECB"/>
    <w:rsid w:val="000F4F59"/>
    <w:rsid w:val="000F5079"/>
    <w:rsid w:val="000F5124"/>
    <w:rsid w:val="000F5209"/>
    <w:rsid w:val="000F5325"/>
    <w:rsid w:val="000F539F"/>
    <w:rsid w:val="000F54BA"/>
    <w:rsid w:val="000F5741"/>
    <w:rsid w:val="000F5769"/>
    <w:rsid w:val="000F5985"/>
    <w:rsid w:val="000F5A75"/>
    <w:rsid w:val="000F5A7D"/>
    <w:rsid w:val="000F5AF6"/>
    <w:rsid w:val="000F5C6E"/>
    <w:rsid w:val="000F5CBD"/>
    <w:rsid w:val="000F5D1F"/>
    <w:rsid w:val="000F5D27"/>
    <w:rsid w:val="000F5D9A"/>
    <w:rsid w:val="000F5DF4"/>
    <w:rsid w:val="000F5E98"/>
    <w:rsid w:val="000F5EA5"/>
    <w:rsid w:val="000F5F0A"/>
    <w:rsid w:val="000F5F4D"/>
    <w:rsid w:val="000F605A"/>
    <w:rsid w:val="000F60D5"/>
    <w:rsid w:val="000F6173"/>
    <w:rsid w:val="000F630E"/>
    <w:rsid w:val="000F63CA"/>
    <w:rsid w:val="000F640D"/>
    <w:rsid w:val="000F6455"/>
    <w:rsid w:val="000F64DA"/>
    <w:rsid w:val="000F651B"/>
    <w:rsid w:val="000F65E4"/>
    <w:rsid w:val="000F663D"/>
    <w:rsid w:val="000F6711"/>
    <w:rsid w:val="000F673F"/>
    <w:rsid w:val="000F6793"/>
    <w:rsid w:val="000F681D"/>
    <w:rsid w:val="000F687F"/>
    <w:rsid w:val="000F68A2"/>
    <w:rsid w:val="000F68A6"/>
    <w:rsid w:val="000F693E"/>
    <w:rsid w:val="000F6AD8"/>
    <w:rsid w:val="000F6B3C"/>
    <w:rsid w:val="000F6C08"/>
    <w:rsid w:val="000F6C3B"/>
    <w:rsid w:val="000F6CB5"/>
    <w:rsid w:val="000F6EE4"/>
    <w:rsid w:val="000F6F64"/>
    <w:rsid w:val="000F6F95"/>
    <w:rsid w:val="000F6FA4"/>
    <w:rsid w:val="000F710F"/>
    <w:rsid w:val="000F716D"/>
    <w:rsid w:val="000F7236"/>
    <w:rsid w:val="000F738B"/>
    <w:rsid w:val="000F73E4"/>
    <w:rsid w:val="000F7499"/>
    <w:rsid w:val="000F74DB"/>
    <w:rsid w:val="000F7513"/>
    <w:rsid w:val="000F7537"/>
    <w:rsid w:val="000F75DC"/>
    <w:rsid w:val="000F77A9"/>
    <w:rsid w:val="000F77F8"/>
    <w:rsid w:val="000F7855"/>
    <w:rsid w:val="000F7967"/>
    <w:rsid w:val="000F7A66"/>
    <w:rsid w:val="000F7B88"/>
    <w:rsid w:val="000F7BB2"/>
    <w:rsid w:val="000F7BE3"/>
    <w:rsid w:val="000F7CD3"/>
    <w:rsid w:val="000F7D1D"/>
    <w:rsid w:val="000F7D2B"/>
    <w:rsid w:val="000F7DB0"/>
    <w:rsid w:val="000F7E81"/>
    <w:rsid w:val="000F7E88"/>
    <w:rsid w:val="000F7EC1"/>
    <w:rsid w:val="000F7F93"/>
    <w:rsid w:val="000F7FA4"/>
    <w:rsid w:val="000F7FD3"/>
    <w:rsid w:val="00100065"/>
    <w:rsid w:val="00100095"/>
    <w:rsid w:val="001000D8"/>
    <w:rsid w:val="00100259"/>
    <w:rsid w:val="00100339"/>
    <w:rsid w:val="0010036F"/>
    <w:rsid w:val="00100437"/>
    <w:rsid w:val="00100469"/>
    <w:rsid w:val="00100482"/>
    <w:rsid w:val="00100578"/>
    <w:rsid w:val="001006B3"/>
    <w:rsid w:val="001006CC"/>
    <w:rsid w:val="00100768"/>
    <w:rsid w:val="00100949"/>
    <w:rsid w:val="0010099E"/>
    <w:rsid w:val="00100A1C"/>
    <w:rsid w:val="00100CF1"/>
    <w:rsid w:val="00100D71"/>
    <w:rsid w:val="00100DD7"/>
    <w:rsid w:val="00100EF6"/>
    <w:rsid w:val="00100EFF"/>
    <w:rsid w:val="00100F60"/>
    <w:rsid w:val="00101053"/>
    <w:rsid w:val="00101104"/>
    <w:rsid w:val="00101381"/>
    <w:rsid w:val="00101389"/>
    <w:rsid w:val="0010141A"/>
    <w:rsid w:val="001015A8"/>
    <w:rsid w:val="001016E2"/>
    <w:rsid w:val="001017D7"/>
    <w:rsid w:val="001017D8"/>
    <w:rsid w:val="0010181F"/>
    <w:rsid w:val="001018F0"/>
    <w:rsid w:val="00101900"/>
    <w:rsid w:val="001019A2"/>
    <w:rsid w:val="00101AA6"/>
    <w:rsid w:val="00101ADF"/>
    <w:rsid w:val="00101CD0"/>
    <w:rsid w:val="00101D6A"/>
    <w:rsid w:val="00101DEF"/>
    <w:rsid w:val="00101E43"/>
    <w:rsid w:val="00101E66"/>
    <w:rsid w:val="00101E78"/>
    <w:rsid w:val="00101F67"/>
    <w:rsid w:val="00101FB1"/>
    <w:rsid w:val="0010203C"/>
    <w:rsid w:val="0010208C"/>
    <w:rsid w:val="0010233A"/>
    <w:rsid w:val="0010240B"/>
    <w:rsid w:val="0010257E"/>
    <w:rsid w:val="0010260D"/>
    <w:rsid w:val="00102641"/>
    <w:rsid w:val="001026A2"/>
    <w:rsid w:val="001027DE"/>
    <w:rsid w:val="00102965"/>
    <w:rsid w:val="00102974"/>
    <w:rsid w:val="00102A13"/>
    <w:rsid w:val="00102A68"/>
    <w:rsid w:val="00102A9D"/>
    <w:rsid w:val="00102B81"/>
    <w:rsid w:val="00102BF0"/>
    <w:rsid w:val="00102C40"/>
    <w:rsid w:val="00102CD9"/>
    <w:rsid w:val="00102D77"/>
    <w:rsid w:val="00102EB4"/>
    <w:rsid w:val="00102F6A"/>
    <w:rsid w:val="001031E2"/>
    <w:rsid w:val="001032A3"/>
    <w:rsid w:val="00103326"/>
    <w:rsid w:val="00103405"/>
    <w:rsid w:val="001037BC"/>
    <w:rsid w:val="00103812"/>
    <w:rsid w:val="0010387F"/>
    <w:rsid w:val="001039E8"/>
    <w:rsid w:val="00103A6D"/>
    <w:rsid w:val="00103AE5"/>
    <w:rsid w:val="00103B00"/>
    <w:rsid w:val="00103BF6"/>
    <w:rsid w:val="00103C53"/>
    <w:rsid w:val="00103CCA"/>
    <w:rsid w:val="00103ECD"/>
    <w:rsid w:val="00103F33"/>
    <w:rsid w:val="00103F4E"/>
    <w:rsid w:val="00103FAC"/>
    <w:rsid w:val="0010407F"/>
    <w:rsid w:val="001042B2"/>
    <w:rsid w:val="001042BD"/>
    <w:rsid w:val="0010442F"/>
    <w:rsid w:val="001044EC"/>
    <w:rsid w:val="001045AC"/>
    <w:rsid w:val="001045C1"/>
    <w:rsid w:val="0010462E"/>
    <w:rsid w:val="001047DC"/>
    <w:rsid w:val="00104857"/>
    <w:rsid w:val="00104874"/>
    <w:rsid w:val="001049C4"/>
    <w:rsid w:val="001049EE"/>
    <w:rsid w:val="00104A5D"/>
    <w:rsid w:val="00104CA3"/>
    <w:rsid w:val="00104D12"/>
    <w:rsid w:val="00104DBD"/>
    <w:rsid w:val="00104E00"/>
    <w:rsid w:val="00104E3E"/>
    <w:rsid w:val="00104F3B"/>
    <w:rsid w:val="00104F77"/>
    <w:rsid w:val="00104F8E"/>
    <w:rsid w:val="00105003"/>
    <w:rsid w:val="00105061"/>
    <w:rsid w:val="0010529A"/>
    <w:rsid w:val="001052E0"/>
    <w:rsid w:val="00105323"/>
    <w:rsid w:val="00105355"/>
    <w:rsid w:val="0010536D"/>
    <w:rsid w:val="0010538E"/>
    <w:rsid w:val="0010572C"/>
    <w:rsid w:val="001057B4"/>
    <w:rsid w:val="00105804"/>
    <w:rsid w:val="0010592F"/>
    <w:rsid w:val="001059A4"/>
    <w:rsid w:val="00105A51"/>
    <w:rsid w:val="00105A5E"/>
    <w:rsid w:val="00105CE7"/>
    <w:rsid w:val="00105D17"/>
    <w:rsid w:val="00105D3B"/>
    <w:rsid w:val="00105D9A"/>
    <w:rsid w:val="00105E07"/>
    <w:rsid w:val="00105E85"/>
    <w:rsid w:val="00105F10"/>
    <w:rsid w:val="00105F24"/>
    <w:rsid w:val="00106054"/>
    <w:rsid w:val="0010606E"/>
    <w:rsid w:val="001062F2"/>
    <w:rsid w:val="0010635B"/>
    <w:rsid w:val="00106360"/>
    <w:rsid w:val="0010646E"/>
    <w:rsid w:val="001065D6"/>
    <w:rsid w:val="001066A5"/>
    <w:rsid w:val="001067D8"/>
    <w:rsid w:val="0010680D"/>
    <w:rsid w:val="0010681F"/>
    <w:rsid w:val="0010686D"/>
    <w:rsid w:val="001069C3"/>
    <w:rsid w:val="00106AA0"/>
    <w:rsid w:val="00106B03"/>
    <w:rsid w:val="00106CA8"/>
    <w:rsid w:val="00106D90"/>
    <w:rsid w:val="00106E89"/>
    <w:rsid w:val="00106FE0"/>
    <w:rsid w:val="00107188"/>
    <w:rsid w:val="001071E7"/>
    <w:rsid w:val="001072FD"/>
    <w:rsid w:val="00107349"/>
    <w:rsid w:val="00107408"/>
    <w:rsid w:val="00107474"/>
    <w:rsid w:val="001075A2"/>
    <w:rsid w:val="001075DA"/>
    <w:rsid w:val="00107606"/>
    <w:rsid w:val="001078BF"/>
    <w:rsid w:val="001079A1"/>
    <w:rsid w:val="00107A6A"/>
    <w:rsid w:val="00107B35"/>
    <w:rsid w:val="00107B54"/>
    <w:rsid w:val="00107C20"/>
    <w:rsid w:val="00107DAD"/>
    <w:rsid w:val="00107E55"/>
    <w:rsid w:val="00107ECA"/>
    <w:rsid w:val="001100B7"/>
    <w:rsid w:val="001100DC"/>
    <w:rsid w:val="001100DE"/>
    <w:rsid w:val="0011017C"/>
    <w:rsid w:val="001101A2"/>
    <w:rsid w:val="001102C1"/>
    <w:rsid w:val="0011037E"/>
    <w:rsid w:val="00110380"/>
    <w:rsid w:val="001103FB"/>
    <w:rsid w:val="00110429"/>
    <w:rsid w:val="0011046D"/>
    <w:rsid w:val="001104D0"/>
    <w:rsid w:val="001105CE"/>
    <w:rsid w:val="001105E2"/>
    <w:rsid w:val="0011067E"/>
    <w:rsid w:val="001106DA"/>
    <w:rsid w:val="001106FB"/>
    <w:rsid w:val="00110830"/>
    <w:rsid w:val="00110836"/>
    <w:rsid w:val="00110843"/>
    <w:rsid w:val="001108E5"/>
    <w:rsid w:val="0011091B"/>
    <w:rsid w:val="0011094E"/>
    <w:rsid w:val="001109DA"/>
    <w:rsid w:val="00110A40"/>
    <w:rsid w:val="00110A52"/>
    <w:rsid w:val="00110AD9"/>
    <w:rsid w:val="00110B07"/>
    <w:rsid w:val="00110C16"/>
    <w:rsid w:val="00110C47"/>
    <w:rsid w:val="00110D53"/>
    <w:rsid w:val="00110DA4"/>
    <w:rsid w:val="00110E85"/>
    <w:rsid w:val="00110E88"/>
    <w:rsid w:val="00110FE9"/>
    <w:rsid w:val="0011105A"/>
    <w:rsid w:val="00111060"/>
    <w:rsid w:val="001110DB"/>
    <w:rsid w:val="001111F8"/>
    <w:rsid w:val="00111240"/>
    <w:rsid w:val="001112D5"/>
    <w:rsid w:val="001112F8"/>
    <w:rsid w:val="001114E5"/>
    <w:rsid w:val="00111554"/>
    <w:rsid w:val="001116E2"/>
    <w:rsid w:val="0011170D"/>
    <w:rsid w:val="0011171E"/>
    <w:rsid w:val="00111738"/>
    <w:rsid w:val="00111816"/>
    <w:rsid w:val="00111855"/>
    <w:rsid w:val="001119E4"/>
    <w:rsid w:val="00111A0A"/>
    <w:rsid w:val="00111A13"/>
    <w:rsid w:val="00111A5D"/>
    <w:rsid w:val="00111B0C"/>
    <w:rsid w:val="00111B98"/>
    <w:rsid w:val="00111C1A"/>
    <w:rsid w:val="00111CD1"/>
    <w:rsid w:val="00111D16"/>
    <w:rsid w:val="00111D9C"/>
    <w:rsid w:val="00111E18"/>
    <w:rsid w:val="00111EB4"/>
    <w:rsid w:val="00111EC1"/>
    <w:rsid w:val="00111FEC"/>
    <w:rsid w:val="00112130"/>
    <w:rsid w:val="00112188"/>
    <w:rsid w:val="001122AE"/>
    <w:rsid w:val="00112335"/>
    <w:rsid w:val="00112370"/>
    <w:rsid w:val="00112437"/>
    <w:rsid w:val="00112459"/>
    <w:rsid w:val="00112688"/>
    <w:rsid w:val="001127A6"/>
    <w:rsid w:val="00112943"/>
    <w:rsid w:val="00112980"/>
    <w:rsid w:val="00112989"/>
    <w:rsid w:val="00112A48"/>
    <w:rsid w:val="00112A7A"/>
    <w:rsid w:val="00112AFF"/>
    <w:rsid w:val="00112D92"/>
    <w:rsid w:val="00112DB0"/>
    <w:rsid w:val="00112DF7"/>
    <w:rsid w:val="00112F53"/>
    <w:rsid w:val="00112FD2"/>
    <w:rsid w:val="0011307B"/>
    <w:rsid w:val="00113190"/>
    <w:rsid w:val="001131B6"/>
    <w:rsid w:val="00113238"/>
    <w:rsid w:val="00113269"/>
    <w:rsid w:val="001132ED"/>
    <w:rsid w:val="00113330"/>
    <w:rsid w:val="00113455"/>
    <w:rsid w:val="00113543"/>
    <w:rsid w:val="0011356E"/>
    <w:rsid w:val="0011369E"/>
    <w:rsid w:val="001138FB"/>
    <w:rsid w:val="00113ADA"/>
    <w:rsid w:val="00113B8A"/>
    <w:rsid w:val="00113C15"/>
    <w:rsid w:val="00113C64"/>
    <w:rsid w:val="00113C79"/>
    <w:rsid w:val="00113D61"/>
    <w:rsid w:val="00113D91"/>
    <w:rsid w:val="00113DC3"/>
    <w:rsid w:val="00113E18"/>
    <w:rsid w:val="00113ED2"/>
    <w:rsid w:val="00113F11"/>
    <w:rsid w:val="0011410F"/>
    <w:rsid w:val="00114403"/>
    <w:rsid w:val="00114535"/>
    <w:rsid w:val="00114596"/>
    <w:rsid w:val="001145B6"/>
    <w:rsid w:val="001145B9"/>
    <w:rsid w:val="00114690"/>
    <w:rsid w:val="001146E5"/>
    <w:rsid w:val="00114877"/>
    <w:rsid w:val="00114887"/>
    <w:rsid w:val="001148BE"/>
    <w:rsid w:val="0011498E"/>
    <w:rsid w:val="00114A48"/>
    <w:rsid w:val="00114A69"/>
    <w:rsid w:val="00114DAB"/>
    <w:rsid w:val="00114DFA"/>
    <w:rsid w:val="00114E48"/>
    <w:rsid w:val="00114EED"/>
    <w:rsid w:val="00114EEE"/>
    <w:rsid w:val="00114F53"/>
    <w:rsid w:val="00115007"/>
    <w:rsid w:val="001150F7"/>
    <w:rsid w:val="0011512C"/>
    <w:rsid w:val="00115170"/>
    <w:rsid w:val="001151DF"/>
    <w:rsid w:val="001151EA"/>
    <w:rsid w:val="0011525A"/>
    <w:rsid w:val="00115315"/>
    <w:rsid w:val="0011556B"/>
    <w:rsid w:val="001155B9"/>
    <w:rsid w:val="0011570E"/>
    <w:rsid w:val="00115811"/>
    <w:rsid w:val="00115859"/>
    <w:rsid w:val="0011587E"/>
    <w:rsid w:val="00115884"/>
    <w:rsid w:val="00115ABA"/>
    <w:rsid w:val="00115B2B"/>
    <w:rsid w:val="00115CA0"/>
    <w:rsid w:val="00115CF1"/>
    <w:rsid w:val="00115ED2"/>
    <w:rsid w:val="00115F8E"/>
    <w:rsid w:val="00115FFD"/>
    <w:rsid w:val="00116084"/>
    <w:rsid w:val="001160F8"/>
    <w:rsid w:val="00116158"/>
    <w:rsid w:val="00116164"/>
    <w:rsid w:val="00116207"/>
    <w:rsid w:val="00116354"/>
    <w:rsid w:val="00116551"/>
    <w:rsid w:val="0011664C"/>
    <w:rsid w:val="00116775"/>
    <w:rsid w:val="001167F2"/>
    <w:rsid w:val="00116867"/>
    <w:rsid w:val="00116897"/>
    <w:rsid w:val="0011692E"/>
    <w:rsid w:val="00116B64"/>
    <w:rsid w:val="00116D0F"/>
    <w:rsid w:val="00116DCB"/>
    <w:rsid w:val="00116F49"/>
    <w:rsid w:val="00116F69"/>
    <w:rsid w:val="001170E0"/>
    <w:rsid w:val="00117167"/>
    <w:rsid w:val="001171F5"/>
    <w:rsid w:val="0011735D"/>
    <w:rsid w:val="00117499"/>
    <w:rsid w:val="001175A6"/>
    <w:rsid w:val="0011765C"/>
    <w:rsid w:val="0011765F"/>
    <w:rsid w:val="0011768D"/>
    <w:rsid w:val="001177C4"/>
    <w:rsid w:val="00117A46"/>
    <w:rsid w:val="00117AB3"/>
    <w:rsid w:val="00117C30"/>
    <w:rsid w:val="00117D04"/>
    <w:rsid w:val="00120174"/>
    <w:rsid w:val="0012018B"/>
    <w:rsid w:val="0012019E"/>
    <w:rsid w:val="001201E9"/>
    <w:rsid w:val="00120452"/>
    <w:rsid w:val="00120457"/>
    <w:rsid w:val="001204AC"/>
    <w:rsid w:val="001204C8"/>
    <w:rsid w:val="0012058B"/>
    <w:rsid w:val="0012059C"/>
    <w:rsid w:val="001207F4"/>
    <w:rsid w:val="001209E1"/>
    <w:rsid w:val="00120A8E"/>
    <w:rsid w:val="00120A90"/>
    <w:rsid w:val="00120B8B"/>
    <w:rsid w:val="00121187"/>
    <w:rsid w:val="00121294"/>
    <w:rsid w:val="00121373"/>
    <w:rsid w:val="00121479"/>
    <w:rsid w:val="001215F4"/>
    <w:rsid w:val="00121610"/>
    <w:rsid w:val="00121687"/>
    <w:rsid w:val="001216F2"/>
    <w:rsid w:val="0012173D"/>
    <w:rsid w:val="001217E9"/>
    <w:rsid w:val="00121C2D"/>
    <w:rsid w:val="00121CF2"/>
    <w:rsid w:val="00121D55"/>
    <w:rsid w:val="00121DAB"/>
    <w:rsid w:val="00121DBF"/>
    <w:rsid w:val="00121E03"/>
    <w:rsid w:val="00121E76"/>
    <w:rsid w:val="00121EA1"/>
    <w:rsid w:val="00121EB6"/>
    <w:rsid w:val="00121F7B"/>
    <w:rsid w:val="001221C2"/>
    <w:rsid w:val="00122376"/>
    <w:rsid w:val="0012240A"/>
    <w:rsid w:val="001224EE"/>
    <w:rsid w:val="00122505"/>
    <w:rsid w:val="00122598"/>
    <w:rsid w:val="00122601"/>
    <w:rsid w:val="00122642"/>
    <w:rsid w:val="001226F0"/>
    <w:rsid w:val="00122800"/>
    <w:rsid w:val="00122826"/>
    <w:rsid w:val="00122877"/>
    <w:rsid w:val="001228EF"/>
    <w:rsid w:val="00122917"/>
    <w:rsid w:val="00122A32"/>
    <w:rsid w:val="00122D5A"/>
    <w:rsid w:val="00122DC8"/>
    <w:rsid w:val="00122E29"/>
    <w:rsid w:val="00122E57"/>
    <w:rsid w:val="00122E76"/>
    <w:rsid w:val="00122EDD"/>
    <w:rsid w:val="00122F43"/>
    <w:rsid w:val="0012314E"/>
    <w:rsid w:val="001231B9"/>
    <w:rsid w:val="0012320B"/>
    <w:rsid w:val="00123228"/>
    <w:rsid w:val="0012327B"/>
    <w:rsid w:val="0012328C"/>
    <w:rsid w:val="001232AD"/>
    <w:rsid w:val="00123317"/>
    <w:rsid w:val="0012331A"/>
    <w:rsid w:val="00123355"/>
    <w:rsid w:val="00123458"/>
    <w:rsid w:val="001234DF"/>
    <w:rsid w:val="00123509"/>
    <w:rsid w:val="001235C4"/>
    <w:rsid w:val="001236A1"/>
    <w:rsid w:val="0012379D"/>
    <w:rsid w:val="0012397E"/>
    <w:rsid w:val="001239AF"/>
    <w:rsid w:val="001239C4"/>
    <w:rsid w:val="00123A27"/>
    <w:rsid w:val="00123A4D"/>
    <w:rsid w:val="00123C06"/>
    <w:rsid w:val="00123C75"/>
    <w:rsid w:val="00123D06"/>
    <w:rsid w:val="00123DAF"/>
    <w:rsid w:val="00123DD7"/>
    <w:rsid w:val="00123DD8"/>
    <w:rsid w:val="00123ED2"/>
    <w:rsid w:val="00123F44"/>
    <w:rsid w:val="00123F7B"/>
    <w:rsid w:val="00123FD4"/>
    <w:rsid w:val="00124002"/>
    <w:rsid w:val="00124041"/>
    <w:rsid w:val="001240BC"/>
    <w:rsid w:val="0012411B"/>
    <w:rsid w:val="00124163"/>
    <w:rsid w:val="0012422D"/>
    <w:rsid w:val="00124381"/>
    <w:rsid w:val="001243CB"/>
    <w:rsid w:val="001243DE"/>
    <w:rsid w:val="0012462F"/>
    <w:rsid w:val="001249DF"/>
    <w:rsid w:val="001249E2"/>
    <w:rsid w:val="001249E7"/>
    <w:rsid w:val="00124A6E"/>
    <w:rsid w:val="00124AAD"/>
    <w:rsid w:val="00124B77"/>
    <w:rsid w:val="00124D26"/>
    <w:rsid w:val="00124E07"/>
    <w:rsid w:val="001250AD"/>
    <w:rsid w:val="00125208"/>
    <w:rsid w:val="00125277"/>
    <w:rsid w:val="0012532F"/>
    <w:rsid w:val="0012548C"/>
    <w:rsid w:val="001254B4"/>
    <w:rsid w:val="001254F1"/>
    <w:rsid w:val="00125555"/>
    <w:rsid w:val="0012563F"/>
    <w:rsid w:val="0012573E"/>
    <w:rsid w:val="0012579C"/>
    <w:rsid w:val="001258A6"/>
    <w:rsid w:val="001259EC"/>
    <w:rsid w:val="00125B6A"/>
    <w:rsid w:val="00125C13"/>
    <w:rsid w:val="00125DE2"/>
    <w:rsid w:val="00125E8E"/>
    <w:rsid w:val="00125F61"/>
    <w:rsid w:val="00125F69"/>
    <w:rsid w:val="00125FCD"/>
    <w:rsid w:val="001260DA"/>
    <w:rsid w:val="001261A2"/>
    <w:rsid w:val="001261D1"/>
    <w:rsid w:val="0012621D"/>
    <w:rsid w:val="00126281"/>
    <w:rsid w:val="001262AB"/>
    <w:rsid w:val="001262FF"/>
    <w:rsid w:val="00126308"/>
    <w:rsid w:val="001264B7"/>
    <w:rsid w:val="00126556"/>
    <w:rsid w:val="0012656E"/>
    <w:rsid w:val="00126578"/>
    <w:rsid w:val="00126615"/>
    <w:rsid w:val="0012661C"/>
    <w:rsid w:val="0012670B"/>
    <w:rsid w:val="00126957"/>
    <w:rsid w:val="001269AB"/>
    <w:rsid w:val="00126D0B"/>
    <w:rsid w:val="00126F95"/>
    <w:rsid w:val="00126FAA"/>
    <w:rsid w:val="00126FD8"/>
    <w:rsid w:val="0012708E"/>
    <w:rsid w:val="001270DC"/>
    <w:rsid w:val="001270EC"/>
    <w:rsid w:val="0012721A"/>
    <w:rsid w:val="00127286"/>
    <w:rsid w:val="001272C4"/>
    <w:rsid w:val="001272F7"/>
    <w:rsid w:val="00127375"/>
    <w:rsid w:val="00127545"/>
    <w:rsid w:val="00127643"/>
    <w:rsid w:val="00127755"/>
    <w:rsid w:val="001278C7"/>
    <w:rsid w:val="001278F2"/>
    <w:rsid w:val="00127B17"/>
    <w:rsid w:val="00127B28"/>
    <w:rsid w:val="00127B9D"/>
    <w:rsid w:val="00127D13"/>
    <w:rsid w:val="00127D7B"/>
    <w:rsid w:val="00127D88"/>
    <w:rsid w:val="00127E04"/>
    <w:rsid w:val="00127E6F"/>
    <w:rsid w:val="00127EA2"/>
    <w:rsid w:val="00127EF8"/>
    <w:rsid w:val="00127F3F"/>
    <w:rsid w:val="00127F48"/>
    <w:rsid w:val="00127F67"/>
    <w:rsid w:val="00127FCC"/>
    <w:rsid w:val="0013003C"/>
    <w:rsid w:val="001300A8"/>
    <w:rsid w:val="001300FA"/>
    <w:rsid w:val="00130177"/>
    <w:rsid w:val="00130257"/>
    <w:rsid w:val="001302A4"/>
    <w:rsid w:val="001302E6"/>
    <w:rsid w:val="0013042A"/>
    <w:rsid w:val="0013059E"/>
    <w:rsid w:val="00130617"/>
    <w:rsid w:val="00130644"/>
    <w:rsid w:val="001306C1"/>
    <w:rsid w:val="001306DF"/>
    <w:rsid w:val="0013071C"/>
    <w:rsid w:val="00130A77"/>
    <w:rsid w:val="00130A9E"/>
    <w:rsid w:val="00130E20"/>
    <w:rsid w:val="00130E7E"/>
    <w:rsid w:val="00130F07"/>
    <w:rsid w:val="00130F5F"/>
    <w:rsid w:val="00130F71"/>
    <w:rsid w:val="00130FA5"/>
    <w:rsid w:val="00130FC3"/>
    <w:rsid w:val="00131026"/>
    <w:rsid w:val="001311D7"/>
    <w:rsid w:val="00131305"/>
    <w:rsid w:val="001313AC"/>
    <w:rsid w:val="001313C3"/>
    <w:rsid w:val="001315FA"/>
    <w:rsid w:val="001316B7"/>
    <w:rsid w:val="001316ED"/>
    <w:rsid w:val="001317A3"/>
    <w:rsid w:val="00131AA7"/>
    <w:rsid w:val="00131BD7"/>
    <w:rsid w:val="00131D21"/>
    <w:rsid w:val="00131D80"/>
    <w:rsid w:val="00131EA8"/>
    <w:rsid w:val="00131EAC"/>
    <w:rsid w:val="00131ECA"/>
    <w:rsid w:val="00131F37"/>
    <w:rsid w:val="00132076"/>
    <w:rsid w:val="001321D3"/>
    <w:rsid w:val="0013233A"/>
    <w:rsid w:val="00132479"/>
    <w:rsid w:val="00132554"/>
    <w:rsid w:val="00132568"/>
    <w:rsid w:val="001325CE"/>
    <w:rsid w:val="001326AC"/>
    <w:rsid w:val="001326C8"/>
    <w:rsid w:val="001328C7"/>
    <w:rsid w:val="001329E0"/>
    <w:rsid w:val="00132BF5"/>
    <w:rsid w:val="00132E0C"/>
    <w:rsid w:val="00132F33"/>
    <w:rsid w:val="001330A3"/>
    <w:rsid w:val="001330F5"/>
    <w:rsid w:val="001331C2"/>
    <w:rsid w:val="001332BE"/>
    <w:rsid w:val="0013332E"/>
    <w:rsid w:val="00133472"/>
    <w:rsid w:val="00133490"/>
    <w:rsid w:val="001336A8"/>
    <w:rsid w:val="001336CE"/>
    <w:rsid w:val="00133706"/>
    <w:rsid w:val="00133745"/>
    <w:rsid w:val="001337B4"/>
    <w:rsid w:val="00133848"/>
    <w:rsid w:val="0013385C"/>
    <w:rsid w:val="001338AE"/>
    <w:rsid w:val="001338B8"/>
    <w:rsid w:val="0013395B"/>
    <w:rsid w:val="00133A02"/>
    <w:rsid w:val="00133ABC"/>
    <w:rsid w:val="00133B0D"/>
    <w:rsid w:val="00133B6F"/>
    <w:rsid w:val="00133C4E"/>
    <w:rsid w:val="00133D48"/>
    <w:rsid w:val="00133D6B"/>
    <w:rsid w:val="00133D79"/>
    <w:rsid w:val="00133DFB"/>
    <w:rsid w:val="00133EE4"/>
    <w:rsid w:val="00133F5A"/>
    <w:rsid w:val="00134139"/>
    <w:rsid w:val="001343A7"/>
    <w:rsid w:val="001343F8"/>
    <w:rsid w:val="001343FE"/>
    <w:rsid w:val="001344B6"/>
    <w:rsid w:val="001344E0"/>
    <w:rsid w:val="001345FD"/>
    <w:rsid w:val="001346B9"/>
    <w:rsid w:val="001346F1"/>
    <w:rsid w:val="00134742"/>
    <w:rsid w:val="001347EF"/>
    <w:rsid w:val="00134816"/>
    <w:rsid w:val="00134839"/>
    <w:rsid w:val="0013489D"/>
    <w:rsid w:val="0013489F"/>
    <w:rsid w:val="00134968"/>
    <w:rsid w:val="00134B64"/>
    <w:rsid w:val="00134BE4"/>
    <w:rsid w:val="00134C22"/>
    <w:rsid w:val="00134C9B"/>
    <w:rsid w:val="00134DBF"/>
    <w:rsid w:val="00134F89"/>
    <w:rsid w:val="001350D1"/>
    <w:rsid w:val="0013516D"/>
    <w:rsid w:val="00135253"/>
    <w:rsid w:val="001352EC"/>
    <w:rsid w:val="0013533A"/>
    <w:rsid w:val="00135437"/>
    <w:rsid w:val="001355B5"/>
    <w:rsid w:val="00135728"/>
    <w:rsid w:val="00135733"/>
    <w:rsid w:val="00135845"/>
    <w:rsid w:val="00135895"/>
    <w:rsid w:val="001358C4"/>
    <w:rsid w:val="001359C0"/>
    <w:rsid w:val="00135AFE"/>
    <w:rsid w:val="00135C4D"/>
    <w:rsid w:val="00135D3B"/>
    <w:rsid w:val="00135DEE"/>
    <w:rsid w:val="00135F34"/>
    <w:rsid w:val="00136013"/>
    <w:rsid w:val="0013612E"/>
    <w:rsid w:val="0013617C"/>
    <w:rsid w:val="00136184"/>
    <w:rsid w:val="001361AB"/>
    <w:rsid w:val="0013621A"/>
    <w:rsid w:val="00136242"/>
    <w:rsid w:val="001364A2"/>
    <w:rsid w:val="001366A7"/>
    <w:rsid w:val="001366ED"/>
    <w:rsid w:val="00136795"/>
    <w:rsid w:val="001367ED"/>
    <w:rsid w:val="001367FE"/>
    <w:rsid w:val="001368B4"/>
    <w:rsid w:val="0013694F"/>
    <w:rsid w:val="00136A1B"/>
    <w:rsid w:val="00136B36"/>
    <w:rsid w:val="00136B88"/>
    <w:rsid w:val="00136B9B"/>
    <w:rsid w:val="00136BF3"/>
    <w:rsid w:val="00136C51"/>
    <w:rsid w:val="00136CAE"/>
    <w:rsid w:val="00136EF4"/>
    <w:rsid w:val="00136F35"/>
    <w:rsid w:val="0013711B"/>
    <w:rsid w:val="00137128"/>
    <w:rsid w:val="001371A9"/>
    <w:rsid w:val="0013734B"/>
    <w:rsid w:val="00137371"/>
    <w:rsid w:val="00137434"/>
    <w:rsid w:val="0013748F"/>
    <w:rsid w:val="001376E0"/>
    <w:rsid w:val="00137731"/>
    <w:rsid w:val="00137798"/>
    <w:rsid w:val="001377C5"/>
    <w:rsid w:val="001377EE"/>
    <w:rsid w:val="00137881"/>
    <w:rsid w:val="001378EE"/>
    <w:rsid w:val="00137978"/>
    <w:rsid w:val="00137A13"/>
    <w:rsid w:val="00137AB4"/>
    <w:rsid w:val="00137BF0"/>
    <w:rsid w:val="00137C92"/>
    <w:rsid w:val="00137CF6"/>
    <w:rsid w:val="00137CFB"/>
    <w:rsid w:val="00137D45"/>
    <w:rsid w:val="00137E1B"/>
    <w:rsid w:val="00137E8A"/>
    <w:rsid w:val="00137EC4"/>
    <w:rsid w:val="00137F3D"/>
    <w:rsid w:val="00137FA4"/>
    <w:rsid w:val="00137FDD"/>
    <w:rsid w:val="00137FE5"/>
    <w:rsid w:val="0014014B"/>
    <w:rsid w:val="001401BB"/>
    <w:rsid w:val="0014022E"/>
    <w:rsid w:val="00140465"/>
    <w:rsid w:val="001404C9"/>
    <w:rsid w:val="00140586"/>
    <w:rsid w:val="0014062E"/>
    <w:rsid w:val="0014069B"/>
    <w:rsid w:val="00140825"/>
    <w:rsid w:val="0014084F"/>
    <w:rsid w:val="00140854"/>
    <w:rsid w:val="00140865"/>
    <w:rsid w:val="00140AE7"/>
    <w:rsid w:val="00140B38"/>
    <w:rsid w:val="00140BE4"/>
    <w:rsid w:val="00140C03"/>
    <w:rsid w:val="00140C66"/>
    <w:rsid w:val="00140CE5"/>
    <w:rsid w:val="00140D32"/>
    <w:rsid w:val="00140D69"/>
    <w:rsid w:val="00140EA4"/>
    <w:rsid w:val="00140ECC"/>
    <w:rsid w:val="00140F36"/>
    <w:rsid w:val="00141067"/>
    <w:rsid w:val="0014107E"/>
    <w:rsid w:val="001410DE"/>
    <w:rsid w:val="00141117"/>
    <w:rsid w:val="00141151"/>
    <w:rsid w:val="0014129C"/>
    <w:rsid w:val="00141328"/>
    <w:rsid w:val="001413E0"/>
    <w:rsid w:val="001413F0"/>
    <w:rsid w:val="00141403"/>
    <w:rsid w:val="00141425"/>
    <w:rsid w:val="0014143A"/>
    <w:rsid w:val="001414BB"/>
    <w:rsid w:val="00141536"/>
    <w:rsid w:val="00141538"/>
    <w:rsid w:val="0014161D"/>
    <w:rsid w:val="0014163E"/>
    <w:rsid w:val="00141712"/>
    <w:rsid w:val="00141767"/>
    <w:rsid w:val="00141870"/>
    <w:rsid w:val="001419D6"/>
    <w:rsid w:val="00141A7F"/>
    <w:rsid w:val="00141AF0"/>
    <w:rsid w:val="00141AFD"/>
    <w:rsid w:val="00141B06"/>
    <w:rsid w:val="00141B3A"/>
    <w:rsid w:val="00141BAB"/>
    <w:rsid w:val="00141BE8"/>
    <w:rsid w:val="00141D6A"/>
    <w:rsid w:val="00141DA2"/>
    <w:rsid w:val="00141EFD"/>
    <w:rsid w:val="00141FF5"/>
    <w:rsid w:val="0014203C"/>
    <w:rsid w:val="00142121"/>
    <w:rsid w:val="0014214E"/>
    <w:rsid w:val="0014216B"/>
    <w:rsid w:val="0014219F"/>
    <w:rsid w:val="0014228F"/>
    <w:rsid w:val="0014231B"/>
    <w:rsid w:val="00142446"/>
    <w:rsid w:val="00142535"/>
    <w:rsid w:val="00142670"/>
    <w:rsid w:val="00142730"/>
    <w:rsid w:val="0014282D"/>
    <w:rsid w:val="00142889"/>
    <w:rsid w:val="00142980"/>
    <w:rsid w:val="001429E0"/>
    <w:rsid w:val="00142B17"/>
    <w:rsid w:val="00142B65"/>
    <w:rsid w:val="00142B7C"/>
    <w:rsid w:val="00142D2F"/>
    <w:rsid w:val="00142DD3"/>
    <w:rsid w:val="00142DEE"/>
    <w:rsid w:val="00142EE0"/>
    <w:rsid w:val="00142F22"/>
    <w:rsid w:val="00142F82"/>
    <w:rsid w:val="00142FA1"/>
    <w:rsid w:val="00142FD3"/>
    <w:rsid w:val="0014302A"/>
    <w:rsid w:val="00143041"/>
    <w:rsid w:val="00143205"/>
    <w:rsid w:val="0014340F"/>
    <w:rsid w:val="00143434"/>
    <w:rsid w:val="00143468"/>
    <w:rsid w:val="0014346E"/>
    <w:rsid w:val="001434F4"/>
    <w:rsid w:val="00143556"/>
    <w:rsid w:val="00143705"/>
    <w:rsid w:val="001437CA"/>
    <w:rsid w:val="001437D9"/>
    <w:rsid w:val="0014385D"/>
    <w:rsid w:val="001438EF"/>
    <w:rsid w:val="001439EC"/>
    <w:rsid w:val="00143A19"/>
    <w:rsid w:val="00143A50"/>
    <w:rsid w:val="00143AA5"/>
    <w:rsid w:val="00143B1A"/>
    <w:rsid w:val="00143B99"/>
    <w:rsid w:val="00143BA0"/>
    <w:rsid w:val="00143BD4"/>
    <w:rsid w:val="00143BDA"/>
    <w:rsid w:val="00143CD7"/>
    <w:rsid w:val="00143DA8"/>
    <w:rsid w:val="00143DFD"/>
    <w:rsid w:val="00143F02"/>
    <w:rsid w:val="00143FA2"/>
    <w:rsid w:val="00144031"/>
    <w:rsid w:val="001441D6"/>
    <w:rsid w:val="00144263"/>
    <w:rsid w:val="0014461F"/>
    <w:rsid w:val="00144687"/>
    <w:rsid w:val="001446F1"/>
    <w:rsid w:val="00144834"/>
    <w:rsid w:val="00144861"/>
    <w:rsid w:val="001449E3"/>
    <w:rsid w:val="00144A22"/>
    <w:rsid w:val="00144A75"/>
    <w:rsid w:val="00144A7E"/>
    <w:rsid w:val="00144AED"/>
    <w:rsid w:val="00144C9E"/>
    <w:rsid w:val="00145047"/>
    <w:rsid w:val="0014519E"/>
    <w:rsid w:val="00145363"/>
    <w:rsid w:val="00145462"/>
    <w:rsid w:val="0014557F"/>
    <w:rsid w:val="00145587"/>
    <w:rsid w:val="0014559B"/>
    <w:rsid w:val="001455EF"/>
    <w:rsid w:val="001456BB"/>
    <w:rsid w:val="0014589E"/>
    <w:rsid w:val="0014598E"/>
    <w:rsid w:val="00145A2E"/>
    <w:rsid w:val="00145A49"/>
    <w:rsid w:val="00145A5D"/>
    <w:rsid w:val="00145AF8"/>
    <w:rsid w:val="00145B0D"/>
    <w:rsid w:val="00145C53"/>
    <w:rsid w:val="00145CF9"/>
    <w:rsid w:val="00145D87"/>
    <w:rsid w:val="00145D88"/>
    <w:rsid w:val="00145DCD"/>
    <w:rsid w:val="00145E2B"/>
    <w:rsid w:val="00145E99"/>
    <w:rsid w:val="00145EBE"/>
    <w:rsid w:val="0014600F"/>
    <w:rsid w:val="0014612D"/>
    <w:rsid w:val="001461C1"/>
    <w:rsid w:val="00146257"/>
    <w:rsid w:val="001464E7"/>
    <w:rsid w:val="00146643"/>
    <w:rsid w:val="00146699"/>
    <w:rsid w:val="001466C8"/>
    <w:rsid w:val="0014674C"/>
    <w:rsid w:val="0014681D"/>
    <w:rsid w:val="0014685C"/>
    <w:rsid w:val="00146ADD"/>
    <w:rsid w:val="00146BF6"/>
    <w:rsid w:val="00146C1E"/>
    <w:rsid w:val="00146C80"/>
    <w:rsid w:val="00146D1A"/>
    <w:rsid w:val="00146D6B"/>
    <w:rsid w:val="00146EAF"/>
    <w:rsid w:val="001471F6"/>
    <w:rsid w:val="00147254"/>
    <w:rsid w:val="00147431"/>
    <w:rsid w:val="00147599"/>
    <w:rsid w:val="00147669"/>
    <w:rsid w:val="0014777A"/>
    <w:rsid w:val="0014781F"/>
    <w:rsid w:val="001478BB"/>
    <w:rsid w:val="001478E1"/>
    <w:rsid w:val="0014795F"/>
    <w:rsid w:val="0014798E"/>
    <w:rsid w:val="00147A7E"/>
    <w:rsid w:val="00147ACD"/>
    <w:rsid w:val="00147B1A"/>
    <w:rsid w:val="00147B71"/>
    <w:rsid w:val="00147C5C"/>
    <w:rsid w:val="00147C74"/>
    <w:rsid w:val="00147CBB"/>
    <w:rsid w:val="00147D0E"/>
    <w:rsid w:val="00147D83"/>
    <w:rsid w:val="00147DDF"/>
    <w:rsid w:val="00147E89"/>
    <w:rsid w:val="00147F7C"/>
    <w:rsid w:val="00147FCE"/>
    <w:rsid w:val="00150193"/>
    <w:rsid w:val="00150226"/>
    <w:rsid w:val="001502FD"/>
    <w:rsid w:val="0015033F"/>
    <w:rsid w:val="001503F6"/>
    <w:rsid w:val="001505A1"/>
    <w:rsid w:val="0015063E"/>
    <w:rsid w:val="0015076C"/>
    <w:rsid w:val="001507ED"/>
    <w:rsid w:val="001508F0"/>
    <w:rsid w:val="00150911"/>
    <w:rsid w:val="00150AE4"/>
    <w:rsid w:val="00150C44"/>
    <w:rsid w:val="00150CCD"/>
    <w:rsid w:val="00150D21"/>
    <w:rsid w:val="00150D3B"/>
    <w:rsid w:val="00150EC2"/>
    <w:rsid w:val="00150F15"/>
    <w:rsid w:val="00150F9A"/>
    <w:rsid w:val="00151042"/>
    <w:rsid w:val="00151216"/>
    <w:rsid w:val="001512BD"/>
    <w:rsid w:val="001512FA"/>
    <w:rsid w:val="00151306"/>
    <w:rsid w:val="0015136E"/>
    <w:rsid w:val="0015154D"/>
    <w:rsid w:val="0015156F"/>
    <w:rsid w:val="0015167C"/>
    <w:rsid w:val="001516E0"/>
    <w:rsid w:val="00151997"/>
    <w:rsid w:val="00151A4F"/>
    <w:rsid w:val="00151ADB"/>
    <w:rsid w:val="00151AFC"/>
    <w:rsid w:val="00151B06"/>
    <w:rsid w:val="00151DD5"/>
    <w:rsid w:val="00151E63"/>
    <w:rsid w:val="00151ECB"/>
    <w:rsid w:val="00151F37"/>
    <w:rsid w:val="00151F3E"/>
    <w:rsid w:val="00151FBE"/>
    <w:rsid w:val="001520E2"/>
    <w:rsid w:val="00152108"/>
    <w:rsid w:val="001521CA"/>
    <w:rsid w:val="001522FC"/>
    <w:rsid w:val="0015244A"/>
    <w:rsid w:val="001524E7"/>
    <w:rsid w:val="0015254E"/>
    <w:rsid w:val="0015256C"/>
    <w:rsid w:val="0015258A"/>
    <w:rsid w:val="00152666"/>
    <w:rsid w:val="00152701"/>
    <w:rsid w:val="0015276E"/>
    <w:rsid w:val="001527C4"/>
    <w:rsid w:val="0015287E"/>
    <w:rsid w:val="001528C2"/>
    <w:rsid w:val="00152981"/>
    <w:rsid w:val="00152A8F"/>
    <w:rsid w:val="00152A93"/>
    <w:rsid w:val="00152AA3"/>
    <w:rsid w:val="00152AD5"/>
    <w:rsid w:val="00152BBE"/>
    <w:rsid w:val="00152D2A"/>
    <w:rsid w:val="00152D37"/>
    <w:rsid w:val="00152D5D"/>
    <w:rsid w:val="00152E9E"/>
    <w:rsid w:val="00152EAC"/>
    <w:rsid w:val="00152FA1"/>
    <w:rsid w:val="0015303B"/>
    <w:rsid w:val="00153040"/>
    <w:rsid w:val="00153389"/>
    <w:rsid w:val="001535AF"/>
    <w:rsid w:val="0015372E"/>
    <w:rsid w:val="0015397B"/>
    <w:rsid w:val="00153AE1"/>
    <w:rsid w:val="00153B6D"/>
    <w:rsid w:val="00153B98"/>
    <w:rsid w:val="00153BAD"/>
    <w:rsid w:val="00153BD5"/>
    <w:rsid w:val="00153C55"/>
    <w:rsid w:val="00153C92"/>
    <w:rsid w:val="00153D11"/>
    <w:rsid w:val="00153ECC"/>
    <w:rsid w:val="00153EE3"/>
    <w:rsid w:val="001540B7"/>
    <w:rsid w:val="0015425D"/>
    <w:rsid w:val="00154283"/>
    <w:rsid w:val="001542B2"/>
    <w:rsid w:val="00154303"/>
    <w:rsid w:val="00154310"/>
    <w:rsid w:val="001543C7"/>
    <w:rsid w:val="001543C8"/>
    <w:rsid w:val="0015448E"/>
    <w:rsid w:val="001544C5"/>
    <w:rsid w:val="0015450B"/>
    <w:rsid w:val="00154583"/>
    <w:rsid w:val="00154847"/>
    <w:rsid w:val="0015492D"/>
    <w:rsid w:val="00154981"/>
    <w:rsid w:val="00154A44"/>
    <w:rsid w:val="00154B5E"/>
    <w:rsid w:val="00154BFB"/>
    <w:rsid w:val="00154CEF"/>
    <w:rsid w:val="00154E02"/>
    <w:rsid w:val="00154E70"/>
    <w:rsid w:val="00154E8B"/>
    <w:rsid w:val="00154FD6"/>
    <w:rsid w:val="00154FE1"/>
    <w:rsid w:val="001551E2"/>
    <w:rsid w:val="0015529C"/>
    <w:rsid w:val="0015536E"/>
    <w:rsid w:val="0015537C"/>
    <w:rsid w:val="001553A5"/>
    <w:rsid w:val="00155470"/>
    <w:rsid w:val="001554DB"/>
    <w:rsid w:val="001555C7"/>
    <w:rsid w:val="001556E9"/>
    <w:rsid w:val="0015581A"/>
    <w:rsid w:val="001558C5"/>
    <w:rsid w:val="001558DA"/>
    <w:rsid w:val="001558F1"/>
    <w:rsid w:val="001559B8"/>
    <w:rsid w:val="001559E5"/>
    <w:rsid w:val="00155E1C"/>
    <w:rsid w:val="00155EA3"/>
    <w:rsid w:val="00156041"/>
    <w:rsid w:val="001560F2"/>
    <w:rsid w:val="0015619D"/>
    <w:rsid w:val="00156351"/>
    <w:rsid w:val="0015636A"/>
    <w:rsid w:val="001563BB"/>
    <w:rsid w:val="0015640B"/>
    <w:rsid w:val="0015652D"/>
    <w:rsid w:val="00156539"/>
    <w:rsid w:val="001565C0"/>
    <w:rsid w:val="001565F4"/>
    <w:rsid w:val="00156659"/>
    <w:rsid w:val="00156799"/>
    <w:rsid w:val="0015680D"/>
    <w:rsid w:val="0015695B"/>
    <w:rsid w:val="00156A5D"/>
    <w:rsid w:val="00156AFB"/>
    <w:rsid w:val="00156B14"/>
    <w:rsid w:val="00156BEC"/>
    <w:rsid w:val="00156CA4"/>
    <w:rsid w:val="00156D83"/>
    <w:rsid w:val="00156E31"/>
    <w:rsid w:val="00156F9D"/>
    <w:rsid w:val="0015711B"/>
    <w:rsid w:val="0015740F"/>
    <w:rsid w:val="00157503"/>
    <w:rsid w:val="0015750E"/>
    <w:rsid w:val="0015751E"/>
    <w:rsid w:val="001576F6"/>
    <w:rsid w:val="0015771C"/>
    <w:rsid w:val="0015798F"/>
    <w:rsid w:val="00157C80"/>
    <w:rsid w:val="00157D39"/>
    <w:rsid w:val="00157E01"/>
    <w:rsid w:val="00157E42"/>
    <w:rsid w:val="00157E85"/>
    <w:rsid w:val="00157F0D"/>
    <w:rsid w:val="00157F33"/>
    <w:rsid w:val="00157FEA"/>
    <w:rsid w:val="0016007D"/>
    <w:rsid w:val="0016019D"/>
    <w:rsid w:val="00160436"/>
    <w:rsid w:val="00160458"/>
    <w:rsid w:val="0016059B"/>
    <w:rsid w:val="001605D8"/>
    <w:rsid w:val="00160689"/>
    <w:rsid w:val="00160703"/>
    <w:rsid w:val="0016070D"/>
    <w:rsid w:val="00160732"/>
    <w:rsid w:val="001607FF"/>
    <w:rsid w:val="00160823"/>
    <w:rsid w:val="00160890"/>
    <w:rsid w:val="001608F5"/>
    <w:rsid w:val="001609A4"/>
    <w:rsid w:val="00160A48"/>
    <w:rsid w:val="00160BB5"/>
    <w:rsid w:val="00160C76"/>
    <w:rsid w:val="00160CDC"/>
    <w:rsid w:val="00160CE8"/>
    <w:rsid w:val="00160E78"/>
    <w:rsid w:val="001610C1"/>
    <w:rsid w:val="0016112E"/>
    <w:rsid w:val="00161134"/>
    <w:rsid w:val="001611BF"/>
    <w:rsid w:val="00161283"/>
    <w:rsid w:val="00161319"/>
    <w:rsid w:val="00161373"/>
    <w:rsid w:val="00161496"/>
    <w:rsid w:val="001615C5"/>
    <w:rsid w:val="00161651"/>
    <w:rsid w:val="00161668"/>
    <w:rsid w:val="0016167A"/>
    <w:rsid w:val="001616E6"/>
    <w:rsid w:val="0016174C"/>
    <w:rsid w:val="001618CE"/>
    <w:rsid w:val="00161922"/>
    <w:rsid w:val="00161A3F"/>
    <w:rsid w:val="00161A4B"/>
    <w:rsid w:val="00161A6B"/>
    <w:rsid w:val="00161CD2"/>
    <w:rsid w:val="00161DC8"/>
    <w:rsid w:val="00161E1E"/>
    <w:rsid w:val="00161E4D"/>
    <w:rsid w:val="00161EB7"/>
    <w:rsid w:val="00161ED7"/>
    <w:rsid w:val="00161F24"/>
    <w:rsid w:val="00161F25"/>
    <w:rsid w:val="00162040"/>
    <w:rsid w:val="0016218A"/>
    <w:rsid w:val="0016239D"/>
    <w:rsid w:val="0016246E"/>
    <w:rsid w:val="00162490"/>
    <w:rsid w:val="001624C4"/>
    <w:rsid w:val="00162552"/>
    <w:rsid w:val="00162684"/>
    <w:rsid w:val="00162867"/>
    <w:rsid w:val="001628B8"/>
    <w:rsid w:val="0016292A"/>
    <w:rsid w:val="00162ADE"/>
    <w:rsid w:val="00162BD6"/>
    <w:rsid w:val="00162C5A"/>
    <w:rsid w:val="00162CC0"/>
    <w:rsid w:val="00162E66"/>
    <w:rsid w:val="00162FB1"/>
    <w:rsid w:val="001630FC"/>
    <w:rsid w:val="0016318F"/>
    <w:rsid w:val="001632CF"/>
    <w:rsid w:val="001632D3"/>
    <w:rsid w:val="00163346"/>
    <w:rsid w:val="001633E0"/>
    <w:rsid w:val="0016340D"/>
    <w:rsid w:val="00163437"/>
    <w:rsid w:val="001634F5"/>
    <w:rsid w:val="0016350E"/>
    <w:rsid w:val="00163576"/>
    <w:rsid w:val="001638F6"/>
    <w:rsid w:val="0016395A"/>
    <w:rsid w:val="0016395D"/>
    <w:rsid w:val="00163B7C"/>
    <w:rsid w:val="00163D4F"/>
    <w:rsid w:val="00163E59"/>
    <w:rsid w:val="00163E60"/>
    <w:rsid w:val="00163EBC"/>
    <w:rsid w:val="00163F16"/>
    <w:rsid w:val="00163F1B"/>
    <w:rsid w:val="00163F5E"/>
    <w:rsid w:val="00163FFC"/>
    <w:rsid w:val="00164033"/>
    <w:rsid w:val="001640AA"/>
    <w:rsid w:val="001640F6"/>
    <w:rsid w:val="0016419F"/>
    <w:rsid w:val="001641C7"/>
    <w:rsid w:val="0016424E"/>
    <w:rsid w:val="0016440F"/>
    <w:rsid w:val="001644B1"/>
    <w:rsid w:val="001644D9"/>
    <w:rsid w:val="00164650"/>
    <w:rsid w:val="001646FD"/>
    <w:rsid w:val="0016472F"/>
    <w:rsid w:val="0016489A"/>
    <w:rsid w:val="00164917"/>
    <w:rsid w:val="00164975"/>
    <w:rsid w:val="00164AFE"/>
    <w:rsid w:val="00164B2C"/>
    <w:rsid w:val="00164C95"/>
    <w:rsid w:val="00164CCC"/>
    <w:rsid w:val="00164D79"/>
    <w:rsid w:val="00164E22"/>
    <w:rsid w:val="00164E83"/>
    <w:rsid w:val="00164EF4"/>
    <w:rsid w:val="00164F73"/>
    <w:rsid w:val="00164FFC"/>
    <w:rsid w:val="00165056"/>
    <w:rsid w:val="001650F1"/>
    <w:rsid w:val="001651B6"/>
    <w:rsid w:val="00165245"/>
    <w:rsid w:val="00165258"/>
    <w:rsid w:val="001652D4"/>
    <w:rsid w:val="00165315"/>
    <w:rsid w:val="001653F2"/>
    <w:rsid w:val="0016544E"/>
    <w:rsid w:val="00165495"/>
    <w:rsid w:val="001654C6"/>
    <w:rsid w:val="00165693"/>
    <w:rsid w:val="00165695"/>
    <w:rsid w:val="001658AD"/>
    <w:rsid w:val="00165907"/>
    <w:rsid w:val="0016592B"/>
    <w:rsid w:val="00165C09"/>
    <w:rsid w:val="00165FF4"/>
    <w:rsid w:val="001660C5"/>
    <w:rsid w:val="0016618C"/>
    <w:rsid w:val="001662B9"/>
    <w:rsid w:val="0016637B"/>
    <w:rsid w:val="001663D3"/>
    <w:rsid w:val="00166596"/>
    <w:rsid w:val="001665E7"/>
    <w:rsid w:val="00166790"/>
    <w:rsid w:val="001667DF"/>
    <w:rsid w:val="001667FE"/>
    <w:rsid w:val="00166866"/>
    <w:rsid w:val="001668BC"/>
    <w:rsid w:val="001669A9"/>
    <w:rsid w:val="00166A35"/>
    <w:rsid w:val="00166CFA"/>
    <w:rsid w:val="00166EBD"/>
    <w:rsid w:val="00166EDE"/>
    <w:rsid w:val="00166EE4"/>
    <w:rsid w:val="00166F39"/>
    <w:rsid w:val="00166F93"/>
    <w:rsid w:val="00167021"/>
    <w:rsid w:val="00167026"/>
    <w:rsid w:val="00167078"/>
    <w:rsid w:val="00167132"/>
    <w:rsid w:val="00167134"/>
    <w:rsid w:val="0016721F"/>
    <w:rsid w:val="00167264"/>
    <w:rsid w:val="00167303"/>
    <w:rsid w:val="0016732A"/>
    <w:rsid w:val="001673C0"/>
    <w:rsid w:val="0016747C"/>
    <w:rsid w:val="0016754C"/>
    <w:rsid w:val="00167858"/>
    <w:rsid w:val="001678C9"/>
    <w:rsid w:val="00167924"/>
    <w:rsid w:val="0016792D"/>
    <w:rsid w:val="00167A83"/>
    <w:rsid w:val="00167A9A"/>
    <w:rsid w:val="00167BBE"/>
    <w:rsid w:val="00167D0B"/>
    <w:rsid w:val="00167D6E"/>
    <w:rsid w:val="00167DC8"/>
    <w:rsid w:val="00167FC0"/>
    <w:rsid w:val="00170046"/>
    <w:rsid w:val="001700B3"/>
    <w:rsid w:val="00170195"/>
    <w:rsid w:val="001701EA"/>
    <w:rsid w:val="001701FC"/>
    <w:rsid w:val="00170292"/>
    <w:rsid w:val="0017038D"/>
    <w:rsid w:val="0017038F"/>
    <w:rsid w:val="00170418"/>
    <w:rsid w:val="00170631"/>
    <w:rsid w:val="00170682"/>
    <w:rsid w:val="001706A1"/>
    <w:rsid w:val="001708AF"/>
    <w:rsid w:val="001708FE"/>
    <w:rsid w:val="00170974"/>
    <w:rsid w:val="001709DF"/>
    <w:rsid w:val="00170B37"/>
    <w:rsid w:val="00170BE5"/>
    <w:rsid w:val="00170CDB"/>
    <w:rsid w:val="00170D1A"/>
    <w:rsid w:val="00170D3B"/>
    <w:rsid w:val="00170D41"/>
    <w:rsid w:val="00170D75"/>
    <w:rsid w:val="00170DA7"/>
    <w:rsid w:val="00170EED"/>
    <w:rsid w:val="00170EF4"/>
    <w:rsid w:val="00171169"/>
    <w:rsid w:val="0017125A"/>
    <w:rsid w:val="00171322"/>
    <w:rsid w:val="001713BA"/>
    <w:rsid w:val="00171423"/>
    <w:rsid w:val="0017152D"/>
    <w:rsid w:val="0017156F"/>
    <w:rsid w:val="00171573"/>
    <w:rsid w:val="00171588"/>
    <w:rsid w:val="001716D4"/>
    <w:rsid w:val="001717B0"/>
    <w:rsid w:val="00171AF1"/>
    <w:rsid w:val="00171B1F"/>
    <w:rsid w:val="00171B49"/>
    <w:rsid w:val="00171BA6"/>
    <w:rsid w:val="00171C15"/>
    <w:rsid w:val="00171C7C"/>
    <w:rsid w:val="00171EB3"/>
    <w:rsid w:val="0017202F"/>
    <w:rsid w:val="00172050"/>
    <w:rsid w:val="001720C6"/>
    <w:rsid w:val="0017211F"/>
    <w:rsid w:val="0017228E"/>
    <w:rsid w:val="001723BE"/>
    <w:rsid w:val="001723F1"/>
    <w:rsid w:val="0017263D"/>
    <w:rsid w:val="00172677"/>
    <w:rsid w:val="001726CC"/>
    <w:rsid w:val="00172A4C"/>
    <w:rsid w:val="00172BEC"/>
    <w:rsid w:val="00172CE5"/>
    <w:rsid w:val="00172DDF"/>
    <w:rsid w:val="00172EB3"/>
    <w:rsid w:val="00172F44"/>
    <w:rsid w:val="00172F7E"/>
    <w:rsid w:val="00172FA9"/>
    <w:rsid w:val="00173002"/>
    <w:rsid w:val="0017316C"/>
    <w:rsid w:val="001731A0"/>
    <w:rsid w:val="00173251"/>
    <w:rsid w:val="0017348A"/>
    <w:rsid w:val="001734D9"/>
    <w:rsid w:val="0017358B"/>
    <w:rsid w:val="001735D7"/>
    <w:rsid w:val="00173646"/>
    <w:rsid w:val="0017367A"/>
    <w:rsid w:val="0017367E"/>
    <w:rsid w:val="001736EE"/>
    <w:rsid w:val="001737B4"/>
    <w:rsid w:val="001737C5"/>
    <w:rsid w:val="00173828"/>
    <w:rsid w:val="0017384F"/>
    <w:rsid w:val="001738C6"/>
    <w:rsid w:val="00173A2B"/>
    <w:rsid w:val="00173A47"/>
    <w:rsid w:val="00173A71"/>
    <w:rsid w:val="00173AD8"/>
    <w:rsid w:val="00173B7D"/>
    <w:rsid w:val="00173BA4"/>
    <w:rsid w:val="00173C17"/>
    <w:rsid w:val="00173D35"/>
    <w:rsid w:val="00173E0E"/>
    <w:rsid w:val="00173E35"/>
    <w:rsid w:val="00173EA5"/>
    <w:rsid w:val="00173EDB"/>
    <w:rsid w:val="00173F2C"/>
    <w:rsid w:val="00173FD1"/>
    <w:rsid w:val="00174057"/>
    <w:rsid w:val="00174172"/>
    <w:rsid w:val="001741E7"/>
    <w:rsid w:val="001741EF"/>
    <w:rsid w:val="00174257"/>
    <w:rsid w:val="0017433C"/>
    <w:rsid w:val="00174374"/>
    <w:rsid w:val="001743D7"/>
    <w:rsid w:val="00174476"/>
    <w:rsid w:val="00174529"/>
    <w:rsid w:val="00174658"/>
    <w:rsid w:val="00174666"/>
    <w:rsid w:val="0017471B"/>
    <w:rsid w:val="00174758"/>
    <w:rsid w:val="0017493F"/>
    <w:rsid w:val="00174A7F"/>
    <w:rsid w:val="00174B9A"/>
    <w:rsid w:val="00174C00"/>
    <w:rsid w:val="00174CC1"/>
    <w:rsid w:val="00174CF4"/>
    <w:rsid w:val="00174D15"/>
    <w:rsid w:val="00174D2E"/>
    <w:rsid w:val="00175066"/>
    <w:rsid w:val="00175193"/>
    <w:rsid w:val="001753B5"/>
    <w:rsid w:val="0017540D"/>
    <w:rsid w:val="0017546E"/>
    <w:rsid w:val="0017559B"/>
    <w:rsid w:val="00175969"/>
    <w:rsid w:val="00175AB6"/>
    <w:rsid w:val="00175B32"/>
    <w:rsid w:val="00175CD4"/>
    <w:rsid w:val="00175FC3"/>
    <w:rsid w:val="0017605A"/>
    <w:rsid w:val="0017626C"/>
    <w:rsid w:val="00176290"/>
    <w:rsid w:val="00176345"/>
    <w:rsid w:val="00176349"/>
    <w:rsid w:val="0017651D"/>
    <w:rsid w:val="0017652D"/>
    <w:rsid w:val="001765E3"/>
    <w:rsid w:val="00176705"/>
    <w:rsid w:val="0017673D"/>
    <w:rsid w:val="00176741"/>
    <w:rsid w:val="001767A6"/>
    <w:rsid w:val="001767B8"/>
    <w:rsid w:val="001768CF"/>
    <w:rsid w:val="00176945"/>
    <w:rsid w:val="00176985"/>
    <w:rsid w:val="00176A51"/>
    <w:rsid w:val="00176A6D"/>
    <w:rsid w:val="00176BA3"/>
    <w:rsid w:val="00176C2C"/>
    <w:rsid w:val="00176C4D"/>
    <w:rsid w:val="00176D7D"/>
    <w:rsid w:val="00176E1B"/>
    <w:rsid w:val="00177154"/>
    <w:rsid w:val="001771C0"/>
    <w:rsid w:val="001772AC"/>
    <w:rsid w:val="001772B7"/>
    <w:rsid w:val="00177301"/>
    <w:rsid w:val="00177355"/>
    <w:rsid w:val="0017746F"/>
    <w:rsid w:val="00177570"/>
    <w:rsid w:val="001775D4"/>
    <w:rsid w:val="0017765D"/>
    <w:rsid w:val="0017770B"/>
    <w:rsid w:val="00177751"/>
    <w:rsid w:val="001777E2"/>
    <w:rsid w:val="001778B2"/>
    <w:rsid w:val="00177983"/>
    <w:rsid w:val="00177997"/>
    <w:rsid w:val="00177B6C"/>
    <w:rsid w:val="00177BDB"/>
    <w:rsid w:val="00177BEC"/>
    <w:rsid w:val="00177D65"/>
    <w:rsid w:val="00177D8C"/>
    <w:rsid w:val="00177E0E"/>
    <w:rsid w:val="00177E3A"/>
    <w:rsid w:val="00177E98"/>
    <w:rsid w:val="0018000C"/>
    <w:rsid w:val="00180303"/>
    <w:rsid w:val="00180357"/>
    <w:rsid w:val="00180397"/>
    <w:rsid w:val="00180440"/>
    <w:rsid w:val="001804B2"/>
    <w:rsid w:val="001804BB"/>
    <w:rsid w:val="0018052D"/>
    <w:rsid w:val="001805B2"/>
    <w:rsid w:val="0018062E"/>
    <w:rsid w:val="00180816"/>
    <w:rsid w:val="00180853"/>
    <w:rsid w:val="0018091D"/>
    <w:rsid w:val="001809AE"/>
    <w:rsid w:val="00180BF7"/>
    <w:rsid w:val="00180D17"/>
    <w:rsid w:val="00180D3A"/>
    <w:rsid w:val="00180D8D"/>
    <w:rsid w:val="00180E2A"/>
    <w:rsid w:val="00180EA9"/>
    <w:rsid w:val="00180F23"/>
    <w:rsid w:val="00180F7E"/>
    <w:rsid w:val="0018105E"/>
    <w:rsid w:val="00181173"/>
    <w:rsid w:val="001811BF"/>
    <w:rsid w:val="001811FD"/>
    <w:rsid w:val="001812E7"/>
    <w:rsid w:val="0018132C"/>
    <w:rsid w:val="00181361"/>
    <w:rsid w:val="0018136E"/>
    <w:rsid w:val="001813F1"/>
    <w:rsid w:val="001814A3"/>
    <w:rsid w:val="00181539"/>
    <w:rsid w:val="001817A8"/>
    <w:rsid w:val="001817FB"/>
    <w:rsid w:val="00181A60"/>
    <w:rsid w:val="00181A63"/>
    <w:rsid w:val="00181BC2"/>
    <w:rsid w:val="00181C33"/>
    <w:rsid w:val="00181CCE"/>
    <w:rsid w:val="00181CD8"/>
    <w:rsid w:val="00181CF5"/>
    <w:rsid w:val="00181CFF"/>
    <w:rsid w:val="00181E5F"/>
    <w:rsid w:val="00182005"/>
    <w:rsid w:val="00182066"/>
    <w:rsid w:val="00182187"/>
    <w:rsid w:val="001822E2"/>
    <w:rsid w:val="001822FE"/>
    <w:rsid w:val="00182301"/>
    <w:rsid w:val="00182376"/>
    <w:rsid w:val="00182380"/>
    <w:rsid w:val="001823C0"/>
    <w:rsid w:val="001823E8"/>
    <w:rsid w:val="0018242E"/>
    <w:rsid w:val="00182618"/>
    <w:rsid w:val="00182703"/>
    <w:rsid w:val="001827E8"/>
    <w:rsid w:val="0018282C"/>
    <w:rsid w:val="00182887"/>
    <w:rsid w:val="00182910"/>
    <w:rsid w:val="00182A2B"/>
    <w:rsid w:val="00182B91"/>
    <w:rsid w:val="00182BDA"/>
    <w:rsid w:val="00182C01"/>
    <w:rsid w:val="00182E52"/>
    <w:rsid w:val="00182E66"/>
    <w:rsid w:val="00182FF0"/>
    <w:rsid w:val="0018300A"/>
    <w:rsid w:val="001832CD"/>
    <w:rsid w:val="001832FB"/>
    <w:rsid w:val="00183341"/>
    <w:rsid w:val="0018349F"/>
    <w:rsid w:val="00183549"/>
    <w:rsid w:val="001835F5"/>
    <w:rsid w:val="00183662"/>
    <w:rsid w:val="00183679"/>
    <w:rsid w:val="001836C1"/>
    <w:rsid w:val="00183710"/>
    <w:rsid w:val="0018381B"/>
    <w:rsid w:val="001838EA"/>
    <w:rsid w:val="00183908"/>
    <w:rsid w:val="001839A1"/>
    <w:rsid w:val="00183A6F"/>
    <w:rsid w:val="00183A72"/>
    <w:rsid w:val="00183C60"/>
    <w:rsid w:val="00183CBB"/>
    <w:rsid w:val="00183E24"/>
    <w:rsid w:val="00183E78"/>
    <w:rsid w:val="00183F1B"/>
    <w:rsid w:val="00183F7E"/>
    <w:rsid w:val="00183FEB"/>
    <w:rsid w:val="001840FF"/>
    <w:rsid w:val="001841E8"/>
    <w:rsid w:val="00184302"/>
    <w:rsid w:val="00184331"/>
    <w:rsid w:val="001843E1"/>
    <w:rsid w:val="00184408"/>
    <w:rsid w:val="0018446C"/>
    <w:rsid w:val="00184660"/>
    <w:rsid w:val="00184747"/>
    <w:rsid w:val="00184783"/>
    <w:rsid w:val="001847EA"/>
    <w:rsid w:val="00184820"/>
    <w:rsid w:val="001848B5"/>
    <w:rsid w:val="001849A7"/>
    <w:rsid w:val="001849E2"/>
    <w:rsid w:val="00184B46"/>
    <w:rsid w:val="00184BCC"/>
    <w:rsid w:val="00184C54"/>
    <w:rsid w:val="00184C80"/>
    <w:rsid w:val="00184D22"/>
    <w:rsid w:val="00184D3C"/>
    <w:rsid w:val="00184E9E"/>
    <w:rsid w:val="00184EED"/>
    <w:rsid w:val="00184F2C"/>
    <w:rsid w:val="0018501B"/>
    <w:rsid w:val="00185066"/>
    <w:rsid w:val="00185181"/>
    <w:rsid w:val="00185369"/>
    <w:rsid w:val="0018537D"/>
    <w:rsid w:val="00185405"/>
    <w:rsid w:val="0018551A"/>
    <w:rsid w:val="001855A0"/>
    <w:rsid w:val="001856A8"/>
    <w:rsid w:val="0018573F"/>
    <w:rsid w:val="00185892"/>
    <w:rsid w:val="0018589C"/>
    <w:rsid w:val="00185933"/>
    <w:rsid w:val="00185992"/>
    <w:rsid w:val="001859AE"/>
    <w:rsid w:val="00185B01"/>
    <w:rsid w:val="00185BA8"/>
    <w:rsid w:val="00185BB6"/>
    <w:rsid w:val="00185DAF"/>
    <w:rsid w:val="00185F15"/>
    <w:rsid w:val="00185F65"/>
    <w:rsid w:val="0018608E"/>
    <w:rsid w:val="001860C7"/>
    <w:rsid w:val="001860C9"/>
    <w:rsid w:val="00186166"/>
    <w:rsid w:val="00186178"/>
    <w:rsid w:val="001861CD"/>
    <w:rsid w:val="00186229"/>
    <w:rsid w:val="0018623F"/>
    <w:rsid w:val="001862FF"/>
    <w:rsid w:val="0018632A"/>
    <w:rsid w:val="001864D4"/>
    <w:rsid w:val="00186546"/>
    <w:rsid w:val="001866DB"/>
    <w:rsid w:val="00186780"/>
    <w:rsid w:val="00186793"/>
    <w:rsid w:val="001867AD"/>
    <w:rsid w:val="001867BB"/>
    <w:rsid w:val="00186855"/>
    <w:rsid w:val="0018693D"/>
    <w:rsid w:val="001869FD"/>
    <w:rsid w:val="00186A81"/>
    <w:rsid w:val="00186A86"/>
    <w:rsid w:val="00186A9D"/>
    <w:rsid w:val="00186AB8"/>
    <w:rsid w:val="00186AC7"/>
    <w:rsid w:val="00186B75"/>
    <w:rsid w:val="00186BA7"/>
    <w:rsid w:val="00186C39"/>
    <w:rsid w:val="00186CF2"/>
    <w:rsid w:val="00186D3A"/>
    <w:rsid w:val="00186E87"/>
    <w:rsid w:val="00186EF6"/>
    <w:rsid w:val="00186F06"/>
    <w:rsid w:val="00186F26"/>
    <w:rsid w:val="0018700D"/>
    <w:rsid w:val="0018705D"/>
    <w:rsid w:val="00187187"/>
    <w:rsid w:val="001872AD"/>
    <w:rsid w:val="00187375"/>
    <w:rsid w:val="00187419"/>
    <w:rsid w:val="00187509"/>
    <w:rsid w:val="00187531"/>
    <w:rsid w:val="0018756F"/>
    <w:rsid w:val="0018775F"/>
    <w:rsid w:val="0018778E"/>
    <w:rsid w:val="001879AE"/>
    <w:rsid w:val="00187A43"/>
    <w:rsid w:val="00187BDA"/>
    <w:rsid w:val="00187BFE"/>
    <w:rsid w:val="00187C09"/>
    <w:rsid w:val="00187E5E"/>
    <w:rsid w:val="00187ED7"/>
    <w:rsid w:val="00187FBF"/>
    <w:rsid w:val="001900B8"/>
    <w:rsid w:val="001900DF"/>
    <w:rsid w:val="00190113"/>
    <w:rsid w:val="00190169"/>
    <w:rsid w:val="001901B3"/>
    <w:rsid w:val="00190298"/>
    <w:rsid w:val="001902D5"/>
    <w:rsid w:val="00190382"/>
    <w:rsid w:val="00190491"/>
    <w:rsid w:val="001904B6"/>
    <w:rsid w:val="001905E1"/>
    <w:rsid w:val="00190682"/>
    <w:rsid w:val="001906DA"/>
    <w:rsid w:val="001907E5"/>
    <w:rsid w:val="00190875"/>
    <w:rsid w:val="001908CF"/>
    <w:rsid w:val="001909B0"/>
    <w:rsid w:val="00190A43"/>
    <w:rsid w:val="00190A8A"/>
    <w:rsid w:val="00190AFE"/>
    <w:rsid w:val="00190B51"/>
    <w:rsid w:val="00190BE7"/>
    <w:rsid w:val="00190CAC"/>
    <w:rsid w:val="00190DEE"/>
    <w:rsid w:val="00190DFC"/>
    <w:rsid w:val="00190EAA"/>
    <w:rsid w:val="00191021"/>
    <w:rsid w:val="001911CD"/>
    <w:rsid w:val="001912F3"/>
    <w:rsid w:val="00191337"/>
    <w:rsid w:val="00191364"/>
    <w:rsid w:val="00191434"/>
    <w:rsid w:val="00191525"/>
    <w:rsid w:val="00191721"/>
    <w:rsid w:val="00191783"/>
    <w:rsid w:val="0019178B"/>
    <w:rsid w:val="00191869"/>
    <w:rsid w:val="00191948"/>
    <w:rsid w:val="00191961"/>
    <w:rsid w:val="001919A1"/>
    <w:rsid w:val="00191A23"/>
    <w:rsid w:val="00191A32"/>
    <w:rsid w:val="00191B32"/>
    <w:rsid w:val="00191B61"/>
    <w:rsid w:val="00191CCB"/>
    <w:rsid w:val="00191CF3"/>
    <w:rsid w:val="00191E6C"/>
    <w:rsid w:val="00191F2E"/>
    <w:rsid w:val="00191F8B"/>
    <w:rsid w:val="001920F6"/>
    <w:rsid w:val="0019226D"/>
    <w:rsid w:val="00192388"/>
    <w:rsid w:val="001924E6"/>
    <w:rsid w:val="00192559"/>
    <w:rsid w:val="001926D0"/>
    <w:rsid w:val="00192700"/>
    <w:rsid w:val="0019283D"/>
    <w:rsid w:val="001928AC"/>
    <w:rsid w:val="001929AD"/>
    <w:rsid w:val="00192AAC"/>
    <w:rsid w:val="00192AE4"/>
    <w:rsid w:val="00192D8E"/>
    <w:rsid w:val="00192E11"/>
    <w:rsid w:val="00192F06"/>
    <w:rsid w:val="00192F58"/>
    <w:rsid w:val="00192FA3"/>
    <w:rsid w:val="00192FAB"/>
    <w:rsid w:val="00193057"/>
    <w:rsid w:val="001930CE"/>
    <w:rsid w:val="001930D6"/>
    <w:rsid w:val="001930FA"/>
    <w:rsid w:val="00193166"/>
    <w:rsid w:val="00193215"/>
    <w:rsid w:val="0019322F"/>
    <w:rsid w:val="001933A2"/>
    <w:rsid w:val="001934A1"/>
    <w:rsid w:val="001934D1"/>
    <w:rsid w:val="001934F7"/>
    <w:rsid w:val="001934FA"/>
    <w:rsid w:val="00193532"/>
    <w:rsid w:val="00193755"/>
    <w:rsid w:val="00193845"/>
    <w:rsid w:val="00193866"/>
    <w:rsid w:val="001938B7"/>
    <w:rsid w:val="001938EA"/>
    <w:rsid w:val="001938F7"/>
    <w:rsid w:val="0019392B"/>
    <w:rsid w:val="0019397C"/>
    <w:rsid w:val="00193AFF"/>
    <w:rsid w:val="00193B9A"/>
    <w:rsid w:val="00193D7D"/>
    <w:rsid w:val="00193EC2"/>
    <w:rsid w:val="00193ED2"/>
    <w:rsid w:val="0019403C"/>
    <w:rsid w:val="001940FB"/>
    <w:rsid w:val="00194253"/>
    <w:rsid w:val="00194273"/>
    <w:rsid w:val="001942A6"/>
    <w:rsid w:val="001942C0"/>
    <w:rsid w:val="001942E0"/>
    <w:rsid w:val="00194302"/>
    <w:rsid w:val="001943F6"/>
    <w:rsid w:val="00194463"/>
    <w:rsid w:val="0019454D"/>
    <w:rsid w:val="00194558"/>
    <w:rsid w:val="001945A1"/>
    <w:rsid w:val="0019464D"/>
    <w:rsid w:val="001947F0"/>
    <w:rsid w:val="0019480A"/>
    <w:rsid w:val="00194863"/>
    <w:rsid w:val="00194882"/>
    <w:rsid w:val="001949C8"/>
    <w:rsid w:val="00194B79"/>
    <w:rsid w:val="00194C0C"/>
    <w:rsid w:val="00194DBB"/>
    <w:rsid w:val="00194E4C"/>
    <w:rsid w:val="00195133"/>
    <w:rsid w:val="0019522B"/>
    <w:rsid w:val="00195294"/>
    <w:rsid w:val="00195331"/>
    <w:rsid w:val="0019542A"/>
    <w:rsid w:val="001954E0"/>
    <w:rsid w:val="00195596"/>
    <w:rsid w:val="0019563D"/>
    <w:rsid w:val="0019567A"/>
    <w:rsid w:val="00195895"/>
    <w:rsid w:val="001959DB"/>
    <w:rsid w:val="00195A52"/>
    <w:rsid w:val="00195A8A"/>
    <w:rsid w:val="00195ABC"/>
    <w:rsid w:val="00195BB7"/>
    <w:rsid w:val="00195BEF"/>
    <w:rsid w:val="00195C0E"/>
    <w:rsid w:val="00195C88"/>
    <w:rsid w:val="00195CAA"/>
    <w:rsid w:val="00195D9C"/>
    <w:rsid w:val="00195D9F"/>
    <w:rsid w:val="00195DFF"/>
    <w:rsid w:val="00195EBE"/>
    <w:rsid w:val="00195FCB"/>
    <w:rsid w:val="00196037"/>
    <w:rsid w:val="00196101"/>
    <w:rsid w:val="001961C0"/>
    <w:rsid w:val="00196258"/>
    <w:rsid w:val="001962A2"/>
    <w:rsid w:val="001962CE"/>
    <w:rsid w:val="001962F4"/>
    <w:rsid w:val="001963F8"/>
    <w:rsid w:val="00196628"/>
    <w:rsid w:val="00196AFB"/>
    <w:rsid w:val="00196D18"/>
    <w:rsid w:val="00196D35"/>
    <w:rsid w:val="00196F7F"/>
    <w:rsid w:val="00197129"/>
    <w:rsid w:val="00197160"/>
    <w:rsid w:val="0019721A"/>
    <w:rsid w:val="00197229"/>
    <w:rsid w:val="00197335"/>
    <w:rsid w:val="0019733E"/>
    <w:rsid w:val="0019765E"/>
    <w:rsid w:val="00197766"/>
    <w:rsid w:val="00197779"/>
    <w:rsid w:val="0019784B"/>
    <w:rsid w:val="001978AD"/>
    <w:rsid w:val="00197955"/>
    <w:rsid w:val="00197982"/>
    <w:rsid w:val="00197A3E"/>
    <w:rsid w:val="00197B48"/>
    <w:rsid w:val="00197BAA"/>
    <w:rsid w:val="00197C0B"/>
    <w:rsid w:val="00197EC3"/>
    <w:rsid w:val="001A00B9"/>
    <w:rsid w:val="001A015E"/>
    <w:rsid w:val="001A0230"/>
    <w:rsid w:val="001A02C2"/>
    <w:rsid w:val="001A02CA"/>
    <w:rsid w:val="001A040E"/>
    <w:rsid w:val="001A046D"/>
    <w:rsid w:val="001A0497"/>
    <w:rsid w:val="001A04E5"/>
    <w:rsid w:val="001A0662"/>
    <w:rsid w:val="001A06AC"/>
    <w:rsid w:val="001A0731"/>
    <w:rsid w:val="001A0774"/>
    <w:rsid w:val="001A07E4"/>
    <w:rsid w:val="001A082B"/>
    <w:rsid w:val="001A08D7"/>
    <w:rsid w:val="001A0984"/>
    <w:rsid w:val="001A09EB"/>
    <w:rsid w:val="001A0A53"/>
    <w:rsid w:val="001A0A59"/>
    <w:rsid w:val="001A0BA7"/>
    <w:rsid w:val="001A0C11"/>
    <w:rsid w:val="001A0D32"/>
    <w:rsid w:val="001A0E28"/>
    <w:rsid w:val="001A0E7C"/>
    <w:rsid w:val="001A0ED4"/>
    <w:rsid w:val="001A1008"/>
    <w:rsid w:val="001A104C"/>
    <w:rsid w:val="001A1078"/>
    <w:rsid w:val="001A11FF"/>
    <w:rsid w:val="001A1226"/>
    <w:rsid w:val="001A1391"/>
    <w:rsid w:val="001A13EB"/>
    <w:rsid w:val="001A14F7"/>
    <w:rsid w:val="001A1598"/>
    <w:rsid w:val="001A16E6"/>
    <w:rsid w:val="001A17F7"/>
    <w:rsid w:val="001A1937"/>
    <w:rsid w:val="001A19B9"/>
    <w:rsid w:val="001A1A25"/>
    <w:rsid w:val="001A1A36"/>
    <w:rsid w:val="001A1B90"/>
    <w:rsid w:val="001A1BBA"/>
    <w:rsid w:val="001A1C24"/>
    <w:rsid w:val="001A1C3F"/>
    <w:rsid w:val="001A1C63"/>
    <w:rsid w:val="001A1CF9"/>
    <w:rsid w:val="001A1D0F"/>
    <w:rsid w:val="001A1D54"/>
    <w:rsid w:val="001A1D8E"/>
    <w:rsid w:val="001A2169"/>
    <w:rsid w:val="001A21E6"/>
    <w:rsid w:val="001A223E"/>
    <w:rsid w:val="001A23AA"/>
    <w:rsid w:val="001A23C0"/>
    <w:rsid w:val="001A242A"/>
    <w:rsid w:val="001A24F8"/>
    <w:rsid w:val="001A2584"/>
    <w:rsid w:val="001A25ED"/>
    <w:rsid w:val="001A2612"/>
    <w:rsid w:val="001A26F2"/>
    <w:rsid w:val="001A2783"/>
    <w:rsid w:val="001A291E"/>
    <w:rsid w:val="001A29FB"/>
    <w:rsid w:val="001A2A75"/>
    <w:rsid w:val="001A2B66"/>
    <w:rsid w:val="001A2C87"/>
    <w:rsid w:val="001A2CE6"/>
    <w:rsid w:val="001A2D71"/>
    <w:rsid w:val="001A2DA9"/>
    <w:rsid w:val="001A2E6D"/>
    <w:rsid w:val="001A2E9E"/>
    <w:rsid w:val="001A2EC6"/>
    <w:rsid w:val="001A2F6A"/>
    <w:rsid w:val="001A2FCF"/>
    <w:rsid w:val="001A300F"/>
    <w:rsid w:val="001A3023"/>
    <w:rsid w:val="001A309B"/>
    <w:rsid w:val="001A3140"/>
    <w:rsid w:val="001A3171"/>
    <w:rsid w:val="001A3181"/>
    <w:rsid w:val="001A31FE"/>
    <w:rsid w:val="001A3278"/>
    <w:rsid w:val="001A32A1"/>
    <w:rsid w:val="001A32B1"/>
    <w:rsid w:val="001A33C1"/>
    <w:rsid w:val="001A35AB"/>
    <w:rsid w:val="001A3710"/>
    <w:rsid w:val="001A386B"/>
    <w:rsid w:val="001A39D7"/>
    <w:rsid w:val="001A39E2"/>
    <w:rsid w:val="001A39F7"/>
    <w:rsid w:val="001A3C51"/>
    <w:rsid w:val="001A3C88"/>
    <w:rsid w:val="001A3D70"/>
    <w:rsid w:val="001A3D76"/>
    <w:rsid w:val="001A3E36"/>
    <w:rsid w:val="001A3ED5"/>
    <w:rsid w:val="001A4172"/>
    <w:rsid w:val="001A42E1"/>
    <w:rsid w:val="001A4321"/>
    <w:rsid w:val="001A4392"/>
    <w:rsid w:val="001A4395"/>
    <w:rsid w:val="001A442B"/>
    <w:rsid w:val="001A443B"/>
    <w:rsid w:val="001A45B4"/>
    <w:rsid w:val="001A47AD"/>
    <w:rsid w:val="001A497F"/>
    <w:rsid w:val="001A49CF"/>
    <w:rsid w:val="001A4A3D"/>
    <w:rsid w:val="001A4B25"/>
    <w:rsid w:val="001A4C65"/>
    <w:rsid w:val="001A4DCB"/>
    <w:rsid w:val="001A4E67"/>
    <w:rsid w:val="001A4FAD"/>
    <w:rsid w:val="001A5008"/>
    <w:rsid w:val="001A509F"/>
    <w:rsid w:val="001A5105"/>
    <w:rsid w:val="001A516B"/>
    <w:rsid w:val="001A5242"/>
    <w:rsid w:val="001A52C7"/>
    <w:rsid w:val="001A53AE"/>
    <w:rsid w:val="001A5447"/>
    <w:rsid w:val="001A5579"/>
    <w:rsid w:val="001A5617"/>
    <w:rsid w:val="001A5625"/>
    <w:rsid w:val="001A56BC"/>
    <w:rsid w:val="001A56C3"/>
    <w:rsid w:val="001A583D"/>
    <w:rsid w:val="001A59F7"/>
    <w:rsid w:val="001A5BA1"/>
    <w:rsid w:val="001A5C13"/>
    <w:rsid w:val="001A5CA9"/>
    <w:rsid w:val="001A5CAF"/>
    <w:rsid w:val="001A5CEB"/>
    <w:rsid w:val="001A5E4C"/>
    <w:rsid w:val="001A5EA7"/>
    <w:rsid w:val="001A60E2"/>
    <w:rsid w:val="001A61AD"/>
    <w:rsid w:val="001A61D3"/>
    <w:rsid w:val="001A61E8"/>
    <w:rsid w:val="001A626B"/>
    <w:rsid w:val="001A62DE"/>
    <w:rsid w:val="001A63DD"/>
    <w:rsid w:val="001A645A"/>
    <w:rsid w:val="001A65BF"/>
    <w:rsid w:val="001A6700"/>
    <w:rsid w:val="001A6854"/>
    <w:rsid w:val="001A68DF"/>
    <w:rsid w:val="001A69A3"/>
    <w:rsid w:val="001A6A01"/>
    <w:rsid w:val="001A6C1B"/>
    <w:rsid w:val="001A6C59"/>
    <w:rsid w:val="001A6CB4"/>
    <w:rsid w:val="001A6E89"/>
    <w:rsid w:val="001A6F8F"/>
    <w:rsid w:val="001A6FAF"/>
    <w:rsid w:val="001A705D"/>
    <w:rsid w:val="001A7193"/>
    <w:rsid w:val="001A71A7"/>
    <w:rsid w:val="001A7202"/>
    <w:rsid w:val="001A733D"/>
    <w:rsid w:val="001A7353"/>
    <w:rsid w:val="001A738F"/>
    <w:rsid w:val="001A73B9"/>
    <w:rsid w:val="001A74D0"/>
    <w:rsid w:val="001A7590"/>
    <w:rsid w:val="001A7735"/>
    <w:rsid w:val="001A7779"/>
    <w:rsid w:val="001A7847"/>
    <w:rsid w:val="001A7860"/>
    <w:rsid w:val="001A78B9"/>
    <w:rsid w:val="001A78CD"/>
    <w:rsid w:val="001A78E4"/>
    <w:rsid w:val="001A79AE"/>
    <w:rsid w:val="001A79E5"/>
    <w:rsid w:val="001A7A6F"/>
    <w:rsid w:val="001A7C95"/>
    <w:rsid w:val="001A7CBE"/>
    <w:rsid w:val="001A7D81"/>
    <w:rsid w:val="001A7E77"/>
    <w:rsid w:val="001A7FA9"/>
    <w:rsid w:val="001B00D8"/>
    <w:rsid w:val="001B00DB"/>
    <w:rsid w:val="001B021C"/>
    <w:rsid w:val="001B03AB"/>
    <w:rsid w:val="001B03E1"/>
    <w:rsid w:val="001B0445"/>
    <w:rsid w:val="001B0582"/>
    <w:rsid w:val="001B05D4"/>
    <w:rsid w:val="001B05F8"/>
    <w:rsid w:val="001B063F"/>
    <w:rsid w:val="001B0709"/>
    <w:rsid w:val="001B0820"/>
    <w:rsid w:val="001B0829"/>
    <w:rsid w:val="001B0979"/>
    <w:rsid w:val="001B09FD"/>
    <w:rsid w:val="001B0A24"/>
    <w:rsid w:val="001B0A30"/>
    <w:rsid w:val="001B0B2C"/>
    <w:rsid w:val="001B0B37"/>
    <w:rsid w:val="001B0CED"/>
    <w:rsid w:val="001B1000"/>
    <w:rsid w:val="001B12F0"/>
    <w:rsid w:val="001B132D"/>
    <w:rsid w:val="001B1368"/>
    <w:rsid w:val="001B14E8"/>
    <w:rsid w:val="001B17CA"/>
    <w:rsid w:val="001B1805"/>
    <w:rsid w:val="001B182D"/>
    <w:rsid w:val="001B1901"/>
    <w:rsid w:val="001B1943"/>
    <w:rsid w:val="001B19EF"/>
    <w:rsid w:val="001B1AAB"/>
    <w:rsid w:val="001B1AC1"/>
    <w:rsid w:val="001B1BF7"/>
    <w:rsid w:val="001B1D03"/>
    <w:rsid w:val="001B1D5A"/>
    <w:rsid w:val="001B1E6F"/>
    <w:rsid w:val="001B1F37"/>
    <w:rsid w:val="001B201D"/>
    <w:rsid w:val="001B2027"/>
    <w:rsid w:val="001B2067"/>
    <w:rsid w:val="001B210D"/>
    <w:rsid w:val="001B21D6"/>
    <w:rsid w:val="001B21E4"/>
    <w:rsid w:val="001B24E4"/>
    <w:rsid w:val="001B24F5"/>
    <w:rsid w:val="001B2569"/>
    <w:rsid w:val="001B266F"/>
    <w:rsid w:val="001B26AF"/>
    <w:rsid w:val="001B2792"/>
    <w:rsid w:val="001B27AB"/>
    <w:rsid w:val="001B283A"/>
    <w:rsid w:val="001B2960"/>
    <w:rsid w:val="001B2ADC"/>
    <w:rsid w:val="001B2C83"/>
    <w:rsid w:val="001B2C99"/>
    <w:rsid w:val="001B2CC7"/>
    <w:rsid w:val="001B2D1B"/>
    <w:rsid w:val="001B2DD5"/>
    <w:rsid w:val="001B2E7F"/>
    <w:rsid w:val="001B2E92"/>
    <w:rsid w:val="001B30B0"/>
    <w:rsid w:val="001B30B4"/>
    <w:rsid w:val="001B30C6"/>
    <w:rsid w:val="001B312F"/>
    <w:rsid w:val="001B31A1"/>
    <w:rsid w:val="001B3293"/>
    <w:rsid w:val="001B32F9"/>
    <w:rsid w:val="001B358E"/>
    <w:rsid w:val="001B35D8"/>
    <w:rsid w:val="001B36A2"/>
    <w:rsid w:val="001B3866"/>
    <w:rsid w:val="001B387F"/>
    <w:rsid w:val="001B3B15"/>
    <w:rsid w:val="001B3BA2"/>
    <w:rsid w:val="001B3BCC"/>
    <w:rsid w:val="001B3BF9"/>
    <w:rsid w:val="001B3CA0"/>
    <w:rsid w:val="001B3CD6"/>
    <w:rsid w:val="001B3EF1"/>
    <w:rsid w:val="001B3FB3"/>
    <w:rsid w:val="001B3FBD"/>
    <w:rsid w:val="001B400B"/>
    <w:rsid w:val="001B40F8"/>
    <w:rsid w:val="001B4183"/>
    <w:rsid w:val="001B4222"/>
    <w:rsid w:val="001B424F"/>
    <w:rsid w:val="001B42AA"/>
    <w:rsid w:val="001B42B0"/>
    <w:rsid w:val="001B459B"/>
    <w:rsid w:val="001B4690"/>
    <w:rsid w:val="001B4781"/>
    <w:rsid w:val="001B48DF"/>
    <w:rsid w:val="001B496D"/>
    <w:rsid w:val="001B4B1B"/>
    <w:rsid w:val="001B4B88"/>
    <w:rsid w:val="001B4BC6"/>
    <w:rsid w:val="001B4BC9"/>
    <w:rsid w:val="001B4C64"/>
    <w:rsid w:val="001B4D91"/>
    <w:rsid w:val="001B4E1B"/>
    <w:rsid w:val="001B4E94"/>
    <w:rsid w:val="001B4F3A"/>
    <w:rsid w:val="001B507D"/>
    <w:rsid w:val="001B5129"/>
    <w:rsid w:val="001B523C"/>
    <w:rsid w:val="001B52BA"/>
    <w:rsid w:val="001B5453"/>
    <w:rsid w:val="001B577C"/>
    <w:rsid w:val="001B58D5"/>
    <w:rsid w:val="001B5919"/>
    <w:rsid w:val="001B5ADB"/>
    <w:rsid w:val="001B5B04"/>
    <w:rsid w:val="001B5D04"/>
    <w:rsid w:val="001B5D75"/>
    <w:rsid w:val="001B5D81"/>
    <w:rsid w:val="001B5DC6"/>
    <w:rsid w:val="001B5DCD"/>
    <w:rsid w:val="001B5E6C"/>
    <w:rsid w:val="001B5ED7"/>
    <w:rsid w:val="001B5EE2"/>
    <w:rsid w:val="001B5FC7"/>
    <w:rsid w:val="001B5FD1"/>
    <w:rsid w:val="001B60DF"/>
    <w:rsid w:val="001B6119"/>
    <w:rsid w:val="001B611C"/>
    <w:rsid w:val="001B61F0"/>
    <w:rsid w:val="001B6207"/>
    <w:rsid w:val="001B62FB"/>
    <w:rsid w:val="001B630B"/>
    <w:rsid w:val="001B6324"/>
    <w:rsid w:val="001B63DB"/>
    <w:rsid w:val="001B63E8"/>
    <w:rsid w:val="001B6489"/>
    <w:rsid w:val="001B661C"/>
    <w:rsid w:val="001B6854"/>
    <w:rsid w:val="001B694F"/>
    <w:rsid w:val="001B6A09"/>
    <w:rsid w:val="001B6A83"/>
    <w:rsid w:val="001B6DCB"/>
    <w:rsid w:val="001B6F57"/>
    <w:rsid w:val="001B6FCC"/>
    <w:rsid w:val="001B70BB"/>
    <w:rsid w:val="001B71A2"/>
    <w:rsid w:val="001B7241"/>
    <w:rsid w:val="001B7268"/>
    <w:rsid w:val="001B738B"/>
    <w:rsid w:val="001B73A1"/>
    <w:rsid w:val="001B7694"/>
    <w:rsid w:val="001B79AA"/>
    <w:rsid w:val="001B79E6"/>
    <w:rsid w:val="001B7E4B"/>
    <w:rsid w:val="001C0036"/>
    <w:rsid w:val="001C0120"/>
    <w:rsid w:val="001C018E"/>
    <w:rsid w:val="001C0247"/>
    <w:rsid w:val="001C02A6"/>
    <w:rsid w:val="001C02CE"/>
    <w:rsid w:val="001C0391"/>
    <w:rsid w:val="001C0433"/>
    <w:rsid w:val="001C043C"/>
    <w:rsid w:val="001C0508"/>
    <w:rsid w:val="001C05E1"/>
    <w:rsid w:val="001C0686"/>
    <w:rsid w:val="001C070C"/>
    <w:rsid w:val="001C0734"/>
    <w:rsid w:val="001C07B4"/>
    <w:rsid w:val="001C07B8"/>
    <w:rsid w:val="001C08C6"/>
    <w:rsid w:val="001C0957"/>
    <w:rsid w:val="001C0AD3"/>
    <w:rsid w:val="001C0AFA"/>
    <w:rsid w:val="001C0B65"/>
    <w:rsid w:val="001C0B83"/>
    <w:rsid w:val="001C0BD8"/>
    <w:rsid w:val="001C0CF2"/>
    <w:rsid w:val="001C0D34"/>
    <w:rsid w:val="001C0D47"/>
    <w:rsid w:val="001C0D5A"/>
    <w:rsid w:val="001C0E93"/>
    <w:rsid w:val="001C100A"/>
    <w:rsid w:val="001C106B"/>
    <w:rsid w:val="001C1103"/>
    <w:rsid w:val="001C1231"/>
    <w:rsid w:val="001C13B5"/>
    <w:rsid w:val="001C13EF"/>
    <w:rsid w:val="001C1424"/>
    <w:rsid w:val="001C1548"/>
    <w:rsid w:val="001C15A7"/>
    <w:rsid w:val="001C15D2"/>
    <w:rsid w:val="001C1872"/>
    <w:rsid w:val="001C18F9"/>
    <w:rsid w:val="001C1927"/>
    <w:rsid w:val="001C1ABC"/>
    <w:rsid w:val="001C1C0D"/>
    <w:rsid w:val="001C1D4B"/>
    <w:rsid w:val="001C1E4E"/>
    <w:rsid w:val="001C204E"/>
    <w:rsid w:val="001C20E6"/>
    <w:rsid w:val="001C2269"/>
    <w:rsid w:val="001C229E"/>
    <w:rsid w:val="001C2351"/>
    <w:rsid w:val="001C2396"/>
    <w:rsid w:val="001C23DC"/>
    <w:rsid w:val="001C244C"/>
    <w:rsid w:val="001C24A0"/>
    <w:rsid w:val="001C2670"/>
    <w:rsid w:val="001C26F1"/>
    <w:rsid w:val="001C2730"/>
    <w:rsid w:val="001C2786"/>
    <w:rsid w:val="001C27EE"/>
    <w:rsid w:val="001C2885"/>
    <w:rsid w:val="001C28EE"/>
    <w:rsid w:val="001C2999"/>
    <w:rsid w:val="001C2A87"/>
    <w:rsid w:val="001C2AF0"/>
    <w:rsid w:val="001C2C99"/>
    <w:rsid w:val="001C2CEC"/>
    <w:rsid w:val="001C2CF1"/>
    <w:rsid w:val="001C2EF1"/>
    <w:rsid w:val="001C2EF5"/>
    <w:rsid w:val="001C30D9"/>
    <w:rsid w:val="001C30E3"/>
    <w:rsid w:val="001C31DF"/>
    <w:rsid w:val="001C3239"/>
    <w:rsid w:val="001C3414"/>
    <w:rsid w:val="001C3441"/>
    <w:rsid w:val="001C3442"/>
    <w:rsid w:val="001C3475"/>
    <w:rsid w:val="001C3679"/>
    <w:rsid w:val="001C36D1"/>
    <w:rsid w:val="001C37E5"/>
    <w:rsid w:val="001C3831"/>
    <w:rsid w:val="001C38DA"/>
    <w:rsid w:val="001C398C"/>
    <w:rsid w:val="001C3DAB"/>
    <w:rsid w:val="001C3EC8"/>
    <w:rsid w:val="001C3F58"/>
    <w:rsid w:val="001C3F5A"/>
    <w:rsid w:val="001C3F68"/>
    <w:rsid w:val="001C3FDA"/>
    <w:rsid w:val="001C4032"/>
    <w:rsid w:val="001C41A9"/>
    <w:rsid w:val="001C41B1"/>
    <w:rsid w:val="001C41B9"/>
    <w:rsid w:val="001C41D4"/>
    <w:rsid w:val="001C420B"/>
    <w:rsid w:val="001C42D1"/>
    <w:rsid w:val="001C43AB"/>
    <w:rsid w:val="001C43BF"/>
    <w:rsid w:val="001C444C"/>
    <w:rsid w:val="001C459C"/>
    <w:rsid w:val="001C45E3"/>
    <w:rsid w:val="001C45E4"/>
    <w:rsid w:val="001C4682"/>
    <w:rsid w:val="001C46BB"/>
    <w:rsid w:val="001C48B9"/>
    <w:rsid w:val="001C4A9D"/>
    <w:rsid w:val="001C4B0D"/>
    <w:rsid w:val="001C4B23"/>
    <w:rsid w:val="001C4BC3"/>
    <w:rsid w:val="001C4CBF"/>
    <w:rsid w:val="001C4D0A"/>
    <w:rsid w:val="001C4E30"/>
    <w:rsid w:val="001C4EAB"/>
    <w:rsid w:val="001C4EAC"/>
    <w:rsid w:val="001C4F10"/>
    <w:rsid w:val="001C4F8D"/>
    <w:rsid w:val="001C4FF0"/>
    <w:rsid w:val="001C501C"/>
    <w:rsid w:val="001C503D"/>
    <w:rsid w:val="001C5087"/>
    <w:rsid w:val="001C50DF"/>
    <w:rsid w:val="001C52A7"/>
    <w:rsid w:val="001C53D7"/>
    <w:rsid w:val="001C53D8"/>
    <w:rsid w:val="001C5451"/>
    <w:rsid w:val="001C54B2"/>
    <w:rsid w:val="001C551F"/>
    <w:rsid w:val="001C5544"/>
    <w:rsid w:val="001C58B3"/>
    <w:rsid w:val="001C599A"/>
    <w:rsid w:val="001C59C1"/>
    <w:rsid w:val="001C59D0"/>
    <w:rsid w:val="001C5A7F"/>
    <w:rsid w:val="001C5AF9"/>
    <w:rsid w:val="001C5BB9"/>
    <w:rsid w:val="001C5D03"/>
    <w:rsid w:val="001C5DC4"/>
    <w:rsid w:val="001C6049"/>
    <w:rsid w:val="001C60B3"/>
    <w:rsid w:val="001C6105"/>
    <w:rsid w:val="001C6112"/>
    <w:rsid w:val="001C6247"/>
    <w:rsid w:val="001C6287"/>
    <w:rsid w:val="001C628D"/>
    <w:rsid w:val="001C62AA"/>
    <w:rsid w:val="001C63BB"/>
    <w:rsid w:val="001C6435"/>
    <w:rsid w:val="001C650E"/>
    <w:rsid w:val="001C6554"/>
    <w:rsid w:val="001C6590"/>
    <w:rsid w:val="001C6662"/>
    <w:rsid w:val="001C66B1"/>
    <w:rsid w:val="001C66C5"/>
    <w:rsid w:val="001C6736"/>
    <w:rsid w:val="001C6753"/>
    <w:rsid w:val="001C6904"/>
    <w:rsid w:val="001C6A6A"/>
    <w:rsid w:val="001C6CE1"/>
    <w:rsid w:val="001C6D60"/>
    <w:rsid w:val="001C6DA7"/>
    <w:rsid w:val="001C6DF6"/>
    <w:rsid w:val="001C6E5B"/>
    <w:rsid w:val="001C6F53"/>
    <w:rsid w:val="001C7135"/>
    <w:rsid w:val="001C724B"/>
    <w:rsid w:val="001C7378"/>
    <w:rsid w:val="001C7386"/>
    <w:rsid w:val="001C75AA"/>
    <w:rsid w:val="001C761A"/>
    <w:rsid w:val="001C76A1"/>
    <w:rsid w:val="001C76A6"/>
    <w:rsid w:val="001C7823"/>
    <w:rsid w:val="001C78C9"/>
    <w:rsid w:val="001C78F6"/>
    <w:rsid w:val="001C78F9"/>
    <w:rsid w:val="001C7B5B"/>
    <w:rsid w:val="001C7BDF"/>
    <w:rsid w:val="001C7BEA"/>
    <w:rsid w:val="001C7CEB"/>
    <w:rsid w:val="001C7E0A"/>
    <w:rsid w:val="001C7E6D"/>
    <w:rsid w:val="001C7E81"/>
    <w:rsid w:val="001C7EA1"/>
    <w:rsid w:val="001C7EC6"/>
    <w:rsid w:val="001C7F90"/>
    <w:rsid w:val="001C7FD7"/>
    <w:rsid w:val="001D0021"/>
    <w:rsid w:val="001D00A4"/>
    <w:rsid w:val="001D00F8"/>
    <w:rsid w:val="001D021C"/>
    <w:rsid w:val="001D02F1"/>
    <w:rsid w:val="001D0357"/>
    <w:rsid w:val="001D0419"/>
    <w:rsid w:val="001D057F"/>
    <w:rsid w:val="001D088D"/>
    <w:rsid w:val="001D0894"/>
    <w:rsid w:val="001D0918"/>
    <w:rsid w:val="001D0AB9"/>
    <w:rsid w:val="001D0AFC"/>
    <w:rsid w:val="001D0B66"/>
    <w:rsid w:val="001D0CAB"/>
    <w:rsid w:val="001D0DB6"/>
    <w:rsid w:val="001D0E3A"/>
    <w:rsid w:val="001D0EA9"/>
    <w:rsid w:val="001D0F1B"/>
    <w:rsid w:val="001D0F35"/>
    <w:rsid w:val="001D1009"/>
    <w:rsid w:val="001D10FE"/>
    <w:rsid w:val="001D1127"/>
    <w:rsid w:val="001D11FB"/>
    <w:rsid w:val="001D1230"/>
    <w:rsid w:val="001D12A0"/>
    <w:rsid w:val="001D1316"/>
    <w:rsid w:val="001D1330"/>
    <w:rsid w:val="001D13B7"/>
    <w:rsid w:val="001D13E7"/>
    <w:rsid w:val="001D1410"/>
    <w:rsid w:val="001D14BA"/>
    <w:rsid w:val="001D14DF"/>
    <w:rsid w:val="001D15CE"/>
    <w:rsid w:val="001D1748"/>
    <w:rsid w:val="001D17C3"/>
    <w:rsid w:val="001D1875"/>
    <w:rsid w:val="001D18E9"/>
    <w:rsid w:val="001D1988"/>
    <w:rsid w:val="001D1A94"/>
    <w:rsid w:val="001D1AA7"/>
    <w:rsid w:val="001D1B16"/>
    <w:rsid w:val="001D1B39"/>
    <w:rsid w:val="001D1B51"/>
    <w:rsid w:val="001D1CF3"/>
    <w:rsid w:val="001D1E9E"/>
    <w:rsid w:val="001D1F00"/>
    <w:rsid w:val="001D1F63"/>
    <w:rsid w:val="001D1F7F"/>
    <w:rsid w:val="001D1FD1"/>
    <w:rsid w:val="001D2102"/>
    <w:rsid w:val="001D2327"/>
    <w:rsid w:val="001D244F"/>
    <w:rsid w:val="001D2499"/>
    <w:rsid w:val="001D24BA"/>
    <w:rsid w:val="001D2518"/>
    <w:rsid w:val="001D2530"/>
    <w:rsid w:val="001D25F1"/>
    <w:rsid w:val="001D25F6"/>
    <w:rsid w:val="001D2660"/>
    <w:rsid w:val="001D26E5"/>
    <w:rsid w:val="001D272B"/>
    <w:rsid w:val="001D28AD"/>
    <w:rsid w:val="001D28D9"/>
    <w:rsid w:val="001D2A17"/>
    <w:rsid w:val="001D2ABC"/>
    <w:rsid w:val="001D2B7D"/>
    <w:rsid w:val="001D2B97"/>
    <w:rsid w:val="001D2BE6"/>
    <w:rsid w:val="001D2C3E"/>
    <w:rsid w:val="001D2D25"/>
    <w:rsid w:val="001D2DA8"/>
    <w:rsid w:val="001D2DE9"/>
    <w:rsid w:val="001D2E0F"/>
    <w:rsid w:val="001D2F10"/>
    <w:rsid w:val="001D2F5D"/>
    <w:rsid w:val="001D3010"/>
    <w:rsid w:val="001D308F"/>
    <w:rsid w:val="001D3128"/>
    <w:rsid w:val="001D3388"/>
    <w:rsid w:val="001D3397"/>
    <w:rsid w:val="001D3451"/>
    <w:rsid w:val="001D35F9"/>
    <w:rsid w:val="001D36E5"/>
    <w:rsid w:val="001D3726"/>
    <w:rsid w:val="001D3750"/>
    <w:rsid w:val="001D3962"/>
    <w:rsid w:val="001D3BF6"/>
    <w:rsid w:val="001D3C0E"/>
    <w:rsid w:val="001D3C36"/>
    <w:rsid w:val="001D3D35"/>
    <w:rsid w:val="001D3D5C"/>
    <w:rsid w:val="001D3E78"/>
    <w:rsid w:val="001D3FBF"/>
    <w:rsid w:val="001D402E"/>
    <w:rsid w:val="001D40B9"/>
    <w:rsid w:val="001D40E0"/>
    <w:rsid w:val="001D40F4"/>
    <w:rsid w:val="001D417B"/>
    <w:rsid w:val="001D4197"/>
    <w:rsid w:val="001D41C4"/>
    <w:rsid w:val="001D420B"/>
    <w:rsid w:val="001D4369"/>
    <w:rsid w:val="001D4379"/>
    <w:rsid w:val="001D4457"/>
    <w:rsid w:val="001D47B0"/>
    <w:rsid w:val="001D4824"/>
    <w:rsid w:val="001D48F6"/>
    <w:rsid w:val="001D492B"/>
    <w:rsid w:val="001D49FE"/>
    <w:rsid w:val="001D4A0D"/>
    <w:rsid w:val="001D4A80"/>
    <w:rsid w:val="001D4BA2"/>
    <w:rsid w:val="001D4BEB"/>
    <w:rsid w:val="001D4CFC"/>
    <w:rsid w:val="001D4D31"/>
    <w:rsid w:val="001D4D84"/>
    <w:rsid w:val="001D4E72"/>
    <w:rsid w:val="001D4E77"/>
    <w:rsid w:val="001D4E84"/>
    <w:rsid w:val="001D4FEA"/>
    <w:rsid w:val="001D5147"/>
    <w:rsid w:val="001D5234"/>
    <w:rsid w:val="001D52F0"/>
    <w:rsid w:val="001D53FF"/>
    <w:rsid w:val="001D544B"/>
    <w:rsid w:val="001D55D5"/>
    <w:rsid w:val="001D58BA"/>
    <w:rsid w:val="001D5911"/>
    <w:rsid w:val="001D59BE"/>
    <w:rsid w:val="001D5B9F"/>
    <w:rsid w:val="001D5D66"/>
    <w:rsid w:val="001D5D97"/>
    <w:rsid w:val="001D5DEB"/>
    <w:rsid w:val="001D5F87"/>
    <w:rsid w:val="001D5F8D"/>
    <w:rsid w:val="001D6063"/>
    <w:rsid w:val="001D606B"/>
    <w:rsid w:val="001D60EE"/>
    <w:rsid w:val="001D62B7"/>
    <w:rsid w:val="001D62C7"/>
    <w:rsid w:val="001D6303"/>
    <w:rsid w:val="001D63B0"/>
    <w:rsid w:val="001D63BF"/>
    <w:rsid w:val="001D6554"/>
    <w:rsid w:val="001D6568"/>
    <w:rsid w:val="001D6581"/>
    <w:rsid w:val="001D6674"/>
    <w:rsid w:val="001D668B"/>
    <w:rsid w:val="001D6702"/>
    <w:rsid w:val="001D67C7"/>
    <w:rsid w:val="001D6829"/>
    <w:rsid w:val="001D69FC"/>
    <w:rsid w:val="001D6B4B"/>
    <w:rsid w:val="001D6BDD"/>
    <w:rsid w:val="001D6C12"/>
    <w:rsid w:val="001D6D10"/>
    <w:rsid w:val="001D6DCF"/>
    <w:rsid w:val="001D6E58"/>
    <w:rsid w:val="001D6E74"/>
    <w:rsid w:val="001D6FFE"/>
    <w:rsid w:val="001D7015"/>
    <w:rsid w:val="001D7081"/>
    <w:rsid w:val="001D7396"/>
    <w:rsid w:val="001D73E3"/>
    <w:rsid w:val="001D75FF"/>
    <w:rsid w:val="001D7691"/>
    <w:rsid w:val="001D76A4"/>
    <w:rsid w:val="001D76EA"/>
    <w:rsid w:val="001D7762"/>
    <w:rsid w:val="001D7768"/>
    <w:rsid w:val="001D7806"/>
    <w:rsid w:val="001D7868"/>
    <w:rsid w:val="001D798E"/>
    <w:rsid w:val="001D7AA9"/>
    <w:rsid w:val="001D7BF0"/>
    <w:rsid w:val="001D7C6F"/>
    <w:rsid w:val="001D7F4B"/>
    <w:rsid w:val="001D7F59"/>
    <w:rsid w:val="001D7FB9"/>
    <w:rsid w:val="001D7FE7"/>
    <w:rsid w:val="001E003A"/>
    <w:rsid w:val="001E0222"/>
    <w:rsid w:val="001E031F"/>
    <w:rsid w:val="001E0367"/>
    <w:rsid w:val="001E065C"/>
    <w:rsid w:val="001E067D"/>
    <w:rsid w:val="001E06F3"/>
    <w:rsid w:val="001E0740"/>
    <w:rsid w:val="001E0774"/>
    <w:rsid w:val="001E07B1"/>
    <w:rsid w:val="001E07C3"/>
    <w:rsid w:val="001E0815"/>
    <w:rsid w:val="001E0BFA"/>
    <w:rsid w:val="001E0CFB"/>
    <w:rsid w:val="001E0ED9"/>
    <w:rsid w:val="001E0F2E"/>
    <w:rsid w:val="001E0F55"/>
    <w:rsid w:val="001E0FB3"/>
    <w:rsid w:val="001E0FD6"/>
    <w:rsid w:val="001E10C6"/>
    <w:rsid w:val="001E12C2"/>
    <w:rsid w:val="001E14DF"/>
    <w:rsid w:val="001E15B3"/>
    <w:rsid w:val="001E15EA"/>
    <w:rsid w:val="001E1606"/>
    <w:rsid w:val="001E1800"/>
    <w:rsid w:val="001E1893"/>
    <w:rsid w:val="001E196A"/>
    <w:rsid w:val="001E19D0"/>
    <w:rsid w:val="001E1A10"/>
    <w:rsid w:val="001E1AC0"/>
    <w:rsid w:val="001E1BA6"/>
    <w:rsid w:val="001E1BB4"/>
    <w:rsid w:val="001E1BF1"/>
    <w:rsid w:val="001E1C64"/>
    <w:rsid w:val="001E1C92"/>
    <w:rsid w:val="001E1CA0"/>
    <w:rsid w:val="001E1D10"/>
    <w:rsid w:val="001E1D3D"/>
    <w:rsid w:val="001E1D88"/>
    <w:rsid w:val="001E1E5D"/>
    <w:rsid w:val="001E1E92"/>
    <w:rsid w:val="001E1EA5"/>
    <w:rsid w:val="001E1FB4"/>
    <w:rsid w:val="001E21A3"/>
    <w:rsid w:val="001E22BF"/>
    <w:rsid w:val="001E248C"/>
    <w:rsid w:val="001E2493"/>
    <w:rsid w:val="001E24BA"/>
    <w:rsid w:val="001E2545"/>
    <w:rsid w:val="001E2553"/>
    <w:rsid w:val="001E2583"/>
    <w:rsid w:val="001E2842"/>
    <w:rsid w:val="001E2BD7"/>
    <w:rsid w:val="001E2C88"/>
    <w:rsid w:val="001E2D3D"/>
    <w:rsid w:val="001E2D9E"/>
    <w:rsid w:val="001E2E71"/>
    <w:rsid w:val="001E2F17"/>
    <w:rsid w:val="001E2F91"/>
    <w:rsid w:val="001E2FA5"/>
    <w:rsid w:val="001E303E"/>
    <w:rsid w:val="001E310C"/>
    <w:rsid w:val="001E3133"/>
    <w:rsid w:val="001E3172"/>
    <w:rsid w:val="001E3215"/>
    <w:rsid w:val="001E3246"/>
    <w:rsid w:val="001E32B9"/>
    <w:rsid w:val="001E346A"/>
    <w:rsid w:val="001E3758"/>
    <w:rsid w:val="001E37FC"/>
    <w:rsid w:val="001E3831"/>
    <w:rsid w:val="001E383E"/>
    <w:rsid w:val="001E3846"/>
    <w:rsid w:val="001E384F"/>
    <w:rsid w:val="001E3908"/>
    <w:rsid w:val="001E3926"/>
    <w:rsid w:val="001E3B24"/>
    <w:rsid w:val="001E3BFC"/>
    <w:rsid w:val="001E3C39"/>
    <w:rsid w:val="001E3C9F"/>
    <w:rsid w:val="001E3E8F"/>
    <w:rsid w:val="001E3EB3"/>
    <w:rsid w:val="001E3F97"/>
    <w:rsid w:val="001E3FE9"/>
    <w:rsid w:val="001E40C0"/>
    <w:rsid w:val="001E40ED"/>
    <w:rsid w:val="001E41AF"/>
    <w:rsid w:val="001E4242"/>
    <w:rsid w:val="001E4298"/>
    <w:rsid w:val="001E435E"/>
    <w:rsid w:val="001E43D2"/>
    <w:rsid w:val="001E4515"/>
    <w:rsid w:val="001E4516"/>
    <w:rsid w:val="001E45C1"/>
    <w:rsid w:val="001E4637"/>
    <w:rsid w:val="001E4666"/>
    <w:rsid w:val="001E46CD"/>
    <w:rsid w:val="001E47C6"/>
    <w:rsid w:val="001E47D1"/>
    <w:rsid w:val="001E47F4"/>
    <w:rsid w:val="001E496E"/>
    <w:rsid w:val="001E4A96"/>
    <w:rsid w:val="001E4B06"/>
    <w:rsid w:val="001E4B8F"/>
    <w:rsid w:val="001E4BD3"/>
    <w:rsid w:val="001E4BF6"/>
    <w:rsid w:val="001E4C0A"/>
    <w:rsid w:val="001E4C40"/>
    <w:rsid w:val="001E4CAC"/>
    <w:rsid w:val="001E4E00"/>
    <w:rsid w:val="001E4E83"/>
    <w:rsid w:val="001E515C"/>
    <w:rsid w:val="001E520E"/>
    <w:rsid w:val="001E525A"/>
    <w:rsid w:val="001E5350"/>
    <w:rsid w:val="001E5385"/>
    <w:rsid w:val="001E53E5"/>
    <w:rsid w:val="001E54EC"/>
    <w:rsid w:val="001E55C5"/>
    <w:rsid w:val="001E56D6"/>
    <w:rsid w:val="001E5715"/>
    <w:rsid w:val="001E5837"/>
    <w:rsid w:val="001E585E"/>
    <w:rsid w:val="001E59E1"/>
    <w:rsid w:val="001E5BA0"/>
    <w:rsid w:val="001E5D5E"/>
    <w:rsid w:val="001E5E52"/>
    <w:rsid w:val="001E5E97"/>
    <w:rsid w:val="001E5F25"/>
    <w:rsid w:val="001E5FCB"/>
    <w:rsid w:val="001E60DA"/>
    <w:rsid w:val="001E6164"/>
    <w:rsid w:val="001E62C7"/>
    <w:rsid w:val="001E633B"/>
    <w:rsid w:val="001E6347"/>
    <w:rsid w:val="001E644C"/>
    <w:rsid w:val="001E644F"/>
    <w:rsid w:val="001E64B7"/>
    <w:rsid w:val="001E6517"/>
    <w:rsid w:val="001E66D2"/>
    <w:rsid w:val="001E683D"/>
    <w:rsid w:val="001E69EA"/>
    <w:rsid w:val="001E6A21"/>
    <w:rsid w:val="001E6A93"/>
    <w:rsid w:val="001E6B65"/>
    <w:rsid w:val="001E6C00"/>
    <w:rsid w:val="001E6C14"/>
    <w:rsid w:val="001E6C2D"/>
    <w:rsid w:val="001E6DAC"/>
    <w:rsid w:val="001E6E30"/>
    <w:rsid w:val="001E7028"/>
    <w:rsid w:val="001E7060"/>
    <w:rsid w:val="001E7125"/>
    <w:rsid w:val="001E7302"/>
    <w:rsid w:val="001E7348"/>
    <w:rsid w:val="001E73A6"/>
    <w:rsid w:val="001E7525"/>
    <w:rsid w:val="001E7538"/>
    <w:rsid w:val="001E759E"/>
    <w:rsid w:val="001E75C6"/>
    <w:rsid w:val="001E7698"/>
    <w:rsid w:val="001E76E7"/>
    <w:rsid w:val="001E7800"/>
    <w:rsid w:val="001E7847"/>
    <w:rsid w:val="001E7879"/>
    <w:rsid w:val="001E78A1"/>
    <w:rsid w:val="001E79C8"/>
    <w:rsid w:val="001E7B7E"/>
    <w:rsid w:val="001E7C65"/>
    <w:rsid w:val="001E7CAB"/>
    <w:rsid w:val="001E7D04"/>
    <w:rsid w:val="001E7D7C"/>
    <w:rsid w:val="001E7EA8"/>
    <w:rsid w:val="001E7EC6"/>
    <w:rsid w:val="001F0173"/>
    <w:rsid w:val="001F0319"/>
    <w:rsid w:val="001F03CF"/>
    <w:rsid w:val="001F046D"/>
    <w:rsid w:val="001F04DC"/>
    <w:rsid w:val="001F05B4"/>
    <w:rsid w:val="001F064F"/>
    <w:rsid w:val="001F077E"/>
    <w:rsid w:val="001F07CD"/>
    <w:rsid w:val="001F092F"/>
    <w:rsid w:val="001F09EE"/>
    <w:rsid w:val="001F09FD"/>
    <w:rsid w:val="001F0A5D"/>
    <w:rsid w:val="001F0BC9"/>
    <w:rsid w:val="001F0C19"/>
    <w:rsid w:val="001F0D40"/>
    <w:rsid w:val="001F0F49"/>
    <w:rsid w:val="001F0FCD"/>
    <w:rsid w:val="001F1072"/>
    <w:rsid w:val="001F10DF"/>
    <w:rsid w:val="001F11BB"/>
    <w:rsid w:val="001F125D"/>
    <w:rsid w:val="001F126C"/>
    <w:rsid w:val="001F1574"/>
    <w:rsid w:val="001F15A7"/>
    <w:rsid w:val="001F16BC"/>
    <w:rsid w:val="001F16CC"/>
    <w:rsid w:val="001F16F9"/>
    <w:rsid w:val="001F1823"/>
    <w:rsid w:val="001F1855"/>
    <w:rsid w:val="001F194F"/>
    <w:rsid w:val="001F195A"/>
    <w:rsid w:val="001F19C4"/>
    <w:rsid w:val="001F1A4E"/>
    <w:rsid w:val="001F1EA8"/>
    <w:rsid w:val="001F1EF5"/>
    <w:rsid w:val="001F2152"/>
    <w:rsid w:val="001F21E7"/>
    <w:rsid w:val="001F220D"/>
    <w:rsid w:val="001F22D9"/>
    <w:rsid w:val="001F237A"/>
    <w:rsid w:val="001F2460"/>
    <w:rsid w:val="001F24EC"/>
    <w:rsid w:val="001F26B9"/>
    <w:rsid w:val="001F26FD"/>
    <w:rsid w:val="001F2725"/>
    <w:rsid w:val="001F281A"/>
    <w:rsid w:val="001F2964"/>
    <w:rsid w:val="001F2970"/>
    <w:rsid w:val="001F2AB9"/>
    <w:rsid w:val="001F2AD4"/>
    <w:rsid w:val="001F2B18"/>
    <w:rsid w:val="001F2CE0"/>
    <w:rsid w:val="001F2DD0"/>
    <w:rsid w:val="001F2E0C"/>
    <w:rsid w:val="001F304F"/>
    <w:rsid w:val="001F30F2"/>
    <w:rsid w:val="001F3173"/>
    <w:rsid w:val="001F32AE"/>
    <w:rsid w:val="001F3375"/>
    <w:rsid w:val="001F33A2"/>
    <w:rsid w:val="001F33E9"/>
    <w:rsid w:val="001F353E"/>
    <w:rsid w:val="001F3567"/>
    <w:rsid w:val="001F36D9"/>
    <w:rsid w:val="001F36EE"/>
    <w:rsid w:val="001F3790"/>
    <w:rsid w:val="001F37FD"/>
    <w:rsid w:val="001F382D"/>
    <w:rsid w:val="001F3830"/>
    <w:rsid w:val="001F383F"/>
    <w:rsid w:val="001F389E"/>
    <w:rsid w:val="001F399F"/>
    <w:rsid w:val="001F3A97"/>
    <w:rsid w:val="001F3AB7"/>
    <w:rsid w:val="001F3AFE"/>
    <w:rsid w:val="001F3E8B"/>
    <w:rsid w:val="001F3E9A"/>
    <w:rsid w:val="001F3EAE"/>
    <w:rsid w:val="001F3F04"/>
    <w:rsid w:val="001F3F5C"/>
    <w:rsid w:val="001F3FEB"/>
    <w:rsid w:val="001F401A"/>
    <w:rsid w:val="001F4113"/>
    <w:rsid w:val="001F415B"/>
    <w:rsid w:val="001F42E4"/>
    <w:rsid w:val="001F4447"/>
    <w:rsid w:val="001F4499"/>
    <w:rsid w:val="001F4517"/>
    <w:rsid w:val="001F45B5"/>
    <w:rsid w:val="001F468A"/>
    <w:rsid w:val="001F49F8"/>
    <w:rsid w:val="001F4AF0"/>
    <w:rsid w:val="001F4B77"/>
    <w:rsid w:val="001F4BC7"/>
    <w:rsid w:val="001F4D68"/>
    <w:rsid w:val="001F4E1E"/>
    <w:rsid w:val="001F4E88"/>
    <w:rsid w:val="001F4ECD"/>
    <w:rsid w:val="001F4F3A"/>
    <w:rsid w:val="001F4F6D"/>
    <w:rsid w:val="001F4F91"/>
    <w:rsid w:val="001F4FDE"/>
    <w:rsid w:val="001F507F"/>
    <w:rsid w:val="001F50C3"/>
    <w:rsid w:val="001F514B"/>
    <w:rsid w:val="001F51A0"/>
    <w:rsid w:val="001F5230"/>
    <w:rsid w:val="001F52E2"/>
    <w:rsid w:val="001F5631"/>
    <w:rsid w:val="001F56D2"/>
    <w:rsid w:val="001F5734"/>
    <w:rsid w:val="001F5768"/>
    <w:rsid w:val="001F57B7"/>
    <w:rsid w:val="001F5915"/>
    <w:rsid w:val="001F5990"/>
    <w:rsid w:val="001F5A6A"/>
    <w:rsid w:val="001F5B69"/>
    <w:rsid w:val="001F5D43"/>
    <w:rsid w:val="001F5D81"/>
    <w:rsid w:val="001F5DA3"/>
    <w:rsid w:val="001F5DBC"/>
    <w:rsid w:val="001F5E72"/>
    <w:rsid w:val="001F5EC5"/>
    <w:rsid w:val="001F5ED2"/>
    <w:rsid w:val="001F5FE9"/>
    <w:rsid w:val="001F6004"/>
    <w:rsid w:val="001F60E2"/>
    <w:rsid w:val="001F622E"/>
    <w:rsid w:val="001F623D"/>
    <w:rsid w:val="001F643E"/>
    <w:rsid w:val="001F6753"/>
    <w:rsid w:val="001F67F7"/>
    <w:rsid w:val="001F6815"/>
    <w:rsid w:val="001F68EF"/>
    <w:rsid w:val="001F68F3"/>
    <w:rsid w:val="001F6929"/>
    <w:rsid w:val="001F69AD"/>
    <w:rsid w:val="001F69F5"/>
    <w:rsid w:val="001F6A58"/>
    <w:rsid w:val="001F6A5B"/>
    <w:rsid w:val="001F6A5F"/>
    <w:rsid w:val="001F6AB4"/>
    <w:rsid w:val="001F6B15"/>
    <w:rsid w:val="001F6BC6"/>
    <w:rsid w:val="001F6BE7"/>
    <w:rsid w:val="001F6D0C"/>
    <w:rsid w:val="001F6DB9"/>
    <w:rsid w:val="001F6E00"/>
    <w:rsid w:val="001F6EF5"/>
    <w:rsid w:val="001F70B5"/>
    <w:rsid w:val="001F70FA"/>
    <w:rsid w:val="001F71B2"/>
    <w:rsid w:val="001F742C"/>
    <w:rsid w:val="001F748B"/>
    <w:rsid w:val="001F7596"/>
    <w:rsid w:val="001F764D"/>
    <w:rsid w:val="001F771B"/>
    <w:rsid w:val="001F78D4"/>
    <w:rsid w:val="001F78D7"/>
    <w:rsid w:val="001F7AC3"/>
    <w:rsid w:val="001F7B01"/>
    <w:rsid w:val="001F7B82"/>
    <w:rsid w:val="001F7BC3"/>
    <w:rsid w:val="001F7C0D"/>
    <w:rsid w:val="001F7CA6"/>
    <w:rsid w:val="001F7D2A"/>
    <w:rsid w:val="001F7F7B"/>
    <w:rsid w:val="001F7FEB"/>
    <w:rsid w:val="0020018A"/>
    <w:rsid w:val="00200289"/>
    <w:rsid w:val="002002A3"/>
    <w:rsid w:val="002002EE"/>
    <w:rsid w:val="00200458"/>
    <w:rsid w:val="00200583"/>
    <w:rsid w:val="002008A9"/>
    <w:rsid w:val="002008E1"/>
    <w:rsid w:val="002008E8"/>
    <w:rsid w:val="00200931"/>
    <w:rsid w:val="00200B1E"/>
    <w:rsid w:val="00200B6A"/>
    <w:rsid w:val="00200B84"/>
    <w:rsid w:val="00200C1E"/>
    <w:rsid w:val="00200C2B"/>
    <w:rsid w:val="00200C91"/>
    <w:rsid w:val="00200E00"/>
    <w:rsid w:val="00200E29"/>
    <w:rsid w:val="00200E98"/>
    <w:rsid w:val="00200E99"/>
    <w:rsid w:val="00200EE9"/>
    <w:rsid w:val="00200F7E"/>
    <w:rsid w:val="00200FA9"/>
    <w:rsid w:val="00200FB7"/>
    <w:rsid w:val="00201000"/>
    <w:rsid w:val="0020105C"/>
    <w:rsid w:val="002010A7"/>
    <w:rsid w:val="002010B4"/>
    <w:rsid w:val="00201137"/>
    <w:rsid w:val="0020115D"/>
    <w:rsid w:val="002011DD"/>
    <w:rsid w:val="002012BE"/>
    <w:rsid w:val="00201306"/>
    <w:rsid w:val="00201325"/>
    <w:rsid w:val="00201366"/>
    <w:rsid w:val="00201567"/>
    <w:rsid w:val="00201598"/>
    <w:rsid w:val="00201621"/>
    <w:rsid w:val="002016D2"/>
    <w:rsid w:val="0020184C"/>
    <w:rsid w:val="00201869"/>
    <w:rsid w:val="002019C7"/>
    <w:rsid w:val="002019F4"/>
    <w:rsid w:val="00201B5A"/>
    <w:rsid w:val="00201D98"/>
    <w:rsid w:val="00201DA1"/>
    <w:rsid w:val="00201DC0"/>
    <w:rsid w:val="00201F97"/>
    <w:rsid w:val="002020A0"/>
    <w:rsid w:val="00202134"/>
    <w:rsid w:val="002021CC"/>
    <w:rsid w:val="0020223E"/>
    <w:rsid w:val="002022CF"/>
    <w:rsid w:val="002022F7"/>
    <w:rsid w:val="00202351"/>
    <w:rsid w:val="0020235E"/>
    <w:rsid w:val="002024BD"/>
    <w:rsid w:val="00202508"/>
    <w:rsid w:val="00202574"/>
    <w:rsid w:val="00202578"/>
    <w:rsid w:val="00202609"/>
    <w:rsid w:val="0020260A"/>
    <w:rsid w:val="002026BA"/>
    <w:rsid w:val="00202769"/>
    <w:rsid w:val="00202794"/>
    <w:rsid w:val="00202846"/>
    <w:rsid w:val="00202848"/>
    <w:rsid w:val="00202891"/>
    <w:rsid w:val="00202AC2"/>
    <w:rsid w:val="00202B25"/>
    <w:rsid w:val="00202B9C"/>
    <w:rsid w:val="00202D72"/>
    <w:rsid w:val="00202F64"/>
    <w:rsid w:val="00202FE9"/>
    <w:rsid w:val="00203072"/>
    <w:rsid w:val="002030B1"/>
    <w:rsid w:val="002030D0"/>
    <w:rsid w:val="00203107"/>
    <w:rsid w:val="0020326C"/>
    <w:rsid w:val="002032E1"/>
    <w:rsid w:val="00203359"/>
    <w:rsid w:val="0020337D"/>
    <w:rsid w:val="0020354B"/>
    <w:rsid w:val="002035AD"/>
    <w:rsid w:val="002035CC"/>
    <w:rsid w:val="0020371F"/>
    <w:rsid w:val="00203755"/>
    <w:rsid w:val="0020378A"/>
    <w:rsid w:val="002037FE"/>
    <w:rsid w:val="002038D1"/>
    <w:rsid w:val="00203981"/>
    <w:rsid w:val="00203AD1"/>
    <w:rsid w:val="00203B4F"/>
    <w:rsid w:val="00203BAC"/>
    <w:rsid w:val="00203BFB"/>
    <w:rsid w:val="00203C81"/>
    <w:rsid w:val="00203CC4"/>
    <w:rsid w:val="00203D2A"/>
    <w:rsid w:val="00203D52"/>
    <w:rsid w:val="00203F8E"/>
    <w:rsid w:val="00204100"/>
    <w:rsid w:val="00204148"/>
    <w:rsid w:val="0020414F"/>
    <w:rsid w:val="0020424D"/>
    <w:rsid w:val="002042F6"/>
    <w:rsid w:val="0020459F"/>
    <w:rsid w:val="0020462E"/>
    <w:rsid w:val="00204745"/>
    <w:rsid w:val="002047A1"/>
    <w:rsid w:val="002048FB"/>
    <w:rsid w:val="00204A23"/>
    <w:rsid w:val="00204ADF"/>
    <w:rsid w:val="00204BF8"/>
    <w:rsid w:val="00204D92"/>
    <w:rsid w:val="00204F29"/>
    <w:rsid w:val="0020504C"/>
    <w:rsid w:val="002050D2"/>
    <w:rsid w:val="0020517D"/>
    <w:rsid w:val="002051EF"/>
    <w:rsid w:val="00205232"/>
    <w:rsid w:val="00205309"/>
    <w:rsid w:val="00205379"/>
    <w:rsid w:val="0020542A"/>
    <w:rsid w:val="002056A4"/>
    <w:rsid w:val="00205797"/>
    <w:rsid w:val="002057EA"/>
    <w:rsid w:val="002058B6"/>
    <w:rsid w:val="002058DC"/>
    <w:rsid w:val="00205918"/>
    <w:rsid w:val="00205AC8"/>
    <w:rsid w:val="00205B48"/>
    <w:rsid w:val="00205BD7"/>
    <w:rsid w:val="00205BE7"/>
    <w:rsid w:val="00205C36"/>
    <w:rsid w:val="00205C98"/>
    <w:rsid w:val="00205C9D"/>
    <w:rsid w:val="00205D19"/>
    <w:rsid w:val="00205D8A"/>
    <w:rsid w:val="00205E49"/>
    <w:rsid w:val="00205F7E"/>
    <w:rsid w:val="00206028"/>
    <w:rsid w:val="00206053"/>
    <w:rsid w:val="00206099"/>
    <w:rsid w:val="00206168"/>
    <w:rsid w:val="002061A2"/>
    <w:rsid w:val="0020632E"/>
    <w:rsid w:val="002063E2"/>
    <w:rsid w:val="00206456"/>
    <w:rsid w:val="00206579"/>
    <w:rsid w:val="002065EC"/>
    <w:rsid w:val="00206641"/>
    <w:rsid w:val="00206675"/>
    <w:rsid w:val="002066E2"/>
    <w:rsid w:val="002066E6"/>
    <w:rsid w:val="002067A5"/>
    <w:rsid w:val="002067F4"/>
    <w:rsid w:val="00206878"/>
    <w:rsid w:val="0020688D"/>
    <w:rsid w:val="002068FA"/>
    <w:rsid w:val="00206BC4"/>
    <w:rsid w:val="00206BE5"/>
    <w:rsid w:val="00206D0F"/>
    <w:rsid w:val="00206D29"/>
    <w:rsid w:val="00206D79"/>
    <w:rsid w:val="00206DAC"/>
    <w:rsid w:val="00206E04"/>
    <w:rsid w:val="00206F25"/>
    <w:rsid w:val="00207127"/>
    <w:rsid w:val="00207130"/>
    <w:rsid w:val="00207149"/>
    <w:rsid w:val="0020718F"/>
    <w:rsid w:val="002071C7"/>
    <w:rsid w:val="00207280"/>
    <w:rsid w:val="002072C5"/>
    <w:rsid w:val="00207310"/>
    <w:rsid w:val="002073C9"/>
    <w:rsid w:val="002074CA"/>
    <w:rsid w:val="00207514"/>
    <w:rsid w:val="00207585"/>
    <w:rsid w:val="002075FB"/>
    <w:rsid w:val="00207679"/>
    <w:rsid w:val="00207742"/>
    <w:rsid w:val="0020781F"/>
    <w:rsid w:val="002078B2"/>
    <w:rsid w:val="00207972"/>
    <w:rsid w:val="00207AF1"/>
    <w:rsid w:val="00207B3F"/>
    <w:rsid w:val="00207E07"/>
    <w:rsid w:val="00207E0F"/>
    <w:rsid w:val="00207E3B"/>
    <w:rsid w:val="00207ED4"/>
    <w:rsid w:val="00207ED7"/>
    <w:rsid w:val="002100AE"/>
    <w:rsid w:val="00210107"/>
    <w:rsid w:val="002103DB"/>
    <w:rsid w:val="00210421"/>
    <w:rsid w:val="00210422"/>
    <w:rsid w:val="002104E6"/>
    <w:rsid w:val="002104F4"/>
    <w:rsid w:val="00210528"/>
    <w:rsid w:val="00210585"/>
    <w:rsid w:val="00210601"/>
    <w:rsid w:val="002107AD"/>
    <w:rsid w:val="00210817"/>
    <w:rsid w:val="00210860"/>
    <w:rsid w:val="002109C6"/>
    <w:rsid w:val="00210AA8"/>
    <w:rsid w:val="00210C31"/>
    <w:rsid w:val="00210C36"/>
    <w:rsid w:val="00210C65"/>
    <w:rsid w:val="00210C75"/>
    <w:rsid w:val="00210D4E"/>
    <w:rsid w:val="00210D73"/>
    <w:rsid w:val="00210D87"/>
    <w:rsid w:val="00210D9E"/>
    <w:rsid w:val="00210E0A"/>
    <w:rsid w:val="00210E83"/>
    <w:rsid w:val="00210EAE"/>
    <w:rsid w:val="0021104D"/>
    <w:rsid w:val="00211071"/>
    <w:rsid w:val="002110DB"/>
    <w:rsid w:val="0021123D"/>
    <w:rsid w:val="0021127D"/>
    <w:rsid w:val="00211292"/>
    <w:rsid w:val="00211314"/>
    <w:rsid w:val="002113DF"/>
    <w:rsid w:val="002114D7"/>
    <w:rsid w:val="00211559"/>
    <w:rsid w:val="002115A0"/>
    <w:rsid w:val="00211601"/>
    <w:rsid w:val="00211609"/>
    <w:rsid w:val="002117BA"/>
    <w:rsid w:val="00211BC2"/>
    <w:rsid w:val="00211C7C"/>
    <w:rsid w:val="00211CAA"/>
    <w:rsid w:val="00211D68"/>
    <w:rsid w:val="00211E69"/>
    <w:rsid w:val="00211EA6"/>
    <w:rsid w:val="00211F3F"/>
    <w:rsid w:val="00212193"/>
    <w:rsid w:val="002125C1"/>
    <w:rsid w:val="002125F0"/>
    <w:rsid w:val="002125FC"/>
    <w:rsid w:val="0021279C"/>
    <w:rsid w:val="00212804"/>
    <w:rsid w:val="0021281A"/>
    <w:rsid w:val="002128A1"/>
    <w:rsid w:val="002128CC"/>
    <w:rsid w:val="002129BE"/>
    <w:rsid w:val="00212A02"/>
    <w:rsid w:val="00212A7B"/>
    <w:rsid w:val="00212B1B"/>
    <w:rsid w:val="00212C3B"/>
    <w:rsid w:val="00212D90"/>
    <w:rsid w:val="00212E0D"/>
    <w:rsid w:val="00212F14"/>
    <w:rsid w:val="00212FD7"/>
    <w:rsid w:val="00212FE2"/>
    <w:rsid w:val="00212FFB"/>
    <w:rsid w:val="002130A4"/>
    <w:rsid w:val="002130DD"/>
    <w:rsid w:val="0021319E"/>
    <w:rsid w:val="00213247"/>
    <w:rsid w:val="00213353"/>
    <w:rsid w:val="002133A1"/>
    <w:rsid w:val="002134D5"/>
    <w:rsid w:val="00213508"/>
    <w:rsid w:val="00213542"/>
    <w:rsid w:val="002138CD"/>
    <w:rsid w:val="00213AEC"/>
    <w:rsid w:val="00213B2E"/>
    <w:rsid w:val="00213BA4"/>
    <w:rsid w:val="00213C78"/>
    <w:rsid w:val="00213D1F"/>
    <w:rsid w:val="00213E16"/>
    <w:rsid w:val="00213EAC"/>
    <w:rsid w:val="00213EC0"/>
    <w:rsid w:val="00213EDD"/>
    <w:rsid w:val="00213F33"/>
    <w:rsid w:val="00213F71"/>
    <w:rsid w:val="00213F8A"/>
    <w:rsid w:val="00213FCE"/>
    <w:rsid w:val="00214064"/>
    <w:rsid w:val="00214128"/>
    <w:rsid w:val="002141F7"/>
    <w:rsid w:val="00214227"/>
    <w:rsid w:val="0021422A"/>
    <w:rsid w:val="00214295"/>
    <w:rsid w:val="0021432A"/>
    <w:rsid w:val="00214360"/>
    <w:rsid w:val="002143A5"/>
    <w:rsid w:val="00214405"/>
    <w:rsid w:val="002144BE"/>
    <w:rsid w:val="002144EA"/>
    <w:rsid w:val="002144FA"/>
    <w:rsid w:val="00214532"/>
    <w:rsid w:val="0021460A"/>
    <w:rsid w:val="0021462E"/>
    <w:rsid w:val="00214670"/>
    <w:rsid w:val="0021467B"/>
    <w:rsid w:val="0021468A"/>
    <w:rsid w:val="002148E8"/>
    <w:rsid w:val="00214982"/>
    <w:rsid w:val="00214A43"/>
    <w:rsid w:val="00214A72"/>
    <w:rsid w:val="00214A75"/>
    <w:rsid w:val="00214AD9"/>
    <w:rsid w:val="00214B03"/>
    <w:rsid w:val="00214B16"/>
    <w:rsid w:val="00214B36"/>
    <w:rsid w:val="00214B6D"/>
    <w:rsid w:val="00214B70"/>
    <w:rsid w:val="00214C05"/>
    <w:rsid w:val="00214C60"/>
    <w:rsid w:val="00214C7E"/>
    <w:rsid w:val="00214C89"/>
    <w:rsid w:val="00214E24"/>
    <w:rsid w:val="00214E60"/>
    <w:rsid w:val="00215075"/>
    <w:rsid w:val="0021509B"/>
    <w:rsid w:val="002150E8"/>
    <w:rsid w:val="002150F9"/>
    <w:rsid w:val="00215104"/>
    <w:rsid w:val="00215138"/>
    <w:rsid w:val="00215172"/>
    <w:rsid w:val="0021519D"/>
    <w:rsid w:val="0021532F"/>
    <w:rsid w:val="0021586A"/>
    <w:rsid w:val="002158A4"/>
    <w:rsid w:val="0021592C"/>
    <w:rsid w:val="002159A0"/>
    <w:rsid w:val="00215A7A"/>
    <w:rsid w:val="00215AF5"/>
    <w:rsid w:val="00215BE9"/>
    <w:rsid w:val="00215C71"/>
    <w:rsid w:val="00215E00"/>
    <w:rsid w:val="00215FEE"/>
    <w:rsid w:val="00215FF6"/>
    <w:rsid w:val="002160AD"/>
    <w:rsid w:val="00216121"/>
    <w:rsid w:val="00216145"/>
    <w:rsid w:val="00216346"/>
    <w:rsid w:val="00216364"/>
    <w:rsid w:val="002163F2"/>
    <w:rsid w:val="002164EB"/>
    <w:rsid w:val="00216537"/>
    <w:rsid w:val="0021660D"/>
    <w:rsid w:val="00216760"/>
    <w:rsid w:val="0021677B"/>
    <w:rsid w:val="002167D0"/>
    <w:rsid w:val="00216837"/>
    <w:rsid w:val="002168B1"/>
    <w:rsid w:val="0021695B"/>
    <w:rsid w:val="002169AF"/>
    <w:rsid w:val="00216A65"/>
    <w:rsid w:val="00216DCE"/>
    <w:rsid w:val="00216E1D"/>
    <w:rsid w:val="00216F43"/>
    <w:rsid w:val="002170B5"/>
    <w:rsid w:val="0021711B"/>
    <w:rsid w:val="0021716C"/>
    <w:rsid w:val="00217259"/>
    <w:rsid w:val="002172BF"/>
    <w:rsid w:val="00217350"/>
    <w:rsid w:val="002173DD"/>
    <w:rsid w:val="002173F1"/>
    <w:rsid w:val="0021746A"/>
    <w:rsid w:val="002174E9"/>
    <w:rsid w:val="00217625"/>
    <w:rsid w:val="0021774F"/>
    <w:rsid w:val="002177B2"/>
    <w:rsid w:val="00217A7B"/>
    <w:rsid w:val="00217AC3"/>
    <w:rsid w:val="00217B86"/>
    <w:rsid w:val="00217BE3"/>
    <w:rsid w:val="00217C1F"/>
    <w:rsid w:val="00217C93"/>
    <w:rsid w:val="00217E38"/>
    <w:rsid w:val="00217EE9"/>
    <w:rsid w:val="00217F3C"/>
    <w:rsid w:val="00217FE1"/>
    <w:rsid w:val="00220080"/>
    <w:rsid w:val="002200DE"/>
    <w:rsid w:val="00220173"/>
    <w:rsid w:val="0022025D"/>
    <w:rsid w:val="00220266"/>
    <w:rsid w:val="0022031A"/>
    <w:rsid w:val="0022032A"/>
    <w:rsid w:val="00220543"/>
    <w:rsid w:val="002205A2"/>
    <w:rsid w:val="002206FD"/>
    <w:rsid w:val="0022071C"/>
    <w:rsid w:val="002207FA"/>
    <w:rsid w:val="0022082F"/>
    <w:rsid w:val="00220887"/>
    <w:rsid w:val="0022094E"/>
    <w:rsid w:val="00220A96"/>
    <w:rsid w:val="00220B3D"/>
    <w:rsid w:val="00220D1F"/>
    <w:rsid w:val="00220D6F"/>
    <w:rsid w:val="00220DAE"/>
    <w:rsid w:val="00220DE6"/>
    <w:rsid w:val="00220E9C"/>
    <w:rsid w:val="00220F94"/>
    <w:rsid w:val="00221257"/>
    <w:rsid w:val="00221269"/>
    <w:rsid w:val="0022128B"/>
    <w:rsid w:val="00221359"/>
    <w:rsid w:val="002213A4"/>
    <w:rsid w:val="002214AF"/>
    <w:rsid w:val="002214C4"/>
    <w:rsid w:val="002214FB"/>
    <w:rsid w:val="002215B0"/>
    <w:rsid w:val="002215EC"/>
    <w:rsid w:val="002216E2"/>
    <w:rsid w:val="0022193F"/>
    <w:rsid w:val="002219C5"/>
    <w:rsid w:val="002219D7"/>
    <w:rsid w:val="00221A1B"/>
    <w:rsid w:val="00221A1F"/>
    <w:rsid w:val="00221B2F"/>
    <w:rsid w:val="00221DC1"/>
    <w:rsid w:val="00221DFD"/>
    <w:rsid w:val="00221E32"/>
    <w:rsid w:val="00221E38"/>
    <w:rsid w:val="00221E47"/>
    <w:rsid w:val="00221E9D"/>
    <w:rsid w:val="00221FD6"/>
    <w:rsid w:val="00222074"/>
    <w:rsid w:val="00222133"/>
    <w:rsid w:val="00222177"/>
    <w:rsid w:val="0022221D"/>
    <w:rsid w:val="00222225"/>
    <w:rsid w:val="002223B1"/>
    <w:rsid w:val="002225E2"/>
    <w:rsid w:val="0022261E"/>
    <w:rsid w:val="0022269A"/>
    <w:rsid w:val="002228CA"/>
    <w:rsid w:val="002228F7"/>
    <w:rsid w:val="002229A3"/>
    <w:rsid w:val="00222AE3"/>
    <w:rsid w:val="00222AE5"/>
    <w:rsid w:val="00222AE7"/>
    <w:rsid w:val="00222AE9"/>
    <w:rsid w:val="00222B0A"/>
    <w:rsid w:val="00222B35"/>
    <w:rsid w:val="00222B45"/>
    <w:rsid w:val="00222C07"/>
    <w:rsid w:val="00222CBD"/>
    <w:rsid w:val="00222D6D"/>
    <w:rsid w:val="00222DD8"/>
    <w:rsid w:val="00222E26"/>
    <w:rsid w:val="00222E31"/>
    <w:rsid w:val="00222E83"/>
    <w:rsid w:val="00222ED9"/>
    <w:rsid w:val="00222F19"/>
    <w:rsid w:val="002230AC"/>
    <w:rsid w:val="00223137"/>
    <w:rsid w:val="002231AE"/>
    <w:rsid w:val="002231E2"/>
    <w:rsid w:val="00223251"/>
    <w:rsid w:val="00223346"/>
    <w:rsid w:val="0022335E"/>
    <w:rsid w:val="002233AE"/>
    <w:rsid w:val="0022346C"/>
    <w:rsid w:val="002234C2"/>
    <w:rsid w:val="002234F5"/>
    <w:rsid w:val="0022359B"/>
    <w:rsid w:val="002235B2"/>
    <w:rsid w:val="00223765"/>
    <w:rsid w:val="00223853"/>
    <w:rsid w:val="002238B4"/>
    <w:rsid w:val="002238ED"/>
    <w:rsid w:val="002239B5"/>
    <w:rsid w:val="002239F7"/>
    <w:rsid w:val="00223A63"/>
    <w:rsid w:val="00223C14"/>
    <w:rsid w:val="00223D7F"/>
    <w:rsid w:val="00223D8C"/>
    <w:rsid w:val="00223E79"/>
    <w:rsid w:val="00223EF8"/>
    <w:rsid w:val="00224091"/>
    <w:rsid w:val="002240A1"/>
    <w:rsid w:val="0022419F"/>
    <w:rsid w:val="0022431B"/>
    <w:rsid w:val="00224327"/>
    <w:rsid w:val="0022433E"/>
    <w:rsid w:val="0022442B"/>
    <w:rsid w:val="00224443"/>
    <w:rsid w:val="002245BB"/>
    <w:rsid w:val="00224608"/>
    <w:rsid w:val="00224613"/>
    <w:rsid w:val="00224619"/>
    <w:rsid w:val="002246E4"/>
    <w:rsid w:val="00224703"/>
    <w:rsid w:val="00224731"/>
    <w:rsid w:val="0022494C"/>
    <w:rsid w:val="002249DE"/>
    <w:rsid w:val="002249EA"/>
    <w:rsid w:val="00224A32"/>
    <w:rsid w:val="00224A73"/>
    <w:rsid w:val="00224AB9"/>
    <w:rsid w:val="00224AE8"/>
    <w:rsid w:val="00224BCB"/>
    <w:rsid w:val="00224BD5"/>
    <w:rsid w:val="00224C44"/>
    <w:rsid w:val="00224D04"/>
    <w:rsid w:val="00224E2B"/>
    <w:rsid w:val="00224E2D"/>
    <w:rsid w:val="00224F39"/>
    <w:rsid w:val="002252E1"/>
    <w:rsid w:val="002253CD"/>
    <w:rsid w:val="002253ED"/>
    <w:rsid w:val="0022548D"/>
    <w:rsid w:val="0022551D"/>
    <w:rsid w:val="00225694"/>
    <w:rsid w:val="0022586E"/>
    <w:rsid w:val="002258D6"/>
    <w:rsid w:val="0022593B"/>
    <w:rsid w:val="00225A27"/>
    <w:rsid w:val="00225C12"/>
    <w:rsid w:val="00225C7C"/>
    <w:rsid w:val="00225C87"/>
    <w:rsid w:val="00225C8D"/>
    <w:rsid w:val="00225E7F"/>
    <w:rsid w:val="00226064"/>
    <w:rsid w:val="002263A7"/>
    <w:rsid w:val="0022640D"/>
    <w:rsid w:val="002264BB"/>
    <w:rsid w:val="00226538"/>
    <w:rsid w:val="00226671"/>
    <w:rsid w:val="002267BC"/>
    <w:rsid w:val="0022684B"/>
    <w:rsid w:val="00226868"/>
    <w:rsid w:val="00226877"/>
    <w:rsid w:val="0022696C"/>
    <w:rsid w:val="00226A84"/>
    <w:rsid w:val="00226B98"/>
    <w:rsid w:val="00226D1B"/>
    <w:rsid w:val="00226D3F"/>
    <w:rsid w:val="00226E06"/>
    <w:rsid w:val="00226E6B"/>
    <w:rsid w:val="00226E6F"/>
    <w:rsid w:val="00226ED5"/>
    <w:rsid w:val="00226F64"/>
    <w:rsid w:val="00227035"/>
    <w:rsid w:val="0022704C"/>
    <w:rsid w:val="002270BC"/>
    <w:rsid w:val="00227101"/>
    <w:rsid w:val="00227288"/>
    <w:rsid w:val="00227324"/>
    <w:rsid w:val="002273CF"/>
    <w:rsid w:val="00227419"/>
    <w:rsid w:val="00227491"/>
    <w:rsid w:val="00227545"/>
    <w:rsid w:val="002275C8"/>
    <w:rsid w:val="002275CC"/>
    <w:rsid w:val="002275FC"/>
    <w:rsid w:val="00227615"/>
    <w:rsid w:val="002277E9"/>
    <w:rsid w:val="0022790B"/>
    <w:rsid w:val="00227A0B"/>
    <w:rsid w:val="00227A94"/>
    <w:rsid w:val="00227BA2"/>
    <w:rsid w:val="00227BB2"/>
    <w:rsid w:val="00227C05"/>
    <w:rsid w:val="00227CD5"/>
    <w:rsid w:val="00227E15"/>
    <w:rsid w:val="00227E45"/>
    <w:rsid w:val="00227EE1"/>
    <w:rsid w:val="0023008C"/>
    <w:rsid w:val="0023017A"/>
    <w:rsid w:val="002301C8"/>
    <w:rsid w:val="002301DD"/>
    <w:rsid w:val="00230220"/>
    <w:rsid w:val="00230282"/>
    <w:rsid w:val="0023031A"/>
    <w:rsid w:val="00230493"/>
    <w:rsid w:val="002304E4"/>
    <w:rsid w:val="0023061A"/>
    <w:rsid w:val="00230752"/>
    <w:rsid w:val="0023085D"/>
    <w:rsid w:val="002308B3"/>
    <w:rsid w:val="002308DD"/>
    <w:rsid w:val="00230910"/>
    <w:rsid w:val="002309C9"/>
    <w:rsid w:val="00230A18"/>
    <w:rsid w:val="00230CEF"/>
    <w:rsid w:val="00230D55"/>
    <w:rsid w:val="00230FF7"/>
    <w:rsid w:val="002310FD"/>
    <w:rsid w:val="00231177"/>
    <w:rsid w:val="002311B8"/>
    <w:rsid w:val="002311CB"/>
    <w:rsid w:val="00231214"/>
    <w:rsid w:val="00231223"/>
    <w:rsid w:val="00231399"/>
    <w:rsid w:val="002313F0"/>
    <w:rsid w:val="0023144C"/>
    <w:rsid w:val="00231484"/>
    <w:rsid w:val="002314B2"/>
    <w:rsid w:val="00231539"/>
    <w:rsid w:val="002315B5"/>
    <w:rsid w:val="002315E6"/>
    <w:rsid w:val="0023160B"/>
    <w:rsid w:val="0023171D"/>
    <w:rsid w:val="0023172B"/>
    <w:rsid w:val="0023176C"/>
    <w:rsid w:val="00231824"/>
    <w:rsid w:val="00231842"/>
    <w:rsid w:val="002319F0"/>
    <w:rsid w:val="00231A18"/>
    <w:rsid w:val="00231AAD"/>
    <w:rsid w:val="00231AD5"/>
    <w:rsid w:val="00231AE1"/>
    <w:rsid w:val="00231BCD"/>
    <w:rsid w:val="00231DC3"/>
    <w:rsid w:val="00231E8B"/>
    <w:rsid w:val="00231F26"/>
    <w:rsid w:val="00232064"/>
    <w:rsid w:val="0023216A"/>
    <w:rsid w:val="0023225A"/>
    <w:rsid w:val="00232268"/>
    <w:rsid w:val="002322E3"/>
    <w:rsid w:val="0023231C"/>
    <w:rsid w:val="00232613"/>
    <w:rsid w:val="0023278E"/>
    <w:rsid w:val="002327E8"/>
    <w:rsid w:val="00232896"/>
    <w:rsid w:val="002328D3"/>
    <w:rsid w:val="00232A36"/>
    <w:rsid w:val="00232CBA"/>
    <w:rsid w:val="00232CE6"/>
    <w:rsid w:val="00232EE3"/>
    <w:rsid w:val="00233049"/>
    <w:rsid w:val="002331CC"/>
    <w:rsid w:val="0023321C"/>
    <w:rsid w:val="002332A5"/>
    <w:rsid w:val="002332AB"/>
    <w:rsid w:val="0023332C"/>
    <w:rsid w:val="00233395"/>
    <w:rsid w:val="002333B8"/>
    <w:rsid w:val="002335A4"/>
    <w:rsid w:val="002335E7"/>
    <w:rsid w:val="0023377C"/>
    <w:rsid w:val="0023386D"/>
    <w:rsid w:val="002338D7"/>
    <w:rsid w:val="002338F5"/>
    <w:rsid w:val="0023392F"/>
    <w:rsid w:val="00233B52"/>
    <w:rsid w:val="00233C62"/>
    <w:rsid w:val="00233CCF"/>
    <w:rsid w:val="00233DE4"/>
    <w:rsid w:val="00233E45"/>
    <w:rsid w:val="00233E4D"/>
    <w:rsid w:val="00233EE4"/>
    <w:rsid w:val="00233FCC"/>
    <w:rsid w:val="0023405D"/>
    <w:rsid w:val="00234066"/>
    <w:rsid w:val="0023416C"/>
    <w:rsid w:val="002341C7"/>
    <w:rsid w:val="0023428E"/>
    <w:rsid w:val="00234296"/>
    <w:rsid w:val="002342A8"/>
    <w:rsid w:val="00234425"/>
    <w:rsid w:val="00234592"/>
    <w:rsid w:val="00234684"/>
    <w:rsid w:val="00234722"/>
    <w:rsid w:val="0023489A"/>
    <w:rsid w:val="002348E3"/>
    <w:rsid w:val="002348EB"/>
    <w:rsid w:val="00234996"/>
    <w:rsid w:val="00234B66"/>
    <w:rsid w:val="00234BEA"/>
    <w:rsid w:val="00234CBF"/>
    <w:rsid w:val="00234CCC"/>
    <w:rsid w:val="00234D1D"/>
    <w:rsid w:val="00234D69"/>
    <w:rsid w:val="00234D98"/>
    <w:rsid w:val="00234FB6"/>
    <w:rsid w:val="002351C2"/>
    <w:rsid w:val="00235223"/>
    <w:rsid w:val="00235270"/>
    <w:rsid w:val="002353E9"/>
    <w:rsid w:val="00235481"/>
    <w:rsid w:val="002355E0"/>
    <w:rsid w:val="00235683"/>
    <w:rsid w:val="002356C0"/>
    <w:rsid w:val="00235873"/>
    <w:rsid w:val="00235941"/>
    <w:rsid w:val="00235C0D"/>
    <w:rsid w:val="00235C12"/>
    <w:rsid w:val="00235C64"/>
    <w:rsid w:val="00235CD8"/>
    <w:rsid w:val="00235D8E"/>
    <w:rsid w:val="00235DB6"/>
    <w:rsid w:val="00235DED"/>
    <w:rsid w:val="00235ED3"/>
    <w:rsid w:val="00235F78"/>
    <w:rsid w:val="00235FAD"/>
    <w:rsid w:val="002360D2"/>
    <w:rsid w:val="00236109"/>
    <w:rsid w:val="0023619A"/>
    <w:rsid w:val="0023619E"/>
    <w:rsid w:val="00236221"/>
    <w:rsid w:val="00236228"/>
    <w:rsid w:val="00236264"/>
    <w:rsid w:val="002362EE"/>
    <w:rsid w:val="0023648D"/>
    <w:rsid w:val="002364CC"/>
    <w:rsid w:val="00236604"/>
    <w:rsid w:val="0023668D"/>
    <w:rsid w:val="002367B3"/>
    <w:rsid w:val="002367FB"/>
    <w:rsid w:val="00236961"/>
    <w:rsid w:val="00236A0D"/>
    <w:rsid w:val="00236AB5"/>
    <w:rsid w:val="00236B47"/>
    <w:rsid w:val="00236C5D"/>
    <w:rsid w:val="00236C79"/>
    <w:rsid w:val="00236D5A"/>
    <w:rsid w:val="00236DEA"/>
    <w:rsid w:val="0023708D"/>
    <w:rsid w:val="002370A9"/>
    <w:rsid w:val="0023725D"/>
    <w:rsid w:val="00237320"/>
    <w:rsid w:val="00237341"/>
    <w:rsid w:val="0023736C"/>
    <w:rsid w:val="002373D0"/>
    <w:rsid w:val="00237593"/>
    <w:rsid w:val="0023769A"/>
    <w:rsid w:val="0023771D"/>
    <w:rsid w:val="00237741"/>
    <w:rsid w:val="0023784A"/>
    <w:rsid w:val="00237A8F"/>
    <w:rsid w:val="00237C38"/>
    <w:rsid w:val="00237E31"/>
    <w:rsid w:val="00237F13"/>
    <w:rsid w:val="00240037"/>
    <w:rsid w:val="00240194"/>
    <w:rsid w:val="002401BC"/>
    <w:rsid w:val="00240207"/>
    <w:rsid w:val="00240295"/>
    <w:rsid w:val="002402DA"/>
    <w:rsid w:val="00240331"/>
    <w:rsid w:val="002403AB"/>
    <w:rsid w:val="002404AA"/>
    <w:rsid w:val="002404E0"/>
    <w:rsid w:val="00240520"/>
    <w:rsid w:val="00240572"/>
    <w:rsid w:val="002406B6"/>
    <w:rsid w:val="002406FF"/>
    <w:rsid w:val="002409AB"/>
    <w:rsid w:val="00240A52"/>
    <w:rsid w:val="00240A7D"/>
    <w:rsid w:val="00240A9F"/>
    <w:rsid w:val="00240B3E"/>
    <w:rsid w:val="00240BB6"/>
    <w:rsid w:val="00240C0C"/>
    <w:rsid w:val="00240CF4"/>
    <w:rsid w:val="00240D2F"/>
    <w:rsid w:val="00240D8A"/>
    <w:rsid w:val="00240DCA"/>
    <w:rsid w:val="00240E0A"/>
    <w:rsid w:val="00241022"/>
    <w:rsid w:val="00241062"/>
    <w:rsid w:val="002410BD"/>
    <w:rsid w:val="00241154"/>
    <w:rsid w:val="002411C0"/>
    <w:rsid w:val="002413A7"/>
    <w:rsid w:val="00241442"/>
    <w:rsid w:val="00241481"/>
    <w:rsid w:val="0024155A"/>
    <w:rsid w:val="00241572"/>
    <w:rsid w:val="0024174C"/>
    <w:rsid w:val="002418DD"/>
    <w:rsid w:val="002418F8"/>
    <w:rsid w:val="00241AB9"/>
    <w:rsid w:val="00241B8E"/>
    <w:rsid w:val="00241C35"/>
    <w:rsid w:val="00241C70"/>
    <w:rsid w:val="00241C77"/>
    <w:rsid w:val="00241D8D"/>
    <w:rsid w:val="00241DEA"/>
    <w:rsid w:val="00241EBB"/>
    <w:rsid w:val="00241F3A"/>
    <w:rsid w:val="00241F44"/>
    <w:rsid w:val="00241FE8"/>
    <w:rsid w:val="002420A8"/>
    <w:rsid w:val="002421AD"/>
    <w:rsid w:val="002421E4"/>
    <w:rsid w:val="00242359"/>
    <w:rsid w:val="002423B7"/>
    <w:rsid w:val="00242553"/>
    <w:rsid w:val="00242564"/>
    <w:rsid w:val="00242609"/>
    <w:rsid w:val="002426EB"/>
    <w:rsid w:val="0024281F"/>
    <w:rsid w:val="00242915"/>
    <w:rsid w:val="002429AA"/>
    <w:rsid w:val="002429F0"/>
    <w:rsid w:val="00242A0C"/>
    <w:rsid w:val="00242B3C"/>
    <w:rsid w:val="00242B97"/>
    <w:rsid w:val="00242C28"/>
    <w:rsid w:val="00242C49"/>
    <w:rsid w:val="00242C60"/>
    <w:rsid w:val="00242CB2"/>
    <w:rsid w:val="00242D0F"/>
    <w:rsid w:val="00242DDC"/>
    <w:rsid w:val="00242F40"/>
    <w:rsid w:val="00242F8E"/>
    <w:rsid w:val="00243061"/>
    <w:rsid w:val="002430F1"/>
    <w:rsid w:val="00243149"/>
    <w:rsid w:val="002431F7"/>
    <w:rsid w:val="00243337"/>
    <w:rsid w:val="0024334C"/>
    <w:rsid w:val="00243494"/>
    <w:rsid w:val="002434E8"/>
    <w:rsid w:val="00243550"/>
    <w:rsid w:val="002435C4"/>
    <w:rsid w:val="00243602"/>
    <w:rsid w:val="002437DC"/>
    <w:rsid w:val="00243820"/>
    <w:rsid w:val="0024382E"/>
    <w:rsid w:val="002438A3"/>
    <w:rsid w:val="002439FB"/>
    <w:rsid w:val="00243B16"/>
    <w:rsid w:val="00243CD9"/>
    <w:rsid w:val="00243EFE"/>
    <w:rsid w:val="00243FCC"/>
    <w:rsid w:val="00244006"/>
    <w:rsid w:val="0024404B"/>
    <w:rsid w:val="0024415F"/>
    <w:rsid w:val="002441B2"/>
    <w:rsid w:val="00244485"/>
    <w:rsid w:val="00244591"/>
    <w:rsid w:val="00244595"/>
    <w:rsid w:val="00244614"/>
    <w:rsid w:val="00244647"/>
    <w:rsid w:val="00244896"/>
    <w:rsid w:val="002449F9"/>
    <w:rsid w:val="00244B1E"/>
    <w:rsid w:val="00244BB9"/>
    <w:rsid w:val="00244BF0"/>
    <w:rsid w:val="00244CE1"/>
    <w:rsid w:val="00244DC0"/>
    <w:rsid w:val="00244DF1"/>
    <w:rsid w:val="00244E06"/>
    <w:rsid w:val="00244E92"/>
    <w:rsid w:val="00244F63"/>
    <w:rsid w:val="00244F6E"/>
    <w:rsid w:val="00245035"/>
    <w:rsid w:val="002450F7"/>
    <w:rsid w:val="0024514A"/>
    <w:rsid w:val="00245193"/>
    <w:rsid w:val="00245293"/>
    <w:rsid w:val="0024529A"/>
    <w:rsid w:val="0024531F"/>
    <w:rsid w:val="00245492"/>
    <w:rsid w:val="0024554C"/>
    <w:rsid w:val="00245629"/>
    <w:rsid w:val="00245646"/>
    <w:rsid w:val="00245693"/>
    <w:rsid w:val="002456FB"/>
    <w:rsid w:val="002457CA"/>
    <w:rsid w:val="002458C9"/>
    <w:rsid w:val="00245911"/>
    <w:rsid w:val="002459E3"/>
    <w:rsid w:val="00245B10"/>
    <w:rsid w:val="00245B7E"/>
    <w:rsid w:val="00245C68"/>
    <w:rsid w:val="00245C7A"/>
    <w:rsid w:val="00245E78"/>
    <w:rsid w:val="00245ED9"/>
    <w:rsid w:val="00245F4B"/>
    <w:rsid w:val="00245F8D"/>
    <w:rsid w:val="00245FBC"/>
    <w:rsid w:val="002461A0"/>
    <w:rsid w:val="00246259"/>
    <w:rsid w:val="002462B0"/>
    <w:rsid w:val="0024634E"/>
    <w:rsid w:val="002463A0"/>
    <w:rsid w:val="002463A4"/>
    <w:rsid w:val="002463E1"/>
    <w:rsid w:val="002464FF"/>
    <w:rsid w:val="00246513"/>
    <w:rsid w:val="00246772"/>
    <w:rsid w:val="0024686F"/>
    <w:rsid w:val="0024687E"/>
    <w:rsid w:val="002468FD"/>
    <w:rsid w:val="0024698C"/>
    <w:rsid w:val="002469EA"/>
    <w:rsid w:val="00246A39"/>
    <w:rsid w:val="00246A64"/>
    <w:rsid w:val="00246B0A"/>
    <w:rsid w:val="00246C39"/>
    <w:rsid w:val="00246C72"/>
    <w:rsid w:val="00246C89"/>
    <w:rsid w:val="00246EC6"/>
    <w:rsid w:val="00246EC9"/>
    <w:rsid w:val="00246EDB"/>
    <w:rsid w:val="00246F10"/>
    <w:rsid w:val="00246F66"/>
    <w:rsid w:val="00247016"/>
    <w:rsid w:val="00247163"/>
    <w:rsid w:val="00247208"/>
    <w:rsid w:val="00247212"/>
    <w:rsid w:val="002472EB"/>
    <w:rsid w:val="002473F5"/>
    <w:rsid w:val="002474D1"/>
    <w:rsid w:val="00247598"/>
    <w:rsid w:val="002475FC"/>
    <w:rsid w:val="002477EF"/>
    <w:rsid w:val="0024787E"/>
    <w:rsid w:val="002478EB"/>
    <w:rsid w:val="002479C8"/>
    <w:rsid w:val="00247A21"/>
    <w:rsid w:val="00247C9B"/>
    <w:rsid w:val="00247D0B"/>
    <w:rsid w:val="00247DE6"/>
    <w:rsid w:val="00247DF9"/>
    <w:rsid w:val="00250030"/>
    <w:rsid w:val="0025029D"/>
    <w:rsid w:val="002502E9"/>
    <w:rsid w:val="00250516"/>
    <w:rsid w:val="00250572"/>
    <w:rsid w:val="00250575"/>
    <w:rsid w:val="002505B1"/>
    <w:rsid w:val="002505CA"/>
    <w:rsid w:val="002505CC"/>
    <w:rsid w:val="00250646"/>
    <w:rsid w:val="002506FD"/>
    <w:rsid w:val="0025071A"/>
    <w:rsid w:val="00250737"/>
    <w:rsid w:val="002507A6"/>
    <w:rsid w:val="0025080A"/>
    <w:rsid w:val="0025098C"/>
    <w:rsid w:val="002509CE"/>
    <w:rsid w:val="00250AEB"/>
    <w:rsid w:val="00250CE9"/>
    <w:rsid w:val="00250CF3"/>
    <w:rsid w:val="00250E37"/>
    <w:rsid w:val="00250E48"/>
    <w:rsid w:val="00250EBC"/>
    <w:rsid w:val="00250FE7"/>
    <w:rsid w:val="00251003"/>
    <w:rsid w:val="0025105E"/>
    <w:rsid w:val="00251117"/>
    <w:rsid w:val="002511C8"/>
    <w:rsid w:val="00251236"/>
    <w:rsid w:val="0025132C"/>
    <w:rsid w:val="002513AA"/>
    <w:rsid w:val="002513EA"/>
    <w:rsid w:val="002513EC"/>
    <w:rsid w:val="002513F3"/>
    <w:rsid w:val="002514A2"/>
    <w:rsid w:val="0025157C"/>
    <w:rsid w:val="002515FB"/>
    <w:rsid w:val="0025165A"/>
    <w:rsid w:val="0025169C"/>
    <w:rsid w:val="002516C1"/>
    <w:rsid w:val="002516D0"/>
    <w:rsid w:val="002518D8"/>
    <w:rsid w:val="00251A41"/>
    <w:rsid w:val="00251C1E"/>
    <w:rsid w:val="00251C68"/>
    <w:rsid w:val="00251C81"/>
    <w:rsid w:val="00251D83"/>
    <w:rsid w:val="00251E54"/>
    <w:rsid w:val="00251F0D"/>
    <w:rsid w:val="00252034"/>
    <w:rsid w:val="0025211D"/>
    <w:rsid w:val="00252163"/>
    <w:rsid w:val="00252197"/>
    <w:rsid w:val="00252212"/>
    <w:rsid w:val="002522FB"/>
    <w:rsid w:val="002524F7"/>
    <w:rsid w:val="0025251B"/>
    <w:rsid w:val="002525C8"/>
    <w:rsid w:val="002526AB"/>
    <w:rsid w:val="002526EB"/>
    <w:rsid w:val="002527B0"/>
    <w:rsid w:val="002527C3"/>
    <w:rsid w:val="002527C7"/>
    <w:rsid w:val="002527DE"/>
    <w:rsid w:val="0025289D"/>
    <w:rsid w:val="002528B5"/>
    <w:rsid w:val="002528D8"/>
    <w:rsid w:val="002529F2"/>
    <w:rsid w:val="00252ACC"/>
    <w:rsid w:val="00252ACE"/>
    <w:rsid w:val="00252AF8"/>
    <w:rsid w:val="00252C24"/>
    <w:rsid w:val="00252C48"/>
    <w:rsid w:val="00252D2C"/>
    <w:rsid w:val="00253004"/>
    <w:rsid w:val="0025302C"/>
    <w:rsid w:val="0025303C"/>
    <w:rsid w:val="00253066"/>
    <w:rsid w:val="00253125"/>
    <w:rsid w:val="0025312E"/>
    <w:rsid w:val="002531EA"/>
    <w:rsid w:val="00253218"/>
    <w:rsid w:val="0025330C"/>
    <w:rsid w:val="0025331E"/>
    <w:rsid w:val="002533D9"/>
    <w:rsid w:val="002533E0"/>
    <w:rsid w:val="00253446"/>
    <w:rsid w:val="00253463"/>
    <w:rsid w:val="0025349F"/>
    <w:rsid w:val="002534FD"/>
    <w:rsid w:val="00253565"/>
    <w:rsid w:val="002535AA"/>
    <w:rsid w:val="0025361D"/>
    <w:rsid w:val="00253635"/>
    <w:rsid w:val="00253715"/>
    <w:rsid w:val="00253734"/>
    <w:rsid w:val="0025375E"/>
    <w:rsid w:val="002537BF"/>
    <w:rsid w:val="00253941"/>
    <w:rsid w:val="0025396E"/>
    <w:rsid w:val="002539EB"/>
    <w:rsid w:val="00253A63"/>
    <w:rsid w:val="00253A85"/>
    <w:rsid w:val="00253A86"/>
    <w:rsid w:val="00253C6C"/>
    <w:rsid w:val="00253D4A"/>
    <w:rsid w:val="00253D54"/>
    <w:rsid w:val="00253D73"/>
    <w:rsid w:val="00253D74"/>
    <w:rsid w:val="00253E67"/>
    <w:rsid w:val="00253E95"/>
    <w:rsid w:val="00254280"/>
    <w:rsid w:val="00254349"/>
    <w:rsid w:val="0025443E"/>
    <w:rsid w:val="0025448D"/>
    <w:rsid w:val="002544BF"/>
    <w:rsid w:val="002544E6"/>
    <w:rsid w:val="0025457A"/>
    <w:rsid w:val="00254667"/>
    <w:rsid w:val="0025468F"/>
    <w:rsid w:val="002547AD"/>
    <w:rsid w:val="002547B0"/>
    <w:rsid w:val="0025482E"/>
    <w:rsid w:val="002549FA"/>
    <w:rsid w:val="00254B12"/>
    <w:rsid w:val="00254BE1"/>
    <w:rsid w:val="00254C3C"/>
    <w:rsid w:val="00254C5F"/>
    <w:rsid w:val="00254C9F"/>
    <w:rsid w:val="00254CC8"/>
    <w:rsid w:val="00254CE1"/>
    <w:rsid w:val="00254D6E"/>
    <w:rsid w:val="00254DA3"/>
    <w:rsid w:val="00254E5E"/>
    <w:rsid w:val="00254F09"/>
    <w:rsid w:val="00254F25"/>
    <w:rsid w:val="00255030"/>
    <w:rsid w:val="002550B8"/>
    <w:rsid w:val="0025518D"/>
    <w:rsid w:val="002551AC"/>
    <w:rsid w:val="002552B6"/>
    <w:rsid w:val="0025538B"/>
    <w:rsid w:val="00255465"/>
    <w:rsid w:val="00255479"/>
    <w:rsid w:val="00255587"/>
    <w:rsid w:val="00255618"/>
    <w:rsid w:val="00255640"/>
    <w:rsid w:val="002556A4"/>
    <w:rsid w:val="00255742"/>
    <w:rsid w:val="002557C4"/>
    <w:rsid w:val="00255865"/>
    <w:rsid w:val="00255877"/>
    <w:rsid w:val="002558CF"/>
    <w:rsid w:val="00255CE5"/>
    <w:rsid w:val="00255DBE"/>
    <w:rsid w:val="00255DE6"/>
    <w:rsid w:val="00256067"/>
    <w:rsid w:val="0025609F"/>
    <w:rsid w:val="00256138"/>
    <w:rsid w:val="0025618B"/>
    <w:rsid w:val="0025620F"/>
    <w:rsid w:val="00256482"/>
    <w:rsid w:val="00256547"/>
    <w:rsid w:val="0025664F"/>
    <w:rsid w:val="002566A7"/>
    <w:rsid w:val="002566D7"/>
    <w:rsid w:val="00256755"/>
    <w:rsid w:val="0025688A"/>
    <w:rsid w:val="00256946"/>
    <w:rsid w:val="00256952"/>
    <w:rsid w:val="00256ABB"/>
    <w:rsid w:val="00256C76"/>
    <w:rsid w:val="00256CCA"/>
    <w:rsid w:val="00256CF8"/>
    <w:rsid w:val="00256D6C"/>
    <w:rsid w:val="00256DCC"/>
    <w:rsid w:val="00256DEC"/>
    <w:rsid w:val="00256E8D"/>
    <w:rsid w:val="00256EF8"/>
    <w:rsid w:val="00257066"/>
    <w:rsid w:val="0025716F"/>
    <w:rsid w:val="0025724D"/>
    <w:rsid w:val="00257271"/>
    <w:rsid w:val="00257275"/>
    <w:rsid w:val="00257315"/>
    <w:rsid w:val="00257352"/>
    <w:rsid w:val="00257361"/>
    <w:rsid w:val="00257414"/>
    <w:rsid w:val="002574EA"/>
    <w:rsid w:val="0025757A"/>
    <w:rsid w:val="0025758A"/>
    <w:rsid w:val="0025766D"/>
    <w:rsid w:val="00257810"/>
    <w:rsid w:val="0025783A"/>
    <w:rsid w:val="00257922"/>
    <w:rsid w:val="002579A4"/>
    <w:rsid w:val="002579AE"/>
    <w:rsid w:val="00257A2B"/>
    <w:rsid w:val="00257A58"/>
    <w:rsid w:val="00257A8D"/>
    <w:rsid w:val="00257AC6"/>
    <w:rsid w:val="00257B6E"/>
    <w:rsid w:val="00257B81"/>
    <w:rsid w:val="00257BAE"/>
    <w:rsid w:val="00257C9A"/>
    <w:rsid w:val="00257D7C"/>
    <w:rsid w:val="00257DC5"/>
    <w:rsid w:val="00257DDA"/>
    <w:rsid w:val="00257E28"/>
    <w:rsid w:val="00257E2A"/>
    <w:rsid w:val="00257FC5"/>
    <w:rsid w:val="00257FC7"/>
    <w:rsid w:val="002600CC"/>
    <w:rsid w:val="0026012C"/>
    <w:rsid w:val="0026019B"/>
    <w:rsid w:val="00260343"/>
    <w:rsid w:val="002603C4"/>
    <w:rsid w:val="002603D8"/>
    <w:rsid w:val="0026043F"/>
    <w:rsid w:val="0026048D"/>
    <w:rsid w:val="002604C8"/>
    <w:rsid w:val="002605AF"/>
    <w:rsid w:val="00260747"/>
    <w:rsid w:val="002607DD"/>
    <w:rsid w:val="00260825"/>
    <w:rsid w:val="0026082E"/>
    <w:rsid w:val="00260840"/>
    <w:rsid w:val="00260844"/>
    <w:rsid w:val="002608A1"/>
    <w:rsid w:val="002609AB"/>
    <w:rsid w:val="00260A8F"/>
    <w:rsid w:val="00260B76"/>
    <w:rsid w:val="00260B99"/>
    <w:rsid w:val="00260C91"/>
    <w:rsid w:val="00260CEC"/>
    <w:rsid w:val="00260E02"/>
    <w:rsid w:val="00260EB8"/>
    <w:rsid w:val="0026101E"/>
    <w:rsid w:val="00261131"/>
    <w:rsid w:val="0026127D"/>
    <w:rsid w:val="002613E1"/>
    <w:rsid w:val="00261484"/>
    <w:rsid w:val="002614F1"/>
    <w:rsid w:val="0026156B"/>
    <w:rsid w:val="002615EF"/>
    <w:rsid w:val="00261605"/>
    <w:rsid w:val="002616BC"/>
    <w:rsid w:val="002616F2"/>
    <w:rsid w:val="002617AA"/>
    <w:rsid w:val="0026189C"/>
    <w:rsid w:val="002618D0"/>
    <w:rsid w:val="0026194F"/>
    <w:rsid w:val="00261BA4"/>
    <w:rsid w:val="00261CB4"/>
    <w:rsid w:val="00261DB7"/>
    <w:rsid w:val="00261DFF"/>
    <w:rsid w:val="00261EE6"/>
    <w:rsid w:val="00261F90"/>
    <w:rsid w:val="0026200E"/>
    <w:rsid w:val="00262037"/>
    <w:rsid w:val="00262191"/>
    <w:rsid w:val="002621E5"/>
    <w:rsid w:val="002622E7"/>
    <w:rsid w:val="00262483"/>
    <w:rsid w:val="00262582"/>
    <w:rsid w:val="002627D3"/>
    <w:rsid w:val="0026282F"/>
    <w:rsid w:val="00262863"/>
    <w:rsid w:val="002628AA"/>
    <w:rsid w:val="0026292F"/>
    <w:rsid w:val="00262A87"/>
    <w:rsid w:val="00262AC3"/>
    <w:rsid w:val="00262B67"/>
    <w:rsid w:val="00262C6A"/>
    <w:rsid w:val="00262D3F"/>
    <w:rsid w:val="00262D80"/>
    <w:rsid w:val="00262EC5"/>
    <w:rsid w:val="00262F6E"/>
    <w:rsid w:val="0026308F"/>
    <w:rsid w:val="002630A2"/>
    <w:rsid w:val="00263181"/>
    <w:rsid w:val="002631A8"/>
    <w:rsid w:val="00263369"/>
    <w:rsid w:val="002633F1"/>
    <w:rsid w:val="002633FA"/>
    <w:rsid w:val="00263428"/>
    <w:rsid w:val="00263443"/>
    <w:rsid w:val="002634A6"/>
    <w:rsid w:val="00263505"/>
    <w:rsid w:val="0026352B"/>
    <w:rsid w:val="002638DD"/>
    <w:rsid w:val="00263A67"/>
    <w:rsid w:val="00263A71"/>
    <w:rsid w:val="00263AD1"/>
    <w:rsid w:val="00263AE5"/>
    <w:rsid w:val="00263B6D"/>
    <w:rsid w:val="00263BA8"/>
    <w:rsid w:val="00263BBC"/>
    <w:rsid w:val="00263C1A"/>
    <w:rsid w:val="00263E51"/>
    <w:rsid w:val="00263E69"/>
    <w:rsid w:val="00263EC4"/>
    <w:rsid w:val="00263F56"/>
    <w:rsid w:val="00263F6A"/>
    <w:rsid w:val="00264138"/>
    <w:rsid w:val="002641AB"/>
    <w:rsid w:val="0026425F"/>
    <w:rsid w:val="002643D8"/>
    <w:rsid w:val="0026445F"/>
    <w:rsid w:val="002644D0"/>
    <w:rsid w:val="0026451A"/>
    <w:rsid w:val="00264572"/>
    <w:rsid w:val="00264599"/>
    <w:rsid w:val="00264654"/>
    <w:rsid w:val="00264770"/>
    <w:rsid w:val="00264846"/>
    <w:rsid w:val="00264973"/>
    <w:rsid w:val="00264A9E"/>
    <w:rsid w:val="00264B33"/>
    <w:rsid w:val="00264BE0"/>
    <w:rsid w:val="00264CD5"/>
    <w:rsid w:val="00264D74"/>
    <w:rsid w:val="00264E90"/>
    <w:rsid w:val="00265276"/>
    <w:rsid w:val="002652BE"/>
    <w:rsid w:val="002655A2"/>
    <w:rsid w:val="00265615"/>
    <w:rsid w:val="00265694"/>
    <w:rsid w:val="002656A4"/>
    <w:rsid w:val="00265700"/>
    <w:rsid w:val="002658DC"/>
    <w:rsid w:val="00265966"/>
    <w:rsid w:val="00265994"/>
    <w:rsid w:val="002659EC"/>
    <w:rsid w:val="00265A6E"/>
    <w:rsid w:val="00265AC9"/>
    <w:rsid w:val="00265B37"/>
    <w:rsid w:val="00265B5E"/>
    <w:rsid w:val="00265B60"/>
    <w:rsid w:val="00265BBA"/>
    <w:rsid w:val="00265C02"/>
    <w:rsid w:val="00265CF8"/>
    <w:rsid w:val="00265D9E"/>
    <w:rsid w:val="00265E8C"/>
    <w:rsid w:val="00265FC1"/>
    <w:rsid w:val="00266158"/>
    <w:rsid w:val="002662D5"/>
    <w:rsid w:val="0026631E"/>
    <w:rsid w:val="0026651D"/>
    <w:rsid w:val="00266529"/>
    <w:rsid w:val="00266617"/>
    <w:rsid w:val="00266668"/>
    <w:rsid w:val="00266675"/>
    <w:rsid w:val="002666BC"/>
    <w:rsid w:val="002666F7"/>
    <w:rsid w:val="002667B9"/>
    <w:rsid w:val="002667C3"/>
    <w:rsid w:val="0026680F"/>
    <w:rsid w:val="00266B3D"/>
    <w:rsid w:val="00266B67"/>
    <w:rsid w:val="00266C8A"/>
    <w:rsid w:val="00266CFC"/>
    <w:rsid w:val="00266D6C"/>
    <w:rsid w:val="00266DD6"/>
    <w:rsid w:val="00266DE8"/>
    <w:rsid w:val="00266E16"/>
    <w:rsid w:val="00266E65"/>
    <w:rsid w:val="00266E95"/>
    <w:rsid w:val="00266FFD"/>
    <w:rsid w:val="00267060"/>
    <w:rsid w:val="0026716A"/>
    <w:rsid w:val="002671AD"/>
    <w:rsid w:val="002672CB"/>
    <w:rsid w:val="002672FB"/>
    <w:rsid w:val="0026734D"/>
    <w:rsid w:val="00267446"/>
    <w:rsid w:val="0026764B"/>
    <w:rsid w:val="00267977"/>
    <w:rsid w:val="00267B20"/>
    <w:rsid w:val="00267B79"/>
    <w:rsid w:val="00267D18"/>
    <w:rsid w:val="00267E07"/>
    <w:rsid w:val="0027000C"/>
    <w:rsid w:val="00270014"/>
    <w:rsid w:val="0027013F"/>
    <w:rsid w:val="00270169"/>
    <w:rsid w:val="00270364"/>
    <w:rsid w:val="00270376"/>
    <w:rsid w:val="0027050D"/>
    <w:rsid w:val="0027056A"/>
    <w:rsid w:val="0027060D"/>
    <w:rsid w:val="0027074E"/>
    <w:rsid w:val="00270846"/>
    <w:rsid w:val="00270867"/>
    <w:rsid w:val="00270884"/>
    <w:rsid w:val="0027091F"/>
    <w:rsid w:val="002709F1"/>
    <w:rsid w:val="00270A27"/>
    <w:rsid w:val="00270A2D"/>
    <w:rsid w:val="00270C13"/>
    <w:rsid w:val="00270CAA"/>
    <w:rsid w:val="00270EA5"/>
    <w:rsid w:val="0027102B"/>
    <w:rsid w:val="0027122B"/>
    <w:rsid w:val="00271269"/>
    <w:rsid w:val="002712F5"/>
    <w:rsid w:val="0027133A"/>
    <w:rsid w:val="00271397"/>
    <w:rsid w:val="002713CD"/>
    <w:rsid w:val="002713D3"/>
    <w:rsid w:val="002714FD"/>
    <w:rsid w:val="00271763"/>
    <w:rsid w:val="002717D5"/>
    <w:rsid w:val="0027180E"/>
    <w:rsid w:val="00271874"/>
    <w:rsid w:val="00271A1B"/>
    <w:rsid w:val="00271BF4"/>
    <w:rsid w:val="00271D73"/>
    <w:rsid w:val="00271DBA"/>
    <w:rsid w:val="00271DF0"/>
    <w:rsid w:val="00271F09"/>
    <w:rsid w:val="00271F90"/>
    <w:rsid w:val="00271FAC"/>
    <w:rsid w:val="00271FE3"/>
    <w:rsid w:val="00271FE4"/>
    <w:rsid w:val="00271FEA"/>
    <w:rsid w:val="00272072"/>
    <w:rsid w:val="00272076"/>
    <w:rsid w:val="002721E6"/>
    <w:rsid w:val="002724AA"/>
    <w:rsid w:val="002724CE"/>
    <w:rsid w:val="00272534"/>
    <w:rsid w:val="002726AA"/>
    <w:rsid w:val="00272792"/>
    <w:rsid w:val="00272795"/>
    <w:rsid w:val="0027292A"/>
    <w:rsid w:val="002729A2"/>
    <w:rsid w:val="00272A13"/>
    <w:rsid w:val="00272A84"/>
    <w:rsid w:val="00272AA7"/>
    <w:rsid w:val="00272BFF"/>
    <w:rsid w:val="00272D08"/>
    <w:rsid w:val="00272D3A"/>
    <w:rsid w:val="00272D53"/>
    <w:rsid w:val="00272D7D"/>
    <w:rsid w:val="00272DAB"/>
    <w:rsid w:val="00272DBF"/>
    <w:rsid w:val="00272F0E"/>
    <w:rsid w:val="0027303A"/>
    <w:rsid w:val="002730C7"/>
    <w:rsid w:val="0027313D"/>
    <w:rsid w:val="0027315D"/>
    <w:rsid w:val="00273219"/>
    <w:rsid w:val="00273301"/>
    <w:rsid w:val="002734A8"/>
    <w:rsid w:val="002735D1"/>
    <w:rsid w:val="00273766"/>
    <w:rsid w:val="00273822"/>
    <w:rsid w:val="002738F1"/>
    <w:rsid w:val="00273A55"/>
    <w:rsid w:val="00273ABE"/>
    <w:rsid w:val="00273BF9"/>
    <w:rsid w:val="00273C0A"/>
    <w:rsid w:val="00273D8C"/>
    <w:rsid w:val="00273DBE"/>
    <w:rsid w:val="00273E1C"/>
    <w:rsid w:val="00273FBD"/>
    <w:rsid w:val="00274207"/>
    <w:rsid w:val="00274255"/>
    <w:rsid w:val="0027425E"/>
    <w:rsid w:val="00274289"/>
    <w:rsid w:val="0027451F"/>
    <w:rsid w:val="00274609"/>
    <w:rsid w:val="002746EE"/>
    <w:rsid w:val="00274882"/>
    <w:rsid w:val="00274897"/>
    <w:rsid w:val="00274952"/>
    <w:rsid w:val="00274A30"/>
    <w:rsid w:val="00274CC0"/>
    <w:rsid w:val="00274CC4"/>
    <w:rsid w:val="00274D53"/>
    <w:rsid w:val="00274E16"/>
    <w:rsid w:val="00274E6F"/>
    <w:rsid w:val="00274F62"/>
    <w:rsid w:val="00275091"/>
    <w:rsid w:val="002750E7"/>
    <w:rsid w:val="0027524C"/>
    <w:rsid w:val="002752A8"/>
    <w:rsid w:val="00275312"/>
    <w:rsid w:val="002753A2"/>
    <w:rsid w:val="00275497"/>
    <w:rsid w:val="002754FA"/>
    <w:rsid w:val="0027562A"/>
    <w:rsid w:val="00275647"/>
    <w:rsid w:val="002756DC"/>
    <w:rsid w:val="00275795"/>
    <w:rsid w:val="002757F2"/>
    <w:rsid w:val="00275848"/>
    <w:rsid w:val="0027597F"/>
    <w:rsid w:val="002759EA"/>
    <w:rsid w:val="00275AA1"/>
    <w:rsid w:val="00275AF8"/>
    <w:rsid w:val="00275B89"/>
    <w:rsid w:val="00275BA6"/>
    <w:rsid w:val="00275C17"/>
    <w:rsid w:val="00275CAE"/>
    <w:rsid w:val="00275DB8"/>
    <w:rsid w:val="00275EE2"/>
    <w:rsid w:val="00275F12"/>
    <w:rsid w:val="00275FCF"/>
    <w:rsid w:val="0027600E"/>
    <w:rsid w:val="00276031"/>
    <w:rsid w:val="00276124"/>
    <w:rsid w:val="002761EE"/>
    <w:rsid w:val="002762DB"/>
    <w:rsid w:val="00276369"/>
    <w:rsid w:val="00276377"/>
    <w:rsid w:val="002763CB"/>
    <w:rsid w:val="0027646F"/>
    <w:rsid w:val="00276558"/>
    <w:rsid w:val="002767BB"/>
    <w:rsid w:val="002767BC"/>
    <w:rsid w:val="002767D1"/>
    <w:rsid w:val="002768B5"/>
    <w:rsid w:val="002768E5"/>
    <w:rsid w:val="0027696A"/>
    <w:rsid w:val="0027698C"/>
    <w:rsid w:val="002769F0"/>
    <w:rsid w:val="00276CC3"/>
    <w:rsid w:val="00276CDF"/>
    <w:rsid w:val="00276D1A"/>
    <w:rsid w:val="00276DA5"/>
    <w:rsid w:val="00276DD2"/>
    <w:rsid w:val="00276E37"/>
    <w:rsid w:val="00276E8E"/>
    <w:rsid w:val="00276FC9"/>
    <w:rsid w:val="00277045"/>
    <w:rsid w:val="0027704A"/>
    <w:rsid w:val="002770B6"/>
    <w:rsid w:val="0027720C"/>
    <w:rsid w:val="00277220"/>
    <w:rsid w:val="00277399"/>
    <w:rsid w:val="0027746E"/>
    <w:rsid w:val="00277490"/>
    <w:rsid w:val="00277612"/>
    <w:rsid w:val="00277695"/>
    <w:rsid w:val="002776B1"/>
    <w:rsid w:val="0027780A"/>
    <w:rsid w:val="00277826"/>
    <w:rsid w:val="0027782B"/>
    <w:rsid w:val="00277852"/>
    <w:rsid w:val="00277948"/>
    <w:rsid w:val="0027795F"/>
    <w:rsid w:val="00277AE7"/>
    <w:rsid w:val="00277B40"/>
    <w:rsid w:val="00277B44"/>
    <w:rsid w:val="00277B46"/>
    <w:rsid w:val="00277E87"/>
    <w:rsid w:val="00277F4C"/>
    <w:rsid w:val="00277FAE"/>
    <w:rsid w:val="0028000C"/>
    <w:rsid w:val="00280043"/>
    <w:rsid w:val="0028005C"/>
    <w:rsid w:val="0028023B"/>
    <w:rsid w:val="0028028C"/>
    <w:rsid w:val="00280492"/>
    <w:rsid w:val="0028050F"/>
    <w:rsid w:val="002806C5"/>
    <w:rsid w:val="00280733"/>
    <w:rsid w:val="0028089C"/>
    <w:rsid w:val="0028099C"/>
    <w:rsid w:val="002809F5"/>
    <w:rsid w:val="00280A36"/>
    <w:rsid w:val="00280B7C"/>
    <w:rsid w:val="00280D48"/>
    <w:rsid w:val="00280D85"/>
    <w:rsid w:val="00280D9F"/>
    <w:rsid w:val="00280DD7"/>
    <w:rsid w:val="00280E2D"/>
    <w:rsid w:val="00280E6F"/>
    <w:rsid w:val="00280FFB"/>
    <w:rsid w:val="00281027"/>
    <w:rsid w:val="00281088"/>
    <w:rsid w:val="002810D7"/>
    <w:rsid w:val="00281167"/>
    <w:rsid w:val="00281219"/>
    <w:rsid w:val="00281289"/>
    <w:rsid w:val="00281424"/>
    <w:rsid w:val="0028156A"/>
    <w:rsid w:val="0028159E"/>
    <w:rsid w:val="0028173C"/>
    <w:rsid w:val="00281B74"/>
    <w:rsid w:val="00281C32"/>
    <w:rsid w:val="00281C6D"/>
    <w:rsid w:val="00281CBD"/>
    <w:rsid w:val="00281D8E"/>
    <w:rsid w:val="00281E23"/>
    <w:rsid w:val="00281E67"/>
    <w:rsid w:val="00281EC2"/>
    <w:rsid w:val="00281FD3"/>
    <w:rsid w:val="0028200E"/>
    <w:rsid w:val="00282051"/>
    <w:rsid w:val="0028210C"/>
    <w:rsid w:val="002821E2"/>
    <w:rsid w:val="0028221C"/>
    <w:rsid w:val="00282247"/>
    <w:rsid w:val="00282256"/>
    <w:rsid w:val="002822C7"/>
    <w:rsid w:val="00282310"/>
    <w:rsid w:val="002825AF"/>
    <w:rsid w:val="0028264B"/>
    <w:rsid w:val="0028266E"/>
    <w:rsid w:val="002826CD"/>
    <w:rsid w:val="0028270A"/>
    <w:rsid w:val="00282757"/>
    <w:rsid w:val="00282896"/>
    <w:rsid w:val="00282931"/>
    <w:rsid w:val="00282AA7"/>
    <w:rsid w:val="00282BEC"/>
    <w:rsid w:val="00282C0E"/>
    <w:rsid w:val="00282C53"/>
    <w:rsid w:val="00282C5B"/>
    <w:rsid w:val="00282CA1"/>
    <w:rsid w:val="00282E0F"/>
    <w:rsid w:val="00282E19"/>
    <w:rsid w:val="00282E4F"/>
    <w:rsid w:val="00282E87"/>
    <w:rsid w:val="00283024"/>
    <w:rsid w:val="00283099"/>
    <w:rsid w:val="00283141"/>
    <w:rsid w:val="0028318B"/>
    <w:rsid w:val="0028318D"/>
    <w:rsid w:val="002831AE"/>
    <w:rsid w:val="002831E0"/>
    <w:rsid w:val="002831F0"/>
    <w:rsid w:val="00283449"/>
    <w:rsid w:val="0028345E"/>
    <w:rsid w:val="0028348B"/>
    <w:rsid w:val="002834E3"/>
    <w:rsid w:val="00283671"/>
    <w:rsid w:val="00283706"/>
    <w:rsid w:val="0028371D"/>
    <w:rsid w:val="0028388F"/>
    <w:rsid w:val="002839F4"/>
    <w:rsid w:val="00283C9B"/>
    <w:rsid w:val="00283D20"/>
    <w:rsid w:val="00283E4A"/>
    <w:rsid w:val="00283EEE"/>
    <w:rsid w:val="00283F5D"/>
    <w:rsid w:val="00283F85"/>
    <w:rsid w:val="00283F8D"/>
    <w:rsid w:val="00284000"/>
    <w:rsid w:val="00284026"/>
    <w:rsid w:val="00284045"/>
    <w:rsid w:val="0028413A"/>
    <w:rsid w:val="00284199"/>
    <w:rsid w:val="002842AC"/>
    <w:rsid w:val="00284473"/>
    <w:rsid w:val="00284529"/>
    <w:rsid w:val="00284535"/>
    <w:rsid w:val="00284589"/>
    <w:rsid w:val="002845FA"/>
    <w:rsid w:val="00284609"/>
    <w:rsid w:val="0028460C"/>
    <w:rsid w:val="0028463D"/>
    <w:rsid w:val="002846B4"/>
    <w:rsid w:val="002846D2"/>
    <w:rsid w:val="0028471B"/>
    <w:rsid w:val="0028473A"/>
    <w:rsid w:val="00284776"/>
    <w:rsid w:val="00284CE4"/>
    <w:rsid w:val="00284CEA"/>
    <w:rsid w:val="00284D85"/>
    <w:rsid w:val="00284DE6"/>
    <w:rsid w:val="00284F0A"/>
    <w:rsid w:val="00285287"/>
    <w:rsid w:val="002853E3"/>
    <w:rsid w:val="0028543D"/>
    <w:rsid w:val="002854D2"/>
    <w:rsid w:val="002856CC"/>
    <w:rsid w:val="00285BEB"/>
    <w:rsid w:val="00285C93"/>
    <w:rsid w:val="00285CC0"/>
    <w:rsid w:val="00285CD1"/>
    <w:rsid w:val="00285E9D"/>
    <w:rsid w:val="00285F6E"/>
    <w:rsid w:val="00286171"/>
    <w:rsid w:val="002861EC"/>
    <w:rsid w:val="00286250"/>
    <w:rsid w:val="002862A6"/>
    <w:rsid w:val="002862FA"/>
    <w:rsid w:val="002863B2"/>
    <w:rsid w:val="002864BD"/>
    <w:rsid w:val="00286683"/>
    <w:rsid w:val="00286748"/>
    <w:rsid w:val="00286816"/>
    <w:rsid w:val="00286949"/>
    <w:rsid w:val="00286980"/>
    <w:rsid w:val="00286A94"/>
    <w:rsid w:val="00286BE7"/>
    <w:rsid w:val="00286BEC"/>
    <w:rsid w:val="00286C30"/>
    <w:rsid w:val="00286D44"/>
    <w:rsid w:val="00287003"/>
    <w:rsid w:val="00287064"/>
    <w:rsid w:val="002872BD"/>
    <w:rsid w:val="0028734B"/>
    <w:rsid w:val="00287389"/>
    <w:rsid w:val="0028741A"/>
    <w:rsid w:val="002874A2"/>
    <w:rsid w:val="00287536"/>
    <w:rsid w:val="00287955"/>
    <w:rsid w:val="00287972"/>
    <w:rsid w:val="00287A1E"/>
    <w:rsid w:val="00287A87"/>
    <w:rsid w:val="00287B52"/>
    <w:rsid w:val="00287B64"/>
    <w:rsid w:val="00287C53"/>
    <w:rsid w:val="00287E3F"/>
    <w:rsid w:val="00287E5B"/>
    <w:rsid w:val="00287F08"/>
    <w:rsid w:val="00290031"/>
    <w:rsid w:val="00290263"/>
    <w:rsid w:val="00290281"/>
    <w:rsid w:val="00290465"/>
    <w:rsid w:val="00290771"/>
    <w:rsid w:val="002907BD"/>
    <w:rsid w:val="002909D9"/>
    <w:rsid w:val="002909FA"/>
    <w:rsid w:val="00290A07"/>
    <w:rsid w:val="00290A84"/>
    <w:rsid w:val="00290AA8"/>
    <w:rsid w:val="00290B52"/>
    <w:rsid w:val="00290B77"/>
    <w:rsid w:val="00290BCA"/>
    <w:rsid w:val="00290D55"/>
    <w:rsid w:val="00290DA2"/>
    <w:rsid w:val="00290E9C"/>
    <w:rsid w:val="00290F5A"/>
    <w:rsid w:val="00291008"/>
    <w:rsid w:val="002910BA"/>
    <w:rsid w:val="00291108"/>
    <w:rsid w:val="002911DD"/>
    <w:rsid w:val="002913B8"/>
    <w:rsid w:val="002913C6"/>
    <w:rsid w:val="002914D6"/>
    <w:rsid w:val="002916A4"/>
    <w:rsid w:val="00291852"/>
    <w:rsid w:val="002918C5"/>
    <w:rsid w:val="00291BEA"/>
    <w:rsid w:val="00291C49"/>
    <w:rsid w:val="00291C70"/>
    <w:rsid w:val="00291CBC"/>
    <w:rsid w:val="00291CFF"/>
    <w:rsid w:val="00291DA0"/>
    <w:rsid w:val="00292064"/>
    <w:rsid w:val="00292098"/>
    <w:rsid w:val="00292101"/>
    <w:rsid w:val="002921EA"/>
    <w:rsid w:val="00292403"/>
    <w:rsid w:val="00292408"/>
    <w:rsid w:val="00292417"/>
    <w:rsid w:val="002924F2"/>
    <w:rsid w:val="002925BE"/>
    <w:rsid w:val="002926DC"/>
    <w:rsid w:val="002926DD"/>
    <w:rsid w:val="00292724"/>
    <w:rsid w:val="00292804"/>
    <w:rsid w:val="00292A0B"/>
    <w:rsid w:val="00292A8B"/>
    <w:rsid w:val="00292B77"/>
    <w:rsid w:val="00292BA1"/>
    <w:rsid w:val="00292DA2"/>
    <w:rsid w:val="00292DFA"/>
    <w:rsid w:val="00292E58"/>
    <w:rsid w:val="00292E9D"/>
    <w:rsid w:val="00292FE9"/>
    <w:rsid w:val="0029301B"/>
    <w:rsid w:val="00293020"/>
    <w:rsid w:val="0029304B"/>
    <w:rsid w:val="0029318F"/>
    <w:rsid w:val="002931FB"/>
    <w:rsid w:val="00293251"/>
    <w:rsid w:val="0029325F"/>
    <w:rsid w:val="00293297"/>
    <w:rsid w:val="00293445"/>
    <w:rsid w:val="00293453"/>
    <w:rsid w:val="0029352B"/>
    <w:rsid w:val="00293612"/>
    <w:rsid w:val="00293679"/>
    <w:rsid w:val="00293713"/>
    <w:rsid w:val="00293737"/>
    <w:rsid w:val="00293867"/>
    <w:rsid w:val="002939EB"/>
    <w:rsid w:val="00293A7D"/>
    <w:rsid w:val="00293B4A"/>
    <w:rsid w:val="00293B59"/>
    <w:rsid w:val="00293CA6"/>
    <w:rsid w:val="00293D21"/>
    <w:rsid w:val="00293DD0"/>
    <w:rsid w:val="00293E65"/>
    <w:rsid w:val="00293E7E"/>
    <w:rsid w:val="00293F8F"/>
    <w:rsid w:val="00293F97"/>
    <w:rsid w:val="0029400B"/>
    <w:rsid w:val="00294083"/>
    <w:rsid w:val="00294301"/>
    <w:rsid w:val="0029430A"/>
    <w:rsid w:val="0029430C"/>
    <w:rsid w:val="00294421"/>
    <w:rsid w:val="0029446F"/>
    <w:rsid w:val="002944F0"/>
    <w:rsid w:val="00294509"/>
    <w:rsid w:val="002945E2"/>
    <w:rsid w:val="0029472F"/>
    <w:rsid w:val="00294794"/>
    <w:rsid w:val="00294797"/>
    <w:rsid w:val="002947C0"/>
    <w:rsid w:val="0029497B"/>
    <w:rsid w:val="002949AC"/>
    <w:rsid w:val="002949E2"/>
    <w:rsid w:val="00294A19"/>
    <w:rsid w:val="00294B38"/>
    <w:rsid w:val="00294DAC"/>
    <w:rsid w:val="00294E8D"/>
    <w:rsid w:val="00294EAF"/>
    <w:rsid w:val="00294EC8"/>
    <w:rsid w:val="00294EDD"/>
    <w:rsid w:val="00294EDE"/>
    <w:rsid w:val="00294FF2"/>
    <w:rsid w:val="00295071"/>
    <w:rsid w:val="00295208"/>
    <w:rsid w:val="00295300"/>
    <w:rsid w:val="002953CD"/>
    <w:rsid w:val="00295454"/>
    <w:rsid w:val="002954EB"/>
    <w:rsid w:val="00295620"/>
    <w:rsid w:val="00295652"/>
    <w:rsid w:val="002956B4"/>
    <w:rsid w:val="00295792"/>
    <w:rsid w:val="0029596A"/>
    <w:rsid w:val="002959C9"/>
    <w:rsid w:val="00295B2A"/>
    <w:rsid w:val="00295BF7"/>
    <w:rsid w:val="00295D69"/>
    <w:rsid w:val="00295D73"/>
    <w:rsid w:val="00295D9D"/>
    <w:rsid w:val="00295DA6"/>
    <w:rsid w:val="00295E64"/>
    <w:rsid w:val="00295E88"/>
    <w:rsid w:val="00295F26"/>
    <w:rsid w:val="00295F3C"/>
    <w:rsid w:val="002961CC"/>
    <w:rsid w:val="002962E4"/>
    <w:rsid w:val="0029640F"/>
    <w:rsid w:val="002964A0"/>
    <w:rsid w:val="002964DD"/>
    <w:rsid w:val="002964DE"/>
    <w:rsid w:val="0029671A"/>
    <w:rsid w:val="00296768"/>
    <w:rsid w:val="002967A2"/>
    <w:rsid w:val="002967FD"/>
    <w:rsid w:val="0029683B"/>
    <w:rsid w:val="00296891"/>
    <w:rsid w:val="00296974"/>
    <w:rsid w:val="002969D4"/>
    <w:rsid w:val="00296A91"/>
    <w:rsid w:val="00296CB4"/>
    <w:rsid w:val="00296DC0"/>
    <w:rsid w:val="00296F16"/>
    <w:rsid w:val="0029707B"/>
    <w:rsid w:val="002970A9"/>
    <w:rsid w:val="002972E6"/>
    <w:rsid w:val="0029748C"/>
    <w:rsid w:val="0029751B"/>
    <w:rsid w:val="0029754F"/>
    <w:rsid w:val="00297572"/>
    <w:rsid w:val="0029757D"/>
    <w:rsid w:val="0029766D"/>
    <w:rsid w:val="00297698"/>
    <w:rsid w:val="002976D4"/>
    <w:rsid w:val="00297774"/>
    <w:rsid w:val="0029796C"/>
    <w:rsid w:val="0029798A"/>
    <w:rsid w:val="002979A1"/>
    <w:rsid w:val="002979A6"/>
    <w:rsid w:val="00297AC1"/>
    <w:rsid w:val="00297ACD"/>
    <w:rsid w:val="00297AE6"/>
    <w:rsid w:val="00297AF7"/>
    <w:rsid w:val="00297B90"/>
    <w:rsid w:val="00297CFA"/>
    <w:rsid w:val="00297DE4"/>
    <w:rsid w:val="00297E71"/>
    <w:rsid w:val="00297E80"/>
    <w:rsid w:val="00297F57"/>
    <w:rsid w:val="00297F75"/>
    <w:rsid w:val="00297F76"/>
    <w:rsid w:val="002A0136"/>
    <w:rsid w:val="002A01CC"/>
    <w:rsid w:val="002A02A0"/>
    <w:rsid w:val="002A0305"/>
    <w:rsid w:val="002A0325"/>
    <w:rsid w:val="002A0411"/>
    <w:rsid w:val="002A0421"/>
    <w:rsid w:val="002A065A"/>
    <w:rsid w:val="002A067D"/>
    <w:rsid w:val="002A080D"/>
    <w:rsid w:val="002A0846"/>
    <w:rsid w:val="002A084C"/>
    <w:rsid w:val="002A085D"/>
    <w:rsid w:val="002A0925"/>
    <w:rsid w:val="002A096D"/>
    <w:rsid w:val="002A09B6"/>
    <w:rsid w:val="002A09D7"/>
    <w:rsid w:val="002A0BD1"/>
    <w:rsid w:val="002A0C7F"/>
    <w:rsid w:val="002A0EB8"/>
    <w:rsid w:val="002A0F7B"/>
    <w:rsid w:val="002A0FF6"/>
    <w:rsid w:val="002A1164"/>
    <w:rsid w:val="002A1191"/>
    <w:rsid w:val="002A11D7"/>
    <w:rsid w:val="002A1235"/>
    <w:rsid w:val="002A129C"/>
    <w:rsid w:val="002A141F"/>
    <w:rsid w:val="002A14B5"/>
    <w:rsid w:val="002A1521"/>
    <w:rsid w:val="002A15E7"/>
    <w:rsid w:val="002A16AC"/>
    <w:rsid w:val="002A16D1"/>
    <w:rsid w:val="002A17B7"/>
    <w:rsid w:val="002A182D"/>
    <w:rsid w:val="002A189B"/>
    <w:rsid w:val="002A1A71"/>
    <w:rsid w:val="002A1C2E"/>
    <w:rsid w:val="002A1D20"/>
    <w:rsid w:val="002A1D54"/>
    <w:rsid w:val="002A1D82"/>
    <w:rsid w:val="002A1DDC"/>
    <w:rsid w:val="002A1FA9"/>
    <w:rsid w:val="002A20F3"/>
    <w:rsid w:val="002A212F"/>
    <w:rsid w:val="002A2225"/>
    <w:rsid w:val="002A224E"/>
    <w:rsid w:val="002A22ED"/>
    <w:rsid w:val="002A2413"/>
    <w:rsid w:val="002A2543"/>
    <w:rsid w:val="002A25AC"/>
    <w:rsid w:val="002A2783"/>
    <w:rsid w:val="002A2886"/>
    <w:rsid w:val="002A28CC"/>
    <w:rsid w:val="002A2951"/>
    <w:rsid w:val="002A2958"/>
    <w:rsid w:val="002A2A7A"/>
    <w:rsid w:val="002A2ADA"/>
    <w:rsid w:val="002A2BBD"/>
    <w:rsid w:val="002A2C39"/>
    <w:rsid w:val="002A2D28"/>
    <w:rsid w:val="002A2D52"/>
    <w:rsid w:val="002A2D64"/>
    <w:rsid w:val="002A2E51"/>
    <w:rsid w:val="002A2E5E"/>
    <w:rsid w:val="002A2F4D"/>
    <w:rsid w:val="002A3075"/>
    <w:rsid w:val="002A3084"/>
    <w:rsid w:val="002A30E5"/>
    <w:rsid w:val="002A31B6"/>
    <w:rsid w:val="002A31BD"/>
    <w:rsid w:val="002A3266"/>
    <w:rsid w:val="002A331E"/>
    <w:rsid w:val="002A33E0"/>
    <w:rsid w:val="002A3427"/>
    <w:rsid w:val="002A34CF"/>
    <w:rsid w:val="002A34D4"/>
    <w:rsid w:val="002A3506"/>
    <w:rsid w:val="002A3516"/>
    <w:rsid w:val="002A3629"/>
    <w:rsid w:val="002A3797"/>
    <w:rsid w:val="002A37E6"/>
    <w:rsid w:val="002A3821"/>
    <w:rsid w:val="002A396B"/>
    <w:rsid w:val="002A3A55"/>
    <w:rsid w:val="002A3B61"/>
    <w:rsid w:val="002A3BEB"/>
    <w:rsid w:val="002A3C1A"/>
    <w:rsid w:val="002A3CD8"/>
    <w:rsid w:val="002A3CE3"/>
    <w:rsid w:val="002A3D98"/>
    <w:rsid w:val="002A3EF3"/>
    <w:rsid w:val="002A40D7"/>
    <w:rsid w:val="002A4165"/>
    <w:rsid w:val="002A430C"/>
    <w:rsid w:val="002A438C"/>
    <w:rsid w:val="002A4400"/>
    <w:rsid w:val="002A44AD"/>
    <w:rsid w:val="002A4524"/>
    <w:rsid w:val="002A4553"/>
    <w:rsid w:val="002A45BE"/>
    <w:rsid w:val="002A48CF"/>
    <w:rsid w:val="002A4A56"/>
    <w:rsid w:val="002A4AFD"/>
    <w:rsid w:val="002A4CB5"/>
    <w:rsid w:val="002A4F7D"/>
    <w:rsid w:val="002A4F84"/>
    <w:rsid w:val="002A4F9F"/>
    <w:rsid w:val="002A50B2"/>
    <w:rsid w:val="002A50CE"/>
    <w:rsid w:val="002A5163"/>
    <w:rsid w:val="002A5272"/>
    <w:rsid w:val="002A52B1"/>
    <w:rsid w:val="002A52B2"/>
    <w:rsid w:val="002A5302"/>
    <w:rsid w:val="002A531D"/>
    <w:rsid w:val="002A5376"/>
    <w:rsid w:val="002A5535"/>
    <w:rsid w:val="002A566C"/>
    <w:rsid w:val="002A5676"/>
    <w:rsid w:val="002A5865"/>
    <w:rsid w:val="002A5884"/>
    <w:rsid w:val="002A5890"/>
    <w:rsid w:val="002A589B"/>
    <w:rsid w:val="002A58F7"/>
    <w:rsid w:val="002A59D6"/>
    <w:rsid w:val="002A5AFC"/>
    <w:rsid w:val="002A5B29"/>
    <w:rsid w:val="002A5C01"/>
    <w:rsid w:val="002A5C3B"/>
    <w:rsid w:val="002A5CE9"/>
    <w:rsid w:val="002A5D1B"/>
    <w:rsid w:val="002A5D2A"/>
    <w:rsid w:val="002A5D2C"/>
    <w:rsid w:val="002A5E68"/>
    <w:rsid w:val="002A6032"/>
    <w:rsid w:val="002A60EB"/>
    <w:rsid w:val="002A6122"/>
    <w:rsid w:val="002A61D3"/>
    <w:rsid w:val="002A622A"/>
    <w:rsid w:val="002A6296"/>
    <w:rsid w:val="002A6383"/>
    <w:rsid w:val="002A6416"/>
    <w:rsid w:val="002A644F"/>
    <w:rsid w:val="002A64D8"/>
    <w:rsid w:val="002A654F"/>
    <w:rsid w:val="002A65E6"/>
    <w:rsid w:val="002A67A6"/>
    <w:rsid w:val="002A687D"/>
    <w:rsid w:val="002A690D"/>
    <w:rsid w:val="002A6AE3"/>
    <w:rsid w:val="002A6AE9"/>
    <w:rsid w:val="002A6CF7"/>
    <w:rsid w:val="002A6E27"/>
    <w:rsid w:val="002A6F18"/>
    <w:rsid w:val="002A7000"/>
    <w:rsid w:val="002A702F"/>
    <w:rsid w:val="002A7076"/>
    <w:rsid w:val="002A712E"/>
    <w:rsid w:val="002A7289"/>
    <w:rsid w:val="002A72E6"/>
    <w:rsid w:val="002A7364"/>
    <w:rsid w:val="002A738B"/>
    <w:rsid w:val="002A73C4"/>
    <w:rsid w:val="002A74E2"/>
    <w:rsid w:val="002A7574"/>
    <w:rsid w:val="002A75E9"/>
    <w:rsid w:val="002A763F"/>
    <w:rsid w:val="002A76BB"/>
    <w:rsid w:val="002A77C2"/>
    <w:rsid w:val="002A7908"/>
    <w:rsid w:val="002A79C8"/>
    <w:rsid w:val="002A7AC7"/>
    <w:rsid w:val="002A7B70"/>
    <w:rsid w:val="002A7C26"/>
    <w:rsid w:val="002A7D4D"/>
    <w:rsid w:val="002A7E08"/>
    <w:rsid w:val="002A7E61"/>
    <w:rsid w:val="002A7EBB"/>
    <w:rsid w:val="002A7F7A"/>
    <w:rsid w:val="002A7F89"/>
    <w:rsid w:val="002B012E"/>
    <w:rsid w:val="002B015B"/>
    <w:rsid w:val="002B01AE"/>
    <w:rsid w:val="002B0229"/>
    <w:rsid w:val="002B0270"/>
    <w:rsid w:val="002B036C"/>
    <w:rsid w:val="002B043E"/>
    <w:rsid w:val="002B04A8"/>
    <w:rsid w:val="002B0505"/>
    <w:rsid w:val="002B05B9"/>
    <w:rsid w:val="002B062C"/>
    <w:rsid w:val="002B065F"/>
    <w:rsid w:val="002B0670"/>
    <w:rsid w:val="002B067E"/>
    <w:rsid w:val="002B0689"/>
    <w:rsid w:val="002B0693"/>
    <w:rsid w:val="002B06A5"/>
    <w:rsid w:val="002B06E9"/>
    <w:rsid w:val="002B0710"/>
    <w:rsid w:val="002B071C"/>
    <w:rsid w:val="002B0ABE"/>
    <w:rsid w:val="002B0AE6"/>
    <w:rsid w:val="002B0BC5"/>
    <w:rsid w:val="002B0BE3"/>
    <w:rsid w:val="002B0D14"/>
    <w:rsid w:val="002B0DFB"/>
    <w:rsid w:val="002B0F1F"/>
    <w:rsid w:val="002B0FEB"/>
    <w:rsid w:val="002B10BC"/>
    <w:rsid w:val="002B1212"/>
    <w:rsid w:val="002B1246"/>
    <w:rsid w:val="002B129F"/>
    <w:rsid w:val="002B12B5"/>
    <w:rsid w:val="002B1368"/>
    <w:rsid w:val="002B140B"/>
    <w:rsid w:val="002B1431"/>
    <w:rsid w:val="002B1494"/>
    <w:rsid w:val="002B14C5"/>
    <w:rsid w:val="002B15CA"/>
    <w:rsid w:val="002B1721"/>
    <w:rsid w:val="002B18CB"/>
    <w:rsid w:val="002B19AB"/>
    <w:rsid w:val="002B1B4D"/>
    <w:rsid w:val="002B1B71"/>
    <w:rsid w:val="002B1DAD"/>
    <w:rsid w:val="002B1DDC"/>
    <w:rsid w:val="002B1EBA"/>
    <w:rsid w:val="002B1EC4"/>
    <w:rsid w:val="002B214F"/>
    <w:rsid w:val="002B21B3"/>
    <w:rsid w:val="002B2282"/>
    <w:rsid w:val="002B2305"/>
    <w:rsid w:val="002B24CF"/>
    <w:rsid w:val="002B24E4"/>
    <w:rsid w:val="002B24F8"/>
    <w:rsid w:val="002B24F9"/>
    <w:rsid w:val="002B2553"/>
    <w:rsid w:val="002B259D"/>
    <w:rsid w:val="002B261E"/>
    <w:rsid w:val="002B2669"/>
    <w:rsid w:val="002B267F"/>
    <w:rsid w:val="002B2685"/>
    <w:rsid w:val="002B274D"/>
    <w:rsid w:val="002B291E"/>
    <w:rsid w:val="002B2961"/>
    <w:rsid w:val="002B2A3D"/>
    <w:rsid w:val="002B2B49"/>
    <w:rsid w:val="002B2B85"/>
    <w:rsid w:val="002B2D12"/>
    <w:rsid w:val="002B2D82"/>
    <w:rsid w:val="002B2E31"/>
    <w:rsid w:val="002B2E5A"/>
    <w:rsid w:val="002B2FD2"/>
    <w:rsid w:val="002B2FF7"/>
    <w:rsid w:val="002B30F9"/>
    <w:rsid w:val="002B3165"/>
    <w:rsid w:val="002B32A0"/>
    <w:rsid w:val="002B32A9"/>
    <w:rsid w:val="002B32CC"/>
    <w:rsid w:val="002B332D"/>
    <w:rsid w:val="002B3367"/>
    <w:rsid w:val="002B34E3"/>
    <w:rsid w:val="002B364F"/>
    <w:rsid w:val="002B365F"/>
    <w:rsid w:val="002B36E5"/>
    <w:rsid w:val="002B379E"/>
    <w:rsid w:val="002B380A"/>
    <w:rsid w:val="002B38AC"/>
    <w:rsid w:val="002B3909"/>
    <w:rsid w:val="002B3AAB"/>
    <w:rsid w:val="002B3CC2"/>
    <w:rsid w:val="002B3DB1"/>
    <w:rsid w:val="002B3DC8"/>
    <w:rsid w:val="002B3DF4"/>
    <w:rsid w:val="002B3E34"/>
    <w:rsid w:val="002B3E50"/>
    <w:rsid w:val="002B3EA8"/>
    <w:rsid w:val="002B3EBC"/>
    <w:rsid w:val="002B3F24"/>
    <w:rsid w:val="002B3F5D"/>
    <w:rsid w:val="002B3FFA"/>
    <w:rsid w:val="002B425A"/>
    <w:rsid w:val="002B43AC"/>
    <w:rsid w:val="002B43C4"/>
    <w:rsid w:val="002B43F1"/>
    <w:rsid w:val="002B445B"/>
    <w:rsid w:val="002B480C"/>
    <w:rsid w:val="002B4955"/>
    <w:rsid w:val="002B4AAB"/>
    <w:rsid w:val="002B4C12"/>
    <w:rsid w:val="002B4C71"/>
    <w:rsid w:val="002B4CC7"/>
    <w:rsid w:val="002B4D7A"/>
    <w:rsid w:val="002B4E7B"/>
    <w:rsid w:val="002B5048"/>
    <w:rsid w:val="002B511B"/>
    <w:rsid w:val="002B51D5"/>
    <w:rsid w:val="002B5228"/>
    <w:rsid w:val="002B52B3"/>
    <w:rsid w:val="002B52EF"/>
    <w:rsid w:val="002B5623"/>
    <w:rsid w:val="002B5773"/>
    <w:rsid w:val="002B58A2"/>
    <w:rsid w:val="002B59D5"/>
    <w:rsid w:val="002B5BF1"/>
    <w:rsid w:val="002B5D34"/>
    <w:rsid w:val="002B5F8C"/>
    <w:rsid w:val="002B5FCE"/>
    <w:rsid w:val="002B602F"/>
    <w:rsid w:val="002B604A"/>
    <w:rsid w:val="002B6112"/>
    <w:rsid w:val="002B612C"/>
    <w:rsid w:val="002B6163"/>
    <w:rsid w:val="002B61D9"/>
    <w:rsid w:val="002B62F9"/>
    <w:rsid w:val="002B6415"/>
    <w:rsid w:val="002B64C2"/>
    <w:rsid w:val="002B64FD"/>
    <w:rsid w:val="002B6549"/>
    <w:rsid w:val="002B658C"/>
    <w:rsid w:val="002B678C"/>
    <w:rsid w:val="002B679A"/>
    <w:rsid w:val="002B67A4"/>
    <w:rsid w:val="002B6803"/>
    <w:rsid w:val="002B6826"/>
    <w:rsid w:val="002B682F"/>
    <w:rsid w:val="002B687B"/>
    <w:rsid w:val="002B6973"/>
    <w:rsid w:val="002B69C0"/>
    <w:rsid w:val="002B6BA0"/>
    <w:rsid w:val="002B6BF6"/>
    <w:rsid w:val="002B6C04"/>
    <w:rsid w:val="002B6C2F"/>
    <w:rsid w:val="002B6D25"/>
    <w:rsid w:val="002B6D5D"/>
    <w:rsid w:val="002B6EF1"/>
    <w:rsid w:val="002B6F08"/>
    <w:rsid w:val="002B7070"/>
    <w:rsid w:val="002B708E"/>
    <w:rsid w:val="002B70B5"/>
    <w:rsid w:val="002B7133"/>
    <w:rsid w:val="002B723C"/>
    <w:rsid w:val="002B730B"/>
    <w:rsid w:val="002B734F"/>
    <w:rsid w:val="002B742F"/>
    <w:rsid w:val="002B745E"/>
    <w:rsid w:val="002B7488"/>
    <w:rsid w:val="002B7742"/>
    <w:rsid w:val="002B7835"/>
    <w:rsid w:val="002B790D"/>
    <w:rsid w:val="002B797C"/>
    <w:rsid w:val="002B7A03"/>
    <w:rsid w:val="002B7A48"/>
    <w:rsid w:val="002B7A99"/>
    <w:rsid w:val="002B7AD6"/>
    <w:rsid w:val="002B7B0C"/>
    <w:rsid w:val="002B7B57"/>
    <w:rsid w:val="002B7B75"/>
    <w:rsid w:val="002B7BBC"/>
    <w:rsid w:val="002B7C8D"/>
    <w:rsid w:val="002B7D3A"/>
    <w:rsid w:val="002B7D85"/>
    <w:rsid w:val="002B7DA0"/>
    <w:rsid w:val="002B7DE5"/>
    <w:rsid w:val="002B7DFE"/>
    <w:rsid w:val="002B7E45"/>
    <w:rsid w:val="002B7EB7"/>
    <w:rsid w:val="002B7F20"/>
    <w:rsid w:val="002B7FE8"/>
    <w:rsid w:val="002C0041"/>
    <w:rsid w:val="002C0054"/>
    <w:rsid w:val="002C00E1"/>
    <w:rsid w:val="002C0150"/>
    <w:rsid w:val="002C01C9"/>
    <w:rsid w:val="002C0428"/>
    <w:rsid w:val="002C0635"/>
    <w:rsid w:val="002C0817"/>
    <w:rsid w:val="002C088F"/>
    <w:rsid w:val="002C089B"/>
    <w:rsid w:val="002C08FB"/>
    <w:rsid w:val="002C0936"/>
    <w:rsid w:val="002C0ADA"/>
    <w:rsid w:val="002C0BCA"/>
    <w:rsid w:val="002C0E25"/>
    <w:rsid w:val="002C0E38"/>
    <w:rsid w:val="002C0E7F"/>
    <w:rsid w:val="002C1144"/>
    <w:rsid w:val="002C1310"/>
    <w:rsid w:val="002C1361"/>
    <w:rsid w:val="002C1398"/>
    <w:rsid w:val="002C1608"/>
    <w:rsid w:val="002C1643"/>
    <w:rsid w:val="002C1787"/>
    <w:rsid w:val="002C17CF"/>
    <w:rsid w:val="002C17DA"/>
    <w:rsid w:val="002C17E9"/>
    <w:rsid w:val="002C1807"/>
    <w:rsid w:val="002C1845"/>
    <w:rsid w:val="002C1A79"/>
    <w:rsid w:val="002C1AE6"/>
    <w:rsid w:val="002C1B5F"/>
    <w:rsid w:val="002C1B85"/>
    <w:rsid w:val="002C1B93"/>
    <w:rsid w:val="002C1BD6"/>
    <w:rsid w:val="002C1C43"/>
    <w:rsid w:val="002C1C7E"/>
    <w:rsid w:val="002C1CAE"/>
    <w:rsid w:val="002C1D44"/>
    <w:rsid w:val="002C1D84"/>
    <w:rsid w:val="002C1DF2"/>
    <w:rsid w:val="002C1E4C"/>
    <w:rsid w:val="002C1E4E"/>
    <w:rsid w:val="002C1F2F"/>
    <w:rsid w:val="002C1FBF"/>
    <w:rsid w:val="002C1FC8"/>
    <w:rsid w:val="002C1FDA"/>
    <w:rsid w:val="002C1FDE"/>
    <w:rsid w:val="002C1FE8"/>
    <w:rsid w:val="002C202F"/>
    <w:rsid w:val="002C2047"/>
    <w:rsid w:val="002C2258"/>
    <w:rsid w:val="002C229F"/>
    <w:rsid w:val="002C2362"/>
    <w:rsid w:val="002C2386"/>
    <w:rsid w:val="002C23DD"/>
    <w:rsid w:val="002C2620"/>
    <w:rsid w:val="002C27A5"/>
    <w:rsid w:val="002C27CB"/>
    <w:rsid w:val="002C285C"/>
    <w:rsid w:val="002C28F7"/>
    <w:rsid w:val="002C29CE"/>
    <w:rsid w:val="002C2AEE"/>
    <w:rsid w:val="002C2B3B"/>
    <w:rsid w:val="002C2B42"/>
    <w:rsid w:val="002C2BCB"/>
    <w:rsid w:val="002C2D51"/>
    <w:rsid w:val="002C2E19"/>
    <w:rsid w:val="002C2E2D"/>
    <w:rsid w:val="002C2EBE"/>
    <w:rsid w:val="002C2EDB"/>
    <w:rsid w:val="002C2EED"/>
    <w:rsid w:val="002C2F0D"/>
    <w:rsid w:val="002C2FAC"/>
    <w:rsid w:val="002C2FFB"/>
    <w:rsid w:val="002C305A"/>
    <w:rsid w:val="002C30B9"/>
    <w:rsid w:val="002C30BB"/>
    <w:rsid w:val="002C3190"/>
    <w:rsid w:val="002C340B"/>
    <w:rsid w:val="002C360E"/>
    <w:rsid w:val="002C3631"/>
    <w:rsid w:val="002C374E"/>
    <w:rsid w:val="002C376A"/>
    <w:rsid w:val="002C386F"/>
    <w:rsid w:val="002C38C0"/>
    <w:rsid w:val="002C38E5"/>
    <w:rsid w:val="002C3AB5"/>
    <w:rsid w:val="002C3BB0"/>
    <w:rsid w:val="002C3C72"/>
    <w:rsid w:val="002C3E10"/>
    <w:rsid w:val="002C3E64"/>
    <w:rsid w:val="002C3F17"/>
    <w:rsid w:val="002C3FA5"/>
    <w:rsid w:val="002C40A3"/>
    <w:rsid w:val="002C416A"/>
    <w:rsid w:val="002C41AA"/>
    <w:rsid w:val="002C42E5"/>
    <w:rsid w:val="002C4339"/>
    <w:rsid w:val="002C4410"/>
    <w:rsid w:val="002C44D9"/>
    <w:rsid w:val="002C467F"/>
    <w:rsid w:val="002C489F"/>
    <w:rsid w:val="002C49D3"/>
    <w:rsid w:val="002C49FC"/>
    <w:rsid w:val="002C4A1C"/>
    <w:rsid w:val="002C4ABA"/>
    <w:rsid w:val="002C4AFC"/>
    <w:rsid w:val="002C4BA3"/>
    <w:rsid w:val="002C4C30"/>
    <w:rsid w:val="002C4CF4"/>
    <w:rsid w:val="002C4D31"/>
    <w:rsid w:val="002C4D9F"/>
    <w:rsid w:val="002C4F70"/>
    <w:rsid w:val="002C4FCA"/>
    <w:rsid w:val="002C514A"/>
    <w:rsid w:val="002C517D"/>
    <w:rsid w:val="002C519D"/>
    <w:rsid w:val="002C5473"/>
    <w:rsid w:val="002C55FE"/>
    <w:rsid w:val="002C5702"/>
    <w:rsid w:val="002C572D"/>
    <w:rsid w:val="002C57A6"/>
    <w:rsid w:val="002C5881"/>
    <w:rsid w:val="002C58F5"/>
    <w:rsid w:val="002C590B"/>
    <w:rsid w:val="002C5940"/>
    <w:rsid w:val="002C599D"/>
    <w:rsid w:val="002C5CF8"/>
    <w:rsid w:val="002C5CFB"/>
    <w:rsid w:val="002C5DB6"/>
    <w:rsid w:val="002C5E00"/>
    <w:rsid w:val="002C5E79"/>
    <w:rsid w:val="002C5F04"/>
    <w:rsid w:val="002C5FAA"/>
    <w:rsid w:val="002C5FB6"/>
    <w:rsid w:val="002C6018"/>
    <w:rsid w:val="002C608A"/>
    <w:rsid w:val="002C6093"/>
    <w:rsid w:val="002C6149"/>
    <w:rsid w:val="002C6199"/>
    <w:rsid w:val="002C61F7"/>
    <w:rsid w:val="002C635C"/>
    <w:rsid w:val="002C6421"/>
    <w:rsid w:val="002C6450"/>
    <w:rsid w:val="002C651B"/>
    <w:rsid w:val="002C661E"/>
    <w:rsid w:val="002C6632"/>
    <w:rsid w:val="002C6678"/>
    <w:rsid w:val="002C668D"/>
    <w:rsid w:val="002C6727"/>
    <w:rsid w:val="002C67FC"/>
    <w:rsid w:val="002C6888"/>
    <w:rsid w:val="002C68D4"/>
    <w:rsid w:val="002C69A0"/>
    <w:rsid w:val="002C6A9B"/>
    <w:rsid w:val="002C6BA9"/>
    <w:rsid w:val="002C6C55"/>
    <w:rsid w:val="002C6D77"/>
    <w:rsid w:val="002C6F3A"/>
    <w:rsid w:val="002C6FCD"/>
    <w:rsid w:val="002C6FD7"/>
    <w:rsid w:val="002C709A"/>
    <w:rsid w:val="002C7162"/>
    <w:rsid w:val="002C7191"/>
    <w:rsid w:val="002C71D2"/>
    <w:rsid w:val="002C71DD"/>
    <w:rsid w:val="002C7217"/>
    <w:rsid w:val="002C7223"/>
    <w:rsid w:val="002C72EC"/>
    <w:rsid w:val="002C7339"/>
    <w:rsid w:val="002C733A"/>
    <w:rsid w:val="002C738E"/>
    <w:rsid w:val="002C74F6"/>
    <w:rsid w:val="002C76BE"/>
    <w:rsid w:val="002C7759"/>
    <w:rsid w:val="002C7812"/>
    <w:rsid w:val="002C794D"/>
    <w:rsid w:val="002C7950"/>
    <w:rsid w:val="002C79A0"/>
    <w:rsid w:val="002C7A82"/>
    <w:rsid w:val="002C7B6C"/>
    <w:rsid w:val="002C7BC5"/>
    <w:rsid w:val="002C7C7D"/>
    <w:rsid w:val="002C7C82"/>
    <w:rsid w:val="002C7EAB"/>
    <w:rsid w:val="002C7FD9"/>
    <w:rsid w:val="002D0027"/>
    <w:rsid w:val="002D0080"/>
    <w:rsid w:val="002D013A"/>
    <w:rsid w:val="002D018B"/>
    <w:rsid w:val="002D020A"/>
    <w:rsid w:val="002D041E"/>
    <w:rsid w:val="002D04D1"/>
    <w:rsid w:val="002D05D1"/>
    <w:rsid w:val="002D06F8"/>
    <w:rsid w:val="002D0828"/>
    <w:rsid w:val="002D0833"/>
    <w:rsid w:val="002D0A89"/>
    <w:rsid w:val="002D0AFA"/>
    <w:rsid w:val="002D0C98"/>
    <w:rsid w:val="002D0CA2"/>
    <w:rsid w:val="002D0D69"/>
    <w:rsid w:val="002D0D85"/>
    <w:rsid w:val="002D0DA3"/>
    <w:rsid w:val="002D0ECB"/>
    <w:rsid w:val="002D0F0A"/>
    <w:rsid w:val="002D0F4B"/>
    <w:rsid w:val="002D0F5C"/>
    <w:rsid w:val="002D0FDB"/>
    <w:rsid w:val="002D1071"/>
    <w:rsid w:val="002D11AA"/>
    <w:rsid w:val="002D11C6"/>
    <w:rsid w:val="002D12F5"/>
    <w:rsid w:val="002D139C"/>
    <w:rsid w:val="002D13FB"/>
    <w:rsid w:val="002D14AB"/>
    <w:rsid w:val="002D14FF"/>
    <w:rsid w:val="002D155C"/>
    <w:rsid w:val="002D1596"/>
    <w:rsid w:val="002D1684"/>
    <w:rsid w:val="002D16A1"/>
    <w:rsid w:val="002D1718"/>
    <w:rsid w:val="002D1757"/>
    <w:rsid w:val="002D1861"/>
    <w:rsid w:val="002D188C"/>
    <w:rsid w:val="002D18F9"/>
    <w:rsid w:val="002D1AB0"/>
    <w:rsid w:val="002D1AE2"/>
    <w:rsid w:val="002D1BEB"/>
    <w:rsid w:val="002D1C1E"/>
    <w:rsid w:val="002D1D35"/>
    <w:rsid w:val="002D1D54"/>
    <w:rsid w:val="002D1D9F"/>
    <w:rsid w:val="002D1DFB"/>
    <w:rsid w:val="002D1EFB"/>
    <w:rsid w:val="002D1F8E"/>
    <w:rsid w:val="002D1FC5"/>
    <w:rsid w:val="002D204A"/>
    <w:rsid w:val="002D228C"/>
    <w:rsid w:val="002D233E"/>
    <w:rsid w:val="002D24B0"/>
    <w:rsid w:val="002D24DD"/>
    <w:rsid w:val="002D252D"/>
    <w:rsid w:val="002D25B6"/>
    <w:rsid w:val="002D25C6"/>
    <w:rsid w:val="002D2690"/>
    <w:rsid w:val="002D26E0"/>
    <w:rsid w:val="002D2854"/>
    <w:rsid w:val="002D28FC"/>
    <w:rsid w:val="002D2B16"/>
    <w:rsid w:val="002D2B54"/>
    <w:rsid w:val="002D2CE1"/>
    <w:rsid w:val="002D2CEF"/>
    <w:rsid w:val="002D2DBE"/>
    <w:rsid w:val="002D30EC"/>
    <w:rsid w:val="002D3131"/>
    <w:rsid w:val="002D3139"/>
    <w:rsid w:val="002D3144"/>
    <w:rsid w:val="002D319D"/>
    <w:rsid w:val="002D31ED"/>
    <w:rsid w:val="002D3454"/>
    <w:rsid w:val="002D34E1"/>
    <w:rsid w:val="002D3507"/>
    <w:rsid w:val="002D35C3"/>
    <w:rsid w:val="002D37BF"/>
    <w:rsid w:val="002D3960"/>
    <w:rsid w:val="002D3B5D"/>
    <w:rsid w:val="002D3B9A"/>
    <w:rsid w:val="002D3BEC"/>
    <w:rsid w:val="002D3C29"/>
    <w:rsid w:val="002D3D0A"/>
    <w:rsid w:val="002D3D97"/>
    <w:rsid w:val="002D3E56"/>
    <w:rsid w:val="002D3EFC"/>
    <w:rsid w:val="002D3FDB"/>
    <w:rsid w:val="002D4088"/>
    <w:rsid w:val="002D40A2"/>
    <w:rsid w:val="002D4175"/>
    <w:rsid w:val="002D4284"/>
    <w:rsid w:val="002D434A"/>
    <w:rsid w:val="002D43B3"/>
    <w:rsid w:val="002D446A"/>
    <w:rsid w:val="002D44A5"/>
    <w:rsid w:val="002D44E7"/>
    <w:rsid w:val="002D4556"/>
    <w:rsid w:val="002D456D"/>
    <w:rsid w:val="002D4594"/>
    <w:rsid w:val="002D472A"/>
    <w:rsid w:val="002D4A3B"/>
    <w:rsid w:val="002D4A57"/>
    <w:rsid w:val="002D4A8F"/>
    <w:rsid w:val="002D4BC5"/>
    <w:rsid w:val="002D4C64"/>
    <w:rsid w:val="002D4E63"/>
    <w:rsid w:val="002D4FAE"/>
    <w:rsid w:val="002D4FE6"/>
    <w:rsid w:val="002D507C"/>
    <w:rsid w:val="002D50F8"/>
    <w:rsid w:val="002D531F"/>
    <w:rsid w:val="002D5461"/>
    <w:rsid w:val="002D5499"/>
    <w:rsid w:val="002D54E2"/>
    <w:rsid w:val="002D55C6"/>
    <w:rsid w:val="002D5608"/>
    <w:rsid w:val="002D5616"/>
    <w:rsid w:val="002D56F5"/>
    <w:rsid w:val="002D56FD"/>
    <w:rsid w:val="002D577F"/>
    <w:rsid w:val="002D58FE"/>
    <w:rsid w:val="002D5BCD"/>
    <w:rsid w:val="002D5C3F"/>
    <w:rsid w:val="002D5D97"/>
    <w:rsid w:val="002D5F64"/>
    <w:rsid w:val="002D5F8C"/>
    <w:rsid w:val="002D5FC2"/>
    <w:rsid w:val="002D6062"/>
    <w:rsid w:val="002D612B"/>
    <w:rsid w:val="002D6171"/>
    <w:rsid w:val="002D61CD"/>
    <w:rsid w:val="002D63D7"/>
    <w:rsid w:val="002D6465"/>
    <w:rsid w:val="002D6771"/>
    <w:rsid w:val="002D68C2"/>
    <w:rsid w:val="002D68D1"/>
    <w:rsid w:val="002D68E0"/>
    <w:rsid w:val="002D68FB"/>
    <w:rsid w:val="002D69B3"/>
    <w:rsid w:val="002D6BD2"/>
    <w:rsid w:val="002D6C05"/>
    <w:rsid w:val="002D6D9D"/>
    <w:rsid w:val="002D6EAB"/>
    <w:rsid w:val="002D70A7"/>
    <w:rsid w:val="002D718D"/>
    <w:rsid w:val="002D7226"/>
    <w:rsid w:val="002D7270"/>
    <w:rsid w:val="002D731D"/>
    <w:rsid w:val="002D7354"/>
    <w:rsid w:val="002D74AC"/>
    <w:rsid w:val="002D7514"/>
    <w:rsid w:val="002D7877"/>
    <w:rsid w:val="002D79FD"/>
    <w:rsid w:val="002D7A13"/>
    <w:rsid w:val="002D7A48"/>
    <w:rsid w:val="002D7B35"/>
    <w:rsid w:val="002D7B84"/>
    <w:rsid w:val="002D7BE1"/>
    <w:rsid w:val="002D7DBD"/>
    <w:rsid w:val="002D7EAB"/>
    <w:rsid w:val="002D7FBA"/>
    <w:rsid w:val="002D7FDA"/>
    <w:rsid w:val="002E0033"/>
    <w:rsid w:val="002E008E"/>
    <w:rsid w:val="002E0099"/>
    <w:rsid w:val="002E0176"/>
    <w:rsid w:val="002E0186"/>
    <w:rsid w:val="002E01E0"/>
    <w:rsid w:val="002E02F5"/>
    <w:rsid w:val="002E033B"/>
    <w:rsid w:val="002E0608"/>
    <w:rsid w:val="002E06B2"/>
    <w:rsid w:val="002E07CB"/>
    <w:rsid w:val="002E0965"/>
    <w:rsid w:val="002E0A06"/>
    <w:rsid w:val="002E0AE2"/>
    <w:rsid w:val="002E0C1D"/>
    <w:rsid w:val="002E0C69"/>
    <w:rsid w:val="002E0CF7"/>
    <w:rsid w:val="002E0D2E"/>
    <w:rsid w:val="002E0DAB"/>
    <w:rsid w:val="002E0DC3"/>
    <w:rsid w:val="002E0FAC"/>
    <w:rsid w:val="002E104F"/>
    <w:rsid w:val="002E1084"/>
    <w:rsid w:val="002E1086"/>
    <w:rsid w:val="002E1114"/>
    <w:rsid w:val="002E112D"/>
    <w:rsid w:val="002E1175"/>
    <w:rsid w:val="002E117B"/>
    <w:rsid w:val="002E1243"/>
    <w:rsid w:val="002E12CB"/>
    <w:rsid w:val="002E1476"/>
    <w:rsid w:val="002E157D"/>
    <w:rsid w:val="002E166A"/>
    <w:rsid w:val="002E16BC"/>
    <w:rsid w:val="002E16F9"/>
    <w:rsid w:val="002E182C"/>
    <w:rsid w:val="002E1886"/>
    <w:rsid w:val="002E1989"/>
    <w:rsid w:val="002E19BF"/>
    <w:rsid w:val="002E19DA"/>
    <w:rsid w:val="002E19F3"/>
    <w:rsid w:val="002E1A49"/>
    <w:rsid w:val="002E1A8C"/>
    <w:rsid w:val="002E1AF7"/>
    <w:rsid w:val="002E1C6E"/>
    <w:rsid w:val="002E1CE9"/>
    <w:rsid w:val="002E1E0C"/>
    <w:rsid w:val="002E1F7F"/>
    <w:rsid w:val="002E200A"/>
    <w:rsid w:val="002E20A2"/>
    <w:rsid w:val="002E220C"/>
    <w:rsid w:val="002E2408"/>
    <w:rsid w:val="002E24F5"/>
    <w:rsid w:val="002E25ED"/>
    <w:rsid w:val="002E2629"/>
    <w:rsid w:val="002E267E"/>
    <w:rsid w:val="002E26CD"/>
    <w:rsid w:val="002E2816"/>
    <w:rsid w:val="002E288A"/>
    <w:rsid w:val="002E28CE"/>
    <w:rsid w:val="002E296E"/>
    <w:rsid w:val="002E2C2E"/>
    <w:rsid w:val="002E2C57"/>
    <w:rsid w:val="002E2CB8"/>
    <w:rsid w:val="002E2DB0"/>
    <w:rsid w:val="002E2DF9"/>
    <w:rsid w:val="002E2E0C"/>
    <w:rsid w:val="002E2F93"/>
    <w:rsid w:val="002E2F98"/>
    <w:rsid w:val="002E3035"/>
    <w:rsid w:val="002E30A6"/>
    <w:rsid w:val="002E3145"/>
    <w:rsid w:val="002E31F7"/>
    <w:rsid w:val="002E3218"/>
    <w:rsid w:val="002E321C"/>
    <w:rsid w:val="002E3526"/>
    <w:rsid w:val="002E352B"/>
    <w:rsid w:val="002E366D"/>
    <w:rsid w:val="002E36D1"/>
    <w:rsid w:val="002E3812"/>
    <w:rsid w:val="002E3881"/>
    <w:rsid w:val="002E38E1"/>
    <w:rsid w:val="002E39A1"/>
    <w:rsid w:val="002E3AD8"/>
    <w:rsid w:val="002E3C05"/>
    <w:rsid w:val="002E3E1D"/>
    <w:rsid w:val="002E3F2F"/>
    <w:rsid w:val="002E3F9B"/>
    <w:rsid w:val="002E3FD5"/>
    <w:rsid w:val="002E3FDF"/>
    <w:rsid w:val="002E4127"/>
    <w:rsid w:val="002E419F"/>
    <w:rsid w:val="002E4206"/>
    <w:rsid w:val="002E4251"/>
    <w:rsid w:val="002E4259"/>
    <w:rsid w:val="002E4299"/>
    <w:rsid w:val="002E430A"/>
    <w:rsid w:val="002E4313"/>
    <w:rsid w:val="002E4368"/>
    <w:rsid w:val="002E4395"/>
    <w:rsid w:val="002E4456"/>
    <w:rsid w:val="002E461B"/>
    <w:rsid w:val="002E46DD"/>
    <w:rsid w:val="002E46E5"/>
    <w:rsid w:val="002E4789"/>
    <w:rsid w:val="002E47C3"/>
    <w:rsid w:val="002E47C9"/>
    <w:rsid w:val="002E47E6"/>
    <w:rsid w:val="002E4822"/>
    <w:rsid w:val="002E484B"/>
    <w:rsid w:val="002E490C"/>
    <w:rsid w:val="002E49FB"/>
    <w:rsid w:val="002E4E11"/>
    <w:rsid w:val="002E4E5A"/>
    <w:rsid w:val="002E50F0"/>
    <w:rsid w:val="002E5115"/>
    <w:rsid w:val="002E5199"/>
    <w:rsid w:val="002E53D3"/>
    <w:rsid w:val="002E547F"/>
    <w:rsid w:val="002E551C"/>
    <w:rsid w:val="002E55B9"/>
    <w:rsid w:val="002E56AA"/>
    <w:rsid w:val="002E56E7"/>
    <w:rsid w:val="002E56FC"/>
    <w:rsid w:val="002E572A"/>
    <w:rsid w:val="002E57D4"/>
    <w:rsid w:val="002E581A"/>
    <w:rsid w:val="002E58DB"/>
    <w:rsid w:val="002E5DFE"/>
    <w:rsid w:val="002E5E08"/>
    <w:rsid w:val="002E5EC7"/>
    <w:rsid w:val="002E5FE6"/>
    <w:rsid w:val="002E6042"/>
    <w:rsid w:val="002E604B"/>
    <w:rsid w:val="002E6363"/>
    <w:rsid w:val="002E64BD"/>
    <w:rsid w:val="002E66C5"/>
    <w:rsid w:val="002E66D4"/>
    <w:rsid w:val="002E6814"/>
    <w:rsid w:val="002E68D3"/>
    <w:rsid w:val="002E6B02"/>
    <w:rsid w:val="002E6B18"/>
    <w:rsid w:val="002E6B8A"/>
    <w:rsid w:val="002E6B8F"/>
    <w:rsid w:val="002E6C4A"/>
    <w:rsid w:val="002E6C89"/>
    <w:rsid w:val="002E6C8F"/>
    <w:rsid w:val="002E6CE6"/>
    <w:rsid w:val="002E6D30"/>
    <w:rsid w:val="002E6E34"/>
    <w:rsid w:val="002E6F29"/>
    <w:rsid w:val="002E6F7F"/>
    <w:rsid w:val="002E7025"/>
    <w:rsid w:val="002E70BA"/>
    <w:rsid w:val="002E729C"/>
    <w:rsid w:val="002E7393"/>
    <w:rsid w:val="002E73EB"/>
    <w:rsid w:val="002E73F6"/>
    <w:rsid w:val="002E748B"/>
    <w:rsid w:val="002E7541"/>
    <w:rsid w:val="002E75A0"/>
    <w:rsid w:val="002E75B5"/>
    <w:rsid w:val="002E77D0"/>
    <w:rsid w:val="002E7893"/>
    <w:rsid w:val="002E78DB"/>
    <w:rsid w:val="002E78FA"/>
    <w:rsid w:val="002E796A"/>
    <w:rsid w:val="002E797C"/>
    <w:rsid w:val="002E79C6"/>
    <w:rsid w:val="002E79D1"/>
    <w:rsid w:val="002E7A1A"/>
    <w:rsid w:val="002E7A3C"/>
    <w:rsid w:val="002E7AA9"/>
    <w:rsid w:val="002E7B5D"/>
    <w:rsid w:val="002E7E7B"/>
    <w:rsid w:val="002E7F1E"/>
    <w:rsid w:val="002E7F6E"/>
    <w:rsid w:val="002E7F7F"/>
    <w:rsid w:val="002E7FAF"/>
    <w:rsid w:val="002F0079"/>
    <w:rsid w:val="002F00C0"/>
    <w:rsid w:val="002F00FD"/>
    <w:rsid w:val="002F04A2"/>
    <w:rsid w:val="002F06A4"/>
    <w:rsid w:val="002F0719"/>
    <w:rsid w:val="002F07FE"/>
    <w:rsid w:val="002F08DD"/>
    <w:rsid w:val="002F08E2"/>
    <w:rsid w:val="002F0956"/>
    <w:rsid w:val="002F09CE"/>
    <w:rsid w:val="002F0C76"/>
    <w:rsid w:val="002F0CF1"/>
    <w:rsid w:val="002F0D32"/>
    <w:rsid w:val="002F1078"/>
    <w:rsid w:val="002F128B"/>
    <w:rsid w:val="002F1342"/>
    <w:rsid w:val="002F1347"/>
    <w:rsid w:val="002F135E"/>
    <w:rsid w:val="002F1379"/>
    <w:rsid w:val="002F137A"/>
    <w:rsid w:val="002F144A"/>
    <w:rsid w:val="002F1536"/>
    <w:rsid w:val="002F15A3"/>
    <w:rsid w:val="002F163C"/>
    <w:rsid w:val="002F1674"/>
    <w:rsid w:val="002F16E3"/>
    <w:rsid w:val="002F1712"/>
    <w:rsid w:val="002F17B1"/>
    <w:rsid w:val="002F17D9"/>
    <w:rsid w:val="002F17EC"/>
    <w:rsid w:val="002F18AC"/>
    <w:rsid w:val="002F1B4A"/>
    <w:rsid w:val="002F1C82"/>
    <w:rsid w:val="002F1E20"/>
    <w:rsid w:val="002F1E36"/>
    <w:rsid w:val="002F1F6C"/>
    <w:rsid w:val="002F1F8D"/>
    <w:rsid w:val="002F1FC5"/>
    <w:rsid w:val="002F200C"/>
    <w:rsid w:val="002F2046"/>
    <w:rsid w:val="002F21CB"/>
    <w:rsid w:val="002F24DA"/>
    <w:rsid w:val="002F24ED"/>
    <w:rsid w:val="002F2537"/>
    <w:rsid w:val="002F269B"/>
    <w:rsid w:val="002F26E1"/>
    <w:rsid w:val="002F2744"/>
    <w:rsid w:val="002F2834"/>
    <w:rsid w:val="002F28B6"/>
    <w:rsid w:val="002F28B9"/>
    <w:rsid w:val="002F28DC"/>
    <w:rsid w:val="002F29F1"/>
    <w:rsid w:val="002F2B00"/>
    <w:rsid w:val="002F2B3A"/>
    <w:rsid w:val="002F2C1A"/>
    <w:rsid w:val="002F2D14"/>
    <w:rsid w:val="002F2D20"/>
    <w:rsid w:val="002F2D92"/>
    <w:rsid w:val="002F2E44"/>
    <w:rsid w:val="002F2F0E"/>
    <w:rsid w:val="002F2F27"/>
    <w:rsid w:val="002F2F3E"/>
    <w:rsid w:val="002F3005"/>
    <w:rsid w:val="002F3073"/>
    <w:rsid w:val="002F30CA"/>
    <w:rsid w:val="002F3169"/>
    <w:rsid w:val="002F317F"/>
    <w:rsid w:val="002F31A5"/>
    <w:rsid w:val="002F31A9"/>
    <w:rsid w:val="002F3247"/>
    <w:rsid w:val="002F32D3"/>
    <w:rsid w:val="002F3310"/>
    <w:rsid w:val="002F3387"/>
    <w:rsid w:val="002F3461"/>
    <w:rsid w:val="002F356A"/>
    <w:rsid w:val="002F3578"/>
    <w:rsid w:val="002F362E"/>
    <w:rsid w:val="002F3846"/>
    <w:rsid w:val="002F3955"/>
    <w:rsid w:val="002F39D9"/>
    <w:rsid w:val="002F3A60"/>
    <w:rsid w:val="002F3D09"/>
    <w:rsid w:val="002F3DC6"/>
    <w:rsid w:val="002F3E65"/>
    <w:rsid w:val="002F3EF2"/>
    <w:rsid w:val="002F42FD"/>
    <w:rsid w:val="002F430D"/>
    <w:rsid w:val="002F4386"/>
    <w:rsid w:val="002F43D2"/>
    <w:rsid w:val="002F43F2"/>
    <w:rsid w:val="002F44A3"/>
    <w:rsid w:val="002F4517"/>
    <w:rsid w:val="002F4558"/>
    <w:rsid w:val="002F45EB"/>
    <w:rsid w:val="002F4672"/>
    <w:rsid w:val="002F467C"/>
    <w:rsid w:val="002F467E"/>
    <w:rsid w:val="002F46F0"/>
    <w:rsid w:val="002F497D"/>
    <w:rsid w:val="002F4B70"/>
    <w:rsid w:val="002F4BC6"/>
    <w:rsid w:val="002F4D75"/>
    <w:rsid w:val="002F4E1B"/>
    <w:rsid w:val="002F4E1C"/>
    <w:rsid w:val="002F4E69"/>
    <w:rsid w:val="002F4ED6"/>
    <w:rsid w:val="002F4F60"/>
    <w:rsid w:val="002F500F"/>
    <w:rsid w:val="002F5038"/>
    <w:rsid w:val="002F506F"/>
    <w:rsid w:val="002F5212"/>
    <w:rsid w:val="002F52C2"/>
    <w:rsid w:val="002F5360"/>
    <w:rsid w:val="002F544F"/>
    <w:rsid w:val="002F54B9"/>
    <w:rsid w:val="002F5600"/>
    <w:rsid w:val="002F5782"/>
    <w:rsid w:val="002F58E0"/>
    <w:rsid w:val="002F595B"/>
    <w:rsid w:val="002F5A7F"/>
    <w:rsid w:val="002F5AE4"/>
    <w:rsid w:val="002F5AE7"/>
    <w:rsid w:val="002F5B81"/>
    <w:rsid w:val="002F5D12"/>
    <w:rsid w:val="002F5D25"/>
    <w:rsid w:val="002F5D62"/>
    <w:rsid w:val="002F5DCA"/>
    <w:rsid w:val="002F5E47"/>
    <w:rsid w:val="002F5E71"/>
    <w:rsid w:val="002F5E93"/>
    <w:rsid w:val="002F5EEB"/>
    <w:rsid w:val="002F5F6A"/>
    <w:rsid w:val="002F5F94"/>
    <w:rsid w:val="002F612D"/>
    <w:rsid w:val="002F6199"/>
    <w:rsid w:val="002F6238"/>
    <w:rsid w:val="002F6246"/>
    <w:rsid w:val="002F62C2"/>
    <w:rsid w:val="002F62E2"/>
    <w:rsid w:val="002F6344"/>
    <w:rsid w:val="002F6377"/>
    <w:rsid w:val="002F65A6"/>
    <w:rsid w:val="002F65CC"/>
    <w:rsid w:val="002F65FC"/>
    <w:rsid w:val="002F6611"/>
    <w:rsid w:val="002F680A"/>
    <w:rsid w:val="002F687D"/>
    <w:rsid w:val="002F6970"/>
    <w:rsid w:val="002F69A5"/>
    <w:rsid w:val="002F69F2"/>
    <w:rsid w:val="002F6A8E"/>
    <w:rsid w:val="002F6CE0"/>
    <w:rsid w:val="002F6D0B"/>
    <w:rsid w:val="002F6D4C"/>
    <w:rsid w:val="002F6D73"/>
    <w:rsid w:val="002F6F6B"/>
    <w:rsid w:val="002F712D"/>
    <w:rsid w:val="002F716B"/>
    <w:rsid w:val="002F71A0"/>
    <w:rsid w:val="002F71BD"/>
    <w:rsid w:val="002F71CE"/>
    <w:rsid w:val="002F732F"/>
    <w:rsid w:val="002F7342"/>
    <w:rsid w:val="002F7351"/>
    <w:rsid w:val="002F73FE"/>
    <w:rsid w:val="002F7488"/>
    <w:rsid w:val="002F74AA"/>
    <w:rsid w:val="002F7533"/>
    <w:rsid w:val="002F77E3"/>
    <w:rsid w:val="002F7998"/>
    <w:rsid w:val="002F79C1"/>
    <w:rsid w:val="002F7BB2"/>
    <w:rsid w:val="002F7D89"/>
    <w:rsid w:val="002F7EEC"/>
    <w:rsid w:val="002F7EF8"/>
    <w:rsid w:val="0030027C"/>
    <w:rsid w:val="003002F5"/>
    <w:rsid w:val="00300392"/>
    <w:rsid w:val="0030048F"/>
    <w:rsid w:val="00300524"/>
    <w:rsid w:val="003006DF"/>
    <w:rsid w:val="00300765"/>
    <w:rsid w:val="00300863"/>
    <w:rsid w:val="00300880"/>
    <w:rsid w:val="00300895"/>
    <w:rsid w:val="0030090B"/>
    <w:rsid w:val="003009C5"/>
    <w:rsid w:val="003009E2"/>
    <w:rsid w:val="003009F9"/>
    <w:rsid w:val="00300C1F"/>
    <w:rsid w:val="00300D16"/>
    <w:rsid w:val="00300D1F"/>
    <w:rsid w:val="00300D75"/>
    <w:rsid w:val="00300D96"/>
    <w:rsid w:val="00300E4B"/>
    <w:rsid w:val="00300E4D"/>
    <w:rsid w:val="00300E70"/>
    <w:rsid w:val="00300EBE"/>
    <w:rsid w:val="00300F44"/>
    <w:rsid w:val="00300FCA"/>
    <w:rsid w:val="0030104F"/>
    <w:rsid w:val="00301208"/>
    <w:rsid w:val="00301428"/>
    <w:rsid w:val="00301561"/>
    <w:rsid w:val="003015F6"/>
    <w:rsid w:val="00301689"/>
    <w:rsid w:val="003017B5"/>
    <w:rsid w:val="00301995"/>
    <w:rsid w:val="003019B4"/>
    <w:rsid w:val="00301A22"/>
    <w:rsid w:val="00301AA2"/>
    <w:rsid w:val="00301AB9"/>
    <w:rsid w:val="00301D02"/>
    <w:rsid w:val="00301D6C"/>
    <w:rsid w:val="00301E71"/>
    <w:rsid w:val="003021D2"/>
    <w:rsid w:val="003022AA"/>
    <w:rsid w:val="00302368"/>
    <w:rsid w:val="0030252A"/>
    <w:rsid w:val="00302579"/>
    <w:rsid w:val="003025A3"/>
    <w:rsid w:val="00302661"/>
    <w:rsid w:val="003026CA"/>
    <w:rsid w:val="0030277D"/>
    <w:rsid w:val="003028B3"/>
    <w:rsid w:val="003028BC"/>
    <w:rsid w:val="00302A99"/>
    <w:rsid w:val="00302AEC"/>
    <w:rsid w:val="00302B60"/>
    <w:rsid w:val="00302BCA"/>
    <w:rsid w:val="00302CD9"/>
    <w:rsid w:val="00302D03"/>
    <w:rsid w:val="00302D3B"/>
    <w:rsid w:val="00302D5B"/>
    <w:rsid w:val="00302D93"/>
    <w:rsid w:val="00302DFD"/>
    <w:rsid w:val="00302FA1"/>
    <w:rsid w:val="00303049"/>
    <w:rsid w:val="0030304A"/>
    <w:rsid w:val="0030304C"/>
    <w:rsid w:val="0030310F"/>
    <w:rsid w:val="0030312C"/>
    <w:rsid w:val="00303142"/>
    <w:rsid w:val="00303312"/>
    <w:rsid w:val="00303360"/>
    <w:rsid w:val="0030350A"/>
    <w:rsid w:val="003036B9"/>
    <w:rsid w:val="00303709"/>
    <w:rsid w:val="003037FA"/>
    <w:rsid w:val="0030387D"/>
    <w:rsid w:val="003038CE"/>
    <w:rsid w:val="003038EA"/>
    <w:rsid w:val="00303A92"/>
    <w:rsid w:val="00303AFF"/>
    <w:rsid w:val="00303B63"/>
    <w:rsid w:val="00303BA3"/>
    <w:rsid w:val="00303BF2"/>
    <w:rsid w:val="00303CCF"/>
    <w:rsid w:val="00303D52"/>
    <w:rsid w:val="00303E47"/>
    <w:rsid w:val="00303EEF"/>
    <w:rsid w:val="00303FD8"/>
    <w:rsid w:val="00304064"/>
    <w:rsid w:val="0030409A"/>
    <w:rsid w:val="003040B1"/>
    <w:rsid w:val="003040DC"/>
    <w:rsid w:val="00304110"/>
    <w:rsid w:val="003041CC"/>
    <w:rsid w:val="003041D8"/>
    <w:rsid w:val="003043C7"/>
    <w:rsid w:val="003044AA"/>
    <w:rsid w:val="003044FB"/>
    <w:rsid w:val="0030459E"/>
    <w:rsid w:val="0030465B"/>
    <w:rsid w:val="003046EB"/>
    <w:rsid w:val="003046F7"/>
    <w:rsid w:val="00304790"/>
    <w:rsid w:val="00304861"/>
    <w:rsid w:val="0030487D"/>
    <w:rsid w:val="003048B3"/>
    <w:rsid w:val="00304902"/>
    <w:rsid w:val="00304A53"/>
    <w:rsid w:val="00304A83"/>
    <w:rsid w:val="00304AC3"/>
    <w:rsid w:val="00304B78"/>
    <w:rsid w:val="00304CAC"/>
    <w:rsid w:val="00304D39"/>
    <w:rsid w:val="00304D7D"/>
    <w:rsid w:val="00304EF9"/>
    <w:rsid w:val="00304F38"/>
    <w:rsid w:val="00304F5E"/>
    <w:rsid w:val="003050E8"/>
    <w:rsid w:val="003052B6"/>
    <w:rsid w:val="00305319"/>
    <w:rsid w:val="0030552E"/>
    <w:rsid w:val="00305771"/>
    <w:rsid w:val="00305832"/>
    <w:rsid w:val="00305858"/>
    <w:rsid w:val="00305944"/>
    <w:rsid w:val="00305A49"/>
    <w:rsid w:val="00305AD7"/>
    <w:rsid w:val="00305B3C"/>
    <w:rsid w:val="00305C4F"/>
    <w:rsid w:val="00305C7E"/>
    <w:rsid w:val="00305D1C"/>
    <w:rsid w:val="00305DA6"/>
    <w:rsid w:val="00305DD8"/>
    <w:rsid w:val="00305E92"/>
    <w:rsid w:val="00305F8E"/>
    <w:rsid w:val="00305F95"/>
    <w:rsid w:val="00306051"/>
    <w:rsid w:val="00306072"/>
    <w:rsid w:val="003061A6"/>
    <w:rsid w:val="003061BD"/>
    <w:rsid w:val="003063AC"/>
    <w:rsid w:val="003063ED"/>
    <w:rsid w:val="003063FE"/>
    <w:rsid w:val="00306411"/>
    <w:rsid w:val="00306464"/>
    <w:rsid w:val="00306475"/>
    <w:rsid w:val="00306567"/>
    <w:rsid w:val="00306605"/>
    <w:rsid w:val="00306610"/>
    <w:rsid w:val="0030662E"/>
    <w:rsid w:val="0030663B"/>
    <w:rsid w:val="00306666"/>
    <w:rsid w:val="00306729"/>
    <w:rsid w:val="0030683E"/>
    <w:rsid w:val="0030694F"/>
    <w:rsid w:val="00306A27"/>
    <w:rsid w:val="00306BA8"/>
    <w:rsid w:val="00306C4F"/>
    <w:rsid w:val="00306D04"/>
    <w:rsid w:val="00306D4E"/>
    <w:rsid w:val="00306EAB"/>
    <w:rsid w:val="00306F1A"/>
    <w:rsid w:val="00306F78"/>
    <w:rsid w:val="00307018"/>
    <w:rsid w:val="00307197"/>
    <w:rsid w:val="003071E4"/>
    <w:rsid w:val="0030734D"/>
    <w:rsid w:val="0030738D"/>
    <w:rsid w:val="00307589"/>
    <w:rsid w:val="00307739"/>
    <w:rsid w:val="00307817"/>
    <w:rsid w:val="00307890"/>
    <w:rsid w:val="00307972"/>
    <w:rsid w:val="00307A5A"/>
    <w:rsid w:val="00307A7E"/>
    <w:rsid w:val="00307AAB"/>
    <w:rsid w:val="00307B27"/>
    <w:rsid w:val="00307D3E"/>
    <w:rsid w:val="00307D7B"/>
    <w:rsid w:val="00307DCA"/>
    <w:rsid w:val="00307E7A"/>
    <w:rsid w:val="00307F75"/>
    <w:rsid w:val="0031001B"/>
    <w:rsid w:val="003100A6"/>
    <w:rsid w:val="00310378"/>
    <w:rsid w:val="003104B3"/>
    <w:rsid w:val="00310646"/>
    <w:rsid w:val="0031066E"/>
    <w:rsid w:val="003108D8"/>
    <w:rsid w:val="00310928"/>
    <w:rsid w:val="00310950"/>
    <w:rsid w:val="00310959"/>
    <w:rsid w:val="0031095B"/>
    <w:rsid w:val="0031096B"/>
    <w:rsid w:val="0031097B"/>
    <w:rsid w:val="0031099C"/>
    <w:rsid w:val="00310A55"/>
    <w:rsid w:val="00310AA7"/>
    <w:rsid w:val="00310B22"/>
    <w:rsid w:val="00310BC3"/>
    <w:rsid w:val="00310BF6"/>
    <w:rsid w:val="00310C65"/>
    <w:rsid w:val="00310D8F"/>
    <w:rsid w:val="00310EBF"/>
    <w:rsid w:val="00310ECC"/>
    <w:rsid w:val="00310F68"/>
    <w:rsid w:val="00310F7A"/>
    <w:rsid w:val="00310FCF"/>
    <w:rsid w:val="003110E2"/>
    <w:rsid w:val="003112F5"/>
    <w:rsid w:val="003114DA"/>
    <w:rsid w:val="003115F6"/>
    <w:rsid w:val="003116B3"/>
    <w:rsid w:val="0031171B"/>
    <w:rsid w:val="0031174A"/>
    <w:rsid w:val="003118D7"/>
    <w:rsid w:val="003118FA"/>
    <w:rsid w:val="00311A13"/>
    <w:rsid w:val="00311AB1"/>
    <w:rsid w:val="00311B52"/>
    <w:rsid w:val="00311E44"/>
    <w:rsid w:val="00311E9F"/>
    <w:rsid w:val="003121EA"/>
    <w:rsid w:val="0031231E"/>
    <w:rsid w:val="00312512"/>
    <w:rsid w:val="003125D1"/>
    <w:rsid w:val="0031260B"/>
    <w:rsid w:val="0031264C"/>
    <w:rsid w:val="00312693"/>
    <w:rsid w:val="003127D5"/>
    <w:rsid w:val="00312817"/>
    <w:rsid w:val="00312900"/>
    <w:rsid w:val="003129D4"/>
    <w:rsid w:val="00312A1A"/>
    <w:rsid w:val="00312AD3"/>
    <w:rsid w:val="00312B22"/>
    <w:rsid w:val="00312B23"/>
    <w:rsid w:val="00312B2A"/>
    <w:rsid w:val="00312B59"/>
    <w:rsid w:val="00312BD7"/>
    <w:rsid w:val="00312DC4"/>
    <w:rsid w:val="00312E90"/>
    <w:rsid w:val="00312F45"/>
    <w:rsid w:val="00312FAA"/>
    <w:rsid w:val="003130AF"/>
    <w:rsid w:val="0031325F"/>
    <w:rsid w:val="00313342"/>
    <w:rsid w:val="0031337D"/>
    <w:rsid w:val="0031346C"/>
    <w:rsid w:val="003135F6"/>
    <w:rsid w:val="00313609"/>
    <w:rsid w:val="003136AD"/>
    <w:rsid w:val="00313751"/>
    <w:rsid w:val="0031377F"/>
    <w:rsid w:val="003138E9"/>
    <w:rsid w:val="00313937"/>
    <w:rsid w:val="003139C0"/>
    <w:rsid w:val="00313A64"/>
    <w:rsid w:val="00313BA1"/>
    <w:rsid w:val="00313BA4"/>
    <w:rsid w:val="00313C72"/>
    <w:rsid w:val="00313CC7"/>
    <w:rsid w:val="00313D12"/>
    <w:rsid w:val="00313E65"/>
    <w:rsid w:val="00313ED1"/>
    <w:rsid w:val="00313EDD"/>
    <w:rsid w:val="00313F4F"/>
    <w:rsid w:val="00313F86"/>
    <w:rsid w:val="00313FC6"/>
    <w:rsid w:val="00313FEE"/>
    <w:rsid w:val="0031402D"/>
    <w:rsid w:val="00314153"/>
    <w:rsid w:val="003141CE"/>
    <w:rsid w:val="003142DC"/>
    <w:rsid w:val="00314386"/>
    <w:rsid w:val="003144A4"/>
    <w:rsid w:val="00314541"/>
    <w:rsid w:val="0031458A"/>
    <w:rsid w:val="003145D0"/>
    <w:rsid w:val="00314673"/>
    <w:rsid w:val="0031467C"/>
    <w:rsid w:val="0031473C"/>
    <w:rsid w:val="00314778"/>
    <w:rsid w:val="00314787"/>
    <w:rsid w:val="00314910"/>
    <w:rsid w:val="003149B2"/>
    <w:rsid w:val="00314A1F"/>
    <w:rsid w:val="00314A95"/>
    <w:rsid w:val="00314BA1"/>
    <w:rsid w:val="00314C54"/>
    <w:rsid w:val="00314CF9"/>
    <w:rsid w:val="00314F3E"/>
    <w:rsid w:val="00315067"/>
    <w:rsid w:val="00315069"/>
    <w:rsid w:val="0031516D"/>
    <w:rsid w:val="0031517E"/>
    <w:rsid w:val="00315266"/>
    <w:rsid w:val="0031533E"/>
    <w:rsid w:val="00315372"/>
    <w:rsid w:val="00315607"/>
    <w:rsid w:val="00315626"/>
    <w:rsid w:val="003157C6"/>
    <w:rsid w:val="0031580E"/>
    <w:rsid w:val="00315813"/>
    <w:rsid w:val="00315843"/>
    <w:rsid w:val="00315B0B"/>
    <w:rsid w:val="00315C05"/>
    <w:rsid w:val="00315C53"/>
    <w:rsid w:val="00315D25"/>
    <w:rsid w:val="00315D3F"/>
    <w:rsid w:val="00315E14"/>
    <w:rsid w:val="003160D3"/>
    <w:rsid w:val="00316186"/>
    <w:rsid w:val="003161F6"/>
    <w:rsid w:val="00316230"/>
    <w:rsid w:val="0031624B"/>
    <w:rsid w:val="00316297"/>
    <w:rsid w:val="003162B0"/>
    <w:rsid w:val="0031640C"/>
    <w:rsid w:val="0031643A"/>
    <w:rsid w:val="00316536"/>
    <w:rsid w:val="00316618"/>
    <w:rsid w:val="003166A5"/>
    <w:rsid w:val="003167AA"/>
    <w:rsid w:val="00316849"/>
    <w:rsid w:val="0031696D"/>
    <w:rsid w:val="003169D1"/>
    <w:rsid w:val="00316B57"/>
    <w:rsid w:val="00316C69"/>
    <w:rsid w:val="00316CDC"/>
    <w:rsid w:val="00316E2B"/>
    <w:rsid w:val="00316E54"/>
    <w:rsid w:val="0031700C"/>
    <w:rsid w:val="00317068"/>
    <w:rsid w:val="0031707C"/>
    <w:rsid w:val="003173FD"/>
    <w:rsid w:val="00317546"/>
    <w:rsid w:val="003175D6"/>
    <w:rsid w:val="00317780"/>
    <w:rsid w:val="003177AF"/>
    <w:rsid w:val="00317814"/>
    <w:rsid w:val="003178A2"/>
    <w:rsid w:val="00317B3A"/>
    <w:rsid w:val="00317B69"/>
    <w:rsid w:val="00317B6F"/>
    <w:rsid w:val="00317B9F"/>
    <w:rsid w:val="00317BA8"/>
    <w:rsid w:val="00317C3C"/>
    <w:rsid w:val="00317D78"/>
    <w:rsid w:val="00317E7B"/>
    <w:rsid w:val="00317ECC"/>
    <w:rsid w:val="00317FA2"/>
    <w:rsid w:val="0032002D"/>
    <w:rsid w:val="003201F4"/>
    <w:rsid w:val="003203BE"/>
    <w:rsid w:val="00320481"/>
    <w:rsid w:val="003204C2"/>
    <w:rsid w:val="0032055A"/>
    <w:rsid w:val="00320560"/>
    <w:rsid w:val="003205E8"/>
    <w:rsid w:val="003205EA"/>
    <w:rsid w:val="00320701"/>
    <w:rsid w:val="0032070A"/>
    <w:rsid w:val="00320714"/>
    <w:rsid w:val="00320731"/>
    <w:rsid w:val="003207BD"/>
    <w:rsid w:val="0032082B"/>
    <w:rsid w:val="003208DB"/>
    <w:rsid w:val="00320941"/>
    <w:rsid w:val="00320B71"/>
    <w:rsid w:val="00320BF3"/>
    <w:rsid w:val="00320C02"/>
    <w:rsid w:val="00320C5F"/>
    <w:rsid w:val="00320D26"/>
    <w:rsid w:val="00320D3E"/>
    <w:rsid w:val="00320E45"/>
    <w:rsid w:val="00320EDF"/>
    <w:rsid w:val="00320EF8"/>
    <w:rsid w:val="00320F6A"/>
    <w:rsid w:val="00320F83"/>
    <w:rsid w:val="00320FDC"/>
    <w:rsid w:val="00321030"/>
    <w:rsid w:val="003212BF"/>
    <w:rsid w:val="0032137E"/>
    <w:rsid w:val="00321451"/>
    <w:rsid w:val="00321496"/>
    <w:rsid w:val="003214F3"/>
    <w:rsid w:val="003215D6"/>
    <w:rsid w:val="00321616"/>
    <w:rsid w:val="0032162A"/>
    <w:rsid w:val="003216D7"/>
    <w:rsid w:val="00321780"/>
    <w:rsid w:val="0032186D"/>
    <w:rsid w:val="003218EB"/>
    <w:rsid w:val="00321A16"/>
    <w:rsid w:val="00321A69"/>
    <w:rsid w:val="00321ACD"/>
    <w:rsid w:val="00321B3A"/>
    <w:rsid w:val="00321B89"/>
    <w:rsid w:val="00321C69"/>
    <w:rsid w:val="00321C77"/>
    <w:rsid w:val="00321CC1"/>
    <w:rsid w:val="00321CE1"/>
    <w:rsid w:val="00321EE4"/>
    <w:rsid w:val="00321F36"/>
    <w:rsid w:val="00321FDF"/>
    <w:rsid w:val="00322049"/>
    <w:rsid w:val="003220FE"/>
    <w:rsid w:val="00322103"/>
    <w:rsid w:val="00322122"/>
    <w:rsid w:val="00322218"/>
    <w:rsid w:val="0032222C"/>
    <w:rsid w:val="0032227C"/>
    <w:rsid w:val="00322726"/>
    <w:rsid w:val="00322754"/>
    <w:rsid w:val="00322971"/>
    <w:rsid w:val="003229A8"/>
    <w:rsid w:val="00322ADB"/>
    <w:rsid w:val="00322C11"/>
    <w:rsid w:val="00322F64"/>
    <w:rsid w:val="00322F75"/>
    <w:rsid w:val="00323034"/>
    <w:rsid w:val="003230E9"/>
    <w:rsid w:val="00323224"/>
    <w:rsid w:val="003232A5"/>
    <w:rsid w:val="00323307"/>
    <w:rsid w:val="0032348E"/>
    <w:rsid w:val="00323509"/>
    <w:rsid w:val="00323563"/>
    <w:rsid w:val="0032358D"/>
    <w:rsid w:val="003235BB"/>
    <w:rsid w:val="003235CE"/>
    <w:rsid w:val="003235E0"/>
    <w:rsid w:val="003235E2"/>
    <w:rsid w:val="00323641"/>
    <w:rsid w:val="003236A0"/>
    <w:rsid w:val="0032389A"/>
    <w:rsid w:val="00323A71"/>
    <w:rsid w:val="00323ABB"/>
    <w:rsid w:val="00323CE3"/>
    <w:rsid w:val="00323D6C"/>
    <w:rsid w:val="00323D90"/>
    <w:rsid w:val="00323DD6"/>
    <w:rsid w:val="00323E15"/>
    <w:rsid w:val="00323EF0"/>
    <w:rsid w:val="00323EF2"/>
    <w:rsid w:val="00323FF9"/>
    <w:rsid w:val="003241AC"/>
    <w:rsid w:val="0032423E"/>
    <w:rsid w:val="00324284"/>
    <w:rsid w:val="00324285"/>
    <w:rsid w:val="003242F7"/>
    <w:rsid w:val="0032445B"/>
    <w:rsid w:val="0032455D"/>
    <w:rsid w:val="003245CB"/>
    <w:rsid w:val="0032470C"/>
    <w:rsid w:val="00324769"/>
    <w:rsid w:val="003249C4"/>
    <w:rsid w:val="00324AEE"/>
    <w:rsid w:val="00324B6D"/>
    <w:rsid w:val="00324CD3"/>
    <w:rsid w:val="00324DEC"/>
    <w:rsid w:val="003250B2"/>
    <w:rsid w:val="003250B5"/>
    <w:rsid w:val="003250E2"/>
    <w:rsid w:val="0032519D"/>
    <w:rsid w:val="003251A7"/>
    <w:rsid w:val="0032522E"/>
    <w:rsid w:val="00325313"/>
    <w:rsid w:val="003253A0"/>
    <w:rsid w:val="003254DF"/>
    <w:rsid w:val="00325677"/>
    <w:rsid w:val="003256D2"/>
    <w:rsid w:val="00325A4A"/>
    <w:rsid w:val="00325AC6"/>
    <w:rsid w:val="00325B2B"/>
    <w:rsid w:val="00325B8B"/>
    <w:rsid w:val="00325B91"/>
    <w:rsid w:val="00325C3C"/>
    <w:rsid w:val="00325D17"/>
    <w:rsid w:val="00325D45"/>
    <w:rsid w:val="00325DD6"/>
    <w:rsid w:val="00325DFB"/>
    <w:rsid w:val="00325E6D"/>
    <w:rsid w:val="0032618A"/>
    <w:rsid w:val="00326463"/>
    <w:rsid w:val="0032647E"/>
    <w:rsid w:val="00326486"/>
    <w:rsid w:val="003264DE"/>
    <w:rsid w:val="00326506"/>
    <w:rsid w:val="003265CE"/>
    <w:rsid w:val="003265D7"/>
    <w:rsid w:val="00326642"/>
    <w:rsid w:val="00326679"/>
    <w:rsid w:val="00326745"/>
    <w:rsid w:val="00326750"/>
    <w:rsid w:val="00326804"/>
    <w:rsid w:val="003268E6"/>
    <w:rsid w:val="00326999"/>
    <w:rsid w:val="00326B27"/>
    <w:rsid w:val="00326B38"/>
    <w:rsid w:val="00326C1B"/>
    <w:rsid w:val="00326C3A"/>
    <w:rsid w:val="00326C95"/>
    <w:rsid w:val="00326CB0"/>
    <w:rsid w:val="00326CF4"/>
    <w:rsid w:val="00326D1F"/>
    <w:rsid w:val="0032701C"/>
    <w:rsid w:val="00327053"/>
    <w:rsid w:val="00327090"/>
    <w:rsid w:val="0032716C"/>
    <w:rsid w:val="003271E7"/>
    <w:rsid w:val="003274D3"/>
    <w:rsid w:val="003275D1"/>
    <w:rsid w:val="003277A9"/>
    <w:rsid w:val="00327816"/>
    <w:rsid w:val="003279DA"/>
    <w:rsid w:val="00327A1A"/>
    <w:rsid w:val="00327A9C"/>
    <w:rsid w:val="00327AB1"/>
    <w:rsid w:val="00327B35"/>
    <w:rsid w:val="00327B3B"/>
    <w:rsid w:val="00327C2F"/>
    <w:rsid w:val="00327C67"/>
    <w:rsid w:val="00327D63"/>
    <w:rsid w:val="00327E39"/>
    <w:rsid w:val="00327F16"/>
    <w:rsid w:val="00330009"/>
    <w:rsid w:val="003300DA"/>
    <w:rsid w:val="00330150"/>
    <w:rsid w:val="00330175"/>
    <w:rsid w:val="003302B1"/>
    <w:rsid w:val="003302B3"/>
    <w:rsid w:val="003306EC"/>
    <w:rsid w:val="0033076B"/>
    <w:rsid w:val="0033094C"/>
    <w:rsid w:val="003309E4"/>
    <w:rsid w:val="00330B40"/>
    <w:rsid w:val="00330BB2"/>
    <w:rsid w:val="00330CA4"/>
    <w:rsid w:val="00330E3F"/>
    <w:rsid w:val="00330F2C"/>
    <w:rsid w:val="003310F9"/>
    <w:rsid w:val="003310FC"/>
    <w:rsid w:val="00331100"/>
    <w:rsid w:val="00331120"/>
    <w:rsid w:val="003311D4"/>
    <w:rsid w:val="0033120E"/>
    <w:rsid w:val="003313A8"/>
    <w:rsid w:val="003314A5"/>
    <w:rsid w:val="00331596"/>
    <w:rsid w:val="003316E0"/>
    <w:rsid w:val="00331729"/>
    <w:rsid w:val="003318E7"/>
    <w:rsid w:val="003319F1"/>
    <w:rsid w:val="00331A9E"/>
    <w:rsid w:val="00331AC3"/>
    <w:rsid w:val="00331AEE"/>
    <w:rsid w:val="00331B67"/>
    <w:rsid w:val="00331BBB"/>
    <w:rsid w:val="00331C62"/>
    <w:rsid w:val="00331D31"/>
    <w:rsid w:val="00331F05"/>
    <w:rsid w:val="00332078"/>
    <w:rsid w:val="00332084"/>
    <w:rsid w:val="0033223D"/>
    <w:rsid w:val="003322A9"/>
    <w:rsid w:val="003322B9"/>
    <w:rsid w:val="003322DE"/>
    <w:rsid w:val="003323E1"/>
    <w:rsid w:val="003324B5"/>
    <w:rsid w:val="003324E2"/>
    <w:rsid w:val="00332555"/>
    <w:rsid w:val="00332606"/>
    <w:rsid w:val="003327C8"/>
    <w:rsid w:val="003328F2"/>
    <w:rsid w:val="00332A1E"/>
    <w:rsid w:val="00332A50"/>
    <w:rsid w:val="00332A69"/>
    <w:rsid w:val="00332A7A"/>
    <w:rsid w:val="00332BC1"/>
    <w:rsid w:val="00332C29"/>
    <w:rsid w:val="00332C3D"/>
    <w:rsid w:val="00332C8A"/>
    <w:rsid w:val="00332D4C"/>
    <w:rsid w:val="00332D83"/>
    <w:rsid w:val="00332FAC"/>
    <w:rsid w:val="00333034"/>
    <w:rsid w:val="003330CC"/>
    <w:rsid w:val="00333161"/>
    <w:rsid w:val="003332E9"/>
    <w:rsid w:val="00333348"/>
    <w:rsid w:val="003335C6"/>
    <w:rsid w:val="00333633"/>
    <w:rsid w:val="0033367B"/>
    <w:rsid w:val="003336C5"/>
    <w:rsid w:val="0033385A"/>
    <w:rsid w:val="0033386D"/>
    <w:rsid w:val="003338B4"/>
    <w:rsid w:val="0033392F"/>
    <w:rsid w:val="003339C1"/>
    <w:rsid w:val="00333A0C"/>
    <w:rsid w:val="00333B61"/>
    <w:rsid w:val="00333B72"/>
    <w:rsid w:val="00333C01"/>
    <w:rsid w:val="00333C27"/>
    <w:rsid w:val="00333C9F"/>
    <w:rsid w:val="00333DD1"/>
    <w:rsid w:val="00333E91"/>
    <w:rsid w:val="00333EBA"/>
    <w:rsid w:val="00333F1B"/>
    <w:rsid w:val="00334202"/>
    <w:rsid w:val="0033425F"/>
    <w:rsid w:val="0033436B"/>
    <w:rsid w:val="003343D3"/>
    <w:rsid w:val="003343EF"/>
    <w:rsid w:val="0033443E"/>
    <w:rsid w:val="003344AD"/>
    <w:rsid w:val="003344D3"/>
    <w:rsid w:val="0033454E"/>
    <w:rsid w:val="0033456A"/>
    <w:rsid w:val="003346DE"/>
    <w:rsid w:val="003348BC"/>
    <w:rsid w:val="003348CD"/>
    <w:rsid w:val="003349CE"/>
    <w:rsid w:val="00334B4D"/>
    <w:rsid w:val="00334CC5"/>
    <w:rsid w:val="00334D1E"/>
    <w:rsid w:val="00334EB0"/>
    <w:rsid w:val="00334EC6"/>
    <w:rsid w:val="00334EF2"/>
    <w:rsid w:val="00335069"/>
    <w:rsid w:val="00335172"/>
    <w:rsid w:val="0033519C"/>
    <w:rsid w:val="003351AD"/>
    <w:rsid w:val="00335219"/>
    <w:rsid w:val="003352BF"/>
    <w:rsid w:val="0033548E"/>
    <w:rsid w:val="003354E3"/>
    <w:rsid w:val="003354F2"/>
    <w:rsid w:val="00335690"/>
    <w:rsid w:val="00335770"/>
    <w:rsid w:val="003358EF"/>
    <w:rsid w:val="00335966"/>
    <w:rsid w:val="003359DF"/>
    <w:rsid w:val="00335A44"/>
    <w:rsid w:val="00335B00"/>
    <w:rsid w:val="00335C4B"/>
    <w:rsid w:val="00335C8E"/>
    <w:rsid w:val="00335D06"/>
    <w:rsid w:val="00335D0E"/>
    <w:rsid w:val="003360CD"/>
    <w:rsid w:val="00336162"/>
    <w:rsid w:val="00336168"/>
    <w:rsid w:val="003362DB"/>
    <w:rsid w:val="00336348"/>
    <w:rsid w:val="00336371"/>
    <w:rsid w:val="0033638A"/>
    <w:rsid w:val="003363F2"/>
    <w:rsid w:val="00336420"/>
    <w:rsid w:val="003364DC"/>
    <w:rsid w:val="00336691"/>
    <w:rsid w:val="00336842"/>
    <w:rsid w:val="003368BD"/>
    <w:rsid w:val="003369D4"/>
    <w:rsid w:val="00336B54"/>
    <w:rsid w:val="00336DB0"/>
    <w:rsid w:val="00336E47"/>
    <w:rsid w:val="00336E62"/>
    <w:rsid w:val="00336F3A"/>
    <w:rsid w:val="0033709F"/>
    <w:rsid w:val="00337366"/>
    <w:rsid w:val="003375B6"/>
    <w:rsid w:val="00337634"/>
    <w:rsid w:val="00337777"/>
    <w:rsid w:val="0033789A"/>
    <w:rsid w:val="003378BA"/>
    <w:rsid w:val="00337A25"/>
    <w:rsid w:val="00337A41"/>
    <w:rsid w:val="00337AA2"/>
    <w:rsid w:val="00337BE6"/>
    <w:rsid w:val="00337C67"/>
    <w:rsid w:val="00337C76"/>
    <w:rsid w:val="00337C8D"/>
    <w:rsid w:val="00337D47"/>
    <w:rsid w:val="00337D4C"/>
    <w:rsid w:val="00337E75"/>
    <w:rsid w:val="00340005"/>
    <w:rsid w:val="00340042"/>
    <w:rsid w:val="00340061"/>
    <w:rsid w:val="0034024A"/>
    <w:rsid w:val="00340318"/>
    <w:rsid w:val="00340331"/>
    <w:rsid w:val="00340397"/>
    <w:rsid w:val="003403A4"/>
    <w:rsid w:val="0034049E"/>
    <w:rsid w:val="003404A3"/>
    <w:rsid w:val="003406CB"/>
    <w:rsid w:val="00340766"/>
    <w:rsid w:val="003407B2"/>
    <w:rsid w:val="003407FA"/>
    <w:rsid w:val="00340848"/>
    <w:rsid w:val="003409E7"/>
    <w:rsid w:val="00340B44"/>
    <w:rsid w:val="00340BD4"/>
    <w:rsid w:val="00340D84"/>
    <w:rsid w:val="0034102A"/>
    <w:rsid w:val="003410FA"/>
    <w:rsid w:val="003411A8"/>
    <w:rsid w:val="003411DF"/>
    <w:rsid w:val="0034121C"/>
    <w:rsid w:val="0034129C"/>
    <w:rsid w:val="00341305"/>
    <w:rsid w:val="0034132C"/>
    <w:rsid w:val="00341357"/>
    <w:rsid w:val="00341659"/>
    <w:rsid w:val="003416CF"/>
    <w:rsid w:val="003416ED"/>
    <w:rsid w:val="003417A5"/>
    <w:rsid w:val="0034199E"/>
    <w:rsid w:val="00341AAF"/>
    <w:rsid w:val="00341B60"/>
    <w:rsid w:val="00341C13"/>
    <w:rsid w:val="00341DE6"/>
    <w:rsid w:val="00341E4C"/>
    <w:rsid w:val="00342004"/>
    <w:rsid w:val="00342249"/>
    <w:rsid w:val="003422E3"/>
    <w:rsid w:val="003423CC"/>
    <w:rsid w:val="003423ED"/>
    <w:rsid w:val="003423FC"/>
    <w:rsid w:val="0034241C"/>
    <w:rsid w:val="003424A9"/>
    <w:rsid w:val="003424D4"/>
    <w:rsid w:val="003425C6"/>
    <w:rsid w:val="00342606"/>
    <w:rsid w:val="00342612"/>
    <w:rsid w:val="0034263D"/>
    <w:rsid w:val="00342692"/>
    <w:rsid w:val="0034272A"/>
    <w:rsid w:val="00342861"/>
    <w:rsid w:val="00342910"/>
    <w:rsid w:val="003429FB"/>
    <w:rsid w:val="00342C64"/>
    <w:rsid w:val="00342D40"/>
    <w:rsid w:val="00342E1C"/>
    <w:rsid w:val="00342E65"/>
    <w:rsid w:val="00342F5F"/>
    <w:rsid w:val="0034300F"/>
    <w:rsid w:val="00343100"/>
    <w:rsid w:val="00343165"/>
    <w:rsid w:val="0034322D"/>
    <w:rsid w:val="00343313"/>
    <w:rsid w:val="0034337E"/>
    <w:rsid w:val="0034337F"/>
    <w:rsid w:val="00343398"/>
    <w:rsid w:val="00343429"/>
    <w:rsid w:val="0034343D"/>
    <w:rsid w:val="0034345E"/>
    <w:rsid w:val="0034364C"/>
    <w:rsid w:val="00343732"/>
    <w:rsid w:val="00343A34"/>
    <w:rsid w:val="00343A88"/>
    <w:rsid w:val="00343B27"/>
    <w:rsid w:val="00343BA1"/>
    <w:rsid w:val="00343BC7"/>
    <w:rsid w:val="00343C46"/>
    <w:rsid w:val="00343DFD"/>
    <w:rsid w:val="00343E08"/>
    <w:rsid w:val="00343E19"/>
    <w:rsid w:val="00343E59"/>
    <w:rsid w:val="00343ED8"/>
    <w:rsid w:val="00344070"/>
    <w:rsid w:val="00344140"/>
    <w:rsid w:val="00344158"/>
    <w:rsid w:val="0034416A"/>
    <w:rsid w:val="003442A8"/>
    <w:rsid w:val="003443C2"/>
    <w:rsid w:val="003445A2"/>
    <w:rsid w:val="003446A8"/>
    <w:rsid w:val="0034476F"/>
    <w:rsid w:val="0034478E"/>
    <w:rsid w:val="003447EF"/>
    <w:rsid w:val="0034488A"/>
    <w:rsid w:val="00344972"/>
    <w:rsid w:val="00344CCA"/>
    <w:rsid w:val="00344CD9"/>
    <w:rsid w:val="00344DD5"/>
    <w:rsid w:val="00344FA0"/>
    <w:rsid w:val="00344FAD"/>
    <w:rsid w:val="00344FDD"/>
    <w:rsid w:val="003450EB"/>
    <w:rsid w:val="003450F1"/>
    <w:rsid w:val="00345133"/>
    <w:rsid w:val="0034529C"/>
    <w:rsid w:val="00345420"/>
    <w:rsid w:val="00345606"/>
    <w:rsid w:val="0034567A"/>
    <w:rsid w:val="00345821"/>
    <w:rsid w:val="00345870"/>
    <w:rsid w:val="00345924"/>
    <w:rsid w:val="00345971"/>
    <w:rsid w:val="003459B8"/>
    <w:rsid w:val="00345A7D"/>
    <w:rsid w:val="00345B59"/>
    <w:rsid w:val="00345C04"/>
    <w:rsid w:val="00345C1E"/>
    <w:rsid w:val="00345C6B"/>
    <w:rsid w:val="00345D4F"/>
    <w:rsid w:val="00345E38"/>
    <w:rsid w:val="00345E6C"/>
    <w:rsid w:val="00346347"/>
    <w:rsid w:val="00346367"/>
    <w:rsid w:val="00346499"/>
    <w:rsid w:val="0034649F"/>
    <w:rsid w:val="003464BA"/>
    <w:rsid w:val="003464DA"/>
    <w:rsid w:val="003464F9"/>
    <w:rsid w:val="0034651E"/>
    <w:rsid w:val="003465A4"/>
    <w:rsid w:val="00346865"/>
    <w:rsid w:val="00346867"/>
    <w:rsid w:val="00346BF6"/>
    <w:rsid w:val="00346CBB"/>
    <w:rsid w:val="00346CCD"/>
    <w:rsid w:val="00346DEF"/>
    <w:rsid w:val="00346E73"/>
    <w:rsid w:val="00346F97"/>
    <w:rsid w:val="00347010"/>
    <w:rsid w:val="00347074"/>
    <w:rsid w:val="00347202"/>
    <w:rsid w:val="00347422"/>
    <w:rsid w:val="003474C4"/>
    <w:rsid w:val="003474DC"/>
    <w:rsid w:val="00347535"/>
    <w:rsid w:val="00347594"/>
    <w:rsid w:val="003475B7"/>
    <w:rsid w:val="0034772A"/>
    <w:rsid w:val="003478AD"/>
    <w:rsid w:val="00347910"/>
    <w:rsid w:val="003479AA"/>
    <w:rsid w:val="00347B8D"/>
    <w:rsid w:val="00347BC0"/>
    <w:rsid w:val="00347E31"/>
    <w:rsid w:val="00347F22"/>
    <w:rsid w:val="00350099"/>
    <w:rsid w:val="00350206"/>
    <w:rsid w:val="0035021A"/>
    <w:rsid w:val="003502A5"/>
    <w:rsid w:val="0035031B"/>
    <w:rsid w:val="0035042C"/>
    <w:rsid w:val="003504F2"/>
    <w:rsid w:val="003504F6"/>
    <w:rsid w:val="00350557"/>
    <w:rsid w:val="003505A2"/>
    <w:rsid w:val="003505A7"/>
    <w:rsid w:val="003507DB"/>
    <w:rsid w:val="00350930"/>
    <w:rsid w:val="00350959"/>
    <w:rsid w:val="0035095E"/>
    <w:rsid w:val="003509DF"/>
    <w:rsid w:val="00350A08"/>
    <w:rsid w:val="00350A7D"/>
    <w:rsid w:val="00350AAC"/>
    <w:rsid w:val="00350B9A"/>
    <w:rsid w:val="00350C5C"/>
    <w:rsid w:val="00350C93"/>
    <w:rsid w:val="00350CA9"/>
    <w:rsid w:val="00350DBD"/>
    <w:rsid w:val="00350EDF"/>
    <w:rsid w:val="00350F12"/>
    <w:rsid w:val="00350F71"/>
    <w:rsid w:val="00351011"/>
    <w:rsid w:val="00351048"/>
    <w:rsid w:val="0035108D"/>
    <w:rsid w:val="003510AB"/>
    <w:rsid w:val="003510EA"/>
    <w:rsid w:val="0035111B"/>
    <w:rsid w:val="0035116A"/>
    <w:rsid w:val="0035116E"/>
    <w:rsid w:val="00351224"/>
    <w:rsid w:val="00351298"/>
    <w:rsid w:val="00351413"/>
    <w:rsid w:val="00351681"/>
    <w:rsid w:val="003516F5"/>
    <w:rsid w:val="003516FD"/>
    <w:rsid w:val="003518C0"/>
    <w:rsid w:val="00351937"/>
    <w:rsid w:val="0035198E"/>
    <w:rsid w:val="00351A3C"/>
    <w:rsid w:val="00351B27"/>
    <w:rsid w:val="00351B62"/>
    <w:rsid w:val="00351B7D"/>
    <w:rsid w:val="00351BA1"/>
    <w:rsid w:val="00351BCD"/>
    <w:rsid w:val="00351BD1"/>
    <w:rsid w:val="00351BE7"/>
    <w:rsid w:val="00351C36"/>
    <w:rsid w:val="00351C8D"/>
    <w:rsid w:val="00351CBC"/>
    <w:rsid w:val="00351E4D"/>
    <w:rsid w:val="00351E52"/>
    <w:rsid w:val="00351F76"/>
    <w:rsid w:val="003520DE"/>
    <w:rsid w:val="00352153"/>
    <w:rsid w:val="00352302"/>
    <w:rsid w:val="00352337"/>
    <w:rsid w:val="003523D7"/>
    <w:rsid w:val="003523F6"/>
    <w:rsid w:val="00352449"/>
    <w:rsid w:val="00352606"/>
    <w:rsid w:val="00352674"/>
    <w:rsid w:val="003526FA"/>
    <w:rsid w:val="003527A9"/>
    <w:rsid w:val="00352825"/>
    <w:rsid w:val="003528D2"/>
    <w:rsid w:val="003529E4"/>
    <w:rsid w:val="00352A7E"/>
    <w:rsid w:val="00352AC4"/>
    <w:rsid w:val="00352B0D"/>
    <w:rsid w:val="00352B29"/>
    <w:rsid w:val="00352C56"/>
    <w:rsid w:val="00352C69"/>
    <w:rsid w:val="00352CCC"/>
    <w:rsid w:val="00352D68"/>
    <w:rsid w:val="00352E8D"/>
    <w:rsid w:val="00352EE0"/>
    <w:rsid w:val="0035305F"/>
    <w:rsid w:val="00353158"/>
    <w:rsid w:val="00353316"/>
    <w:rsid w:val="0035332C"/>
    <w:rsid w:val="0035333B"/>
    <w:rsid w:val="00353372"/>
    <w:rsid w:val="00353381"/>
    <w:rsid w:val="003533F2"/>
    <w:rsid w:val="00353436"/>
    <w:rsid w:val="00353479"/>
    <w:rsid w:val="00353497"/>
    <w:rsid w:val="003534CC"/>
    <w:rsid w:val="003534F6"/>
    <w:rsid w:val="00353581"/>
    <w:rsid w:val="00353655"/>
    <w:rsid w:val="0035366B"/>
    <w:rsid w:val="00353677"/>
    <w:rsid w:val="003536E8"/>
    <w:rsid w:val="003536FE"/>
    <w:rsid w:val="003537EB"/>
    <w:rsid w:val="0035381E"/>
    <w:rsid w:val="00353A8F"/>
    <w:rsid w:val="00353B52"/>
    <w:rsid w:val="00353CB7"/>
    <w:rsid w:val="00353CCC"/>
    <w:rsid w:val="00353D4F"/>
    <w:rsid w:val="00353DA8"/>
    <w:rsid w:val="00353DDB"/>
    <w:rsid w:val="00353E2F"/>
    <w:rsid w:val="0035401C"/>
    <w:rsid w:val="0035403A"/>
    <w:rsid w:val="0035406D"/>
    <w:rsid w:val="00354107"/>
    <w:rsid w:val="0035442F"/>
    <w:rsid w:val="00354448"/>
    <w:rsid w:val="00354501"/>
    <w:rsid w:val="00354575"/>
    <w:rsid w:val="00354683"/>
    <w:rsid w:val="00354757"/>
    <w:rsid w:val="0035478F"/>
    <w:rsid w:val="003547A4"/>
    <w:rsid w:val="00354881"/>
    <w:rsid w:val="003549CE"/>
    <w:rsid w:val="00354A5E"/>
    <w:rsid w:val="00354B23"/>
    <w:rsid w:val="00354B4A"/>
    <w:rsid w:val="00354BA7"/>
    <w:rsid w:val="00354F73"/>
    <w:rsid w:val="0035509A"/>
    <w:rsid w:val="00355136"/>
    <w:rsid w:val="003551D1"/>
    <w:rsid w:val="003552FA"/>
    <w:rsid w:val="00355339"/>
    <w:rsid w:val="003553B3"/>
    <w:rsid w:val="00355462"/>
    <w:rsid w:val="00355498"/>
    <w:rsid w:val="003554B1"/>
    <w:rsid w:val="0035552A"/>
    <w:rsid w:val="00355556"/>
    <w:rsid w:val="00355591"/>
    <w:rsid w:val="003555BE"/>
    <w:rsid w:val="003555D3"/>
    <w:rsid w:val="00355620"/>
    <w:rsid w:val="00355625"/>
    <w:rsid w:val="0035577E"/>
    <w:rsid w:val="00355793"/>
    <w:rsid w:val="003557CF"/>
    <w:rsid w:val="0035584D"/>
    <w:rsid w:val="003559B3"/>
    <w:rsid w:val="00355B30"/>
    <w:rsid w:val="00355D48"/>
    <w:rsid w:val="00355DB9"/>
    <w:rsid w:val="00355E0C"/>
    <w:rsid w:val="00355E8F"/>
    <w:rsid w:val="00355F75"/>
    <w:rsid w:val="00355FB9"/>
    <w:rsid w:val="00355FDE"/>
    <w:rsid w:val="00356073"/>
    <w:rsid w:val="003560F1"/>
    <w:rsid w:val="003562F2"/>
    <w:rsid w:val="0035641E"/>
    <w:rsid w:val="00356578"/>
    <w:rsid w:val="00356733"/>
    <w:rsid w:val="003567A0"/>
    <w:rsid w:val="00356821"/>
    <w:rsid w:val="0035696E"/>
    <w:rsid w:val="0035697C"/>
    <w:rsid w:val="00356A14"/>
    <w:rsid w:val="00356A92"/>
    <w:rsid w:val="00356C63"/>
    <w:rsid w:val="00356D28"/>
    <w:rsid w:val="00356F01"/>
    <w:rsid w:val="00356F04"/>
    <w:rsid w:val="00356FF3"/>
    <w:rsid w:val="00357155"/>
    <w:rsid w:val="00357272"/>
    <w:rsid w:val="00357278"/>
    <w:rsid w:val="00357330"/>
    <w:rsid w:val="003573EC"/>
    <w:rsid w:val="003574AB"/>
    <w:rsid w:val="0035751B"/>
    <w:rsid w:val="0035756C"/>
    <w:rsid w:val="00357656"/>
    <w:rsid w:val="0035771C"/>
    <w:rsid w:val="00357795"/>
    <w:rsid w:val="00357ABC"/>
    <w:rsid w:val="00357B47"/>
    <w:rsid w:val="00357B7A"/>
    <w:rsid w:val="00357BB4"/>
    <w:rsid w:val="00357C02"/>
    <w:rsid w:val="00357CB9"/>
    <w:rsid w:val="00357CCE"/>
    <w:rsid w:val="00357CE5"/>
    <w:rsid w:val="00357D08"/>
    <w:rsid w:val="00357DA4"/>
    <w:rsid w:val="003600A9"/>
    <w:rsid w:val="003600E2"/>
    <w:rsid w:val="00360274"/>
    <w:rsid w:val="003602F7"/>
    <w:rsid w:val="00360495"/>
    <w:rsid w:val="00360507"/>
    <w:rsid w:val="00360554"/>
    <w:rsid w:val="00360598"/>
    <w:rsid w:val="0036065F"/>
    <w:rsid w:val="003606A4"/>
    <w:rsid w:val="003606B8"/>
    <w:rsid w:val="0036078A"/>
    <w:rsid w:val="003607B7"/>
    <w:rsid w:val="003607DC"/>
    <w:rsid w:val="003609D5"/>
    <w:rsid w:val="00360A5F"/>
    <w:rsid w:val="00360A82"/>
    <w:rsid w:val="00360BA7"/>
    <w:rsid w:val="00360BCB"/>
    <w:rsid w:val="00360DE1"/>
    <w:rsid w:val="00360E84"/>
    <w:rsid w:val="00360ECC"/>
    <w:rsid w:val="00360ED6"/>
    <w:rsid w:val="00360FFE"/>
    <w:rsid w:val="00361095"/>
    <w:rsid w:val="003610AD"/>
    <w:rsid w:val="003611D5"/>
    <w:rsid w:val="003611EB"/>
    <w:rsid w:val="0036124A"/>
    <w:rsid w:val="00361306"/>
    <w:rsid w:val="0036133C"/>
    <w:rsid w:val="00361403"/>
    <w:rsid w:val="00361511"/>
    <w:rsid w:val="00361692"/>
    <w:rsid w:val="00361803"/>
    <w:rsid w:val="003618A6"/>
    <w:rsid w:val="003618BC"/>
    <w:rsid w:val="00361944"/>
    <w:rsid w:val="00361C0F"/>
    <w:rsid w:val="00361CAC"/>
    <w:rsid w:val="00361CF9"/>
    <w:rsid w:val="00361E6B"/>
    <w:rsid w:val="00361EFF"/>
    <w:rsid w:val="00361F24"/>
    <w:rsid w:val="00361F28"/>
    <w:rsid w:val="00361FD5"/>
    <w:rsid w:val="00362004"/>
    <w:rsid w:val="003620CF"/>
    <w:rsid w:val="003620E4"/>
    <w:rsid w:val="0036213B"/>
    <w:rsid w:val="00362288"/>
    <w:rsid w:val="0036230C"/>
    <w:rsid w:val="0036255C"/>
    <w:rsid w:val="00362599"/>
    <w:rsid w:val="003625B2"/>
    <w:rsid w:val="0036274A"/>
    <w:rsid w:val="00362790"/>
    <w:rsid w:val="003627CC"/>
    <w:rsid w:val="003627E3"/>
    <w:rsid w:val="003627E5"/>
    <w:rsid w:val="00362930"/>
    <w:rsid w:val="00362971"/>
    <w:rsid w:val="00362B64"/>
    <w:rsid w:val="00362BB1"/>
    <w:rsid w:val="00362C66"/>
    <w:rsid w:val="00362E89"/>
    <w:rsid w:val="00363042"/>
    <w:rsid w:val="003630C2"/>
    <w:rsid w:val="0036315C"/>
    <w:rsid w:val="00363208"/>
    <w:rsid w:val="0036321D"/>
    <w:rsid w:val="003634F8"/>
    <w:rsid w:val="00363505"/>
    <w:rsid w:val="003635A6"/>
    <w:rsid w:val="0036367B"/>
    <w:rsid w:val="0036381B"/>
    <w:rsid w:val="003638FF"/>
    <w:rsid w:val="003639CE"/>
    <w:rsid w:val="00363BD6"/>
    <w:rsid w:val="00363C6B"/>
    <w:rsid w:val="00363E53"/>
    <w:rsid w:val="00364031"/>
    <w:rsid w:val="003640DB"/>
    <w:rsid w:val="0036423C"/>
    <w:rsid w:val="00364288"/>
    <w:rsid w:val="0036429E"/>
    <w:rsid w:val="003642C5"/>
    <w:rsid w:val="003643EE"/>
    <w:rsid w:val="00364412"/>
    <w:rsid w:val="0036450B"/>
    <w:rsid w:val="0036458F"/>
    <w:rsid w:val="003645A4"/>
    <w:rsid w:val="00364646"/>
    <w:rsid w:val="0036468A"/>
    <w:rsid w:val="003646DA"/>
    <w:rsid w:val="0036488D"/>
    <w:rsid w:val="003648B4"/>
    <w:rsid w:val="00364940"/>
    <w:rsid w:val="00364978"/>
    <w:rsid w:val="00364A08"/>
    <w:rsid w:val="00364A1D"/>
    <w:rsid w:val="00364A25"/>
    <w:rsid w:val="00364A88"/>
    <w:rsid w:val="00364AA6"/>
    <w:rsid w:val="00364B79"/>
    <w:rsid w:val="00364C00"/>
    <w:rsid w:val="00364E27"/>
    <w:rsid w:val="00364EA0"/>
    <w:rsid w:val="00364F45"/>
    <w:rsid w:val="00365020"/>
    <w:rsid w:val="00365073"/>
    <w:rsid w:val="00365098"/>
    <w:rsid w:val="0036518D"/>
    <w:rsid w:val="00365247"/>
    <w:rsid w:val="0036530E"/>
    <w:rsid w:val="00365418"/>
    <w:rsid w:val="0036545B"/>
    <w:rsid w:val="003655F8"/>
    <w:rsid w:val="0036563F"/>
    <w:rsid w:val="00365642"/>
    <w:rsid w:val="0036569D"/>
    <w:rsid w:val="003657F7"/>
    <w:rsid w:val="003658A3"/>
    <w:rsid w:val="003658CC"/>
    <w:rsid w:val="00365ABE"/>
    <w:rsid w:val="00365B7B"/>
    <w:rsid w:val="00365CBF"/>
    <w:rsid w:val="00365F6A"/>
    <w:rsid w:val="00366040"/>
    <w:rsid w:val="003660C5"/>
    <w:rsid w:val="003661E5"/>
    <w:rsid w:val="00366337"/>
    <w:rsid w:val="0036644C"/>
    <w:rsid w:val="00366517"/>
    <w:rsid w:val="0036662D"/>
    <w:rsid w:val="0036664B"/>
    <w:rsid w:val="0036680E"/>
    <w:rsid w:val="0036688D"/>
    <w:rsid w:val="003668C8"/>
    <w:rsid w:val="0036692E"/>
    <w:rsid w:val="0036694E"/>
    <w:rsid w:val="00366A51"/>
    <w:rsid w:val="00366AB0"/>
    <w:rsid w:val="00366C3C"/>
    <w:rsid w:val="00366CF5"/>
    <w:rsid w:val="00366D05"/>
    <w:rsid w:val="00366D4D"/>
    <w:rsid w:val="00366DF5"/>
    <w:rsid w:val="00366E8B"/>
    <w:rsid w:val="00367037"/>
    <w:rsid w:val="00367123"/>
    <w:rsid w:val="00367172"/>
    <w:rsid w:val="003671FC"/>
    <w:rsid w:val="0036727F"/>
    <w:rsid w:val="00367375"/>
    <w:rsid w:val="00367529"/>
    <w:rsid w:val="0036776E"/>
    <w:rsid w:val="00367824"/>
    <w:rsid w:val="003678FF"/>
    <w:rsid w:val="00367EF6"/>
    <w:rsid w:val="00367FDA"/>
    <w:rsid w:val="00370091"/>
    <w:rsid w:val="003701C9"/>
    <w:rsid w:val="0037049D"/>
    <w:rsid w:val="003704F0"/>
    <w:rsid w:val="00370536"/>
    <w:rsid w:val="00370596"/>
    <w:rsid w:val="0037062B"/>
    <w:rsid w:val="00370684"/>
    <w:rsid w:val="003707D8"/>
    <w:rsid w:val="003708F0"/>
    <w:rsid w:val="00370AD0"/>
    <w:rsid w:val="00370AFC"/>
    <w:rsid w:val="00370C02"/>
    <w:rsid w:val="00370C0F"/>
    <w:rsid w:val="00370C45"/>
    <w:rsid w:val="00370CD3"/>
    <w:rsid w:val="00370FF9"/>
    <w:rsid w:val="00371096"/>
    <w:rsid w:val="003710B3"/>
    <w:rsid w:val="003710FA"/>
    <w:rsid w:val="003711B0"/>
    <w:rsid w:val="0037122C"/>
    <w:rsid w:val="003712C0"/>
    <w:rsid w:val="003712F2"/>
    <w:rsid w:val="003712F7"/>
    <w:rsid w:val="00371465"/>
    <w:rsid w:val="003714A8"/>
    <w:rsid w:val="003714FB"/>
    <w:rsid w:val="00371562"/>
    <w:rsid w:val="003715DB"/>
    <w:rsid w:val="003716B3"/>
    <w:rsid w:val="0037170E"/>
    <w:rsid w:val="00371940"/>
    <w:rsid w:val="003719EA"/>
    <w:rsid w:val="003719FB"/>
    <w:rsid w:val="00371A55"/>
    <w:rsid w:val="00371AC5"/>
    <w:rsid w:val="00371D76"/>
    <w:rsid w:val="00371E42"/>
    <w:rsid w:val="00371EC8"/>
    <w:rsid w:val="00372188"/>
    <w:rsid w:val="003721CD"/>
    <w:rsid w:val="00372241"/>
    <w:rsid w:val="003722E5"/>
    <w:rsid w:val="003722ED"/>
    <w:rsid w:val="003723A0"/>
    <w:rsid w:val="003724A2"/>
    <w:rsid w:val="003724C1"/>
    <w:rsid w:val="0037250D"/>
    <w:rsid w:val="003726D0"/>
    <w:rsid w:val="00372722"/>
    <w:rsid w:val="00372784"/>
    <w:rsid w:val="003728FA"/>
    <w:rsid w:val="00372923"/>
    <w:rsid w:val="00372938"/>
    <w:rsid w:val="0037293E"/>
    <w:rsid w:val="00372B29"/>
    <w:rsid w:val="00372B9B"/>
    <w:rsid w:val="00372BB3"/>
    <w:rsid w:val="00372CF5"/>
    <w:rsid w:val="00372D28"/>
    <w:rsid w:val="00372E03"/>
    <w:rsid w:val="00372F42"/>
    <w:rsid w:val="00372F9D"/>
    <w:rsid w:val="00373023"/>
    <w:rsid w:val="003731A4"/>
    <w:rsid w:val="003731F1"/>
    <w:rsid w:val="003732B5"/>
    <w:rsid w:val="003733EC"/>
    <w:rsid w:val="0037345D"/>
    <w:rsid w:val="0037356D"/>
    <w:rsid w:val="003735BD"/>
    <w:rsid w:val="003735EF"/>
    <w:rsid w:val="003737BB"/>
    <w:rsid w:val="003737F6"/>
    <w:rsid w:val="0037390F"/>
    <w:rsid w:val="00373999"/>
    <w:rsid w:val="003739FB"/>
    <w:rsid w:val="00373A24"/>
    <w:rsid w:val="00373AAA"/>
    <w:rsid w:val="00373AC7"/>
    <w:rsid w:val="00373B32"/>
    <w:rsid w:val="00373BAA"/>
    <w:rsid w:val="00373CAF"/>
    <w:rsid w:val="00373CED"/>
    <w:rsid w:val="00373D2F"/>
    <w:rsid w:val="00373E7C"/>
    <w:rsid w:val="00373EF9"/>
    <w:rsid w:val="00373FC8"/>
    <w:rsid w:val="00374050"/>
    <w:rsid w:val="003741C1"/>
    <w:rsid w:val="00374237"/>
    <w:rsid w:val="003742AF"/>
    <w:rsid w:val="00374349"/>
    <w:rsid w:val="003743E5"/>
    <w:rsid w:val="003744A0"/>
    <w:rsid w:val="00374515"/>
    <w:rsid w:val="00374582"/>
    <w:rsid w:val="003745A8"/>
    <w:rsid w:val="00374668"/>
    <w:rsid w:val="00374671"/>
    <w:rsid w:val="003746C1"/>
    <w:rsid w:val="003747BC"/>
    <w:rsid w:val="0037484E"/>
    <w:rsid w:val="00374851"/>
    <w:rsid w:val="00374866"/>
    <w:rsid w:val="00374868"/>
    <w:rsid w:val="00374A12"/>
    <w:rsid w:val="00374A69"/>
    <w:rsid w:val="00374AA0"/>
    <w:rsid w:val="00374C67"/>
    <w:rsid w:val="00374C76"/>
    <w:rsid w:val="00374CB2"/>
    <w:rsid w:val="00374CF2"/>
    <w:rsid w:val="00374D24"/>
    <w:rsid w:val="00374D68"/>
    <w:rsid w:val="00374EDB"/>
    <w:rsid w:val="00374F80"/>
    <w:rsid w:val="00374FEC"/>
    <w:rsid w:val="0037518E"/>
    <w:rsid w:val="003752C8"/>
    <w:rsid w:val="003753EC"/>
    <w:rsid w:val="00375427"/>
    <w:rsid w:val="0037547C"/>
    <w:rsid w:val="0037549E"/>
    <w:rsid w:val="003754A4"/>
    <w:rsid w:val="00375519"/>
    <w:rsid w:val="003755A2"/>
    <w:rsid w:val="003755ED"/>
    <w:rsid w:val="003756D0"/>
    <w:rsid w:val="0037583D"/>
    <w:rsid w:val="00375DCA"/>
    <w:rsid w:val="00375DD2"/>
    <w:rsid w:val="00375E3F"/>
    <w:rsid w:val="00375E88"/>
    <w:rsid w:val="00376034"/>
    <w:rsid w:val="003761BC"/>
    <w:rsid w:val="003762BA"/>
    <w:rsid w:val="00376307"/>
    <w:rsid w:val="003763B9"/>
    <w:rsid w:val="00376455"/>
    <w:rsid w:val="00376485"/>
    <w:rsid w:val="003764DC"/>
    <w:rsid w:val="00376670"/>
    <w:rsid w:val="0037672F"/>
    <w:rsid w:val="00376968"/>
    <w:rsid w:val="00376A43"/>
    <w:rsid w:val="00376A98"/>
    <w:rsid w:val="00376ACE"/>
    <w:rsid w:val="00376B80"/>
    <w:rsid w:val="00376B8F"/>
    <w:rsid w:val="00376BA2"/>
    <w:rsid w:val="00376C10"/>
    <w:rsid w:val="00376C45"/>
    <w:rsid w:val="00376C50"/>
    <w:rsid w:val="00376C53"/>
    <w:rsid w:val="00376D46"/>
    <w:rsid w:val="00376DCC"/>
    <w:rsid w:val="00376DF3"/>
    <w:rsid w:val="00376EAE"/>
    <w:rsid w:val="00376FB0"/>
    <w:rsid w:val="00377031"/>
    <w:rsid w:val="00377078"/>
    <w:rsid w:val="0037708E"/>
    <w:rsid w:val="003773B7"/>
    <w:rsid w:val="00377660"/>
    <w:rsid w:val="0037772D"/>
    <w:rsid w:val="003779AD"/>
    <w:rsid w:val="00377A10"/>
    <w:rsid w:val="00377CB1"/>
    <w:rsid w:val="00377D99"/>
    <w:rsid w:val="00377D9C"/>
    <w:rsid w:val="00377E48"/>
    <w:rsid w:val="00377FEC"/>
    <w:rsid w:val="00380075"/>
    <w:rsid w:val="003800D4"/>
    <w:rsid w:val="003802F9"/>
    <w:rsid w:val="0038030A"/>
    <w:rsid w:val="00380336"/>
    <w:rsid w:val="0038039C"/>
    <w:rsid w:val="003803B5"/>
    <w:rsid w:val="0038045F"/>
    <w:rsid w:val="00380514"/>
    <w:rsid w:val="003807A2"/>
    <w:rsid w:val="00380836"/>
    <w:rsid w:val="00380879"/>
    <w:rsid w:val="00380A7D"/>
    <w:rsid w:val="00380A9E"/>
    <w:rsid w:val="00380B09"/>
    <w:rsid w:val="00380C9F"/>
    <w:rsid w:val="00380CB4"/>
    <w:rsid w:val="00380E4B"/>
    <w:rsid w:val="00380F27"/>
    <w:rsid w:val="00380F77"/>
    <w:rsid w:val="00381077"/>
    <w:rsid w:val="003810C9"/>
    <w:rsid w:val="00381302"/>
    <w:rsid w:val="00381338"/>
    <w:rsid w:val="003813A4"/>
    <w:rsid w:val="003814D5"/>
    <w:rsid w:val="003815BC"/>
    <w:rsid w:val="00381627"/>
    <w:rsid w:val="0038166F"/>
    <w:rsid w:val="00381729"/>
    <w:rsid w:val="00381734"/>
    <w:rsid w:val="003817FD"/>
    <w:rsid w:val="0038190A"/>
    <w:rsid w:val="0038190F"/>
    <w:rsid w:val="00381953"/>
    <w:rsid w:val="0038195A"/>
    <w:rsid w:val="0038199C"/>
    <w:rsid w:val="00381A06"/>
    <w:rsid w:val="00381C85"/>
    <w:rsid w:val="00381F4D"/>
    <w:rsid w:val="003821D0"/>
    <w:rsid w:val="00382222"/>
    <w:rsid w:val="003822D8"/>
    <w:rsid w:val="0038238C"/>
    <w:rsid w:val="00382548"/>
    <w:rsid w:val="003825F7"/>
    <w:rsid w:val="003827FF"/>
    <w:rsid w:val="003828E9"/>
    <w:rsid w:val="003828F7"/>
    <w:rsid w:val="00382B67"/>
    <w:rsid w:val="00382DAA"/>
    <w:rsid w:val="00382E73"/>
    <w:rsid w:val="00382ED6"/>
    <w:rsid w:val="00382F30"/>
    <w:rsid w:val="00382F46"/>
    <w:rsid w:val="00382F77"/>
    <w:rsid w:val="00382FA5"/>
    <w:rsid w:val="003831B5"/>
    <w:rsid w:val="003831C9"/>
    <w:rsid w:val="003832A2"/>
    <w:rsid w:val="003832C5"/>
    <w:rsid w:val="0038333D"/>
    <w:rsid w:val="0038338D"/>
    <w:rsid w:val="0038362D"/>
    <w:rsid w:val="0038369B"/>
    <w:rsid w:val="0038375C"/>
    <w:rsid w:val="00383A24"/>
    <w:rsid w:val="00383B82"/>
    <w:rsid w:val="00383CB1"/>
    <w:rsid w:val="00383CD5"/>
    <w:rsid w:val="00383D7C"/>
    <w:rsid w:val="00383DB2"/>
    <w:rsid w:val="00383EE8"/>
    <w:rsid w:val="00383F11"/>
    <w:rsid w:val="00383F91"/>
    <w:rsid w:val="00383F93"/>
    <w:rsid w:val="00384067"/>
    <w:rsid w:val="003840EF"/>
    <w:rsid w:val="003841BF"/>
    <w:rsid w:val="00384457"/>
    <w:rsid w:val="003844FE"/>
    <w:rsid w:val="00384503"/>
    <w:rsid w:val="00384546"/>
    <w:rsid w:val="00384593"/>
    <w:rsid w:val="003847EF"/>
    <w:rsid w:val="00384829"/>
    <w:rsid w:val="00384839"/>
    <w:rsid w:val="0038496F"/>
    <w:rsid w:val="00384A5F"/>
    <w:rsid w:val="00384AD9"/>
    <w:rsid w:val="00384BDE"/>
    <w:rsid w:val="00384C53"/>
    <w:rsid w:val="00384CAB"/>
    <w:rsid w:val="00384D34"/>
    <w:rsid w:val="00384D5B"/>
    <w:rsid w:val="00384DA2"/>
    <w:rsid w:val="00384DD7"/>
    <w:rsid w:val="00384EAD"/>
    <w:rsid w:val="00384F74"/>
    <w:rsid w:val="00385168"/>
    <w:rsid w:val="00385174"/>
    <w:rsid w:val="00385206"/>
    <w:rsid w:val="00385229"/>
    <w:rsid w:val="00385247"/>
    <w:rsid w:val="003852E5"/>
    <w:rsid w:val="003852EA"/>
    <w:rsid w:val="003852EE"/>
    <w:rsid w:val="003853DD"/>
    <w:rsid w:val="00385480"/>
    <w:rsid w:val="00385540"/>
    <w:rsid w:val="0038564A"/>
    <w:rsid w:val="00385708"/>
    <w:rsid w:val="00385785"/>
    <w:rsid w:val="003858EA"/>
    <w:rsid w:val="00385AEF"/>
    <w:rsid w:val="00385B17"/>
    <w:rsid w:val="00385B8F"/>
    <w:rsid w:val="00385BA5"/>
    <w:rsid w:val="00385BEB"/>
    <w:rsid w:val="00385D55"/>
    <w:rsid w:val="00385E98"/>
    <w:rsid w:val="00385E9F"/>
    <w:rsid w:val="00385EFC"/>
    <w:rsid w:val="00385F1B"/>
    <w:rsid w:val="00386073"/>
    <w:rsid w:val="003861AF"/>
    <w:rsid w:val="00386212"/>
    <w:rsid w:val="0038622D"/>
    <w:rsid w:val="00386336"/>
    <w:rsid w:val="00386392"/>
    <w:rsid w:val="003864F0"/>
    <w:rsid w:val="003865CB"/>
    <w:rsid w:val="003865E4"/>
    <w:rsid w:val="0038664A"/>
    <w:rsid w:val="00386674"/>
    <w:rsid w:val="003866AA"/>
    <w:rsid w:val="003867D0"/>
    <w:rsid w:val="00386847"/>
    <w:rsid w:val="003868A0"/>
    <w:rsid w:val="003868D1"/>
    <w:rsid w:val="00386907"/>
    <w:rsid w:val="00386999"/>
    <w:rsid w:val="00386A33"/>
    <w:rsid w:val="00386A55"/>
    <w:rsid w:val="00386B83"/>
    <w:rsid w:val="00386BC4"/>
    <w:rsid w:val="00386C41"/>
    <w:rsid w:val="00386D0C"/>
    <w:rsid w:val="00386DA4"/>
    <w:rsid w:val="00386EA0"/>
    <w:rsid w:val="00386ECE"/>
    <w:rsid w:val="003870AD"/>
    <w:rsid w:val="00387218"/>
    <w:rsid w:val="00387219"/>
    <w:rsid w:val="00387261"/>
    <w:rsid w:val="00387422"/>
    <w:rsid w:val="00387537"/>
    <w:rsid w:val="0038765B"/>
    <w:rsid w:val="00387660"/>
    <w:rsid w:val="00387686"/>
    <w:rsid w:val="003877A5"/>
    <w:rsid w:val="003877CE"/>
    <w:rsid w:val="003878DD"/>
    <w:rsid w:val="003878F6"/>
    <w:rsid w:val="00387931"/>
    <w:rsid w:val="00387A5B"/>
    <w:rsid w:val="00387B1A"/>
    <w:rsid w:val="00387B3E"/>
    <w:rsid w:val="00387B5D"/>
    <w:rsid w:val="00387BE3"/>
    <w:rsid w:val="00387D45"/>
    <w:rsid w:val="00387E46"/>
    <w:rsid w:val="00387E63"/>
    <w:rsid w:val="00387F64"/>
    <w:rsid w:val="00390004"/>
    <w:rsid w:val="00390045"/>
    <w:rsid w:val="0039004F"/>
    <w:rsid w:val="0039005E"/>
    <w:rsid w:val="003900AB"/>
    <w:rsid w:val="00390140"/>
    <w:rsid w:val="0039015C"/>
    <w:rsid w:val="00390270"/>
    <w:rsid w:val="003902A8"/>
    <w:rsid w:val="003902C5"/>
    <w:rsid w:val="003902F7"/>
    <w:rsid w:val="0039043A"/>
    <w:rsid w:val="0039058D"/>
    <w:rsid w:val="003905B4"/>
    <w:rsid w:val="0039066F"/>
    <w:rsid w:val="00390779"/>
    <w:rsid w:val="00390905"/>
    <w:rsid w:val="00390912"/>
    <w:rsid w:val="00390A23"/>
    <w:rsid w:val="00390AC1"/>
    <w:rsid w:val="00390AC8"/>
    <w:rsid w:val="00390B0A"/>
    <w:rsid w:val="00390B7C"/>
    <w:rsid w:val="00390F7A"/>
    <w:rsid w:val="00390FCC"/>
    <w:rsid w:val="003910DD"/>
    <w:rsid w:val="003910DE"/>
    <w:rsid w:val="00391470"/>
    <w:rsid w:val="003914BF"/>
    <w:rsid w:val="0039159F"/>
    <w:rsid w:val="003915BC"/>
    <w:rsid w:val="003915FB"/>
    <w:rsid w:val="00391781"/>
    <w:rsid w:val="003917B0"/>
    <w:rsid w:val="003917F7"/>
    <w:rsid w:val="00391868"/>
    <w:rsid w:val="0039194E"/>
    <w:rsid w:val="00391A12"/>
    <w:rsid w:val="00391AAD"/>
    <w:rsid w:val="00391C03"/>
    <w:rsid w:val="00391C05"/>
    <w:rsid w:val="00391C27"/>
    <w:rsid w:val="00391C40"/>
    <w:rsid w:val="00391C8B"/>
    <w:rsid w:val="00391CC5"/>
    <w:rsid w:val="00391E84"/>
    <w:rsid w:val="00391ECC"/>
    <w:rsid w:val="00391F4B"/>
    <w:rsid w:val="00391F4D"/>
    <w:rsid w:val="003920A7"/>
    <w:rsid w:val="0039211D"/>
    <w:rsid w:val="003922E7"/>
    <w:rsid w:val="0039230C"/>
    <w:rsid w:val="00392505"/>
    <w:rsid w:val="0039266F"/>
    <w:rsid w:val="003928B0"/>
    <w:rsid w:val="00392998"/>
    <w:rsid w:val="003929F6"/>
    <w:rsid w:val="00392BFF"/>
    <w:rsid w:val="00392C8C"/>
    <w:rsid w:val="00392DE8"/>
    <w:rsid w:val="00392EBC"/>
    <w:rsid w:val="00392F94"/>
    <w:rsid w:val="00392FF0"/>
    <w:rsid w:val="0039306D"/>
    <w:rsid w:val="00393070"/>
    <w:rsid w:val="003931DE"/>
    <w:rsid w:val="003932E5"/>
    <w:rsid w:val="003933B6"/>
    <w:rsid w:val="003933F6"/>
    <w:rsid w:val="003934B8"/>
    <w:rsid w:val="00393555"/>
    <w:rsid w:val="00393561"/>
    <w:rsid w:val="0039358F"/>
    <w:rsid w:val="00393709"/>
    <w:rsid w:val="0039380B"/>
    <w:rsid w:val="003938A3"/>
    <w:rsid w:val="003938BD"/>
    <w:rsid w:val="003938CC"/>
    <w:rsid w:val="00393916"/>
    <w:rsid w:val="00393968"/>
    <w:rsid w:val="0039399D"/>
    <w:rsid w:val="00393A12"/>
    <w:rsid w:val="00393A6C"/>
    <w:rsid w:val="00393B75"/>
    <w:rsid w:val="00393B9C"/>
    <w:rsid w:val="00393BD0"/>
    <w:rsid w:val="00393BEB"/>
    <w:rsid w:val="00393C49"/>
    <w:rsid w:val="00393D29"/>
    <w:rsid w:val="00393D9A"/>
    <w:rsid w:val="00393DBC"/>
    <w:rsid w:val="00393DC7"/>
    <w:rsid w:val="00393E59"/>
    <w:rsid w:val="00393F4A"/>
    <w:rsid w:val="00393F7F"/>
    <w:rsid w:val="00394033"/>
    <w:rsid w:val="00394179"/>
    <w:rsid w:val="003941B0"/>
    <w:rsid w:val="00394454"/>
    <w:rsid w:val="0039448C"/>
    <w:rsid w:val="00394566"/>
    <w:rsid w:val="003945CE"/>
    <w:rsid w:val="0039460A"/>
    <w:rsid w:val="00394688"/>
    <w:rsid w:val="003946A7"/>
    <w:rsid w:val="003946CF"/>
    <w:rsid w:val="0039471C"/>
    <w:rsid w:val="00394720"/>
    <w:rsid w:val="00394843"/>
    <w:rsid w:val="003948DC"/>
    <w:rsid w:val="00394907"/>
    <w:rsid w:val="00394AC7"/>
    <w:rsid w:val="00394AE8"/>
    <w:rsid w:val="00394B55"/>
    <w:rsid w:val="00394BDF"/>
    <w:rsid w:val="00394BE8"/>
    <w:rsid w:val="00394CF7"/>
    <w:rsid w:val="00394CFA"/>
    <w:rsid w:val="00394FB8"/>
    <w:rsid w:val="00394FCB"/>
    <w:rsid w:val="00395002"/>
    <w:rsid w:val="0039513E"/>
    <w:rsid w:val="00395289"/>
    <w:rsid w:val="003952A5"/>
    <w:rsid w:val="003952E8"/>
    <w:rsid w:val="00395300"/>
    <w:rsid w:val="0039534A"/>
    <w:rsid w:val="003953EE"/>
    <w:rsid w:val="00395413"/>
    <w:rsid w:val="00395531"/>
    <w:rsid w:val="00395545"/>
    <w:rsid w:val="00395596"/>
    <w:rsid w:val="00395612"/>
    <w:rsid w:val="003956AD"/>
    <w:rsid w:val="003958F1"/>
    <w:rsid w:val="0039597F"/>
    <w:rsid w:val="00395AB6"/>
    <w:rsid w:val="00395AD2"/>
    <w:rsid w:val="00395B3B"/>
    <w:rsid w:val="00395B80"/>
    <w:rsid w:val="00395BB9"/>
    <w:rsid w:val="00395C01"/>
    <w:rsid w:val="00395C29"/>
    <w:rsid w:val="00395EED"/>
    <w:rsid w:val="00395F9E"/>
    <w:rsid w:val="0039605A"/>
    <w:rsid w:val="003960C2"/>
    <w:rsid w:val="003964E4"/>
    <w:rsid w:val="003965E4"/>
    <w:rsid w:val="003966FB"/>
    <w:rsid w:val="0039681D"/>
    <w:rsid w:val="003968AF"/>
    <w:rsid w:val="003969BD"/>
    <w:rsid w:val="00396AC7"/>
    <w:rsid w:val="00396ACC"/>
    <w:rsid w:val="00396B47"/>
    <w:rsid w:val="00396B68"/>
    <w:rsid w:val="00396F59"/>
    <w:rsid w:val="00396F5F"/>
    <w:rsid w:val="003970FE"/>
    <w:rsid w:val="0039712E"/>
    <w:rsid w:val="003972D9"/>
    <w:rsid w:val="003972EB"/>
    <w:rsid w:val="0039732F"/>
    <w:rsid w:val="0039744B"/>
    <w:rsid w:val="003975A8"/>
    <w:rsid w:val="003976BB"/>
    <w:rsid w:val="003976C3"/>
    <w:rsid w:val="00397708"/>
    <w:rsid w:val="0039772A"/>
    <w:rsid w:val="003979B3"/>
    <w:rsid w:val="00397B4A"/>
    <w:rsid w:val="00397B9D"/>
    <w:rsid w:val="00397BCA"/>
    <w:rsid w:val="00397C3F"/>
    <w:rsid w:val="00397D0B"/>
    <w:rsid w:val="00397E55"/>
    <w:rsid w:val="00397E70"/>
    <w:rsid w:val="00397EA5"/>
    <w:rsid w:val="00397FCF"/>
    <w:rsid w:val="003A014C"/>
    <w:rsid w:val="003A0213"/>
    <w:rsid w:val="003A024B"/>
    <w:rsid w:val="003A032B"/>
    <w:rsid w:val="003A03B9"/>
    <w:rsid w:val="003A0415"/>
    <w:rsid w:val="003A0560"/>
    <w:rsid w:val="003A06F6"/>
    <w:rsid w:val="003A07BD"/>
    <w:rsid w:val="003A093F"/>
    <w:rsid w:val="003A0962"/>
    <w:rsid w:val="003A098B"/>
    <w:rsid w:val="003A0A01"/>
    <w:rsid w:val="003A0ABD"/>
    <w:rsid w:val="003A0AF4"/>
    <w:rsid w:val="003A0B58"/>
    <w:rsid w:val="003A0D29"/>
    <w:rsid w:val="003A0EC2"/>
    <w:rsid w:val="003A0F24"/>
    <w:rsid w:val="003A10A8"/>
    <w:rsid w:val="003A10E7"/>
    <w:rsid w:val="003A110D"/>
    <w:rsid w:val="003A14F1"/>
    <w:rsid w:val="003A14F7"/>
    <w:rsid w:val="003A154D"/>
    <w:rsid w:val="003A15A4"/>
    <w:rsid w:val="003A16A3"/>
    <w:rsid w:val="003A174C"/>
    <w:rsid w:val="003A17D7"/>
    <w:rsid w:val="003A1860"/>
    <w:rsid w:val="003A1A1D"/>
    <w:rsid w:val="003A1B16"/>
    <w:rsid w:val="003A1BB7"/>
    <w:rsid w:val="003A1BDA"/>
    <w:rsid w:val="003A1C08"/>
    <w:rsid w:val="003A1CA9"/>
    <w:rsid w:val="003A1E29"/>
    <w:rsid w:val="003A1E68"/>
    <w:rsid w:val="003A1E94"/>
    <w:rsid w:val="003A206D"/>
    <w:rsid w:val="003A2105"/>
    <w:rsid w:val="003A214E"/>
    <w:rsid w:val="003A21EB"/>
    <w:rsid w:val="003A221A"/>
    <w:rsid w:val="003A2372"/>
    <w:rsid w:val="003A2487"/>
    <w:rsid w:val="003A259E"/>
    <w:rsid w:val="003A2740"/>
    <w:rsid w:val="003A2919"/>
    <w:rsid w:val="003A2C08"/>
    <w:rsid w:val="003A2C31"/>
    <w:rsid w:val="003A2C77"/>
    <w:rsid w:val="003A2DFA"/>
    <w:rsid w:val="003A2E46"/>
    <w:rsid w:val="003A2E69"/>
    <w:rsid w:val="003A300F"/>
    <w:rsid w:val="003A3199"/>
    <w:rsid w:val="003A32F9"/>
    <w:rsid w:val="003A33D0"/>
    <w:rsid w:val="003A341F"/>
    <w:rsid w:val="003A3556"/>
    <w:rsid w:val="003A3595"/>
    <w:rsid w:val="003A35CA"/>
    <w:rsid w:val="003A35CE"/>
    <w:rsid w:val="003A36E3"/>
    <w:rsid w:val="003A3701"/>
    <w:rsid w:val="003A3867"/>
    <w:rsid w:val="003A386C"/>
    <w:rsid w:val="003A3A9D"/>
    <w:rsid w:val="003A3AFB"/>
    <w:rsid w:val="003A3B16"/>
    <w:rsid w:val="003A3C8C"/>
    <w:rsid w:val="003A3C90"/>
    <w:rsid w:val="003A3E92"/>
    <w:rsid w:val="003A4060"/>
    <w:rsid w:val="003A4147"/>
    <w:rsid w:val="003A429F"/>
    <w:rsid w:val="003A437B"/>
    <w:rsid w:val="003A4413"/>
    <w:rsid w:val="003A443A"/>
    <w:rsid w:val="003A4496"/>
    <w:rsid w:val="003A457F"/>
    <w:rsid w:val="003A4625"/>
    <w:rsid w:val="003A469C"/>
    <w:rsid w:val="003A489A"/>
    <w:rsid w:val="003A49F8"/>
    <w:rsid w:val="003A4AA9"/>
    <w:rsid w:val="003A4AF6"/>
    <w:rsid w:val="003A4B88"/>
    <w:rsid w:val="003A4C8C"/>
    <w:rsid w:val="003A4D1A"/>
    <w:rsid w:val="003A4D7B"/>
    <w:rsid w:val="003A4E12"/>
    <w:rsid w:val="003A4E44"/>
    <w:rsid w:val="003A4F06"/>
    <w:rsid w:val="003A5096"/>
    <w:rsid w:val="003A50EC"/>
    <w:rsid w:val="003A51B8"/>
    <w:rsid w:val="003A51EE"/>
    <w:rsid w:val="003A5205"/>
    <w:rsid w:val="003A5303"/>
    <w:rsid w:val="003A5326"/>
    <w:rsid w:val="003A5397"/>
    <w:rsid w:val="003A53C2"/>
    <w:rsid w:val="003A545A"/>
    <w:rsid w:val="003A545B"/>
    <w:rsid w:val="003A5491"/>
    <w:rsid w:val="003A54B5"/>
    <w:rsid w:val="003A55C3"/>
    <w:rsid w:val="003A5672"/>
    <w:rsid w:val="003A56E4"/>
    <w:rsid w:val="003A5700"/>
    <w:rsid w:val="003A58A8"/>
    <w:rsid w:val="003A58F0"/>
    <w:rsid w:val="003A590F"/>
    <w:rsid w:val="003A5C1B"/>
    <w:rsid w:val="003A5C39"/>
    <w:rsid w:val="003A5CDC"/>
    <w:rsid w:val="003A5CE6"/>
    <w:rsid w:val="003A5DFB"/>
    <w:rsid w:val="003A5F02"/>
    <w:rsid w:val="003A5F82"/>
    <w:rsid w:val="003A60E7"/>
    <w:rsid w:val="003A6183"/>
    <w:rsid w:val="003A622A"/>
    <w:rsid w:val="003A6242"/>
    <w:rsid w:val="003A6262"/>
    <w:rsid w:val="003A62B1"/>
    <w:rsid w:val="003A62C5"/>
    <w:rsid w:val="003A6306"/>
    <w:rsid w:val="003A63EC"/>
    <w:rsid w:val="003A6414"/>
    <w:rsid w:val="003A645C"/>
    <w:rsid w:val="003A64C9"/>
    <w:rsid w:val="003A64E6"/>
    <w:rsid w:val="003A6597"/>
    <w:rsid w:val="003A659B"/>
    <w:rsid w:val="003A66F9"/>
    <w:rsid w:val="003A6745"/>
    <w:rsid w:val="003A674B"/>
    <w:rsid w:val="003A6901"/>
    <w:rsid w:val="003A6A73"/>
    <w:rsid w:val="003A6C66"/>
    <w:rsid w:val="003A6DA6"/>
    <w:rsid w:val="003A6DE7"/>
    <w:rsid w:val="003A6E21"/>
    <w:rsid w:val="003A6EDF"/>
    <w:rsid w:val="003A6F3C"/>
    <w:rsid w:val="003A6FA4"/>
    <w:rsid w:val="003A708C"/>
    <w:rsid w:val="003A709D"/>
    <w:rsid w:val="003A717F"/>
    <w:rsid w:val="003A7184"/>
    <w:rsid w:val="003A7195"/>
    <w:rsid w:val="003A71ED"/>
    <w:rsid w:val="003A72C3"/>
    <w:rsid w:val="003A741D"/>
    <w:rsid w:val="003A7666"/>
    <w:rsid w:val="003A7768"/>
    <w:rsid w:val="003A78F5"/>
    <w:rsid w:val="003A7907"/>
    <w:rsid w:val="003A79AD"/>
    <w:rsid w:val="003A7A66"/>
    <w:rsid w:val="003A7AD0"/>
    <w:rsid w:val="003A7BCD"/>
    <w:rsid w:val="003A7C27"/>
    <w:rsid w:val="003A7D40"/>
    <w:rsid w:val="003A7D71"/>
    <w:rsid w:val="003A7E7F"/>
    <w:rsid w:val="003A7F35"/>
    <w:rsid w:val="003B002E"/>
    <w:rsid w:val="003B008E"/>
    <w:rsid w:val="003B010B"/>
    <w:rsid w:val="003B015F"/>
    <w:rsid w:val="003B01E3"/>
    <w:rsid w:val="003B0282"/>
    <w:rsid w:val="003B03DD"/>
    <w:rsid w:val="003B057F"/>
    <w:rsid w:val="003B06B5"/>
    <w:rsid w:val="003B07DD"/>
    <w:rsid w:val="003B0819"/>
    <w:rsid w:val="003B0854"/>
    <w:rsid w:val="003B0996"/>
    <w:rsid w:val="003B0A2A"/>
    <w:rsid w:val="003B0A7C"/>
    <w:rsid w:val="003B0AA0"/>
    <w:rsid w:val="003B0AD7"/>
    <w:rsid w:val="003B0C2A"/>
    <w:rsid w:val="003B0C4F"/>
    <w:rsid w:val="003B0D91"/>
    <w:rsid w:val="003B0E39"/>
    <w:rsid w:val="003B0F04"/>
    <w:rsid w:val="003B0F91"/>
    <w:rsid w:val="003B0FF9"/>
    <w:rsid w:val="003B10A1"/>
    <w:rsid w:val="003B10C9"/>
    <w:rsid w:val="003B1181"/>
    <w:rsid w:val="003B11E9"/>
    <w:rsid w:val="003B13BA"/>
    <w:rsid w:val="003B140B"/>
    <w:rsid w:val="003B1452"/>
    <w:rsid w:val="003B1453"/>
    <w:rsid w:val="003B1696"/>
    <w:rsid w:val="003B16CD"/>
    <w:rsid w:val="003B1727"/>
    <w:rsid w:val="003B17C7"/>
    <w:rsid w:val="003B1A24"/>
    <w:rsid w:val="003B1A88"/>
    <w:rsid w:val="003B1ABC"/>
    <w:rsid w:val="003B1AF1"/>
    <w:rsid w:val="003B1BBC"/>
    <w:rsid w:val="003B1BE3"/>
    <w:rsid w:val="003B1BF2"/>
    <w:rsid w:val="003B1C1E"/>
    <w:rsid w:val="003B1C3F"/>
    <w:rsid w:val="003B1CBC"/>
    <w:rsid w:val="003B2076"/>
    <w:rsid w:val="003B21F1"/>
    <w:rsid w:val="003B24FC"/>
    <w:rsid w:val="003B254B"/>
    <w:rsid w:val="003B25A2"/>
    <w:rsid w:val="003B25E3"/>
    <w:rsid w:val="003B2653"/>
    <w:rsid w:val="003B26F8"/>
    <w:rsid w:val="003B2772"/>
    <w:rsid w:val="003B27D4"/>
    <w:rsid w:val="003B2822"/>
    <w:rsid w:val="003B282A"/>
    <w:rsid w:val="003B2843"/>
    <w:rsid w:val="003B2922"/>
    <w:rsid w:val="003B29F6"/>
    <w:rsid w:val="003B2B96"/>
    <w:rsid w:val="003B2C51"/>
    <w:rsid w:val="003B2D05"/>
    <w:rsid w:val="003B2DB6"/>
    <w:rsid w:val="003B2DD5"/>
    <w:rsid w:val="003B2E14"/>
    <w:rsid w:val="003B2F62"/>
    <w:rsid w:val="003B302E"/>
    <w:rsid w:val="003B3144"/>
    <w:rsid w:val="003B31E0"/>
    <w:rsid w:val="003B31FE"/>
    <w:rsid w:val="003B3378"/>
    <w:rsid w:val="003B3571"/>
    <w:rsid w:val="003B3663"/>
    <w:rsid w:val="003B379D"/>
    <w:rsid w:val="003B3818"/>
    <w:rsid w:val="003B3854"/>
    <w:rsid w:val="003B38A6"/>
    <w:rsid w:val="003B38EB"/>
    <w:rsid w:val="003B392B"/>
    <w:rsid w:val="003B3942"/>
    <w:rsid w:val="003B3989"/>
    <w:rsid w:val="003B39D3"/>
    <w:rsid w:val="003B3AF0"/>
    <w:rsid w:val="003B3B23"/>
    <w:rsid w:val="003B3DC5"/>
    <w:rsid w:val="003B3ECF"/>
    <w:rsid w:val="003B3F2D"/>
    <w:rsid w:val="003B3F3C"/>
    <w:rsid w:val="003B3F86"/>
    <w:rsid w:val="003B3FD2"/>
    <w:rsid w:val="003B4026"/>
    <w:rsid w:val="003B402F"/>
    <w:rsid w:val="003B4054"/>
    <w:rsid w:val="003B4116"/>
    <w:rsid w:val="003B41B8"/>
    <w:rsid w:val="003B424F"/>
    <w:rsid w:val="003B433C"/>
    <w:rsid w:val="003B4343"/>
    <w:rsid w:val="003B4381"/>
    <w:rsid w:val="003B447F"/>
    <w:rsid w:val="003B4510"/>
    <w:rsid w:val="003B46A0"/>
    <w:rsid w:val="003B4866"/>
    <w:rsid w:val="003B4895"/>
    <w:rsid w:val="003B492D"/>
    <w:rsid w:val="003B496C"/>
    <w:rsid w:val="003B49D7"/>
    <w:rsid w:val="003B4ABF"/>
    <w:rsid w:val="003B4B15"/>
    <w:rsid w:val="003B4C1B"/>
    <w:rsid w:val="003B4CC9"/>
    <w:rsid w:val="003B4E0B"/>
    <w:rsid w:val="003B4E47"/>
    <w:rsid w:val="003B5127"/>
    <w:rsid w:val="003B51A2"/>
    <w:rsid w:val="003B51EC"/>
    <w:rsid w:val="003B5281"/>
    <w:rsid w:val="003B5288"/>
    <w:rsid w:val="003B5297"/>
    <w:rsid w:val="003B52F2"/>
    <w:rsid w:val="003B536F"/>
    <w:rsid w:val="003B53A5"/>
    <w:rsid w:val="003B54B0"/>
    <w:rsid w:val="003B54B1"/>
    <w:rsid w:val="003B54D3"/>
    <w:rsid w:val="003B5524"/>
    <w:rsid w:val="003B5531"/>
    <w:rsid w:val="003B5592"/>
    <w:rsid w:val="003B5597"/>
    <w:rsid w:val="003B55D2"/>
    <w:rsid w:val="003B5730"/>
    <w:rsid w:val="003B5778"/>
    <w:rsid w:val="003B57AA"/>
    <w:rsid w:val="003B57DC"/>
    <w:rsid w:val="003B57E7"/>
    <w:rsid w:val="003B5889"/>
    <w:rsid w:val="003B5937"/>
    <w:rsid w:val="003B59D7"/>
    <w:rsid w:val="003B5A24"/>
    <w:rsid w:val="003B5A68"/>
    <w:rsid w:val="003B5A7C"/>
    <w:rsid w:val="003B5CAA"/>
    <w:rsid w:val="003B5D6B"/>
    <w:rsid w:val="003B5D97"/>
    <w:rsid w:val="003B5D9B"/>
    <w:rsid w:val="003B5E25"/>
    <w:rsid w:val="003B5E3D"/>
    <w:rsid w:val="003B5F40"/>
    <w:rsid w:val="003B60F7"/>
    <w:rsid w:val="003B617A"/>
    <w:rsid w:val="003B6201"/>
    <w:rsid w:val="003B6306"/>
    <w:rsid w:val="003B63D1"/>
    <w:rsid w:val="003B63F0"/>
    <w:rsid w:val="003B6402"/>
    <w:rsid w:val="003B644D"/>
    <w:rsid w:val="003B659B"/>
    <w:rsid w:val="003B65BF"/>
    <w:rsid w:val="003B6610"/>
    <w:rsid w:val="003B6617"/>
    <w:rsid w:val="003B66D5"/>
    <w:rsid w:val="003B678B"/>
    <w:rsid w:val="003B68B6"/>
    <w:rsid w:val="003B699E"/>
    <w:rsid w:val="003B6A67"/>
    <w:rsid w:val="003B6C7F"/>
    <w:rsid w:val="003B6CA6"/>
    <w:rsid w:val="003B6CD9"/>
    <w:rsid w:val="003B6CFA"/>
    <w:rsid w:val="003B6D61"/>
    <w:rsid w:val="003B6DF4"/>
    <w:rsid w:val="003B6EF8"/>
    <w:rsid w:val="003B6F15"/>
    <w:rsid w:val="003B6F8D"/>
    <w:rsid w:val="003B6F9F"/>
    <w:rsid w:val="003B7087"/>
    <w:rsid w:val="003B7179"/>
    <w:rsid w:val="003B71D1"/>
    <w:rsid w:val="003B71FC"/>
    <w:rsid w:val="003B724A"/>
    <w:rsid w:val="003B73FF"/>
    <w:rsid w:val="003B773C"/>
    <w:rsid w:val="003B77A5"/>
    <w:rsid w:val="003B78AA"/>
    <w:rsid w:val="003B799E"/>
    <w:rsid w:val="003B79C1"/>
    <w:rsid w:val="003B7B32"/>
    <w:rsid w:val="003B7BA7"/>
    <w:rsid w:val="003B7BC6"/>
    <w:rsid w:val="003B7CB6"/>
    <w:rsid w:val="003B7CBF"/>
    <w:rsid w:val="003B7CC6"/>
    <w:rsid w:val="003B7F4E"/>
    <w:rsid w:val="003C0069"/>
    <w:rsid w:val="003C0087"/>
    <w:rsid w:val="003C00AB"/>
    <w:rsid w:val="003C01BC"/>
    <w:rsid w:val="003C04DB"/>
    <w:rsid w:val="003C0650"/>
    <w:rsid w:val="003C06C9"/>
    <w:rsid w:val="003C0AF3"/>
    <w:rsid w:val="003C0B68"/>
    <w:rsid w:val="003C0C69"/>
    <w:rsid w:val="003C0D6D"/>
    <w:rsid w:val="003C0E60"/>
    <w:rsid w:val="003C112E"/>
    <w:rsid w:val="003C115E"/>
    <w:rsid w:val="003C12BE"/>
    <w:rsid w:val="003C1315"/>
    <w:rsid w:val="003C13D8"/>
    <w:rsid w:val="003C144F"/>
    <w:rsid w:val="003C1472"/>
    <w:rsid w:val="003C15CD"/>
    <w:rsid w:val="003C1622"/>
    <w:rsid w:val="003C1775"/>
    <w:rsid w:val="003C1892"/>
    <w:rsid w:val="003C18D4"/>
    <w:rsid w:val="003C199D"/>
    <w:rsid w:val="003C19C3"/>
    <w:rsid w:val="003C1A00"/>
    <w:rsid w:val="003C1BDC"/>
    <w:rsid w:val="003C1C21"/>
    <w:rsid w:val="003C1C37"/>
    <w:rsid w:val="003C1D07"/>
    <w:rsid w:val="003C1DA7"/>
    <w:rsid w:val="003C1DE0"/>
    <w:rsid w:val="003C1E5B"/>
    <w:rsid w:val="003C1E78"/>
    <w:rsid w:val="003C1FA6"/>
    <w:rsid w:val="003C20A8"/>
    <w:rsid w:val="003C2168"/>
    <w:rsid w:val="003C21AD"/>
    <w:rsid w:val="003C22E4"/>
    <w:rsid w:val="003C2367"/>
    <w:rsid w:val="003C2376"/>
    <w:rsid w:val="003C2401"/>
    <w:rsid w:val="003C2552"/>
    <w:rsid w:val="003C2571"/>
    <w:rsid w:val="003C258E"/>
    <w:rsid w:val="003C2609"/>
    <w:rsid w:val="003C2871"/>
    <w:rsid w:val="003C2883"/>
    <w:rsid w:val="003C2898"/>
    <w:rsid w:val="003C2A23"/>
    <w:rsid w:val="003C2A71"/>
    <w:rsid w:val="003C2A8F"/>
    <w:rsid w:val="003C2A92"/>
    <w:rsid w:val="003C2B71"/>
    <w:rsid w:val="003C2D27"/>
    <w:rsid w:val="003C2E46"/>
    <w:rsid w:val="003C2F65"/>
    <w:rsid w:val="003C2F90"/>
    <w:rsid w:val="003C3028"/>
    <w:rsid w:val="003C322E"/>
    <w:rsid w:val="003C3339"/>
    <w:rsid w:val="003C3354"/>
    <w:rsid w:val="003C33B4"/>
    <w:rsid w:val="003C3427"/>
    <w:rsid w:val="003C35D7"/>
    <w:rsid w:val="003C3653"/>
    <w:rsid w:val="003C3692"/>
    <w:rsid w:val="003C3693"/>
    <w:rsid w:val="003C392B"/>
    <w:rsid w:val="003C3B3C"/>
    <w:rsid w:val="003C3BE9"/>
    <w:rsid w:val="003C3BF0"/>
    <w:rsid w:val="003C3C1E"/>
    <w:rsid w:val="003C3C44"/>
    <w:rsid w:val="003C3CAE"/>
    <w:rsid w:val="003C3D00"/>
    <w:rsid w:val="003C3E77"/>
    <w:rsid w:val="003C3F69"/>
    <w:rsid w:val="003C3FC9"/>
    <w:rsid w:val="003C406E"/>
    <w:rsid w:val="003C4128"/>
    <w:rsid w:val="003C4318"/>
    <w:rsid w:val="003C4652"/>
    <w:rsid w:val="003C4708"/>
    <w:rsid w:val="003C478F"/>
    <w:rsid w:val="003C4992"/>
    <w:rsid w:val="003C49D1"/>
    <w:rsid w:val="003C4A27"/>
    <w:rsid w:val="003C4A2F"/>
    <w:rsid w:val="003C4A5B"/>
    <w:rsid w:val="003C4A81"/>
    <w:rsid w:val="003C4C8C"/>
    <w:rsid w:val="003C4D1A"/>
    <w:rsid w:val="003C4D6B"/>
    <w:rsid w:val="003C4DB9"/>
    <w:rsid w:val="003C4DED"/>
    <w:rsid w:val="003C4EB6"/>
    <w:rsid w:val="003C50C4"/>
    <w:rsid w:val="003C5215"/>
    <w:rsid w:val="003C521F"/>
    <w:rsid w:val="003C5266"/>
    <w:rsid w:val="003C52A9"/>
    <w:rsid w:val="003C53ED"/>
    <w:rsid w:val="003C54F7"/>
    <w:rsid w:val="003C5678"/>
    <w:rsid w:val="003C572A"/>
    <w:rsid w:val="003C5731"/>
    <w:rsid w:val="003C58A0"/>
    <w:rsid w:val="003C5A1A"/>
    <w:rsid w:val="003C5B73"/>
    <w:rsid w:val="003C5C4E"/>
    <w:rsid w:val="003C5C90"/>
    <w:rsid w:val="003C5D1B"/>
    <w:rsid w:val="003C5EFC"/>
    <w:rsid w:val="003C62AA"/>
    <w:rsid w:val="003C6651"/>
    <w:rsid w:val="003C667A"/>
    <w:rsid w:val="003C66F4"/>
    <w:rsid w:val="003C66FF"/>
    <w:rsid w:val="003C6957"/>
    <w:rsid w:val="003C6A7D"/>
    <w:rsid w:val="003C6BD9"/>
    <w:rsid w:val="003C6C30"/>
    <w:rsid w:val="003C6C55"/>
    <w:rsid w:val="003C6C68"/>
    <w:rsid w:val="003C6CD4"/>
    <w:rsid w:val="003C6F24"/>
    <w:rsid w:val="003C6F69"/>
    <w:rsid w:val="003C6F75"/>
    <w:rsid w:val="003C7022"/>
    <w:rsid w:val="003C703E"/>
    <w:rsid w:val="003C7158"/>
    <w:rsid w:val="003C71CA"/>
    <w:rsid w:val="003C71F6"/>
    <w:rsid w:val="003C7313"/>
    <w:rsid w:val="003C73F2"/>
    <w:rsid w:val="003C7433"/>
    <w:rsid w:val="003C7454"/>
    <w:rsid w:val="003C75A6"/>
    <w:rsid w:val="003C763F"/>
    <w:rsid w:val="003C787F"/>
    <w:rsid w:val="003C78C3"/>
    <w:rsid w:val="003C791B"/>
    <w:rsid w:val="003C79C3"/>
    <w:rsid w:val="003C7A9E"/>
    <w:rsid w:val="003C7B9F"/>
    <w:rsid w:val="003C7CAE"/>
    <w:rsid w:val="003C7D01"/>
    <w:rsid w:val="003D0024"/>
    <w:rsid w:val="003D0043"/>
    <w:rsid w:val="003D01CB"/>
    <w:rsid w:val="003D0200"/>
    <w:rsid w:val="003D040D"/>
    <w:rsid w:val="003D0454"/>
    <w:rsid w:val="003D0549"/>
    <w:rsid w:val="003D0724"/>
    <w:rsid w:val="003D078D"/>
    <w:rsid w:val="003D07A8"/>
    <w:rsid w:val="003D0821"/>
    <w:rsid w:val="003D0892"/>
    <w:rsid w:val="003D093E"/>
    <w:rsid w:val="003D09D7"/>
    <w:rsid w:val="003D0B92"/>
    <w:rsid w:val="003D0C89"/>
    <w:rsid w:val="003D0D25"/>
    <w:rsid w:val="003D0EEC"/>
    <w:rsid w:val="003D0FE1"/>
    <w:rsid w:val="003D11D1"/>
    <w:rsid w:val="003D1215"/>
    <w:rsid w:val="003D121A"/>
    <w:rsid w:val="003D13A0"/>
    <w:rsid w:val="003D13D6"/>
    <w:rsid w:val="003D1429"/>
    <w:rsid w:val="003D155D"/>
    <w:rsid w:val="003D1568"/>
    <w:rsid w:val="003D15C5"/>
    <w:rsid w:val="003D15DC"/>
    <w:rsid w:val="003D193D"/>
    <w:rsid w:val="003D1989"/>
    <w:rsid w:val="003D1A4F"/>
    <w:rsid w:val="003D1C7F"/>
    <w:rsid w:val="003D1C86"/>
    <w:rsid w:val="003D1CB7"/>
    <w:rsid w:val="003D1D6E"/>
    <w:rsid w:val="003D1DDD"/>
    <w:rsid w:val="003D1DE0"/>
    <w:rsid w:val="003D1E95"/>
    <w:rsid w:val="003D1EAD"/>
    <w:rsid w:val="003D1F5D"/>
    <w:rsid w:val="003D1FAC"/>
    <w:rsid w:val="003D200F"/>
    <w:rsid w:val="003D20D6"/>
    <w:rsid w:val="003D20F3"/>
    <w:rsid w:val="003D21C3"/>
    <w:rsid w:val="003D2382"/>
    <w:rsid w:val="003D2722"/>
    <w:rsid w:val="003D2745"/>
    <w:rsid w:val="003D27CF"/>
    <w:rsid w:val="003D27ED"/>
    <w:rsid w:val="003D2A32"/>
    <w:rsid w:val="003D2AE7"/>
    <w:rsid w:val="003D2C74"/>
    <w:rsid w:val="003D2DA7"/>
    <w:rsid w:val="003D2E7B"/>
    <w:rsid w:val="003D30AC"/>
    <w:rsid w:val="003D31DD"/>
    <w:rsid w:val="003D32EF"/>
    <w:rsid w:val="003D330B"/>
    <w:rsid w:val="003D3352"/>
    <w:rsid w:val="003D33C9"/>
    <w:rsid w:val="003D34FF"/>
    <w:rsid w:val="003D35C8"/>
    <w:rsid w:val="003D36E3"/>
    <w:rsid w:val="003D37F3"/>
    <w:rsid w:val="003D380F"/>
    <w:rsid w:val="003D3997"/>
    <w:rsid w:val="003D39C8"/>
    <w:rsid w:val="003D39F9"/>
    <w:rsid w:val="003D3A41"/>
    <w:rsid w:val="003D3CFD"/>
    <w:rsid w:val="003D3E76"/>
    <w:rsid w:val="003D3F0A"/>
    <w:rsid w:val="003D3F2E"/>
    <w:rsid w:val="003D4083"/>
    <w:rsid w:val="003D40AB"/>
    <w:rsid w:val="003D40F0"/>
    <w:rsid w:val="003D4163"/>
    <w:rsid w:val="003D4214"/>
    <w:rsid w:val="003D42D3"/>
    <w:rsid w:val="003D4368"/>
    <w:rsid w:val="003D439F"/>
    <w:rsid w:val="003D43CF"/>
    <w:rsid w:val="003D4419"/>
    <w:rsid w:val="003D442D"/>
    <w:rsid w:val="003D4461"/>
    <w:rsid w:val="003D4465"/>
    <w:rsid w:val="003D47EB"/>
    <w:rsid w:val="003D4821"/>
    <w:rsid w:val="003D48D7"/>
    <w:rsid w:val="003D48EE"/>
    <w:rsid w:val="003D4B07"/>
    <w:rsid w:val="003D4B6A"/>
    <w:rsid w:val="003D4C9B"/>
    <w:rsid w:val="003D4CAA"/>
    <w:rsid w:val="003D4D4A"/>
    <w:rsid w:val="003D4DA8"/>
    <w:rsid w:val="003D4DDE"/>
    <w:rsid w:val="003D4E70"/>
    <w:rsid w:val="003D4F28"/>
    <w:rsid w:val="003D4FDA"/>
    <w:rsid w:val="003D50FB"/>
    <w:rsid w:val="003D5155"/>
    <w:rsid w:val="003D537E"/>
    <w:rsid w:val="003D54A2"/>
    <w:rsid w:val="003D54D7"/>
    <w:rsid w:val="003D564C"/>
    <w:rsid w:val="003D575A"/>
    <w:rsid w:val="003D5860"/>
    <w:rsid w:val="003D58AF"/>
    <w:rsid w:val="003D5B18"/>
    <w:rsid w:val="003D5E36"/>
    <w:rsid w:val="003D5E81"/>
    <w:rsid w:val="003D5EF7"/>
    <w:rsid w:val="003D6142"/>
    <w:rsid w:val="003D6293"/>
    <w:rsid w:val="003D64CE"/>
    <w:rsid w:val="003D6602"/>
    <w:rsid w:val="003D677B"/>
    <w:rsid w:val="003D688B"/>
    <w:rsid w:val="003D68E5"/>
    <w:rsid w:val="003D68F3"/>
    <w:rsid w:val="003D6B7C"/>
    <w:rsid w:val="003D6D31"/>
    <w:rsid w:val="003D6D41"/>
    <w:rsid w:val="003D6F1A"/>
    <w:rsid w:val="003D7034"/>
    <w:rsid w:val="003D7168"/>
    <w:rsid w:val="003D7271"/>
    <w:rsid w:val="003D7273"/>
    <w:rsid w:val="003D7284"/>
    <w:rsid w:val="003D72AB"/>
    <w:rsid w:val="003D72F0"/>
    <w:rsid w:val="003D731D"/>
    <w:rsid w:val="003D7465"/>
    <w:rsid w:val="003D751B"/>
    <w:rsid w:val="003D7551"/>
    <w:rsid w:val="003D763F"/>
    <w:rsid w:val="003D7660"/>
    <w:rsid w:val="003D7664"/>
    <w:rsid w:val="003D769D"/>
    <w:rsid w:val="003D77D0"/>
    <w:rsid w:val="003D77FD"/>
    <w:rsid w:val="003D7855"/>
    <w:rsid w:val="003D78B9"/>
    <w:rsid w:val="003D78D1"/>
    <w:rsid w:val="003D79C2"/>
    <w:rsid w:val="003D7A06"/>
    <w:rsid w:val="003D7A38"/>
    <w:rsid w:val="003D7A53"/>
    <w:rsid w:val="003D7B2C"/>
    <w:rsid w:val="003D7BE9"/>
    <w:rsid w:val="003D7CB1"/>
    <w:rsid w:val="003D7D7E"/>
    <w:rsid w:val="003D7EE8"/>
    <w:rsid w:val="003D7F6D"/>
    <w:rsid w:val="003D7F8A"/>
    <w:rsid w:val="003E00D7"/>
    <w:rsid w:val="003E0142"/>
    <w:rsid w:val="003E02BF"/>
    <w:rsid w:val="003E033B"/>
    <w:rsid w:val="003E039A"/>
    <w:rsid w:val="003E0477"/>
    <w:rsid w:val="003E049F"/>
    <w:rsid w:val="003E057C"/>
    <w:rsid w:val="003E05A8"/>
    <w:rsid w:val="003E05F6"/>
    <w:rsid w:val="003E0677"/>
    <w:rsid w:val="003E06C0"/>
    <w:rsid w:val="003E0809"/>
    <w:rsid w:val="003E081A"/>
    <w:rsid w:val="003E08A1"/>
    <w:rsid w:val="003E09AE"/>
    <w:rsid w:val="003E09B6"/>
    <w:rsid w:val="003E09EF"/>
    <w:rsid w:val="003E0B1D"/>
    <w:rsid w:val="003E0B1E"/>
    <w:rsid w:val="003E0BD7"/>
    <w:rsid w:val="003E0C15"/>
    <w:rsid w:val="003E0C17"/>
    <w:rsid w:val="003E0CD1"/>
    <w:rsid w:val="003E0D04"/>
    <w:rsid w:val="003E0D63"/>
    <w:rsid w:val="003E0E0E"/>
    <w:rsid w:val="003E0EF5"/>
    <w:rsid w:val="003E0F3E"/>
    <w:rsid w:val="003E0F58"/>
    <w:rsid w:val="003E10F1"/>
    <w:rsid w:val="003E1196"/>
    <w:rsid w:val="003E11BC"/>
    <w:rsid w:val="003E137C"/>
    <w:rsid w:val="003E16E1"/>
    <w:rsid w:val="003E17C1"/>
    <w:rsid w:val="003E1940"/>
    <w:rsid w:val="003E1AB8"/>
    <w:rsid w:val="003E1B05"/>
    <w:rsid w:val="003E1BA4"/>
    <w:rsid w:val="003E1BDE"/>
    <w:rsid w:val="003E1BE9"/>
    <w:rsid w:val="003E1C5D"/>
    <w:rsid w:val="003E1DCE"/>
    <w:rsid w:val="003E1DEF"/>
    <w:rsid w:val="003E1E11"/>
    <w:rsid w:val="003E1F06"/>
    <w:rsid w:val="003E1F90"/>
    <w:rsid w:val="003E1FE5"/>
    <w:rsid w:val="003E1FE8"/>
    <w:rsid w:val="003E2115"/>
    <w:rsid w:val="003E2138"/>
    <w:rsid w:val="003E2173"/>
    <w:rsid w:val="003E2325"/>
    <w:rsid w:val="003E23B9"/>
    <w:rsid w:val="003E23CA"/>
    <w:rsid w:val="003E24BE"/>
    <w:rsid w:val="003E24FD"/>
    <w:rsid w:val="003E256E"/>
    <w:rsid w:val="003E25D7"/>
    <w:rsid w:val="003E25E1"/>
    <w:rsid w:val="003E25EC"/>
    <w:rsid w:val="003E2626"/>
    <w:rsid w:val="003E269E"/>
    <w:rsid w:val="003E26D4"/>
    <w:rsid w:val="003E26F0"/>
    <w:rsid w:val="003E26F2"/>
    <w:rsid w:val="003E27DF"/>
    <w:rsid w:val="003E283B"/>
    <w:rsid w:val="003E2854"/>
    <w:rsid w:val="003E2860"/>
    <w:rsid w:val="003E2993"/>
    <w:rsid w:val="003E2BA0"/>
    <w:rsid w:val="003E2C75"/>
    <w:rsid w:val="003E2D1E"/>
    <w:rsid w:val="003E2D53"/>
    <w:rsid w:val="003E2DBF"/>
    <w:rsid w:val="003E2E87"/>
    <w:rsid w:val="003E2E93"/>
    <w:rsid w:val="003E2E99"/>
    <w:rsid w:val="003E2EB1"/>
    <w:rsid w:val="003E2F81"/>
    <w:rsid w:val="003E3126"/>
    <w:rsid w:val="003E323F"/>
    <w:rsid w:val="003E3243"/>
    <w:rsid w:val="003E3329"/>
    <w:rsid w:val="003E337A"/>
    <w:rsid w:val="003E33C5"/>
    <w:rsid w:val="003E33D2"/>
    <w:rsid w:val="003E3442"/>
    <w:rsid w:val="003E34B0"/>
    <w:rsid w:val="003E369B"/>
    <w:rsid w:val="003E36ED"/>
    <w:rsid w:val="003E3748"/>
    <w:rsid w:val="003E3793"/>
    <w:rsid w:val="003E37AF"/>
    <w:rsid w:val="003E3A77"/>
    <w:rsid w:val="003E3AD2"/>
    <w:rsid w:val="003E3B7D"/>
    <w:rsid w:val="003E3CE0"/>
    <w:rsid w:val="003E3D77"/>
    <w:rsid w:val="003E3DA6"/>
    <w:rsid w:val="003E3E3F"/>
    <w:rsid w:val="003E3E64"/>
    <w:rsid w:val="003E3EEC"/>
    <w:rsid w:val="003E3F1F"/>
    <w:rsid w:val="003E3FC8"/>
    <w:rsid w:val="003E4091"/>
    <w:rsid w:val="003E409C"/>
    <w:rsid w:val="003E40B5"/>
    <w:rsid w:val="003E4133"/>
    <w:rsid w:val="003E415E"/>
    <w:rsid w:val="003E4188"/>
    <w:rsid w:val="003E439A"/>
    <w:rsid w:val="003E4485"/>
    <w:rsid w:val="003E48C8"/>
    <w:rsid w:val="003E491C"/>
    <w:rsid w:val="003E4984"/>
    <w:rsid w:val="003E4A26"/>
    <w:rsid w:val="003E4A47"/>
    <w:rsid w:val="003E4B35"/>
    <w:rsid w:val="003E4B5E"/>
    <w:rsid w:val="003E4BAC"/>
    <w:rsid w:val="003E4BB3"/>
    <w:rsid w:val="003E4C87"/>
    <w:rsid w:val="003E4CA9"/>
    <w:rsid w:val="003E4D19"/>
    <w:rsid w:val="003E4D40"/>
    <w:rsid w:val="003E4D67"/>
    <w:rsid w:val="003E4D69"/>
    <w:rsid w:val="003E4DCB"/>
    <w:rsid w:val="003E4E09"/>
    <w:rsid w:val="003E4EDD"/>
    <w:rsid w:val="003E4F2F"/>
    <w:rsid w:val="003E503D"/>
    <w:rsid w:val="003E5048"/>
    <w:rsid w:val="003E507F"/>
    <w:rsid w:val="003E50B8"/>
    <w:rsid w:val="003E50FC"/>
    <w:rsid w:val="003E50FD"/>
    <w:rsid w:val="003E5295"/>
    <w:rsid w:val="003E540B"/>
    <w:rsid w:val="003E542F"/>
    <w:rsid w:val="003E555C"/>
    <w:rsid w:val="003E55B8"/>
    <w:rsid w:val="003E55C5"/>
    <w:rsid w:val="003E560D"/>
    <w:rsid w:val="003E567B"/>
    <w:rsid w:val="003E573F"/>
    <w:rsid w:val="003E576A"/>
    <w:rsid w:val="003E5788"/>
    <w:rsid w:val="003E57DC"/>
    <w:rsid w:val="003E57EA"/>
    <w:rsid w:val="003E582C"/>
    <w:rsid w:val="003E5839"/>
    <w:rsid w:val="003E585C"/>
    <w:rsid w:val="003E58AF"/>
    <w:rsid w:val="003E595C"/>
    <w:rsid w:val="003E5A61"/>
    <w:rsid w:val="003E5A64"/>
    <w:rsid w:val="003E5AEC"/>
    <w:rsid w:val="003E5C28"/>
    <w:rsid w:val="003E5C61"/>
    <w:rsid w:val="003E5D36"/>
    <w:rsid w:val="003E5DBA"/>
    <w:rsid w:val="003E5E38"/>
    <w:rsid w:val="003E5EE5"/>
    <w:rsid w:val="003E5F55"/>
    <w:rsid w:val="003E5FD4"/>
    <w:rsid w:val="003E5FD6"/>
    <w:rsid w:val="003E6002"/>
    <w:rsid w:val="003E600F"/>
    <w:rsid w:val="003E601F"/>
    <w:rsid w:val="003E63A0"/>
    <w:rsid w:val="003E63D1"/>
    <w:rsid w:val="003E655B"/>
    <w:rsid w:val="003E65BF"/>
    <w:rsid w:val="003E6716"/>
    <w:rsid w:val="003E678D"/>
    <w:rsid w:val="003E67C2"/>
    <w:rsid w:val="003E6A3F"/>
    <w:rsid w:val="003E6B8B"/>
    <w:rsid w:val="003E6BE9"/>
    <w:rsid w:val="003E6CF1"/>
    <w:rsid w:val="003E6D92"/>
    <w:rsid w:val="003E6F19"/>
    <w:rsid w:val="003E7004"/>
    <w:rsid w:val="003E709F"/>
    <w:rsid w:val="003E722B"/>
    <w:rsid w:val="003E723A"/>
    <w:rsid w:val="003E7286"/>
    <w:rsid w:val="003E72CC"/>
    <w:rsid w:val="003E72DA"/>
    <w:rsid w:val="003E7306"/>
    <w:rsid w:val="003E733F"/>
    <w:rsid w:val="003E7396"/>
    <w:rsid w:val="003E73E4"/>
    <w:rsid w:val="003E7437"/>
    <w:rsid w:val="003E74A7"/>
    <w:rsid w:val="003E76BB"/>
    <w:rsid w:val="003E771C"/>
    <w:rsid w:val="003E775E"/>
    <w:rsid w:val="003E77C1"/>
    <w:rsid w:val="003E78C2"/>
    <w:rsid w:val="003E7988"/>
    <w:rsid w:val="003E7B56"/>
    <w:rsid w:val="003E7B6B"/>
    <w:rsid w:val="003E7B72"/>
    <w:rsid w:val="003E7BF4"/>
    <w:rsid w:val="003E7BFA"/>
    <w:rsid w:val="003E7C96"/>
    <w:rsid w:val="003E7CBB"/>
    <w:rsid w:val="003E7D06"/>
    <w:rsid w:val="003E7DBF"/>
    <w:rsid w:val="003E7DE4"/>
    <w:rsid w:val="003E7FBC"/>
    <w:rsid w:val="003E7FCE"/>
    <w:rsid w:val="003F0069"/>
    <w:rsid w:val="003F0088"/>
    <w:rsid w:val="003F01DD"/>
    <w:rsid w:val="003F03F5"/>
    <w:rsid w:val="003F04DA"/>
    <w:rsid w:val="003F05D6"/>
    <w:rsid w:val="003F063D"/>
    <w:rsid w:val="003F0646"/>
    <w:rsid w:val="003F06E6"/>
    <w:rsid w:val="003F070C"/>
    <w:rsid w:val="003F07DF"/>
    <w:rsid w:val="003F083D"/>
    <w:rsid w:val="003F08AE"/>
    <w:rsid w:val="003F0977"/>
    <w:rsid w:val="003F09A1"/>
    <w:rsid w:val="003F09B5"/>
    <w:rsid w:val="003F09ED"/>
    <w:rsid w:val="003F0B06"/>
    <w:rsid w:val="003F0B11"/>
    <w:rsid w:val="003F0C19"/>
    <w:rsid w:val="003F0CC2"/>
    <w:rsid w:val="003F0CCE"/>
    <w:rsid w:val="003F0E19"/>
    <w:rsid w:val="003F0F56"/>
    <w:rsid w:val="003F0F84"/>
    <w:rsid w:val="003F0FDE"/>
    <w:rsid w:val="003F1113"/>
    <w:rsid w:val="003F1199"/>
    <w:rsid w:val="003F120B"/>
    <w:rsid w:val="003F138E"/>
    <w:rsid w:val="003F1393"/>
    <w:rsid w:val="003F13DB"/>
    <w:rsid w:val="003F14DD"/>
    <w:rsid w:val="003F1851"/>
    <w:rsid w:val="003F18A6"/>
    <w:rsid w:val="003F1940"/>
    <w:rsid w:val="003F199D"/>
    <w:rsid w:val="003F1CE7"/>
    <w:rsid w:val="003F1DEA"/>
    <w:rsid w:val="003F1E53"/>
    <w:rsid w:val="003F1F83"/>
    <w:rsid w:val="003F2188"/>
    <w:rsid w:val="003F21B1"/>
    <w:rsid w:val="003F2232"/>
    <w:rsid w:val="003F2264"/>
    <w:rsid w:val="003F227C"/>
    <w:rsid w:val="003F22C4"/>
    <w:rsid w:val="003F2445"/>
    <w:rsid w:val="003F24E3"/>
    <w:rsid w:val="003F2540"/>
    <w:rsid w:val="003F2642"/>
    <w:rsid w:val="003F26BA"/>
    <w:rsid w:val="003F278C"/>
    <w:rsid w:val="003F293D"/>
    <w:rsid w:val="003F2A0C"/>
    <w:rsid w:val="003F2ACF"/>
    <w:rsid w:val="003F2AE2"/>
    <w:rsid w:val="003F2B3A"/>
    <w:rsid w:val="003F2BD6"/>
    <w:rsid w:val="003F2CFD"/>
    <w:rsid w:val="003F2D39"/>
    <w:rsid w:val="003F2E89"/>
    <w:rsid w:val="003F2F09"/>
    <w:rsid w:val="003F2F34"/>
    <w:rsid w:val="003F2FA2"/>
    <w:rsid w:val="003F309C"/>
    <w:rsid w:val="003F315C"/>
    <w:rsid w:val="003F3185"/>
    <w:rsid w:val="003F31CB"/>
    <w:rsid w:val="003F31ED"/>
    <w:rsid w:val="003F33B7"/>
    <w:rsid w:val="003F33D8"/>
    <w:rsid w:val="003F34F0"/>
    <w:rsid w:val="003F357B"/>
    <w:rsid w:val="003F35AF"/>
    <w:rsid w:val="003F36CF"/>
    <w:rsid w:val="003F3736"/>
    <w:rsid w:val="003F3746"/>
    <w:rsid w:val="003F396E"/>
    <w:rsid w:val="003F3A60"/>
    <w:rsid w:val="003F3A8B"/>
    <w:rsid w:val="003F3AA3"/>
    <w:rsid w:val="003F3B21"/>
    <w:rsid w:val="003F3BD8"/>
    <w:rsid w:val="003F3C18"/>
    <w:rsid w:val="003F3C3F"/>
    <w:rsid w:val="003F3C7C"/>
    <w:rsid w:val="003F3C90"/>
    <w:rsid w:val="003F3D4D"/>
    <w:rsid w:val="003F3DC1"/>
    <w:rsid w:val="003F40D3"/>
    <w:rsid w:val="003F4137"/>
    <w:rsid w:val="003F4190"/>
    <w:rsid w:val="003F4344"/>
    <w:rsid w:val="003F43F8"/>
    <w:rsid w:val="003F447E"/>
    <w:rsid w:val="003F460D"/>
    <w:rsid w:val="003F4804"/>
    <w:rsid w:val="003F492F"/>
    <w:rsid w:val="003F49E8"/>
    <w:rsid w:val="003F4A10"/>
    <w:rsid w:val="003F4A67"/>
    <w:rsid w:val="003F4B90"/>
    <w:rsid w:val="003F4BE7"/>
    <w:rsid w:val="003F4C30"/>
    <w:rsid w:val="003F4D23"/>
    <w:rsid w:val="003F4D37"/>
    <w:rsid w:val="003F4D61"/>
    <w:rsid w:val="003F4D65"/>
    <w:rsid w:val="003F4ED0"/>
    <w:rsid w:val="003F4FBF"/>
    <w:rsid w:val="003F51EE"/>
    <w:rsid w:val="003F524C"/>
    <w:rsid w:val="003F52B8"/>
    <w:rsid w:val="003F5365"/>
    <w:rsid w:val="003F54F0"/>
    <w:rsid w:val="003F54F5"/>
    <w:rsid w:val="003F55D3"/>
    <w:rsid w:val="003F5609"/>
    <w:rsid w:val="003F5687"/>
    <w:rsid w:val="003F57E5"/>
    <w:rsid w:val="003F582B"/>
    <w:rsid w:val="003F5831"/>
    <w:rsid w:val="003F58B2"/>
    <w:rsid w:val="003F595A"/>
    <w:rsid w:val="003F5A94"/>
    <w:rsid w:val="003F5B4F"/>
    <w:rsid w:val="003F5DD7"/>
    <w:rsid w:val="003F5E7C"/>
    <w:rsid w:val="003F5EB2"/>
    <w:rsid w:val="003F5F71"/>
    <w:rsid w:val="003F603A"/>
    <w:rsid w:val="003F609B"/>
    <w:rsid w:val="003F60A6"/>
    <w:rsid w:val="003F60C9"/>
    <w:rsid w:val="003F60DE"/>
    <w:rsid w:val="003F6117"/>
    <w:rsid w:val="003F61F1"/>
    <w:rsid w:val="003F6214"/>
    <w:rsid w:val="003F6222"/>
    <w:rsid w:val="003F6227"/>
    <w:rsid w:val="003F630E"/>
    <w:rsid w:val="003F638C"/>
    <w:rsid w:val="003F64B1"/>
    <w:rsid w:val="003F64C8"/>
    <w:rsid w:val="003F6585"/>
    <w:rsid w:val="003F65CC"/>
    <w:rsid w:val="003F66A5"/>
    <w:rsid w:val="003F66D0"/>
    <w:rsid w:val="003F6740"/>
    <w:rsid w:val="003F6799"/>
    <w:rsid w:val="003F69AF"/>
    <w:rsid w:val="003F6A47"/>
    <w:rsid w:val="003F6AC7"/>
    <w:rsid w:val="003F6B27"/>
    <w:rsid w:val="003F6BCB"/>
    <w:rsid w:val="003F6DB0"/>
    <w:rsid w:val="003F6E46"/>
    <w:rsid w:val="003F6FB4"/>
    <w:rsid w:val="003F71BF"/>
    <w:rsid w:val="003F72A4"/>
    <w:rsid w:val="003F743A"/>
    <w:rsid w:val="003F76A6"/>
    <w:rsid w:val="003F775E"/>
    <w:rsid w:val="003F77C2"/>
    <w:rsid w:val="003F7845"/>
    <w:rsid w:val="003F78D3"/>
    <w:rsid w:val="003F78FD"/>
    <w:rsid w:val="003F7929"/>
    <w:rsid w:val="003F7B46"/>
    <w:rsid w:val="003F7CA2"/>
    <w:rsid w:val="003F7DD1"/>
    <w:rsid w:val="003F7E09"/>
    <w:rsid w:val="003F7E20"/>
    <w:rsid w:val="003F7F13"/>
    <w:rsid w:val="00400005"/>
    <w:rsid w:val="00400028"/>
    <w:rsid w:val="004001E1"/>
    <w:rsid w:val="004002B6"/>
    <w:rsid w:val="0040040F"/>
    <w:rsid w:val="00400748"/>
    <w:rsid w:val="00400760"/>
    <w:rsid w:val="00400942"/>
    <w:rsid w:val="00400A16"/>
    <w:rsid w:val="00400A58"/>
    <w:rsid w:val="00400AA8"/>
    <w:rsid w:val="00400ADC"/>
    <w:rsid w:val="00400DA8"/>
    <w:rsid w:val="00400DF5"/>
    <w:rsid w:val="00400EC9"/>
    <w:rsid w:val="0040115D"/>
    <w:rsid w:val="00401163"/>
    <w:rsid w:val="0040118E"/>
    <w:rsid w:val="004011DE"/>
    <w:rsid w:val="00401291"/>
    <w:rsid w:val="004012EA"/>
    <w:rsid w:val="004015B3"/>
    <w:rsid w:val="0040167C"/>
    <w:rsid w:val="0040173F"/>
    <w:rsid w:val="00401A71"/>
    <w:rsid w:val="00401AA3"/>
    <w:rsid w:val="00401D2D"/>
    <w:rsid w:val="00401D73"/>
    <w:rsid w:val="00402051"/>
    <w:rsid w:val="0040206D"/>
    <w:rsid w:val="004022CF"/>
    <w:rsid w:val="0040231B"/>
    <w:rsid w:val="00402397"/>
    <w:rsid w:val="004023BC"/>
    <w:rsid w:val="004024CE"/>
    <w:rsid w:val="004024D8"/>
    <w:rsid w:val="004026DB"/>
    <w:rsid w:val="0040289D"/>
    <w:rsid w:val="00402A5F"/>
    <w:rsid w:val="00402A7D"/>
    <w:rsid w:val="00402B7E"/>
    <w:rsid w:val="00402C18"/>
    <w:rsid w:val="00402CAD"/>
    <w:rsid w:val="00402CB8"/>
    <w:rsid w:val="00402CD6"/>
    <w:rsid w:val="00402CDF"/>
    <w:rsid w:val="00402D1F"/>
    <w:rsid w:val="00402D2A"/>
    <w:rsid w:val="00402E31"/>
    <w:rsid w:val="00402E68"/>
    <w:rsid w:val="00402F38"/>
    <w:rsid w:val="00402FA4"/>
    <w:rsid w:val="00402FA8"/>
    <w:rsid w:val="0040307B"/>
    <w:rsid w:val="00403203"/>
    <w:rsid w:val="0040325B"/>
    <w:rsid w:val="0040332D"/>
    <w:rsid w:val="00403399"/>
    <w:rsid w:val="00403415"/>
    <w:rsid w:val="00403509"/>
    <w:rsid w:val="0040364B"/>
    <w:rsid w:val="0040367A"/>
    <w:rsid w:val="004036C5"/>
    <w:rsid w:val="0040379D"/>
    <w:rsid w:val="004037A6"/>
    <w:rsid w:val="00403942"/>
    <w:rsid w:val="0040395C"/>
    <w:rsid w:val="004039E8"/>
    <w:rsid w:val="00403ADA"/>
    <w:rsid w:val="00403BFD"/>
    <w:rsid w:val="00403D07"/>
    <w:rsid w:val="00403FBB"/>
    <w:rsid w:val="00404095"/>
    <w:rsid w:val="004041DB"/>
    <w:rsid w:val="00404558"/>
    <w:rsid w:val="004045C6"/>
    <w:rsid w:val="00404646"/>
    <w:rsid w:val="004046A4"/>
    <w:rsid w:val="004046A8"/>
    <w:rsid w:val="0040472D"/>
    <w:rsid w:val="00404831"/>
    <w:rsid w:val="004049AC"/>
    <w:rsid w:val="004049B8"/>
    <w:rsid w:val="00404A00"/>
    <w:rsid w:val="00404B1B"/>
    <w:rsid w:val="00404CA0"/>
    <w:rsid w:val="00404E95"/>
    <w:rsid w:val="00404E98"/>
    <w:rsid w:val="00404F86"/>
    <w:rsid w:val="00405037"/>
    <w:rsid w:val="004051B1"/>
    <w:rsid w:val="00405254"/>
    <w:rsid w:val="004052BF"/>
    <w:rsid w:val="00405351"/>
    <w:rsid w:val="004054ED"/>
    <w:rsid w:val="004055D3"/>
    <w:rsid w:val="004055E1"/>
    <w:rsid w:val="004056E0"/>
    <w:rsid w:val="00405747"/>
    <w:rsid w:val="0040575E"/>
    <w:rsid w:val="0040582E"/>
    <w:rsid w:val="00405963"/>
    <w:rsid w:val="004059DD"/>
    <w:rsid w:val="00405A25"/>
    <w:rsid w:val="00405B05"/>
    <w:rsid w:val="00405B14"/>
    <w:rsid w:val="00405B26"/>
    <w:rsid w:val="00405BFC"/>
    <w:rsid w:val="00405C07"/>
    <w:rsid w:val="00405C29"/>
    <w:rsid w:val="00405CA6"/>
    <w:rsid w:val="00405D16"/>
    <w:rsid w:val="00405E08"/>
    <w:rsid w:val="00405E1F"/>
    <w:rsid w:val="00405F21"/>
    <w:rsid w:val="0040604C"/>
    <w:rsid w:val="004060DD"/>
    <w:rsid w:val="00406145"/>
    <w:rsid w:val="00406158"/>
    <w:rsid w:val="004062FE"/>
    <w:rsid w:val="00406455"/>
    <w:rsid w:val="00406591"/>
    <w:rsid w:val="00406970"/>
    <w:rsid w:val="004069F3"/>
    <w:rsid w:val="00406A08"/>
    <w:rsid w:val="00406A4B"/>
    <w:rsid w:val="00406A7D"/>
    <w:rsid w:val="00406BE6"/>
    <w:rsid w:val="00406C20"/>
    <w:rsid w:val="00406E39"/>
    <w:rsid w:val="00406FCB"/>
    <w:rsid w:val="00406FF0"/>
    <w:rsid w:val="00407009"/>
    <w:rsid w:val="0040707F"/>
    <w:rsid w:val="0040713B"/>
    <w:rsid w:val="004073A2"/>
    <w:rsid w:val="004075B7"/>
    <w:rsid w:val="004077C5"/>
    <w:rsid w:val="00407809"/>
    <w:rsid w:val="00407955"/>
    <w:rsid w:val="004079D8"/>
    <w:rsid w:val="00407B21"/>
    <w:rsid w:val="00407BCE"/>
    <w:rsid w:val="00407C4B"/>
    <w:rsid w:val="00407C7B"/>
    <w:rsid w:val="00407CBC"/>
    <w:rsid w:val="00407CEE"/>
    <w:rsid w:val="00407D14"/>
    <w:rsid w:val="00407D1F"/>
    <w:rsid w:val="00407D74"/>
    <w:rsid w:val="00407D84"/>
    <w:rsid w:val="00407DBF"/>
    <w:rsid w:val="00407E5F"/>
    <w:rsid w:val="00407FAD"/>
    <w:rsid w:val="00410079"/>
    <w:rsid w:val="0041007D"/>
    <w:rsid w:val="004102E4"/>
    <w:rsid w:val="004102E9"/>
    <w:rsid w:val="004103D5"/>
    <w:rsid w:val="00410432"/>
    <w:rsid w:val="00410539"/>
    <w:rsid w:val="004106BE"/>
    <w:rsid w:val="004106FF"/>
    <w:rsid w:val="004107E4"/>
    <w:rsid w:val="004107E5"/>
    <w:rsid w:val="004108A1"/>
    <w:rsid w:val="004108FD"/>
    <w:rsid w:val="00410959"/>
    <w:rsid w:val="00410A80"/>
    <w:rsid w:val="00410AB0"/>
    <w:rsid w:val="00410AEB"/>
    <w:rsid w:val="00410B11"/>
    <w:rsid w:val="00410C39"/>
    <w:rsid w:val="004110D4"/>
    <w:rsid w:val="0041111A"/>
    <w:rsid w:val="00411360"/>
    <w:rsid w:val="0041148B"/>
    <w:rsid w:val="0041162B"/>
    <w:rsid w:val="004116FB"/>
    <w:rsid w:val="004117F4"/>
    <w:rsid w:val="004118B6"/>
    <w:rsid w:val="004118D5"/>
    <w:rsid w:val="00411A34"/>
    <w:rsid w:val="00411A77"/>
    <w:rsid w:val="00411AD5"/>
    <w:rsid w:val="00411BFE"/>
    <w:rsid w:val="00411C69"/>
    <w:rsid w:val="00411D63"/>
    <w:rsid w:val="00411D8A"/>
    <w:rsid w:val="00411E14"/>
    <w:rsid w:val="00411E22"/>
    <w:rsid w:val="00411E4E"/>
    <w:rsid w:val="00411E65"/>
    <w:rsid w:val="00411E95"/>
    <w:rsid w:val="00411F49"/>
    <w:rsid w:val="00411FA3"/>
    <w:rsid w:val="004120E1"/>
    <w:rsid w:val="00412124"/>
    <w:rsid w:val="004121A4"/>
    <w:rsid w:val="0041225D"/>
    <w:rsid w:val="00412304"/>
    <w:rsid w:val="004123B6"/>
    <w:rsid w:val="00412412"/>
    <w:rsid w:val="00412489"/>
    <w:rsid w:val="004124A1"/>
    <w:rsid w:val="004124E8"/>
    <w:rsid w:val="004125F9"/>
    <w:rsid w:val="00412687"/>
    <w:rsid w:val="004126C5"/>
    <w:rsid w:val="00412767"/>
    <w:rsid w:val="00412783"/>
    <w:rsid w:val="00412854"/>
    <w:rsid w:val="0041285C"/>
    <w:rsid w:val="004128F3"/>
    <w:rsid w:val="00412B3A"/>
    <w:rsid w:val="00412C18"/>
    <w:rsid w:val="00412D22"/>
    <w:rsid w:val="00412D2B"/>
    <w:rsid w:val="00412E0A"/>
    <w:rsid w:val="00412F16"/>
    <w:rsid w:val="00412F91"/>
    <w:rsid w:val="00412F93"/>
    <w:rsid w:val="00412FB9"/>
    <w:rsid w:val="00413123"/>
    <w:rsid w:val="0041312A"/>
    <w:rsid w:val="00413467"/>
    <w:rsid w:val="0041349C"/>
    <w:rsid w:val="00413572"/>
    <w:rsid w:val="004135C3"/>
    <w:rsid w:val="00413675"/>
    <w:rsid w:val="00413676"/>
    <w:rsid w:val="0041385A"/>
    <w:rsid w:val="00413968"/>
    <w:rsid w:val="00413A00"/>
    <w:rsid w:val="00413A86"/>
    <w:rsid w:val="00413AEA"/>
    <w:rsid w:val="00413B89"/>
    <w:rsid w:val="00413CBC"/>
    <w:rsid w:val="00413CC1"/>
    <w:rsid w:val="00413D70"/>
    <w:rsid w:val="00413DBE"/>
    <w:rsid w:val="00413DCE"/>
    <w:rsid w:val="00413FF0"/>
    <w:rsid w:val="0041410F"/>
    <w:rsid w:val="00414150"/>
    <w:rsid w:val="004141DD"/>
    <w:rsid w:val="004141F3"/>
    <w:rsid w:val="00414210"/>
    <w:rsid w:val="00414373"/>
    <w:rsid w:val="004143DE"/>
    <w:rsid w:val="004144C2"/>
    <w:rsid w:val="004144E9"/>
    <w:rsid w:val="00414512"/>
    <w:rsid w:val="0041468F"/>
    <w:rsid w:val="004146DF"/>
    <w:rsid w:val="00414908"/>
    <w:rsid w:val="004149DE"/>
    <w:rsid w:val="00414BC2"/>
    <w:rsid w:val="00414BD4"/>
    <w:rsid w:val="00414C26"/>
    <w:rsid w:val="00414D28"/>
    <w:rsid w:val="00414DFB"/>
    <w:rsid w:val="00414E42"/>
    <w:rsid w:val="00414E7B"/>
    <w:rsid w:val="00414F62"/>
    <w:rsid w:val="00414FB0"/>
    <w:rsid w:val="00415036"/>
    <w:rsid w:val="004150AF"/>
    <w:rsid w:val="0041517B"/>
    <w:rsid w:val="0041526D"/>
    <w:rsid w:val="0041529C"/>
    <w:rsid w:val="0041530B"/>
    <w:rsid w:val="0041548E"/>
    <w:rsid w:val="00415496"/>
    <w:rsid w:val="00415505"/>
    <w:rsid w:val="00415512"/>
    <w:rsid w:val="004157E1"/>
    <w:rsid w:val="0041582C"/>
    <w:rsid w:val="004158AC"/>
    <w:rsid w:val="004158FF"/>
    <w:rsid w:val="004159E4"/>
    <w:rsid w:val="00415A30"/>
    <w:rsid w:val="00415A90"/>
    <w:rsid w:val="00415F02"/>
    <w:rsid w:val="00415FF3"/>
    <w:rsid w:val="00415FF9"/>
    <w:rsid w:val="004160D9"/>
    <w:rsid w:val="00416164"/>
    <w:rsid w:val="00416268"/>
    <w:rsid w:val="00416325"/>
    <w:rsid w:val="004163A8"/>
    <w:rsid w:val="004163BC"/>
    <w:rsid w:val="004164D1"/>
    <w:rsid w:val="004165AA"/>
    <w:rsid w:val="0041663A"/>
    <w:rsid w:val="00416649"/>
    <w:rsid w:val="0041666A"/>
    <w:rsid w:val="0041666F"/>
    <w:rsid w:val="0041667A"/>
    <w:rsid w:val="0041667E"/>
    <w:rsid w:val="00416732"/>
    <w:rsid w:val="004167EB"/>
    <w:rsid w:val="00416920"/>
    <w:rsid w:val="00416964"/>
    <w:rsid w:val="004169C8"/>
    <w:rsid w:val="004169CE"/>
    <w:rsid w:val="004169F0"/>
    <w:rsid w:val="00416B80"/>
    <w:rsid w:val="00416BD4"/>
    <w:rsid w:val="00416C54"/>
    <w:rsid w:val="00416E3F"/>
    <w:rsid w:val="00417015"/>
    <w:rsid w:val="00417023"/>
    <w:rsid w:val="0041715C"/>
    <w:rsid w:val="004171BF"/>
    <w:rsid w:val="004171F2"/>
    <w:rsid w:val="00417289"/>
    <w:rsid w:val="004173BF"/>
    <w:rsid w:val="004173FE"/>
    <w:rsid w:val="004174B7"/>
    <w:rsid w:val="0041761F"/>
    <w:rsid w:val="0041786A"/>
    <w:rsid w:val="004178BA"/>
    <w:rsid w:val="0041796D"/>
    <w:rsid w:val="004179A1"/>
    <w:rsid w:val="00417B11"/>
    <w:rsid w:val="00417B44"/>
    <w:rsid w:val="00417C04"/>
    <w:rsid w:val="00417CB3"/>
    <w:rsid w:val="00417D6B"/>
    <w:rsid w:val="00417ECE"/>
    <w:rsid w:val="00417ECF"/>
    <w:rsid w:val="0042007A"/>
    <w:rsid w:val="004200BD"/>
    <w:rsid w:val="00420152"/>
    <w:rsid w:val="00420178"/>
    <w:rsid w:val="00420214"/>
    <w:rsid w:val="00420300"/>
    <w:rsid w:val="004204F7"/>
    <w:rsid w:val="004205B3"/>
    <w:rsid w:val="004205E8"/>
    <w:rsid w:val="00420682"/>
    <w:rsid w:val="004206C9"/>
    <w:rsid w:val="00420727"/>
    <w:rsid w:val="004207CC"/>
    <w:rsid w:val="00420815"/>
    <w:rsid w:val="0042090E"/>
    <w:rsid w:val="004209CF"/>
    <w:rsid w:val="004209D2"/>
    <w:rsid w:val="004209F0"/>
    <w:rsid w:val="00420A4B"/>
    <w:rsid w:val="00420B23"/>
    <w:rsid w:val="00420B4B"/>
    <w:rsid w:val="00420B8B"/>
    <w:rsid w:val="00420D3A"/>
    <w:rsid w:val="00420E54"/>
    <w:rsid w:val="004210A2"/>
    <w:rsid w:val="004210D7"/>
    <w:rsid w:val="004211A9"/>
    <w:rsid w:val="00421270"/>
    <w:rsid w:val="004212A8"/>
    <w:rsid w:val="004212F9"/>
    <w:rsid w:val="004213CA"/>
    <w:rsid w:val="004214E1"/>
    <w:rsid w:val="004214F6"/>
    <w:rsid w:val="0042156C"/>
    <w:rsid w:val="0042163A"/>
    <w:rsid w:val="0042168F"/>
    <w:rsid w:val="00421800"/>
    <w:rsid w:val="004218BB"/>
    <w:rsid w:val="004219E5"/>
    <w:rsid w:val="00421AD0"/>
    <w:rsid w:val="00421AF2"/>
    <w:rsid w:val="00421B40"/>
    <w:rsid w:val="00421BD1"/>
    <w:rsid w:val="00421C22"/>
    <w:rsid w:val="00421D53"/>
    <w:rsid w:val="00421D56"/>
    <w:rsid w:val="00421E9D"/>
    <w:rsid w:val="0042212F"/>
    <w:rsid w:val="00422140"/>
    <w:rsid w:val="004221F3"/>
    <w:rsid w:val="004222C7"/>
    <w:rsid w:val="00422380"/>
    <w:rsid w:val="00422394"/>
    <w:rsid w:val="004224D0"/>
    <w:rsid w:val="004227B0"/>
    <w:rsid w:val="004227FE"/>
    <w:rsid w:val="00422B35"/>
    <w:rsid w:val="00422D00"/>
    <w:rsid w:val="00422D27"/>
    <w:rsid w:val="00422E07"/>
    <w:rsid w:val="00422F55"/>
    <w:rsid w:val="00422FE9"/>
    <w:rsid w:val="004230B9"/>
    <w:rsid w:val="004232D6"/>
    <w:rsid w:val="004233BB"/>
    <w:rsid w:val="00423524"/>
    <w:rsid w:val="004235D8"/>
    <w:rsid w:val="004235DA"/>
    <w:rsid w:val="0042362A"/>
    <w:rsid w:val="00423665"/>
    <w:rsid w:val="004237EC"/>
    <w:rsid w:val="00423809"/>
    <w:rsid w:val="00423921"/>
    <w:rsid w:val="004239D8"/>
    <w:rsid w:val="00423A5B"/>
    <w:rsid w:val="00423BAA"/>
    <w:rsid w:val="00423BF5"/>
    <w:rsid w:val="00423CA4"/>
    <w:rsid w:val="00423CC1"/>
    <w:rsid w:val="00423DE1"/>
    <w:rsid w:val="00423F7C"/>
    <w:rsid w:val="00423FA7"/>
    <w:rsid w:val="00424013"/>
    <w:rsid w:val="00424087"/>
    <w:rsid w:val="00424113"/>
    <w:rsid w:val="00424160"/>
    <w:rsid w:val="004241C8"/>
    <w:rsid w:val="004241CC"/>
    <w:rsid w:val="0042420A"/>
    <w:rsid w:val="0042422B"/>
    <w:rsid w:val="004244D1"/>
    <w:rsid w:val="004245E3"/>
    <w:rsid w:val="004247B2"/>
    <w:rsid w:val="004247FE"/>
    <w:rsid w:val="00424873"/>
    <w:rsid w:val="00424911"/>
    <w:rsid w:val="00424941"/>
    <w:rsid w:val="004249CD"/>
    <w:rsid w:val="00424A2E"/>
    <w:rsid w:val="00424AAD"/>
    <w:rsid w:val="00424AF6"/>
    <w:rsid w:val="00424B01"/>
    <w:rsid w:val="00424B23"/>
    <w:rsid w:val="00424B4D"/>
    <w:rsid w:val="00424BC0"/>
    <w:rsid w:val="00424CC5"/>
    <w:rsid w:val="00424DC4"/>
    <w:rsid w:val="00424E3F"/>
    <w:rsid w:val="00424E8A"/>
    <w:rsid w:val="00424EA1"/>
    <w:rsid w:val="00424FD0"/>
    <w:rsid w:val="0042503E"/>
    <w:rsid w:val="0042513A"/>
    <w:rsid w:val="00425322"/>
    <w:rsid w:val="00425393"/>
    <w:rsid w:val="0042539D"/>
    <w:rsid w:val="004253CF"/>
    <w:rsid w:val="0042549E"/>
    <w:rsid w:val="00425503"/>
    <w:rsid w:val="0042563F"/>
    <w:rsid w:val="0042568B"/>
    <w:rsid w:val="004256CC"/>
    <w:rsid w:val="004256F8"/>
    <w:rsid w:val="004257EF"/>
    <w:rsid w:val="004258A7"/>
    <w:rsid w:val="0042599C"/>
    <w:rsid w:val="00425B77"/>
    <w:rsid w:val="00425BD8"/>
    <w:rsid w:val="00425DA5"/>
    <w:rsid w:val="00425E1F"/>
    <w:rsid w:val="00425E66"/>
    <w:rsid w:val="00425F27"/>
    <w:rsid w:val="00425FBA"/>
    <w:rsid w:val="00425FC2"/>
    <w:rsid w:val="0042605A"/>
    <w:rsid w:val="004260EF"/>
    <w:rsid w:val="0042612C"/>
    <w:rsid w:val="0042617E"/>
    <w:rsid w:val="004261F5"/>
    <w:rsid w:val="00426208"/>
    <w:rsid w:val="0042632B"/>
    <w:rsid w:val="0042639A"/>
    <w:rsid w:val="004263E3"/>
    <w:rsid w:val="004264C2"/>
    <w:rsid w:val="004264F3"/>
    <w:rsid w:val="00426504"/>
    <w:rsid w:val="00426539"/>
    <w:rsid w:val="0042653C"/>
    <w:rsid w:val="004266F3"/>
    <w:rsid w:val="00426805"/>
    <w:rsid w:val="00426B4A"/>
    <w:rsid w:val="00426D7B"/>
    <w:rsid w:val="00426EA8"/>
    <w:rsid w:val="00426EDE"/>
    <w:rsid w:val="00426FAA"/>
    <w:rsid w:val="00426FC2"/>
    <w:rsid w:val="00426FDC"/>
    <w:rsid w:val="00427009"/>
    <w:rsid w:val="004270F0"/>
    <w:rsid w:val="0042711E"/>
    <w:rsid w:val="00427230"/>
    <w:rsid w:val="004272DF"/>
    <w:rsid w:val="004273D9"/>
    <w:rsid w:val="00427411"/>
    <w:rsid w:val="00427419"/>
    <w:rsid w:val="0042745A"/>
    <w:rsid w:val="004274A9"/>
    <w:rsid w:val="004275D9"/>
    <w:rsid w:val="00427632"/>
    <w:rsid w:val="00427699"/>
    <w:rsid w:val="00427751"/>
    <w:rsid w:val="004277E3"/>
    <w:rsid w:val="004277EC"/>
    <w:rsid w:val="00427945"/>
    <w:rsid w:val="00427954"/>
    <w:rsid w:val="00427A26"/>
    <w:rsid w:val="00427AFE"/>
    <w:rsid w:val="00427B8C"/>
    <w:rsid w:val="00427C1C"/>
    <w:rsid w:val="00427CAB"/>
    <w:rsid w:val="00427EF5"/>
    <w:rsid w:val="00427F46"/>
    <w:rsid w:val="0043003C"/>
    <w:rsid w:val="0043016A"/>
    <w:rsid w:val="004301AD"/>
    <w:rsid w:val="004301ED"/>
    <w:rsid w:val="00430210"/>
    <w:rsid w:val="00430228"/>
    <w:rsid w:val="004302BE"/>
    <w:rsid w:val="004302F2"/>
    <w:rsid w:val="0043038B"/>
    <w:rsid w:val="0043039D"/>
    <w:rsid w:val="004303E3"/>
    <w:rsid w:val="0043048D"/>
    <w:rsid w:val="00430502"/>
    <w:rsid w:val="00430520"/>
    <w:rsid w:val="0043063B"/>
    <w:rsid w:val="00430732"/>
    <w:rsid w:val="00430831"/>
    <w:rsid w:val="0043083C"/>
    <w:rsid w:val="00430891"/>
    <w:rsid w:val="0043089C"/>
    <w:rsid w:val="004308C4"/>
    <w:rsid w:val="00430906"/>
    <w:rsid w:val="004309B9"/>
    <w:rsid w:val="00430A04"/>
    <w:rsid w:val="00430BD5"/>
    <w:rsid w:val="00430C63"/>
    <w:rsid w:val="00430CE3"/>
    <w:rsid w:val="00430D27"/>
    <w:rsid w:val="00430DC8"/>
    <w:rsid w:val="00430EAE"/>
    <w:rsid w:val="004310A5"/>
    <w:rsid w:val="00431103"/>
    <w:rsid w:val="0043114B"/>
    <w:rsid w:val="004311C6"/>
    <w:rsid w:val="0043127A"/>
    <w:rsid w:val="004312DF"/>
    <w:rsid w:val="004312EB"/>
    <w:rsid w:val="0043134E"/>
    <w:rsid w:val="00431515"/>
    <w:rsid w:val="0043156F"/>
    <w:rsid w:val="0043165E"/>
    <w:rsid w:val="00431698"/>
    <w:rsid w:val="00431740"/>
    <w:rsid w:val="00431AAB"/>
    <w:rsid w:val="00431B62"/>
    <w:rsid w:val="00431C1B"/>
    <w:rsid w:val="00431CA2"/>
    <w:rsid w:val="00431D01"/>
    <w:rsid w:val="00431D53"/>
    <w:rsid w:val="00431DAD"/>
    <w:rsid w:val="00431EB4"/>
    <w:rsid w:val="00431F55"/>
    <w:rsid w:val="0043207E"/>
    <w:rsid w:val="004320FC"/>
    <w:rsid w:val="004321FC"/>
    <w:rsid w:val="00432237"/>
    <w:rsid w:val="0043231C"/>
    <w:rsid w:val="00432564"/>
    <w:rsid w:val="0043267F"/>
    <w:rsid w:val="004326E6"/>
    <w:rsid w:val="00432733"/>
    <w:rsid w:val="0043276F"/>
    <w:rsid w:val="00432800"/>
    <w:rsid w:val="004328FE"/>
    <w:rsid w:val="00432A1E"/>
    <w:rsid w:val="00432D56"/>
    <w:rsid w:val="00432DEC"/>
    <w:rsid w:val="00432E3C"/>
    <w:rsid w:val="00432E85"/>
    <w:rsid w:val="00432F22"/>
    <w:rsid w:val="00432F77"/>
    <w:rsid w:val="00432F98"/>
    <w:rsid w:val="00432FAA"/>
    <w:rsid w:val="00432FFB"/>
    <w:rsid w:val="00433060"/>
    <w:rsid w:val="0043309A"/>
    <w:rsid w:val="0043312A"/>
    <w:rsid w:val="0043312F"/>
    <w:rsid w:val="00433149"/>
    <w:rsid w:val="004331D9"/>
    <w:rsid w:val="00433398"/>
    <w:rsid w:val="00433401"/>
    <w:rsid w:val="00433408"/>
    <w:rsid w:val="00433415"/>
    <w:rsid w:val="00433477"/>
    <w:rsid w:val="004335A4"/>
    <w:rsid w:val="004335DD"/>
    <w:rsid w:val="00433615"/>
    <w:rsid w:val="00433616"/>
    <w:rsid w:val="00433682"/>
    <w:rsid w:val="004336D4"/>
    <w:rsid w:val="004336D8"/>
    <w:rsid w:val="00433780"/>
    <w:rsid w:val="00433829"/>
    <w:rsid w:val="0043383C"/>
    <w:rsid w:val="00433880"/>
    <w:rsid w:val="00433AF8"/>
    <w:rsid w:val="00433AFA"/>
    <w:rsid w:val="00433B87"/>
    <w:rsid w:val="00433C4B"/>
    <w:rsid w:val="00433D0E"/>
    <w:rsid w:val="00434035"/>
    <w:rsid w:val="004340C0"/>
    <w:rsid w:val="004340DF"/>
    <w:rsid w:val="00434152"/>
    <w:rsid w:val="0043418A"/>
    <w:rsid w:val="0043419C"/>
    <w:rsid w:val="004341D4"/>
    <w:rsid w:val="004342DA"/>
    <w:rsid w:val="004343A5"/>
    <w:rsid w:val="00434569"/>
    <w:rsid w:val="00434593"/>
    <w:rsid w:val="00434710"/>
    <w:rsid w:val="00434882"/>
    <w:rsid w:val="0043499A"/>
    <w:rsid w:val="004349B0"/>
    <w:rsid w:val="004349ED"/>
    <w:rsid w:val="00434A92"/>
    <w:rsid w:val="00434AB2"/>
    <w:rsid w:val="00434ACD"/>
    <w:rsid w:val="00434DC3"/>
    <w:rsid w:val="00434DF3"/>
    <w:rsid w:val="00434E74"/>
    <w:rsid w:val="00434E89"/>
    <w:rsid w:val="00434F31"/>
    <w:rsid w:val="00434F4C"/>
    <w:rsid w:val="0043509E"/>
    <w:rsid w:val="004350EB"/>
    <w:rsid w:val="00435130"/>
    <w:rsid w:val="00435150"/>
    <w:rsid w:val="004352DD"/>
    <w:rsid w:val="004353EA"/>
    <w:rsid w:val="004354DF"/>
    <w:rsid w:val="0043552B"/>
    <w:rsid w:val="0043556B"/>
    <w:rsid w:val="0043569D"/>
    <w:rsid w:val="00435824"/>
    <w:rsid w:val="004359C8"/>
    <w:rsid w:val="004359D9"/>
    <w:rsid w:val="00435B5B"/>
    <w:rsid w:val="00435B9B"/>
    <w:rsid w:val="00435C3A"/>
    <w:rsid w:val="00435E0B"/>
    <w:rsid w:val="00435E4B"/>
    <w:rsid w:val="00435F1A"/>
    <w:rsid w:val="00435F45"/>
    <w:rsid w:val="00435F6D"/>
    <w:rsid w:val="00435FF1"/>
    <w:rsid w:val="00436099"/>
    <w:rsid w:val="004360A3"/>
    <w:rsid w:val="004361CE"/>
    <w:rsid w:val="004362D3"/>
    <w:rsid w:val="00436352"/>
    <w:rsid w:val="00436375"/>
    <w:rsid w:val="00436377"/>
    <w:rsid w:val="00436549"/>
    <w:rsid w:val="0043655D"/>
    <w:rsid w:val="00436575"/>
    <w:rsid w:val="0043669E"/>
    <w:rsid w:val="004366E9"/>
    <w:rsid w:val="00436870"/>
    <w:rsid w:val="00436948"/>
    <w:rsid w:val="00436A52"/>
    <w:rsid w:val="00436AA4"/>
    <w:rsid w:val="00436BB7"/>
    <w:rsid w:val="00436BFE"/>
    <w:rsid w:val="00436D0D"/>
    <w:rsid w:val="00436EAF"/>
    <w:rsid w:val="00436F7F"/>
    <w:rsid w:val="00437110"/>
    <w:rsid w:val="00437520"/>
    <w:rsid w:val="0043760C"/>
    <w:rsid w:val="0043781D"/>
    <w:rsid w:val="00437919"/>
    <w:rsid w:val="0043799D"/>
    <w:rsid w:val="004379CE"/>
    <w:rsid w:val="00437BED"/>
    <w:rsid w:val="00437E1C"/>
    <w:rsid w:val="00437F38"/>
    <w:rsid w:val="0044003C"/>
    <w:rsid w:val="004400C7"/>
    <w:rsid w:val="004400F6"/>
    <w:rsid w:val="004401E9"/>
    <w:rsid w:val="0044024B"/>
    <w:rsid w:val="00440309"/>
    <w:rsid w:val="00440325"/>
    <w:rsid w:val="00440346"/>
    <w:rsid w:val="0044047A"/>
    <w:rsid w:val="00440485"/>
    <w:rsid w:val="004405CC"/>
    <w:rsid w:val="00440609"/>
    <w:rsid w:val="004406DB"/>
    <w:rsid w:val="004406F1"/>
    <w:rsid w:val="004408BA"/>
    <w:rsid w:val="004408D2"/>
    <w:rsid w:val="004408D6"/>
    <w:rsid w:val="00440907"/>
    <w:rsid w:val="0044090C"/>
    <w:rsid w:val="004409FF"/>
    <w:rsid w:val="00440A8A"/>
    <w:rsid w:val="00440B70"/>
    <w:rsid w:val="00440CC0"/>
    <w:rsid w:val="00440D01"/>
    <w:rsid w:val="00440D9B"/>
    <w:rsid w:val="00440DB0"/>
    <w:rsid w:val="00440DBA"/>
    <w:rsid w:val="00440DFC"/>
    <w:rsid w:val="00440EC6"/>
    <w:rsid w:val="00440ED4"/>
    <w:rsid w:val="00440EDC"/>
    <w:rsid w:val="00440F34"/>
    <w:rsid w:val="00440F4D"/>
    <w:rsid w:val="0044104B"/>
    <w:rsid w:val="00441097"/>
    <w:rsid w:val="004410F9"/>
    <w:rsid w:val="0044116C"/>
    <w:rsid w:val="004413DA"/>
    <w:rsid w:val="004414B9"/>
    <w:rsid w:val="00441545"/>
    <w:rsid w:val="0044157C"/>
    <w:rsid w:val="0044158E"/>
    <w:rsid w:val="0044160E"/>
    <w:rsid w:val="00441659"/>
    <w:rsid w:val="004416DF"/>
    <w:rsid w:val="004416FF"/>
    <w:rsid w:val="00441760"/>
    <w:rsid w:val="0044188E"/>
    <w:rsid w:val="004418DB"/>
    <w:rsid w:val="004418FE"/>
    <w:rsid w:val="0044190D"/>
    <w:rsid w:val="004419C4"/>
    <w:rsid w:val="00441AD8"/>
    <w:rsid w:val="00441B7C"/>
    <w:rsid w:val="00441BB3"/>
    <w:rsid w:val="00441BB4"/>
    <w:rsid w:val="00441D1C"/>
    <w:rsid w:val="00441DCF"/>
    <w:rsid w:val="00441EFD"/>
    <w:rsid w:val="00441F41"/>
    <w:rsid w:val="00441F8A"/>
    <w:rsid w:val="00442178"/>
    <w:rsid w:val="004422CA"/>
    <w:rsid w:val="0044231E"/>
    <w:rsid w:val="00442497"/>
    <w:rsid w:val="00442508"/>
    <w:rsid w:val="0044258F"/>
    <w:rsid w:val="004425AF"/>
    <w:rsid w:val="0044271F"/>
    <w:rsid w:val="0044293F"/>
    <w:rsid w:val="00442AC9"/>
    <w:rsid w:val="00442EAF"/>
    <w:rsid w:val="00442F49"/>
    <w:rsid w:val="0044302B"/>
    <w:rsid w:val="004430E1"/>
    <w:rsid w:val="004431C5"/>
    <w:rsid w:val="00443348"/>
    <w:rsid w:val="00443756"/>
    <w:rsid w:val="004437C6"/>
    <w:rsid w:val="0044382C"/>
    <w:rsid w:val="00443897"/>
    <w:rsid w:val="0044390A"/>
    <w:rsid w:val="00443A1C"/>
    <w:rsid w:val="00443B40"/>
    <w:rsid w:val="00443C34"/>
    <w:rsid w:val="00443E1B"/>
    <w:rsid w:val="00443F06"/>
    <w:rsid w:val="00444034"/>
    <w:rsid w:val="00444102"/>
    <w:rsid w:val="004441CA"/>
    <w:rsid w:val="0044440A"/>
    <w:rsid w:val="00444493"/>
    <w:rsid w:val="00444578"/>
    <w:rsid w:val="00444664"/>
    <w:rsid w:val="00444679"/>
    <w:rsid w:val="00444725"/>
    <w:rsid w:val="00444731"/>
    <w:rsid w:val="00444851"/>
    <w:rsid w:val="004448DA"/>
    <w:rsid w:val="00444922"/>
    <w:rsid w:val="00444ACC"/>
    <w:rsid w:val="00444CCB"/>
    <w:rsid w:val="00444CDA"/>
    <w:rsid w:val="00444D28"/>
    <w:rsid w:val="00444D75"/>
    <w:rsid w:val="00444E12"/>
    <w:rsid w:val="00444E69"/>
    <w:rsid w:val="00444E79"/>
    <w:rsid w:val="00444FC0"/>
    <w:rsid w:val="004456EA"/>
    <w:rsid w:val="004457E2"/>
    <w:rsid w:val="004458AC"/>
    <w:rsid w:val="00445A32"/>
    <w:rsid w:val="00445A71"/>
    <w:rsid w:val="00445A89"/>
    <w:rsid w:val="00445A8B"/>
    <w:rsid w:val="00445B46"/>
    <w:rsid w:val="00445BFB"/>
    <w:rsid w:val="00445E9E"/>
    <w:rsid w:val="00445EE8"/>
    <w:rsid w:val="00445F48"/>
    <w:rsid w:val="00445FE7"/>
    <w:rsid w:val="0044603E"/>
    <w:rsid w:val="00446054"/>
    <w:rsid w:val="00446180"/>
    <w:rsid w:val="00446474"/>
    <w:rsid w:val="004467ED"/>
    <w:rsid w:val="00446D66"/>
    <w:rsid w:val="00446D8B"/>
    <w:rsid w:val="00446E08"/>
    <w:rsid w:val="00446E6E"/>
    <w:rsid w:val="00446FE9"/>
    <w:rsid w:val="0044725C"/>
    <w:rsid w:val="004472C5"/>
    <w:rsid w:val="004472CD"/>
    <w:rsid w:val="0044739A"/>
    <w:rsid w:val="00447464"/>
    <w:rsid w:val="00447466"/>
    <w:rsid w:val="00447641"/>
    <w:rsid w:val="004478FF"/>
    <w:rsid w:val="0044795B"/>
    <w:rsid w:val="00447A57"/>
    <w:rsid w:val="00447AC7"/>
    <w:rsid w:val="00447B1F"/>
    <w:rsid w:val="00447C90"/>
    <w:rsid w:val="00447CF3"/>
    <w:rsid w:val="00447DC4"/>
    <w:rsid w:val="00447E8F"/>
    <w:rsid w:val="00447EF7"/>
    <w:rsid w:val="00447FBA"/>
    <w:rsid w:val="00447FF1"/>
    <w:rsid w:val="004500BB"/>
    <w:rsid w:val="004500DB"/>
    <w:rsid w:val="0045012D"/>
    <w:rsid w:val="004501A8"/>
    <w:rsid w:val="00450214"/>
    <w:rsid w:val="00450299"/>
    <w:rsid w:val="004502A8"/>
    <w:rsid w:val="004502C4"/>
    <w:rsid w:val="0045038E"/>
    <w:rsid w:val="00450405"/>
    <w:rsid w:val="004504AA"/>
    <w:rsid w:val="0045050F"/>
    <w:rsid w:val="0045052A"/>
    <w:rsid w:val="00450556"/>
    <w:rsid w:val="004505B8"/>
    <w:rsid w:val="004506D1"/>
    <w:rsid w:val="00450794"/>
    <w:rsid w:val="004507C0"/>
    <w:rsid w:val="00450836"/>
    <w:rsid w:val="0045083D"/>
    <w:rsid w:val="004508DD"/>
    <w:rsid w:val="00450A1A"/>
    <w:rsid w:val="00450ACB"/>
    <w:rsid w:val="00450DB2"/>
    <w:rsid w:val="00450DBA"/>
    <w:rsid w:val="00450E8E"/>
    <w:rsid w:val="00450F1C"/>
    <w:rsid w:val="00451114"/>
    <w:rsid w:val="00451194"/>
    <w:rsid w:val="004511D1"/>
    <w:rsid w:val="0045148C"/>
    <w:rsid w:val="00451601"/>
    <w:rsid w:val="0045170F"/>
    <w:rsid w:val="00451756"/>
    <w:rsid w:val="004517B9"/>
    <w:rsid w:val="00451818"/>
    <w:rsid w:val="004518A0"/>
    <w:rsid w:val="004519C6"/>
    <w:rsid w:val="00451ACA"/>
    <w:rsid w:val="00451B4C"/>
    <w:rsid w:val="00451CD3"/>
    <w:rsid w:val="00451D45"/>
    <w:rsid w:val="00451D71"/>
    <w:rsid w:val="00451D74"/>
    <w:rsid w:val="00451D84"/>
    <w:rsid w:val="00451DD8"/>
    <w:rsid w:val="00451DE0"/>
    <w:rsid w:val="00451EE4"/>
    <w:rsid w:val="00451F42"/>
    <w:rsid w:val="00451F5F"/>
    <w:rsid w:val="004521A0"/>
    <w:rsid w:val="00452325"/>
    <w:rsid w:val="0045246E"/>
    <w:rsid w:val="004524A8"/>
    <w:rsid w:val="0045250E"/>
    <w:rsid w:val="00452590"/>
    <w:rsid w:val="00452642"/>
    <w:rsid w:val="004526C6"/>
    <w:rsid w:val="00452805"/>
    <w:rsid w:val="004529B9"/>
    <w:rsid w:val="00452A42"/>
    <w:rsid w:val="00452A59"/>
    <w:rsid w:val="00452AB9"/>
    <w:rsid w:val="00452BFB"/>
    <w:rsid w:val="00452D5F"/>
    <w:rsid w:val="00452DAB"/>
    <w:rsid w:val="00452E5C"/>
    <w:rsid w:val="00452F2D"/>
    <w:rsid w:val="00452F6E"/>
    <w:rsid w:val="00453010"/>
    <w:rsid w:val="0045312B"/>
    <w:rsid w:val="00453186"/>
    <w:rsid w:val="00453382"/>
    <w:rsid w:val="0045345B"/>
    <w:rsid w:val="0045351F"/>
    <w:rsid w:val="004535C9"/>
    <w:rsid w:val="00453641"/>
    <w:rsid w:val="0045372E"/>
    <w:rsid w:val="00453774"/>
    <w:rsid w:val="0045377F"/>
    <w:rsid w:val="00453869"/>
    <w:rsid w:val="0045386F"/>
    <w:rsid w:val="004539AF"/>
    <w:rsid w:val="004539EA"/>
    <w:rsid w:val="00453A53"/>
    <w:rsid w:val="00453DFB"/>
    <w:rsid w:val="00453F4C"/>
    <w:rsid w:val="0045402E"/>
    <w:rsid w:val="00454050"/>
    <w:rsid w:val="0045409E"/>
    <w:rsid w:val="00454184"/>
    <w:rsid w:val="00454335"/>
    <w:rsid w:val="0045436F"/>
    <w:rsid w:val="004543CA"/>
    <w:rsid w:val="004544C6"/>
    <w:rsid w:val="0045450F"/>
    <w:rsid w:val="00454690"/>
    <w:rsid w:val="004546D1"/>
    <w:rsid w:val="00454767"/>
    <w:rsid w:val="0045489B"/>
    <w:rsid w:val="0045493F"/>
    <w:rsid w:val="00454B9A"/>
    <w:rsid w:val="00454DC8"/>
    <w:rsid w:val="00455064"/>
    <w:rsid w:val="0045511A"/>
    <w:rsid w:val="004551B7"/>
    <w:rsid w:val="004551BB"/>
    <w:rsid w:val="004551E7"/>
    <w:rsid w:val="00455204"/>
    <w:rsid w:val="00455358"/>
    <w:rsid w:val="0045538E"/>
    <w:rsid w:val="004554E8"/>
    <w:rsid w:val="004556DA"/>
    <w:rsid w:val="00455774"/>
    <w:rsid w:val="00455807"/>
    <w:rsid w:val="004559CC"/>
    <w:rsid w:val="00455A2E"/>
    <w:rsid w:val="00455B8F"/>
    <w:rsid w:val="00455B9B"/>
    <w:rsid w:val="00455BB6"/>
    <w:rsid w:val="00455CE4"/>
    <w:rsid w:val="00455DB8"/>
    <w:rsid w:val="00455E4D"/>
    <w:rsid w:val="00455E9C"/>
    <w:rsid w:val="00455EFE"/>
    <w:rsid w:val="00455F11"/>
    <w:rsid w:val="00455FB7"/>
    <w:rsid w:val="0045602C"/>
    <w:rsid w:val="00456100"/>
    <w:rsid w:val="0045619D"/>
    <w:rsid w:val="004561CF"/>
    <w:rsid w:val="00456278"/>
    <w:rsid w:val="004563DB"/>
    <w:rsid w:val="0045652A"/>
    <w:rsid w:val="00456639"/>
    <w:rsid w:val="00456682"/>
    <w:rsid w:val="004567FF"/>
    <w:rsid w:val="00456890"/>
    <w:rsid w:val="00456A20"/>
    <w:rsid w:val="00456A29"/>
    <w:rsid w:val="00456B58"/>
    <w:rsid w:val="00456C40"/>
    <w:rsid w:val="00456CD0"/>
    <w:rsid w:val="00456F74"/>
    <w:rsid w:val="00457036"/>
    <w:rsid w:val="004570FD"/>
    <w:rsid w:val="0045714C"/>
    <w:rsid w:val="00457154"/>
    <w:rsid w:val="004571BF"/>
    <w:rsid w:val="004571EA"/>
    <w:rsid w:val="00457262"/>
    <w:rsid w:val="0045729E"/>
    <w:rsid w:val="004573C9"/>
    <w:rsid w:val="00457427"/>
    <w:rsid w:val="0045758F"/>
    <w:rsid w:val="0045762C"/>
    <w:rsid w:val="004576B2"/>
    <w:rsid w:val="004576EC"/>
    <w:rsid w:val="00457782"/>
    <w:rsid w:val="00457874"/>
    <w:rsid w:val="004578D1"/>
    <w:rsid w:val="00457919"/>
    <w:rsid w:val="004579A6"/>
    <w:rsid w:val="004579F7"/>
    <w:rsid w:val="00457A3B"/>
    <w:rsid w:val="00457A55"/>
    <w:rsid w:val="00457A72"/>
    <w:rsid w:val="00457B39"/>
    <w:rsid w:val="00457F69"/>
    <w:rsid w:val="004600F6"/>
    <w:rsid w:val="00460112"/>
    <w:rsid w:val="00460188"/>
    <w:rsid w:val="004604A5"/>
    <w:rsid w:val="004604E7"/>
    <w:rsid w:val="004604F9"/>
    <w:rsid w:val="0046067C"/>
    <w:rsid w:val="00460687"/>
    <w:rsid w:val="00460699"/>
    <w:rsid w:val="004606D1"/>
    <w:rsid w:val="0046085E"/>
    <w:rsid w:val="00460A05"/>
    <w:rsid w:val="00460A13"/>
    <w:rsid w:val="00460A92"/>
    <w:rsid w:val="00460AE6"/>
    <w:rsid w:val="00460B40"/>
    <w:rsid w:val="00460B68"/>
    <w:rsid w:val="00460B8D"/>
    <w:rsid w:val="00460D46"/>
    <w:rsid w:val="00460DD4"/>
    <w:rsid w:val="00460DDB"/>
    <w:rsid w:val="00460E16"/>
    <w:rsid w:val="00460E1A"/>
    <w:rsid w:val="00460EE1"/>
    <w:rsid w:val="00460FD6"/>
    <w:rsid w:val="0046107D"/>
    <w:rsid w:val="004611FA"/>
    <w:rsid w:val="00461221"/>
    <w:rsid w:val="00461339"/>
    <w:rsid w:val="00461431"/>
    <w:rsid w:val="0046147D"/>
    <w:rsid w:val="004616A8"/>
    <w:rsid w:val="00461703"/>
    <w:rsid w:val="0046171B"/>
    <w:rsid w:val="00461809"/>
    <w:rsid w:val="0046180B"/>
    <w:rsid w:val="00461854"/>
    <w:rsid w:val="00461BD5"/>
    <w:rsid w:val="00461BDF"/>
    <w:rsid w:val="00461C0B"/>
    <w:rsid w:val="00461C23"/>
    <w:rsid w:val="00461E74"/>
    <w:rsid w:val="00461F86"/>
    <w:rsid w:val="004620DE"/>
    <w:rsid w:val="004621D4"/>
    <w:rsid w:val="0046228B"/>
    <w:rsid w:val="004622CC"/>
    <w:rsid w:val="0046237A"/>
    <w:rsid w:val="0046266B"/>
    <w:rsid w:val="004626AE"/>
    <w:rsid w:val="004626E7"/>
    <w:rsid w:val="00462781"/>
    <w:rsid w:val="00462849"/>
    <w:rsid w:val="004628FC"/>
    <w:rsid w:val="00462945"/>
    <w:rsid w:val="00462960"/>
    <w:rsid w:val="004629E1"/>
    <w:rsid w:val="00462A12"/>
    <w:rsid w:val="00462CE4"/>
    <w:rsid w:val="00462D34"/>
    <w:rsid w:val="00462D3F"/>
    <w:rsid w:val="00462F8B"/>
    <w:rsid w:val="00462F8C"/>
    <w:rsid w:val="00463016"/>
    <w:rsid w:val="00463046"/>
    <w:rsid w:val="0046315A"/>
    <w:rsid w:val="0046336B"/>
    <w:rsid w:val="00463610"/>
    <w:rsid w:val="004636B0"/>
    <w:rsid w:val="00463785"/>
    <w:rsid w:val="004637D6"/>
    <w:rsid w:val="0046382C"/>
    <w:rsid w:val="004638BD"/>
    <w:rsid w:val="004638F5"/>
    <w:rsid w:val="0046390A"/>
    <w:rsid w:val="00463973"/>
    <w:rsid w:val="00463A7D"/>
    <w:rsid w:val="00463A86"/>
    <w:rsid w:val="00463AD5"/>
    <w:rsid w:val="00463B07"/>
    <w:rsid w:val="00463CB4"/>
    <w:rsid w:val="00463D2D"/>
    <w:rsid w:val="00463D7B"/>
    <w:rsid w:val="00463D8B"/>
    <w:rsid w:val="00463DF8"/>
    <w:rsid w:val="00463E12"/>
    <w:rsid w:val="00463E75"/>
    <w:rsid w:val="00463EC7"/>
    <w:rsid w:val="00463ED8"/>
    <w:rsid w:val="00463F74"/>
    <w:rsid w:val="00463F98"/>
    <w:rsid w:val="00463FBD"/>
    <w:rsid w:val="00463FC5"/>
    <w:rsid w:val="00464060"/>
    <w:rsid w:val="004640A3"/>
    <w:rsid w:val="004641CB"/>
    <w:rsid w:val="00464273"/>
    <w:rsid w:val="0046437A"/>
    <w:rsid w:val="004643C6"/>
    <w:rsid w:val="004644BC"/>
    <w:rsid w:val="004645E4"/>
    <w:rsid w:val="0046465F"/>
    <w:rsid w:val="004646C9"/>
    <w:rsid w:val="00464858"/>
    <w:rsid w:val="00464C44"/>
    <w:rsid w:val="00464D74"/>
    <w:rsid w:val="00464DAD"/>
    <w:rsid w:val="00464EC7"/>
    <w:rsid w:val="00465078"/>
    <w:rsid w:val="0046512A"/>
    <w:rsid w:val="004652FB"/>
    <w:rsid w:val="004653C1"/>
    <w:rsid w:val="00465411"/>
    <w:rsid w:val="00465443"/>
    <w:rsid w:val="00465464"/>
    <w:rsid w:val="00465503"/>
    <w:rsid w:val="00465510"/>
    <w:rsid w:val="0046556B"/>
    <w:rsid w:val="0046557F"/>
    <w:rsid w:val="00465683"/>
    <w:rsid w:val="00465749"/>
    <w:rsid w:val="00465759"/>
    <w:rsid w:val="0046585A"/>
    <w:rsid w:val="00465C0A"/>
    <w:rsid w:val="00465F2E"/>
    <w:rsid w:val="00465F3A"/>
    <w:rsid w:val="00465F6A"/>
    <w:rsid w:val="004660D1"/>
    <w:rsid w:val="0046616B"/>
    <w:rsid w:val="00466235"/>
    <w:rsid w:val="004663BB"/>
    <w:rsid w:val="004663D5"/>
    <w:rsid w:val="004664A8"/>
    <w:rsid w:val="004665CF"/>
    <w:rsid w:val="0046660C"/>
    <w:rsid w:val="004667FA"/>
    <w:rsid w:val="0046688A"/>
    <w:rsid w:val="004668D9"/>
    <w:rsid w:val="004668E3"/>
    <w:rsid w:val="00466931"/>
    <w:rsid w:val="004669AE"/>
    <w:rsid w:val="00466A54"/>
    <w:rsid w:val="00466A67"/>
    <w:rsid w:val="00466AC8"/>
    <w:rsid w:val="00466C1E"/>
    <w:rsid w:val="00466CA5"/>
    <w:rsid w:val="00466DB2"/>
    <w:rsid w:val="00466E67"/>
    <w:rsid w:val="00467236"/>
    <w:rsid w:val="00467570"/>
    <w:rsid w:val="00467641"/>
    <w:rsid w:val="004676D2"/>
    <w:rsid w:val="00467723"/>
    <w:rsid w:val="0046784D"/>
    <w:rsid w:val="004678A1"/>
    <w:rsid w:val="00467C48"/>
    <w:rsid w:val="00467D0C"/>
    <w:rsid w:val="00467D2F"/>
    <w:rsid w:val="00467E3D"/>
    <w:rsid w:val="00467E90"/>
    <w:rsid w:val="00467FA7"/>
    <w:rsid w:val="0047005C"/>
    <w:rsid w:val="004700D1"/>
    <w:rsid w:val="00470184"/>
    <w:rsid w:val="00470228"/>
    <w:rsid w:val="00470319"/>
    <w:rsid w:val="00470399"/>
    <w:rsid w:val="00470408"/>
    <w:rsid w:val="004704E8"/>
    <w:rsid w:val="00470563"/>
    <w:rsid w:val="004705FB"/>
    <w:rsid w:val="0047068A"/>
    <w:rsid w:val="004706F7"/>
    <w:rsid w:val="0047083A"/>
    <w:rsid w:val="004708C2"/>
    <w:rsid w:val="0047092E"/>
    <w:rsid w:val="004709CA"/>
    <w:rsid w:val="00470B29"/>
    <w:rsid w:val="00470B9A"/>
    <w:rsid w:val="00470C12"/>
    <w:rsid w:val="00470D04"/>
    <w:rsid w:val="00470E35"/>
    <w:rsid w:val="00470ED0"/>
    <w:rsid w:val="00470EEB"/>
    <w:rsid w:val="00470FC0"/>
    <w:rsid w:val="00471112"/>
    <w:rsid w:val="004712B9"/>
    <w:rsid w:val="004712FD"/>
    <w:rsid w:val="004713C2"/>
    <w:rsid w:val="004714B6"/>
    <w:rsid w:val="0047154D"/>
    <w:rsid w:val="004715CD"/>
    <w:rsid w:val="00471774"/>
    <w:rsid w:val="00471807"/>
    <w:rsid w:val="004718D7"/>
    <w:rsid w:val="00471920"/>
    <w:rsid w:val="00471995"/>
    <w:rsid w:val="004719BF"/>
    <w:rsid w:val="004719E6"/>
    <w:rsid w:val="00471ACF"/>
    <w:rsid w:val="00471B18"/>
    <w:rsid w:val="00471B7C"/>
    <w:rsid w:val="00471BA3"/>
    <w:rsid w:val="00471BCD"/>
    <w:rsid w:val="00471BED"/>
    <w:rsid w:val="00471BEE"/>
    <w:rsid w:val="00471C6B"/>
    <w:rsid w:val="00471C96"/>
    <w:rsid w:val="00471E44"/>
    <w:rsid w:val="00471EAA"/>
    <w:rsid w:val="00471F80"/>
    <w:rsid w:val="00472078"/>
    <w:rsid w:val="004720EA"/>
    <w:rsid w:val="00472122"/>
    <w:rsid w:val="00472200"/>
    <w:rsid w:val="0047241A"/>
    <w:rsid w:val="00472499"/>
    <w:rsid w:val="00472804"/>
    <w:rsid w:val="00472A5E"/>
    <w:rsid w:val="00472A62"/>
    <w:rsid w:val="00472A66"/>
    <w:rsid w:val="00472AA3"/>
    <w:rsid w:val="00472AA7"/>
    <w:rsid w:val="00472C10"/>
    <w:rsid w:val="00472CCF"/>
    <w:rsid w:val="00472CF6"/>
    <w:rsid w:val="00472D2C"/>
    <w:rsid w:val="00472DF9"/>
    <w:rsid w:val="00472E45"/>
    <w:rsid w:val="00472EA1"/>
    <w:rsid w:val="00472F3F"/>
    <w:rsid w:val="00472F9A"/>
    <w:rsid w:val="00473026"/>
    <w:rsid w:val="0047304C"/>
    <w:rsid w:val="00473059"/>
    <w:rsid w:val="00473079"/>
    <w:rsid w:val="004730A5"/>
    <w:rsid w:val="004730FC"/>
    <w:rsid w:val="0047326F"/>
    <w:rsid w:val="0047327B"/>
    <w:rsid w:val="00473290"/>
    <w:rsid w:val="004733FB"/>
    <w:rsid w:val="00473461"/>
    <w:rsid w:val="0047350E"/>
    <w:rsid w:val="00473514"/>
    <w:rsid w:val="0047351A"/>
    <w:rsid w:val="00473526"/>
    <w:rsid w:val="004735AF"/>
    <w:rsid w:val="00473675"/>
    <w:rsid w:val="00473711"/>
    <w:rsid w:val="004737D4"/>
    <w:rsid w:val="0047384B"/>
    <w:rsid w:val="004738ED"/>
    <w:rsid w:val="0047392B"/>
    <w:rsid w:val="00473975"/>
    <w:rsid w:val="0047398E"/>
    <w:rsid w:val="004739AF"/>
    <w:rsid w:val="004739FE"/>
    <w:rsid w:val="00473B9C"/>
    <w:rsid w:val="00473BA8"/>
    <w:rsid w:val="00473C59"/>
    <w:rsid w:val="00473CD2"/>
    <w:rsid w:val="00473E3F"/>
    <w:rsid w:val="00473EC3"/>
    <w:rsid w:val="00473FAA"/>
    <w:rsid w:val="00473FB9"/>
    <w:rsid w:val="00474117"/>
    <w:rsid w:val="00474137"/>
    <w:rsid w:val="00474138"/>
    <w:rsid w:val="004742EE"/>
    <w:rsid w:val="004742FA"/>
    <w:rsid w:val="004743B9"/>
    <w:rsid w:val="00474482"/>
    <w:rsid w:val="00474595"/>
    <w:rsid w:val="004745BE"/>
    <w:rsid w:val="00474773"/>
    <w:rsid w:val="004748DD"/>
    <w:rsid w:val="004749C6"/>
    <w:rsid w:val="00474C4D"/>
    <w:rsid w:val="00474C6E"/>
    <w:rsid w:val="00474CFB"/>
    <w:rsid w:val="00475048"/>
    <w:rsid w:val="004750AD"/>
    <w:rsid w:val="004750DF"/>
    <w:rsid w:val="0047527B"/>
    <w:rsid w:val="00475349"/>
    <w:rsid w:val="0047538F"/>
    <w:rsid w:val="00475617"/>
    <w:rsid w:val="00475756"/>
    <w:rsid w:val="00475879"/>
    <w:rsid w:val="004758B1"/>
    <w:rsid w:val="0047597A"/>
    <w:rsid w:val="00475A3A"/>
    <w:rsid w:val="00475A98"/>
    <w:rsid w:val="00475B43"/>
    <w:rsid w:val="00475B58"/>
    <w:rsid w:val="00475B83"/>
    <w:rsid w:val="00475C07"/>
    <w:rsid w:val="00475D47"/>
    <w:rsid w:val="00475D52"/>
    <w:rsid w:val="00475D5E"/>
    <w:rsid w:val="00475E88"/>
    <w:rsid w:val="00475F41"/>
    <w:rsid w:val="00475F60"/>
    <w:rsid w:val="004760E6"/>
    <w:rsid w:val="0047613A"/>
    <w:rsid w:val="00476166"/>
    <w:rsid w:val="00476172"/>
    <w:rsid w:val="004761AA"/>
    <w:rsid w:val="004763F4"/>
    <w:rsid w:val="004763F8"/>
    <w:rsid w:val="0047645A"/>
    <w:rsid w:val="004764C7"/>
    <w:rsid w:val="00476560"/>
    <w:rsid w:val="0047665C"/>
    <w:rsid w:val="0047668F"/>
    <w:rsid w:val="00476835"/>
    <w:rsid w:val="004768F0"/>
    <w:rsid w:val="00476901"/>
    <w:rsid w:val="00476949"/>
    <w:rsid w:val="00476991"/>
    <w:rsid w:val="00476A71"/>
    <w:rsid w:val="00476A8F"/>
    <w:rsid w:val="00476B4A"/>
    <w:rsid w:val="00476BDD"/>
    <w:rsid w:val="00476CBE"/>
    <w:rsid w:val="00476D53"/>
    <w:rsid w:val="00476D62"/>
    <w:rsid w:val="00476E09"/>
    <w:rsid w:val="00476E63"/>
    <w:rsid w:val="00476E76"/>
    <w:rsid w:val="00476F3F"/>
    <w:rsid w:val="00476F50"/>
    <w:rsid w:val="00476F5F"/>
    <w:rsid w:val="00476F69"/>
    <w:rsid w:val="004770CC"/>
    <w:rsid w:val="00477248"/>
    <w:rsid w:val="00477274"/>
    <w:rsid w:val="00477284"/>
    <w:rsid w:val="004773EA"/>
    <w:rsid w:val="00477444"/>
    <w:rsid w:val="00477475"/>
    <w:rsid w:val="004776D4"/>
    <w:rsid w:val="004777A5"/>
    <w:rsid w:val="00477A30"/>
    <w:rsid w:val="00477A8D"/>
    <w:rsid w:val="00477B1B"/>
    <w:rsid w:val="00477CA2"/>
    <w:rsid w:val="00477D72"/>
    <w:rsid w:val="00477E78"/>
    <w:rsid w:val="00477F34"/>
    <w:rsid w:val="00480113"/>
    <w:rsid w:val="00480132"/>
    <w:rsid w:val="004801E7"/>
    <w:rsid w:val="0048021C"/>
    <w:rsid w:val="004802CE"/>
    <w:rsid w:val="004802E7"/>
    <w:rsid w:val="004803C1"/>
    <w:rsid w:val="004803F5"/>
    <w:rsid w:val="00480548"/>
    <w:rsid w:val="0048054E"/>
    <w:rsid w:val="00480566"/>
    <w:rsid w:val="004806A4"/>
    <w:rsid w:val="004806A5"/>
    <w:rsid w:val="0048076D"/>
    <w:rsid w:val="00480957"/>
    <w:rsid w:val="00480A62"/>
    <w:rsid w:val="00480B05"/>
    <w:rsid w:val="00480B4C"/>
    <w:rsid w:val="00480D80"/>
    <w:rsid w:val="00480DE6"/>
    <w:rsid w:val="00480DE7"/>
    <w:rsid w:val="00480E4A"/>
    <w:rsid w:val="0048102E"/>
    <w:rsid w:val="0048106B"/>
    <w:rsid w:val="0048106C"/>
    <w:rsid w:val="0048113B"/>
    <w:rsid w:val="004812C0"/>
    <w:rsid w:val="004812DB"/>
    <w:rsid w:val="00481381"/>
    <w:rsid w:val="00481387"/>
    <w:rsid w:val="004813D9"/>
    <w:rsid w:val="004813F1"/>
    <w:rsid w:val="0048141D"/>
    <w:rsid w:val="0048144F"/>
    <w:rsid w:val="004817C7"/>
    <w:rsid w:val="0048197F"/>
    <w:rsid w:val="004819E4"/>
    <w:rsid w:val="004819EE"/>
    <w:rsid w:val="00481A8B"/>
    <w:rsid w:val="00481B95"/>
    <w:rsid w:val="00481BC7"/>
    <w:rsid w:val="00481BE5"/>
    <w:rsid w:val="00481BF6"/>
    <w:rsid w:val="00481CB4"/>
    <w:rsid w:val="00481E1D"/>
    <w:rsid w:val="00481F88"/>
    <w:rsid w:val="00481FDD"/>
    <w:rsid w:val="00482029"/>
    <w:rsid w:val="00482095"/>
    <w:rsid w:val="004820C1"/>
    <w:rsid w:val="004820CD"/>
    <w:rsid w:val="004822F3"/>
    <w:rsid w:val="004824DD"/>
    <w:rsid w:val="00482609"/>
    <w:rsid w:val="00482806"/>
    <w:rsid w:val="00482947"/>
    <w:rsid w:val="004829C1"/>
    <w:rsid w:val="004829DB"/>
    <w:rsid w:val="00482A30"/>
    <w:rsid w:val="00482A45"/>
    <w:rsid w:val="00482BCB"/>
    <w:rsid w:val="00482EB1"/>
    <w:rsid w:val="00482ECC"/>
    <w:rsid w:val="00482F76"/>
    <w:rsid w:val="00482F9A"/>
    <w:rsid w:val="00483005"/>
    <w:rsid w:val="00483062"/>
    <w:rsid w:val="00483136"/>
    <w:rsid w:val="0048315D"/>
    <w:rsid w:val="0048315E"/>
    <w:rsid w:val="004832F9"/>
    <w:rsid w:val="00483386"/>
    <w:rsid w:val="00483458"/>
    <w:rsid w:val="004835D7"/>
    <w:rsid w:val="004836F5"/>
    <w:rsid w:val="0048376C"/>
    <w:rsid w:val="0048377A"/>
    <w:rsid w:val="0048387A"/>
    <w:rsid w:val="00483896"/>
    <w:rsid w:val="00483968"/>
    <w:rsid w:val="00483988"/>
    <w:rsid w:val="004839B4"/>
    <w:rsid w:val="004839F0"/>
    <w:rsid w:val="00483A49"/>
    <w:rsid w:val="00483ABE"/>
    <w:rsid w:val="00483ADF"/>
    <w:rsid w:val="00483B9B"/>
    <w:rsid w:val="00483BE6"/>
    <w:rsid w:val="00483C26"/>
    <w:rsid w:val="00483CCC"/>
    <w:rsid w:val="00483F69"/>
    <w:rsid w:val="00483F95"/>
    <w:rsid w:val="00484017"/>
    <w:rsid w:val="00484025"/>
    <w:rsid w:val="00484133"/>
    <w:rsid w:val="00484146"/>
    <w:rsid w:val="004841FD"/>
    <w:rsid w:val="004842DD"/>
    <w:rsid w:val="0048438E"/>
    <w:rsid w:val="004843F1"/>
    <w:rsid w:val="00484469"/>
    <w:rsid w:val="004844FA"/>
    <w:rsid w:val="00484512"/>
    <w:rsid w:val="00484622"/>
    <w:rsid w:val="00484652"/>
    <w:rsid w:val="004846BD"/>
    <w:rsid w:val="00484732"/>
    <w:rsid w:val="00484739"/>
    <w:rsid w:val="00484897"/>
    <w:rsid w:val="00484917"/>
    <w:rsid w:val="00484984"/>
    <w:rsid w:val="004849E1"/>
    <w:rsid w:val="00484B15"/>
    <w:rsid w:val="00484CEC"/>
    <w:rsid w:val="00484CF5"/>
    <w:rsid w:val="00484DE0"/>
    <w:rsid w:val="00484E23"/>
    <w:rsid w:val="00484E9F"/>
    <w:rsid w:val="00484ED9"/>
    <w:rsid w:val="00484FA5"/>
    <w:rsid w:val="0048509A"/>
    <w:rsid w:val="004850CE"/>
    <w:rsid w:val="00485181"/>
    <w:rsid w:val="004851F0"/>
    <w:rsid w:val="0048522F"/>
    <w:rsid w:val="00485289"/>
    <w:rsid w:val="004852CF"/>
    <w:rsid w:val="00485325"/>
    <w:rsid w:val="0048532C"/>
    <w:rsid w:val="00485694"/>
    <w:rsid w:val="00485B77"/>
    <w:rsid w:val="00485BF7"/>
    <w:rsid w:val="00485C2D"/>
    <w:rsid w:val="00485D33"/>
    <w:rsid w:val="00485D68"/>
    <w:rsid w:val="00485DB7"/>
    <w:rsid w:val="00485DE4"/>
    <w:rsid w:val="00485E02"/>
    <w:rsid w:val="00485E5C"/>
    <w:rsid w:val="00485E77"/>
    <w:rsid w:val="00485F53"/>
    <w:rsid w:val="00485F72"/>
    <w:rsid w:val="00485FC1"/>
    <w:rsid w:val="00486060"/>
    <w:rsid w:val="0048608A"/>
    <w:rsid w:val="004860D4"/>
    <w:rsid w:val="00486100"/>
    <w:rsid w:val="004861AA"/>
    <w:rsid w:val="00486260"/>
    <w:rsid w:val="004862A5"/>
    <w:rsid w:val="00486458"/>
    <w:rsid w:val="0048645D"/>
    <w:rsid w:val="004865CE"/>
    <w:rsid w:val="0048670C"/>
    <w:rsid w:val="00486768"/>
    <w:rsid w:val="004867B5"/>
    <w:rsid w:val="004867ED"/>
    <w:rsid w:val="004867FD"/>
    <w:rsid w:val="004868F1"/>
    <w:rsid w:val="0048690F"/>
    <w:rsid w:val="00486968"/>
    <w:rsid w:val="00486A4C"/>
    <w:rsid w:val="00486A95"/>
    <w:rsid w:val="00486B55"/>
    <w:rsid w:val="00486C21"/>
    <w:rsid w:val="00486D13"/>
    <w:rsid w:val="00486E0D"/>
    <w:rsid w:val="00486F2E"/>
    <w:rsid w:val="00486FBA"/>
    <w:rsid w:val="00487108"/>
    <w:rsid w:val="004871B3"/>
    <w:rsid w:val="0048721F"/>
    <w:rsid w:val="00487249"/>
    <w:rsid w:val="00487265"/>
    <w:rsid w:val="0048732D"/>
    <w:rsid w:val="00487420"/>
    <w:rsid w:val="004874A0"/>
    <w:rsid w:val="00487607"/>
    <w:rsid w:val="0048761E"/>
    <w:rsid w:val="004878EB"/>
    <w:rsid w:val="00487ABC"/>
    <w:rsid w:val="00487B07"/>
    <w:rsid w:val="00487D00"/>
    <w:rsid w:val="00487D70"/>
    <w:rsid w:val="00487DB1"/>
    <w:rsid w:val="00487EA3"/>
    <w:rsid w:val="00487FEE"/>
    <w:rsid w:val="00490312"/>
    <w:rsid w:val="004903C9"/>
    <w:rsid w:val="004905FD"/>
    <w:rsid w:val="00490607"/>
    <w:rsid w:val="00490678"/>
    <w:rsid w:val="004908D4"/>
    <w:rsid w:val="0049098C"/>
    <w:rsid w:val="00490A9D"/>
    <w:rsid w:val="00490AAD"/>
    <w:rsid w:val="00490C4A"/>
    <w:rsid w:val="00490CDB"/>
    <w:rsid w:val="00490D1D"/>
    <w:rsid w:val="00490DA2"/>
    <w:rsid w:val="00490DA8"/>
    <w:rsid w:val="00490DC6"/>
    <w:rsid w:val="00490F54"/>
    <w:rsid w:val="00490F77"/>
    <w:rsid w:val="00490FCC"/>
    <w:rsid w:val="00491110"/>
    <w:rsid w:val="004912DE"/>
    <w:rsid w:val="004914A4"/>
    <w:rsid w:val="004914CC"/>
    <w:rsid w:val="00491512"/>
    <w:rsid w:val="00491536"/>
    <w:rsid w:val="00491539"/>
    <w:rsid w:val="004915B7"/>
    <w:rsid w:val="0049183E"/>
    <w:rsid w:val="004918FC"/>
    <w:rsid w:val="00491A84"/>
    <w:rsid w:val="00491C68"/>
    <w:rsid w:val="00491CAD"/>
    <w:rsid w:val="00491E74"/>
    <w:rsid w:val="00491F41"/>
    <w:rsid w:val="00491FFB"/>
    <w:rsid w:val="00491FFE"/>
    <w:rsid w:val="0049201A"/>
    <w:rsid w:val="0049214A"/>
    <w:rsid w:val="00492181"/>
    <w:rsid w:val="00492206"/>
    <w:rsid w:val="00492247"/>
    <w:rsid w:val="00492272"/>
    <w:rsid w:val="0049249D"/>
    <w:rsid w:val="004926F1"/>
    <w:rsid w:val="0049281F"/>
    <w:rsid w:val="0049282A"/>
    <w:rsid w:val="00492879"/>
    <w:rsid w:val="004928D1"/>
    <w:rsid w:val="0049291C"/>
    <w:rsid w:val="00492A0F"/>
    <w:rsid w:val="00492A2B"/>
    <w:rsid w:val="00492A9C"/>
    <w:rsid w:val="00492B9B"/>
    <w:rsid w:val="00492C65"/>
    <w:rsid w:val="00492D28"/>
    <w:rsid w:val="00492E2E"/>
    <w:rsid w:val="00492F50"/>
    <w:rsid w:val="00492FBD"/>
    <w:rsid w:val="00493040"/>
    <w:rsid w:val="004930B2"/>
    <w:rsid w:val="004930FD"/>
    <w:rsid w:val="00493163"/>
    <w:rsid w:val="00493176"/>
    <w:rsid w:val="00493221"/>
    <w:rsid w:val="004932D9"/>
    <w:rsid w:val="00493346"/>
    <w:rsid w:val="004934C1"/>
    <w:rsid w:val="004934E9"/>
    <w:rsid w:val="00493688"/>
    <w:rsid w:val="00493804"/>
    <w:rsid w:val="00493897"/>
    <w:rsid w:val="0049398B"/>
    <w:rsid w:val="00493A7C"/>
    <w:rsid w:val="00493B38"/>
    <w:rsid w:val="00493C5F"/>
    <w:rsid w:val="00493F98"/>
    <w:rsid w:val="00493FBF"/>
    <w:rsid w:val="00494028"/>
    <w:rsid w:val="004940E5"/>
    <w:rsid w:val="0049415F"/>
    <w:rsid w:val="0049423A"/>
    <w:rsid w:val="004945B5"/>
    <w:rsid w:val="00494766"/>
    <w:rsid w:val="00494819"/>
    <w:rsid w:val="00494989"/>
    <w:rsid w:val="004949BD"/>
    <w:rsid w:val="00494AA1"/>
    <w:rsid w:val="00494ABF"/>
    <w:rsid w:val="00494B13"/>
    <w:rsid w:val="00494B18"/>
    <w:rsid w:val="00494BB1"/>
    <w:rsid w:val="00494BC4"/>
    <w:rsid w:val="00494C80"/>
    <w:rsid w:val="00494CBB"/>
    <w:rsid w:val="00494E3B"/>
    <w:rsid w:val="00495065"/>
    <w:rsid w:val="00495128"/>
    <w:rsid w:val="00495312"/>
    <w:rsid w:val="0049546C"/>
    <w:rsid w:val="0049552F"/>
    <w:rsid w:val="00495650"/>
    <w:rsid w:val="00495712"/>
    <w:rsid w:val="0049586D"/>
    <w:rsid w:val="0049596F"/>
    <w:rsid w:val="004959A8"/>
    <w:rsid w:val="00495A20"/>
    <w:rsid w:val="00495A91"/>
    <w:rsid w:val="00495ACE"/>
    <w:rsid w:val="00495C1D"/>
    <w:rsid w:val="00495C23"/>
    <w:rsid w:val="00495D60"/>
    <w:rsid w:val="00495EA2"/>
    <w:rsid w:val="00495F7C"/>
    <w:rsid w:val="00495F86"/>
    <w:rsid w:val="00495FA7"/>
    <w:rsid w:val="00495FE6"/>
    <w:rsid w:val="00496082"/>
    <w:rsid w:val="004960C8"/>
    <w:rsid w:val="00496145"/>
    <w:rsid w:val="00496186"/>
    <w:rsid w:val="004961B8"/>
    <w:rsid w:val="004962D0"/>
    <w:rsid w:val="00496383"/>
    <w:rsid w:val="004963C8"/>
    <w:rsid w:val="00496421"/>
    <w:rsid w:val="00496563"/>
    <w:rsid w:val="00496580"/>
    <w:rsid w:val="004965C0"/>
    <w:rsid w:val="00496610"/>
    <w:rsid w:val="00496795"/>
    <w:rsid w:val="004967E1"/>
    <w:rsid w:val="004967F3"/>
    <w:rsid w:val="00496883"/>
    <w:rsid w:val="004968C1"/>
    <w:rsid w:val="004968E5"/>
    <w:rsid w:val="00496CC7"/>
    <w:rsid w:val="00496CCD"/>
    <w:rsid w:val="00496CDD"/>
    <w:rsid w:val="00496DC0"/>
    <w:rsid w:val="00497050"/>
    <w:rsid w:val="00497096"/>
    <w:rsid w:val="0049722E"/>
    <w:rsid w:val="0049735F"/>
    <w:rsid w:val="004973FA"/>
    <w:rsid w:val="00497432"/>
    <w:rsid w:val="0049745D"/>
    <w:rsid w:val="004976E1"/>
    <w:rsid w:val="004976FF"/>
    <w:rsid w:val="00497748"/>
    <w:rsid w:val="004977BA"/>
    <w:rsid w:val="004977FF"/>
    <w:rsid w:val="00497846"/>
    <w:rsid w:val="0049784A"/>
    <w:rsid w:val="00497A46"/>
    <w:rsid w:val="00497BAA"/>
    <w:rsid w:val="00497C51"/>
    <w:rsid w:val="00497C5A"/>
    <w:rsid w:val="00497D5B"/>
    <w:rsid w:val="00497E10"/>
    <w:rsid w:val="00497E38"/>
    <w:rsid w:val="00497FAF"/>
    <w:rsid w:val="00497FDB"/>
    <w:rsid w:val="00497FDE"/>
    <w:rsid w:val="004A05B6"/>
    <w:rsid w:val="004A061F"/>
    <w:rsid w:val="004A073A"/>
    <w:rsid w:val="004A077F"/>
    <w:rsid w:val="004A078E"/>
    <w:rsid w:val="004A0824"/>
    <w:rsid w:val="004A0929"/>
    <w:rsid w:val="004A09E1"/>
    <w:rsid w:val="004A09F8"/>
    <w:rsid w:val="004A09FD"/>
    <w:rsid w:val="004A0AB6"/>
    <w:rsid w:val="004A0B42"/>
    <w:rsid w:val="004A0BB6"/>
    <w:rsid w:val="004A0BEF"/>
    <w:rsid w:val="004A0BF6"/>
    <w:rsid w:val="004A0CB8"/>
    <w:rsid w:val="004A1050"/>
    <w:rsid w:val="004A1051"/>
    <w:rsid w:val="004A1089"/>
    <w:rsid w:val="004A1201"/>
    <w:rsid w:val="004A138F"/>
    <w:rsid w:val="004A13BF"/>
    <w:rsid w:val="004A13C2"/>
    <w:rsid w:val="004A148F"/>
    <w:rsid w:val="004A14C2"/>
    <w:rsid w:val="004A16C5"/>
    <w:rsid w:val="004A1906"/>
    <w:rsid w:val="004A190F"/>
    <w:rsid w:val="004A1985"/>
    <w:rsid w:val="004A1B5C"/>
    <w:rsid w:val="004A1C35"/>
    <w:rsid w:val="004A1C8C"/>
    <w:rsid w:val="004A1D29"/>
    <w:rsid w:val="004A1EA5"/>
    <w:rsid w:val="004A1EA7"/>
    <w:rsid w:val="004A20A5"/>
    <w:rsid w:val="004A21A7"/>
    <w:rsid w:val="004A22F4"/>
    <w:rsid w:val="004A22F9"/>
    <w:rsid w:val="004A2329"/>
    <w:rsid w:val="004A23E2"/>
    <w:rsid w:val="004A243C"/>
    <w:rsid w:val="004A24D5"/>
    <w:rsid w:val="004A2535"/>
    <w:rsid w:val="004A2670"/>
    <w:rsid w:val="004A2900"/>
    <w:rsid w:val="004A2B30"/>
    <w:rsid w:val="004A2E85"/>
    <w:rsid w:val="004A2EA7"/>
    <w:rsid w:val="004A2F53"/>
    <w:rsid w:val="004A2F75"/>
    <w:rsid w:val="004A30CE"/>
    <w:rsid w:val="004A31A0"/>
    <w:rsid w:val="004A320D"/>
    <w:rsid w:val="004A3362"/>
    <w:rsid w:val="004A3535"/>
    <w:rsid w:val="004A3589"/>
    <w:rsid w:val="004A363D"/>
    <w:rsid w:val="004A369B"/>
    <w:rsid w:val="004A3711"/>
    <w:rsid w:val="004A37DF"/>
    <w:rsid w:val="004A38BE"/>
    <w:rsid w:val="004A396C"/>
    <w:rsid w:val="004A3998"/>
    <w:rsid w:val="004A39AF"/>
    <w:rsid w:val="004A3AE0"/>
    <w:rsid w:val="004A3B80"/>
    <w:rsid w:val="004A3B82"/>
    <w:rsid w:val="004A3C50"/>
    <w:rsid w:val="004A3CB9"/>
    <w:rsid w:val="004A3CD8"/>
    <w:rsid w:val="004A3E36"/>
    <w:rsid w:val="004A3E81"/>
    <w:rsid w:val="004A3EE0"/>
    <w:rsid w:val="004A3F1C"/>
    <w:rsid w:val="004A3F77"/>
    <w:rsid w:val="004A3FC4"/>
    <w:rsid w:val="004A3FF8"/>
    <w:rsid w:val="004A40F5"/>
    <w:rsid w:val="004A4101"/>
    <w:rsid w:val="004A4272"/>
    <w:rsid w:val="004A4284"/>
    <w:rsid w:val="004A4327"/>
    <w:rsid w:val="004A4385"/>
    <w:rsid w:val="004A444F"/>
    <w:rsid w:val="004A445B"/>
    <w:rsid w:val="004A44CA"/>
    <w:rsid w:val="004A46FA"/>
    <w:rsid w:val="004A4856"/>
    <w:rsid w:val="004A48FD"/>
    <w:rsid w:val="004A491F"/>
    <w:rsid w:val="004A4A57"/>
    <w:rsid w:val="004A4A66"/>
    <w:rsid w:val="004A4C16"/>
    <w:rsid w:val="004A4C2B"/>
    <w:rsid w:val="004A4C59"/>
    <w:rsid w:val="004A4DBD"/>
    <w:rsid w:val="004A4E25"/>
    <w:rsid w:val="004A4EAC"/>
    <w:rsid w:val="004A5146"/>
    <w:rsid w:val="004A52F8"/>
    <w:rsid w:val="004A530E"/>
    <w:rsid w:val="004A534C"/>
    <w:rsid w:val="004A539C"/>
    <w:rsid w:val="004A541E"/>
    <w:rsid w:val="004A5453"/>
    <w:rsid w:val="004A560C"/>
    <w:rsid w:val="004A560E"/>
    <w:rsid w:val="004A5690"/>
    <w:rsid w:val="004A5864"/>
    <w:rsid w:val="004A5AA8"/>
    <w:rsid w:val="004A5ADA"/>
    <w:rsid w:val="004A5B30"/>
    <w:rsid w:val="004A5C1F"/>
    <w:rsid w:val="004A5DFA"/>
    <w:rsid w:val="004A5E80"/>
    <w:rsid w:val="004A5EF0"/>
    <w:rsid w:val="004A5F69"/>
    <w:rsid w:val="004A5FB9"/>
    <w:rsid w:val="004A5FD9"/>
    <w:rsid w:val="004A6014"/>
    <w:rsid w:val="004A6035"/>
    <w:rsid w:val="004A6250"/>
    <w:rsid w:val="004A628C"/>
    <w:rsid w:val="004A6291"/>
    <w:rsid w:val="004A6412"/>
    <w:rsid w:val="004A6679"/>
    <w:rsid w:val="004A6698"/>
    <w:rsid w:val="004A66F9"/>
    <w:rsid w:val="004A67B7"/>
    <w:rsid w:val="004A67F9"/>
    <w:rsid w:val="004A6870"/>
    <w:rsid w:val="004A69C6"/>
    <w:rsid w:val="004A6A31"/>
    <w:rsid w:val="004A6AD5"/>
    <w:rsid w:val="004A6BA4"/>
    <w:rsid w:val="004A6BD6"/>
    <w:rsid w:val="004A6CA4"/>
    <w:rsid w:val="004A6D06"/>
    <w:rsid w:val="004A6D36"/>
    <w:rsid w:val="004A6DF3"/>
    <w:rsid w:val="004A6F80"/>
    <w:rsid w:val="004A6FE8"/>
    <w:rsid w:val="004A702D"/>
    <w:rsid w:val="004A70D9"/>
    <w:rsid w:val="004A7134"/>
    <w:rsid w:val="004A7154"/>
    <w:rsid w:val="004A71ED"/>
    <w:rsid w:val="004A71F8"/>
    <w:rsid w:val="004A73E9"/>
    <w:rsid w:val="004A7475"/>
    <w:rsid w:val="004A74B0"/>
    <w:rsid w:val="004A75C1"/>
    <w:rsid w:val="004A76BF"/>
    <w:rsid w:val="004A76E2"/>
    <w:rsid w:val="004A77BB"/>
    <w:rsid w:val="004A78D0"/>
    <w:rsid w:val="004A7AE5"/>
    <w:rsid w:val="004A7B45"/>
    <w:rsid w:val="004A7CD1"/>
    <w:rsid w:val="004A7D72"/>
    <w:rsid w:val="004A7E25"/>
    <w:rsid w:val="004A7E83"/>
    <w:rsid w:val="004A7F47"/>
    <w:rsid w:val="004A7F60"/>
    <w:rsid w:val="004B0074"/>
    <w:rsid w:val="004B01D2"/>
    <w:rsid w:val="004B0225"/>
    <w:rsid w:val="004B0228"/>
    <w:rsid w:val="004B026D"/>
    <w:rsid w:val="004B0374"/>
    <w:rsid w:val="004B0487"/>
    <w:rsid w:val="004B060F"/>
    <w:rsid w:val="004B061D"/>
    <w:rsid w:val="004B07B9"/>
    <w:rsid w:val="004B0952"/>
    <w:rsid w:val="004B099D"/>
    <w:rsid w:val="004B09A3"/>
    <w:rsid w:val="004B0BE6"/>
    <w:rsid w:val="004B0BF5"/>
    <w:rsid w:val="004B0D36"/>
    <w:rsid w:val="004B0E7D"/>
    <w:rsid w:val="004B0F25"/>
    <w:rsid w:val="004B0F4D"/>
    <w:rsid w:val="004B112C"/>
    <w:rsid w:val="004B1298"/>
    <w:rsid w:val="004B12A2"/>
    <w:rsid w:val="004B12EE"/>
    <w:rsid w:val="004B135D"/>
    <w:rsid w:val="004B136B"/>
    <w:rsid w:val="004B14E5"/>
    <w:rsid w:val="004B1570"/>
    <w:rsid w:val="004B17F3"/>
    <w:rsid w:val="004B1A2B"/>
    <w:rsid w:val="004B1A33"/>
    <w:rsid w:val="004B1C9E"/>
    <w:rsid w:val="004B1CCB"/>
    <w:rsid w:val="004B1D65"/>
    <w:rsid w:val="004B1E35"/>
    <w:rsid w:val="004B1EC3"/>
    <w:rsid w:val="004B1FCB"/>
    <w:rsid w:val="004B2033"/>
    <w:rsid w:val="004B2042"/>
    <w:rsid w:val="004B20FB"/>
    <w:rsid w:val="004B21A1"/>
    <w:rsid w:val="004B2201"/>
    <w:rsid w:val="004B22AB"/>
    <w:rsid w:val="004B22D5"/>
    <w:rsid w:val="004B2307"/>
    <w:rsid w:val="004B230C"/>
    <w:rsid w:val="004B23A1"/>
    <w:rsid w:val="004B23DC"/>
    <w:rsid w:val="004B2575"/>
    <w:rsid w:val="004B2622"/>
    <w:rsid w:val="004B26F1"/>
    <w:rsid w:val="004B2728"/>
    <w:rsid w:val="004B27DB"/>
    <w:rsid w:val="004B29DB"/>
    <w:rsid w:val="004B2D56"/>
    <w:rsid w:val="004B2D98"/>
    <w:rsid w:val="004B2EA7"/>
    <w:rsid w:val="004B2EBB"/>
    <w:rsid w:val="004B30A9"/>
    <w:rsid w:val="004B30E6"/>
    <w:rsid w:val="004B3152"/>
    <w:rsid w:val="004B32E4"/>
    <w:rsid w:val="004B3388"/>
    <w:rsid w:val="004B344A"/>
    <w:rsid w:val="004B34B5"/>
    <w:rsid w:val="004B3652"/>
    <w:rsid w:val="004B36D8"/>
    <w:rsid w:val="004B36E5"/>
    <w:rsid w:val="004B37B3"/>
    <w:rsid w:val="004B37CD"/>
    <w:rsid w:val="004B3852"/>
    <w:rsid w:val="004B38F7"/>
    <w:rsid w:val="004B3901"/>
    <w:rsid w:val="004B3ACB"/>
    <w:rsid w:val="004B3D80"/>
    <w:rsid w:val="004B3FBD"/>
    <w:rsid w:val="004B400A"/>
    <w:rsid w:val="004B40DA"/>
    <w:rsid w:val="004B4139"/>
    <w:rsid w:val="004B41D3"/>
    <w:rsid w:val="004B4200"/>
    <w:rsid w:val="004B4296"/>
    <w:rsid w:val="004B4325"/>
    <w:rsid w:val="004B4342"/>
    <w:rsid w:val="004B4350"/>
    <w:rsid w:val="004B4539"/>
    <w:rsid w:val="004B4573"/>
    <w:rsid w:val="004B4599"/>
    <w:rsid w:val="004B45F7"/>
    <w:rsid w:val="004B465C"/>
    <w:rsid w:val="004B46EC"/>
    <w:rsid w:val="004B4753"/>
    <w:rsid w:val="004B47E0"/>
    <w:rsid w:val="004B482A"/>
    <w:rsid w:val="004B48BF"/>
    <w:rsid w:val="004B48D2"/>
    <w:rsid w:val="004B4B75"/>
    <w:rsid w:val="004B4D42"/>
    <w:rsid w:val="004B4E04"/>
    <w:rsid w:val="004B5055"/>
    <w:rsid w:val="004B50A0"/>
    <w:rsid w:val="004B50D1"/>
    <w:rsid w:val="004B50F6"/>
    <w:rsid w:val="004B51AD"/>
    <w:rsid w:val="004B55BE"/>
    <w:rsid w:val="004B55D2"/>
    <w:rsid w:val="004B5628"/>
    <w:rsid w:val="004B571D"/>
    <w:rsid w:val="004B5723"/>
    <w:rsid w:val="004B59B3"/>
    <w:rsid w:val="004B5B80"/>
    <w:rsid w:val="004B5CA6"/>
    <w:rsid w:val="004B5D4B"/>
    <w:rsid w:val="004B5DCB"/>
    <w:rsid w:val="004B5DE0"/>
    <w:rsid w:val="004B5E5A"/>
    <w:rsid w:val="004B5E5B"/>
    <w:rsid w:val="004B5E8A"/>
    <w:rsid w:val="004B5E9B"/>
    <w:rsid w:val="004B5FC5"/>
    <w:rsid w:val="004B6151"/>
    <w:rsid w:val="004B61A2"/>
    <w:rsid w:val="004B6249"/>
    <w:rsid w:val="004B62CC"/>
    <w:rsid w:val="004B63C3"/>
    <w:rsid w:val="004B63CB"/>
    <w:rsid w:val="004B67D2"/>
    <w:rsid w:val="004B6817"/>
    <w:rsid w:val="004B68F5"/>
    <w:rsid w:val="004B695A"/>
    <w:rsid w:val="004B6B70"/>
    <w:rsid w:val="004B6C73"/>
    <w:rsid w:val="004B6C86"/>
    <w:rsid w:val="004B6C89"/>
    <w:rsid w:val="004B6D9E"/>
    <w:rsid w:val="004B6E62"/>
    <w:rsid w:val="004B6E7B"/>
    <w:rsid w:val="004B705F"/>
    <w:rsid w:val="004B70E5"/>
    <w:rsid w:val="004B714B"/>
    <w:rsid w:val="004B71DC"/>
    <w:rsid w:val="004B7336"/>
    <w:rsid w:val="004B7360"/>
    <w:rsid w:val="004B751D"/>
    <w:rsid w:val="004B7581"/>
    <w:rsid w:val="004B75DB"/>
    <w:rsid w:val="004B75F6"/>
    <w:rsid w:val="004B7681"/>
    <w:rsid w:val="004B76AE"/>
    <w:rsid w:val="004B7929"/>
    <w:rsid w:val="004B7A81"/>
    <w:rsid w:val="004B7A93"/>
    <w:rsid w:val="004B7AAA"/>
    <w:rsid w:val="004B7BE7"/>
    <w:rsid w:val="004B7C18"/>
    <w:rsid w:val="004B7CCA"/>
    <w:rsid w:val="004B7D1F"/>
    <w:rsid w:val="004B7E52"/>
    <w:rsid w:val="004B7F94"/>
    <w:rsid w:val="004C0136"/>
    <w:rsid w:val="004C0154"/>
    <w:rsid w:val="004C01F6"/>
    <w:rsid w:val="004C0239"/>
    <w:rsid w:val="004C0364"/>
    <w:rsid w:val="004C03EA"/>
    <w:rsid w:val="004C04E6"/>
    <w:rsid w:val="004C06CF"/>
    <w:rsid w:val="004C0755"/>
    <w:rsid w:val="004C085D"/>
    <w:rsid w:val="004C0901"/>
    <w:rsid w:val="004C0A4C"/>
    <w:rsid w:val="004C0ABD"/>
    <w:rsid w:val="004C0AF3"/>
    <w:rsid w:val="004C0B56"/>
    <w:rsid w:val="004C0BF9"/>
    <w:rsid w:val="004C0C00"/>
    <w:rsid w:val="004C0D1D"/>
    <w:rsid w:val="004C0EA6"/>
    <w:rsid w:val="004C0EF8"/>
    <w:rsid w:val="004C0FFF"/>
    <w:rsid w:val="004C1019"/>
    <w:rsid w:val="004C1039"/>
    <w:rsid w:val="004C11CF"/>
    <w:rsid w:val="004C1293"/>
    <w:rsid w:val="004C1311"/>
    <w:rsid w:val="004C141C"/>
    <w:rsid w:val="004C1681"/>
    <w:rsid w:val="004C17A8"/>
    <w:rsid w:val="004C1861"/>
    <w:rsid w:val="004C18AE"/>
    <w:rsid w:val="004C1A9D"/>
    <w:rsid w:val="004C1B08"/>
    <w:rsid w:val="004C1B2D"/>
    <w:rsid w:val="004C1C02"/>
    <w:rsid w:val="004C1DDF"/>
    <w:rsid w:val="004C1E68"/>
    <w:rsid w:val="004C1E9B"/>
    <w:rsid w:val="004C1FE4"/>
    <w:rsid w:val="004C1FF1"/>
    <w:rsid w:val="004C224B"/>
    <w:rsid w:val="004C22A3"/>
    <w:rsid w:val="004C22F4"/>
    <w:rsid w:val="004C2418"/>
    <w:rsid w:val="004C259D"/>
    <w:rsid w:val="004C25EB"/>
    <w:rsid w:val="004C2645"/>
    <w:rsid w:val="004C26B8"/>
    <w:rsid w:val="004C2A2A"/>
    <w:rsid w:val="004C2BA2"/>
    <w:rsid w:val="004C2BB9"/>
    <w:rsid w:val="004C2C11"/>
    <w:rsid w:val="004C2CC5"/>
    <w:rsid w:val="004C2CE0"/>
    <w:rsid w:val="004C2DF2"/>
    <w:rsid w:val="004C2E2B"/>
    <w:rsid w:val="004C2F7C"/>
    <w:rsid w:val="004C3153"/>
    <w:rsid w:val="004C31EE"/>
    <w:rsid w:val="004C329D"/>
    <w:rsid w:val="004C338F"/>
    <w:rsid w:val="004C33A4"/>
    <w:rsid w:val="004C33E1"/>
    <w:rsid w:val="004C3681"/>
    <w:rsid w:val="004C36BE"/>
    <w:rsid w:val="004C36E3"/>
    <w:rsid w:val="004C36E7"/>
    <w:rsid w:val="004C38DE"/>
    <w:rsid w:val="004C3A37"/>
    <w:rsid w:val="004C3B60"/>
    <w:rsid w:val="004C3BE2"/>
    <w:rsid w:val="004C3BF3"/>
    <w:rsid w:val="004C3D38"/>
    <w:rsid w:val="004C3E78"/>
    <w:rsid w:val="004C3EA9"/>
    <w:rsid w:val="004C3F83"/>
    <w:rsid w:val="004C3FCA"/>
    <w:rsid w:val="004C3FDD"/>
    <w:rsid w:val="004C4092"/>
    <w:rsid w:val="004C4108"/>
    <w:rsid w:val="004C423F"/>
    <w:rsid w:val="004C433C"/>
    <w:rsid w:val="004C4423"/>
    <w:rsid w:val="004C449D"/>
    <w:rsid w:val="004C44BB"/>
    <w:rsid w:val="004C463D"/>
    <w:rsid w:val="004C4664"/>
    <w:rsid w:val="004C46A4"/>
    <w:rsid w:val="004C4714"/>
    <w:rsid w:val="004C47A9"/>
    <w:rsid w:val="004C47BA"/>
    <w:rsid w:val="004C4984"/>
    <w:rsid w:val="004C4986"/>
    <w:rsid w:val="004C4A19"/>
    <w:rsid w:val="004C4AD7"/>
    <w:rsid w:val="004C4B56"/>
    <w:rsid w:val="004C4C0A"/>
    <w:rsid w:val="004C4D13"/>
    <w:rsid w:val="004C4E61"/>
    <w:rsid w:val="004C4FB4"/>
    <w:rsid w:val="004C4FD0"/>
    <w:rsid w:val="004C4FE0"/>
    <w:rsid w:val="004C504F"/>
    <w:rsid w:val="004C50AF"/>
    <w:rsid w:val="004C5126"/>
    <w:rsid w:val="004C53C6"/>
    <w:rsid w:val="004C5401"/>
    <w:rsid w:val="004C5482"/>
    <w:rsid w:val="004C5516"/>
    <w:rsid w:val="004C5535"/>
    <w:rsid w:val="004C5571"/>
    <w:rsid w:val="004C56AB"/>
    <w:rsid w:val="004C5779"/>
    <w:rsid w:val="004C595E"/>
    <w:rsid w:val="004C5A09"/>
    <w:rsid w:val="004C5BEF"/>
    <w:rsid w:val="004C5D28"/>
    <w:rsid w:val="004C6019"/>
    <w:rsid w:val="004C6055"/>
    <w:rsid w:val="004C60B1"/>
    <w:rsid w:val="004C6172"/>
    <w:rsid w:val="004C61D4"/>
    <w:rsid w:val="004C61E5"/>
    <w:rsid w:val="004C6262"/>
    <w:rsid w:val="004C626B"/>
    <w:rsid w:val="004C635D"/>
    <w:rsid w:val="004C6437"/>
    <w:rsid w:val="004C65B2"/>
    <w:rsid w:val="004C662D"/>
    <w:rsid w:val="004C6661"/>
    <w:rsid w:val="004C66CC"/>
    <w:rsid w:val="004C66D5"/>
    <w:rsid w:val="004C67A6"/>
    <w:rsid w:val="004C681B"/>
    <w:rsid w:val="004C6853"/>
    <w:rsid w:val="004C68D2"/>
    <w:rsid w:val="004C6AE2"/>
    <w:rsid w:val="004C6B21"/>
    <w:rsid w:val="004C6BF0"/>
    <w:rsid w:val="004C6C5A"/>
    <w:rsid w:val="004C6C6E"/>
    <w:rsid w:val="004C6D4A"/>
    <w:rsid w:val="004C6DB9"/>
    <w:rsid w:val="004C6F6D"/>
    <w:rsid w:val="004C7110"/>
    <w:rsid w:val="004C7183"/>
    <w:rsid w:val="004C71AD"/>
    <w:rsid w:val="004C73B3"/>
    <w:rsid w:val="004C7497"/>
    <w:rsid w:val="004C7570"/>
    <w:rsid w:val="004C76A4"/>
    <w:rsid w:val="004C7836"/>
    <w:rsid w:val="004C7841"/>
    <w:rsid w:val="004C78DD"/>
    <w:rsid w:val="004C7A9D"/>
    <w:rsid w:val="004C7AE2"/>
    <w:rsid w:val="004C7AFE"/>
    <w:rsid w:val="004C7B00"/>
    <w:rsid w:val="004C7BB7"/>
    <w:rsid w:val="004C7C15"/>
    <w:rsid w:val="004C7CB5"/>
    <w:rsid w:val="004C7CF1"/>
    <w:rsid w:val="004C7D2F"/>
    <w:rsid w:val="004C7E5D"/>
    <w:rsid w:val="004C7E90"/>
    <w:rsid w:val="004C7ED0"/>
    <w:rsid w:val="004D01F7"/>
    <w:rsid w:val="004D023D"/>
    <w:rsid w:val="004D024A"/>
    <w:rsid w:val="004D028D"/>
    <w:rsid w:val="004D031A"/>
    <w:rsid w:val="004D0331"/>
    <w:rsid w:val="004D0353"/>
    <w:rsid w:val="004D040A"/>
    <w:rsid w:val="004D0657"/>
    <w:rsid w:val="004D06EC"/>
    <w:rsid w:val="004D0700"/>
    <w:rsid w:val="004D0748"/>
    <w:rsid w:val="004D0832"/>
    <w:rsid w:val="004D0A90"/>
    <w:rsid w:val="004D0AE8"/>
    <w:rsid w:val="004D0B79"/>
    <w:rsid w:val="004D0BB1"/>
    <w:rsid w:val="004D0C1E"/>
    <w:rsid w:val="004D0C37"/>
    <w:rsid w:val="004D0C54"/>
    <w:rsid w:val="004D0C5B"/>
    <w:rsid w:val="004D0D98"/>
    <w:rsid w:val="004D0DA4"/>
    <w:rsid w:val="004D0E23"/>
    <w:rsid w:val="004D0F68"/>
    <w:rsid w:val="004D0F83"/>
    <w:rsid w:val="004D0F9C"/>
    <w:rsid w:val="004D1138"/>
    <w:rsid w:val="004D11C5"/>
    <w:rsid w:val="004D128D"/>
    <w:rsid w:val="004D137A"/>
    <w:rsid w:val="004D1425"/>
    <w:rsid w:val="004D14FA"/>
    <w:rsid w:val="004D1500"/>
    <w:rsid w:val="004D151B"/>
    <w:rsid w:val="004D15B0"/>
    <w:rsid w:val="004D16C9"/>
    <w:rsid w:val="004D1920"/>
    <w:rsid w:val="004D193A"/>
    <w:rsid w:val="004D198E"/>
    <w:rsid w:val="004D19B4"/>
    <w:rsid w:val="004D1A8C"/>
    <w:rsid w:val="004D1B13"/>
    <w:rsid w:val="004D1B78"/>
    <w:rsid w:val="004D1E34"/>
    <w:rsid w:val="004D1FD8"/>
    <w:rsid w:val="004D1FFD"/>
    <w:rsid w:val="004D2007"/>
    <w:rsid w:val="004D203E"/>
    <w:rsid w:val="004D21D5"/>
    <w:rsid w:val="004D2368"/>
    <w:rsid w:val="004D2489"/>
    <w:rsid w:val="004D24D4"/>
    <w:rsid w:val="004D25B6"/>
    <w:rsid w:val="004D25D9"/>
    <w:rsid w:val="004D28AE"/>
    <w:rsid w:val="004D2975"/>
    <w:rsid w:val="004D298B"/>
    <w:rsid w:val="004D2A73"/>
    <w:rsid w:val="004D2C7B"/>
    <w:rsid w:val="004D2CC9"/>
    <w:rsid w:val="004D2D40"/>
    <w:rsid w:val="004D2E31"/>
    <w:rsid w:val="004D2E47"/>
    <w:rsid w:val="004D2F40"/>
    <w:rsid w:val="004D2F5C"/>
    <w:rsid w:val="004D2F5D"/>
    <w:rsid w:val="004D2F91"/>
    <w:rsid w:val="004D304E"/>
    <w:rsid w:val="004D30D4"/>
    <w:rsid w:val="004D3187"/>
    <w:rsid w:val="004D32F5"/>
    <w:rsid w:val="004D3307"/>
    <w:rsid w:val="004D331A"/>
    <w:rsid w:val="004D33C8"/>
    <w:rsid w:val="004D3657"/>
    <w:rsid w:val="004D3866"/>
    <w:rsid w:val="004D3950"/>
    <w:rsid w:val="004D3AAC"/>
    <w:rsid w:val="004D3C0B"/>
    <w:rsid w:val="004D3C89"/>
    <w:rsid w:val="004D3D62"/>
    <w:rsid w:val="004D3DF6"/>
    <w:rsid w:val="004D3E49"/>
    <w:rsid w:val="004D3F40"/>
    <w:rsid w:val="004D4283"/>
    <w:rsid w:val="004D42E5"/>
    <w:rsid w:val="004D4361"/>
    <w:rsid w:val="004D43EF"/>
    <w:rsid w:val="004D4419"/>
    <w:rsid w:val="004D449E"/>
    <w:rsid w:val="004D44AA"/>
    <w:rsid w:val="004D4516"/>
    <w:rsid w:val="004D455E"/>
    <w:rsid w:val="004D45D3"/>
    <w:rsid w:val="004D46B6"/>
    <w:rsid w:val="004D473E"/>
    <w:rsid w:val="004D476F"/>
    <w:rsid w:val="004D4915"/>
    <w:rsid w:val="004D4A22"/>
    <w:rsid w:val="004D4B2B"/>
    <w:rsid w:val="004D4BE9"/>
    <w:rsid w:val="004D4CD1"/>
    <w:rsid w:val="004D4CD3"/>
    <w:rsid w:val="004D4D1B"/>
    <w:rsid w:val="004D4E60"/>
    <w:rsid w:val="004D4E65"/>
    <w:rsid w:val="004D5047"/>
    <w:rsid w:val="004D5063"/>
    <w:rsid w:val="004D5076"/>
    <w:rsid w:val="004D50E8"/>
    <w:rsid w:val="004D51EC"/>
    <w:rsid w:val="004D52BB"/>
    <w:rsid w:val="004D53DC"/>
    <w:rsid w:val="004D55E8"/>
    <w:rsid w:val="004D565D"/>
    <w:rsid w:val="004D5675"/>
    <w:rsid w:val="004D56AD"/>
    <w:rsid w:val="004D57F5"/>
    <w:rsid w:val="004D5971"/>
    <w:rsid w:val="004D5999"/>
    <w:rsid w:val="004D5AF4"/>
    <w:rsid w:val="004D5C15"/>
    <w:rsid w:val="004D5E24"/>
    <w:rsid w:val="004D5EC6"/>
    <w:rsid w:val="004D5F99"/>
    <w:rsid w:val="004D5FDD"/>
    <w:rsid w:val="004D601E"/>
    <w:rsid w:val="004D6027"/>
    <w:rsid w:val="004D605D"/>
    <w:rsid w:val="004D60FD"/>
    <w:rsid w:val="004D610A"/>
    <w:rsid w:val="004D62BB"/>
    <w:rsid w:val="004D63A5"/>
    <w:rsid w:val="004D6472"/>
    <w:rsid w:val="004D6574"/>
    <w:rsid w:val="004D6581"/>
    <w:rsid w:val="004D65FC"/>
    <w:rsid w:val="004D6646"/>
    <w:rsid w:val="004D66AE"/>
    <w:rsid w:val="004D6717"/>
    <w:rsid w:val="004D6741"/>
    <w:rsid w:val="004D675A"/>
    <w:rsid w:val="004D67E2"/>
    <w:rsid w:val="004D6827"/>
    <w:rsid w:val="004D6923"/>
    <w:rsid w:val="004D6A5A"/>
    <w:rsid w:val="004D6ADE"/>
    <w:rsid w:val="004D6B40"/>
    <w:rsid w:val="004D6B55"/>
    <w:rsid w:val="004D6B79"/>
    <w:rsid w:val="004D6BB5"/>
    <w:rsid w:val="004D6CEE"/>
    <w:rsid w:val="004D6D06"/>
    <w:rsid w:val="004D6D76"/>
    <w:rsid w:val="004D6E04"/>
    <w:rsid w:val="004D6EF8"/>
    <w:rsid w:val="004D6FA1"/>
    <w:rsid w:val="004D6FB9"/>
    <w:rsid w:val="004D7181"/>
    <w:rsid w:val="004D7214"/>
    <w:rsid w:val="004D729A"/>
    <w:rsid w:val="004D73DA"/>
    <w:rsid w:val="004D7599"/>
    <w:rsid w:val="004D786F"/>
    <w:rsid w:val="004D79D4"/>
    <w:rsid w:val="004D7A67"/>
    <w:rsid w:val="004D7B26"/>
    <w:rsid w:val="004D7BC5"/>
    <w:rsid w:val="004D7C2C"/>
    <w:rsid w:val="004D7C8C"/>
    <w:rsid w:val="004D7CD0"/>
    <w:rsid w:val="004D7DEE"/>
    <w:rsid w:val="004D7E8E"/>
    <w:rsid w:val="004E0098"/>
    <w:rsid w:val="004E0221"/>
    <w:rsid w:val="004E028F"/>
    <w:rsid w:val="004E032C"/>
    <w:rsid w:val="004E0482"/>
    <w:rsid w:val="004E0494"/>
    <w:rsid w:val="004E04DF"/>
    <w:rsid w:val="004E06DB"/>
    <w:rsid w:val="004E06F2"/>
    <w:rsid w:val="004E0727"/>
    <w:rsid w:val="004E076D"/>
    <w:rsid w:val="004E084D"/>
    <w:rsid w:val="004E0964"/>
    <w:rsid w:val="004E0A87"/>
    <w:rsid w:val="004E0AAB"/>
    <w:rsid w:val="004E0BE2"/>
    <w:rsid w:val="004E0C03"/>
    <w:rsid w:val="004E0D64"/>
    <w:rsid w:val="004E0EFC"/>
    <w:rsid w:val="004E0F1F"/>
    <w:rsid w:val="004E0F6A"/>
    <w:rsid w:val="004E0FD5"/>
    <w:rsid w:val="004E0FDA"/>
    <w:rsid w:val="004E1096"/>
    <w:rsid w:val="004E1104"/>
    <w:rsid w:val="004E1206"/>
    <w:rsid w:val="004E12E9"/>
    <w:rsid w:val="004E13E3"/>
    <w:rsid w:val="004E14C7"/>
    <w:rsid w:val="004E155C"/>
    <w:rsid w:val="004E1608"/>
    <w:rsid w:val="004E1613"/>
    <w:rsid w:val="004E1639"/>
    <w:rsid w:val="004E1692"/>
    <w:rsid w:val="004E1720"/>
    <w:rsid w:val="004E179B"/>
    <w:rsid w:val="004E1896"/>
    <w:rsid w:val="004E1A01"/>
    <w:rsid w:val="004E1A57"/>
    <w:rsid w:val="004E1AA4"/>
    <w:rsid w:val="004E1B65"/>
    <w:rsid w:val="004E1BA2"/>
    <w:rsid w:val="004E1BB0"/>
    <w:rsid w:val="004E1BD6"/>
    <w:rsid w:val="004E1C6B"/>
    <w:rsid w:val="004E1CE9"/>
    <w:rsid w:val="004E1D3F"/>
    <w:rsid w:val="004E1E1A"/>
    <w:rsid w:val="004E1E7F"/>
    <w:rsid w:val="004E1E85"/>
    <w:rsid w:val="004E1ED1"/>
    <w:rsid w:val="004E1F17"/>
    <w:rsid w:val="004E2059"/>
    <w:rsid w:val="004E20DE"/>
    <w:rsid w:val="004E218B"/>
    <w:rsid w:val="004E21AD"/>
    <w:rsid w:val="004E21DD"/>
    <w:rsid w:val="004E234D"/>
    <w:rsid w:val="004E2422"/>
    <w:rsid w:val="004E245B"/>
    <w:rsid w:val="004E24A3"/>
    <w:rsid w:val="004E24A4"/>
    <w:rsid w:val="004E278F"/>
    <w:rsid w:val="004E27EC"/>
    <w:rsid w:val="004E2900"/>
    <w:rsid w:val="004E293F"/>
    <w:rsid w:val="004E2941"/>
    <w:rsid w:val="004E2A17"/>
    <w:rsid w:val="004E2A72"/>
    <w:rsid w:val="004E2ABA"/>
    <w:rsid w:val="004E2AD2"/>
    <w:rsid w:val="004E2C41"/>
    <w:rsid w:val="004E2C42"/>
    <w:rsid w:val="004E2CD6"/>
    <w:rsid w:val="004E2D12"/>
    <w:rsid w:val="004E2E7C"/>
    <w:rsid w:val="004E2F34"/>
    <w:rsid w:val="004E2F96"/>
    <w:rsid w:val="004E30C4"/>
    <w:rsid w:val="004E314F"/>
    <w:rsid w:val="004E34A8"/>
    <w:rsid w:val="004E34AD"/>
    <w:rsid w:val="004E3538"/>
    <w:rsid w:val="004E3831"/>
    <w:rsid w:val="004E3AA8"/>
    <w:rsid w:val="004E3AF5"/>
    <w:rsid w:val="004E3C41"/>
    <w:rsid w:val="004E3C4F"/>
    <w:rsid w:val="004E3CEC"/>
    <w:rsid w:val="004E3CF1"/>
    <w:rsid w:val="004E3E33"/>
    <w:rsid w:val="004E3E60"/>
    <w:rsid w:val="004E40E4"/>
    <w:rsid w:val="004E4112"/>
    <w:rsid w:val="004E4180"/>
    <w:rsid w:val="004E42B7"/>
    <w:rsid w:val="004E42FD"/>
    <w:rsid w:val="004E4374"/>
    <w:rsid w:val="004E4572"/>
    <w:rsid w:val="004E4623"/>
    <w:rsid w:val="004E46AC"/>
    <w:rsid w:val="004E4759"/>
    <w:rsid w:val="004E4810"/>
    <w:rsid w:val="004E485C"/>
    <w:rsid w:val="004E48C1"/>
    <w:rsid w:val="004E491A"/>
    <w:rsid w:val="004E49EC"/>
    <w:rsid w:val="004E4B06"/>
    <w:rsid w:val="004E4BD5"/>
    <w:rsid w:val="004E4C00"/>
    <w:rsid w:val="004E4C01"/>
    <w:rsid w:val="004E4C06"/>
    <w:rsid w:val="004E4C16"/>
    <w:rsid w:val="004E4D4F"/>
    <w:rsid w:val="004E4DE4"/>
    <w:rsid w:val="004E5165"/>
    <w:rsid w:val="004E538F"/>
    <w:rsid w:val="004E53C5"/>
    <w:rsid w:val="004E5510"/>
    <w:rsid w:val="004E56F8"/>
    <w:rsid w:val="004E57AD"/>
    <w:rsid w:val="004E580E"/>
    <w:rsid w:val="004E5816"/>
    <w:rsid w:val="004E5992"/>
    <w:rsid w:val="004E59AB"/>
    <w:rsid w:val="004E59F3"/>
    <w:rsid w:val="004E59FC"/>
    <w:rsid w:val="004E5B2C"/>
    <w:rsid w:val="004E5B52"/>
    <w:rsid w:val="004E5BA4"/>
    <w:rsid w:val="004E5BAD"/>
    <w:rsid w:val="004E5BED"/>
    <w:rsid w:val="004E5DCA"/>
    <w:rsid w:val="004E5FB1"/>
    <w:rsid w:val="004E5FD2"/>
    <w:rsid w:val="004E6051"/>
    <w:rsid w:val="004E60AC"/>
    <w:rsid w:val="004E60C4"/>
    <w:rsid w:val="004E6104"/>
    <w:rsid w:val="004E61CF"/>
    <w:rsid w:val="004E634F"/>
    <w:rsid w:val="004E64A6"/>
    <w:rsid w:val="004E64BF"/>
    <w:rsid w:val="004E653C"/>
    <w:rsid w:val="004E65D6"/>
    <w:rsid w:val="004E65D8"/>
    <w:rsid w:val="004E6870"/>
    <w:rsid w:val="004E68A6"/>
    <w:rsid w:val="004E699F"/>
    <w:rsid w:val="004E6BC9"/>
    <w:rsid w:val="004E6C18"/>
    <w:rsid w:val="004E6CC2"/>
    <w:rsid w:val="004E6CDF"/>
    <w:rsid w:val="004E6D29"/>
    <w:rsid w:val="004E6EA4"/>
    <w:rsid w:val="004E6ED4"/>
    <w:rsid w:val="004E6FD4"/>
    <w:rsid w:val="004E7011"/>
    <w:rsid w:val="004E70E1"/>
    <w:rsid w:val="004E71DA"/>
    <w:rsid w:val="004E73B4"/>
    <w:rsid w:val="004E73E3"/>
    <w:rsid w:val="004E74FE"/>
    <w:rsid w:val="004E757A"/>
    <w:rsid w:val="004E7615"/>
    <w:rsid w:val="004E76B5"/>
    <w:rsid w:val="004E7726"/>
    <w:rsid w:val="004E77F9"/>
    <w:rsid w:val="004E7831"/>
    <w:rsid w:val="004E7A67"/>
    <w:rsid w:val="004E7D80"/>
    <w:rsid w:val="004E7E1F"/>
    <w:rsid w:val="004E7E74"/>
    <w:rsid w:val="004F00DB"/>
    <w:rsid w:val="004F019A"/>
    <w:rsid w:val="004F01BE"/>
    <w:rsid w:val="004F01F9"/>
    <w:rsid w:val="004F01FD"/>
    <w:rsid w:val="004F0250"/>
    <w:rsid w:val="004F02BF"/>
    <w:rsid w:val="004F02C5"/>
    <w:rsid w:val="004F0308"/>
    <w:rsid w:val="004F0376"/>
    <w:rsid w:val="004F04D4"/>
    <w:rsid w:val="004F05B6"/>
    <w:rsid w:val="004F05EF"/>
    <w:rsid w:val="004F0636"/>
    <w:rsid w:val="004F066B"/>
    <w:rsid w:val="004F07D4"/>
    <w:rsid w:val="004F0819"/>
    <w:rsid w:val="004F082F"/>
    <w:rsid w:val="004F0A32"/>
    <w:rsid w:val="004F0A49"/>
    <w:rsid w:val="004F0AAE"/>
    <w:rsid w:val="004F0AED"/>
    <w:rsid w:val="004F0B3D"/>
    <w:rsid w:val="004F0B54"/>
    <w:rsid w:val="004F0C27"/>
    <w:rsid w:val="004F0E11"/>
    <w:rsid w:val="004F0EDD"/>
    <w:rsid w:val="004F0EFA"/>
    <w:rsid w:val="004F0FC4"/>
    <w:rsid w:val="004F110F"/>
    <w:rsid w:val="004F11AA"/>
    <w:rsid w:val="004F11C7"/>
    <w:rsid w:val="004F1222"/>
    <w:rsid w:val="004F1269"/>
    <w:rsid w:val="004F12CD"/>
    <w:rsid w:val="004F132B"/>
    <w:rsid w:val="004F136C"/>
    <w:rsid w:val="004F1380"/>
    <w:rsid w:val="004F166C"/>
    <w:rsid w:val="004F16A1"/>
    <w:rsid w:val="004F1748"/>
    <w:rsid w:val="004F1894"/>
    <w:rsid w:val="004F189F"/>
    <w:rsid w:val="004F1982"/>
    <w:rsid w:val="004F1A7D"/>
    <w:rsid w:val="004F1A88"/>
    <w:rsid w:val="004F1AE7"/>
    <w:rsid w:val="004F1D98"/>
    <w:rsid w:val="004F1DF6"/>
    <w:rsid w:val="004F1EFC"/>
    <w:rsid w:val="004F1F09"/>
    <w:rsid w:val="004F1F2C"/>
    <w:rsid w:val="004F2037"/>
    <w:rsid w:val="004F20C5"/>
    <w:rsid w:val="004F21E2"/>
    <w:rsid w:val="004F22B7"/>
    <w:rsid w:val="004F22E5"/>
    <w:rsid w:val="004F22EC"/>
    <w:rsid w:val="004F2306"/>
    <w:rsid w:val="004F2318"/>
    <w:rsid w:val="004F23E1"/>
    <w:rsid w:val="004F240E"/>
    <w:rsid w:val="004F2594"/>
    <w:rsid w:val="004F25EB"/>
    <w:rsid w:val="004F271A"/>
    <w:rsid w:val="004F274B"/>
    <w:rsid w:val="004F27A2"/>
    <w:rsid w:val="004F27FC"/>
    <w:rsid w:val="004F2859"/>
    <w:rsid w:val="004F2862"/>
    <w:rsid w:val="004F2929"/>
    <w:rsid w:val="004F2B39"/>
    <w:rsid w:val="004F2BEE"/>
    <w:rsid w:val="004F2C75"/>
    <w:rsid w:val="004F2D4B"/>
    <w:rsid w:val="004F2D97"/>
    <w:rsid w:val="004F2F00"/>
    <w:rsid w:val="004F31B4"/>
    <w:rsid w:val="004F3244"/>
    <w:rsid w:val="004F3268"/>
    <w:rsid w:val="004F32EC"/>
    <w:rsid w:val="004F3311"/>
    <w:rsid w:val="004F339E"/>
    <w:rsid w:val="004F3462"/>
    <w:rsid w:val="004F358B"/>
    <w:rsid w:val="004F3639"/>
    <w:rsid w:val="004F36B2"/>
    <w:rsid w:val="004F37AF"/>
    <w:rsid w:val="004F3895"/>
    <w:rsid w:val="004F38FF"/>
    <w:rsid w:val="004F3914"/>
    <w:rsid w:val="004F399F"/>
    <w:rsid w:val="004F39DA"/>
    <w:rsid w:val="004F3B86"/>
    <w:rsid w:val="004F3BF1"/>
    <w:rsid w:val="004F3C36"/>
    <w:rsid w:val="004F3D03"/>
    <w:rsid w:val="004F3DB1"/>
    <w:rsid w:val="004F3EDF"/>
    <w:rsid w:val="004F3F46"/>
    <w:rsid w:val="004F3F88"/>
    <w:rsid w:val="004F4034"/>
    <w:rsid w:val="004F40FA"/>
    <w:rsid w:val="004F41FA"/>
    <w:rsid w:val="004F41FC"/>
    <w:rsid w:val="004F4208"/>
    <w:rsid w:val="004F42AD"/>
    <w:rsid w:val="004F4310"/>
    <w:rsid w:val="004F4382"/>
    <w:rsid w:val="004F43AF"/>
    <w:rsid w:val="004F448D"/>
    <w:rsid w:val="004F44C0"/>
    <w:rsid w:val="004F44CE"/>
    <w:rsid w:val="004F471B"/>
    <w:rsid w:val="004F47DC"/>
    <w:rsid w:val="004F4859"/>
    <w:rsid w:val="004F48E8"/>
    <w:rsid w:val="004F4912"/>
    <w:rsid w:val="004F498F"/>
    <w:rsid w:val="004F4AB7"/>
    <w:rsid w:val="004F4B3E"/>
    <w:rsid w:val="004F4B45"/>
    <w:rsid w:val="004F4BD7"/>
    <w:rsid w:val="004F4BF2"/>
    <w:rsid w:val="004F4DCC"/>
    <w:rsid w:val="004F4F34"/>
    <w:rsid w:val="004F505B"/>
    <w:rsid w:val="004F512B"/>
    <w:rsid w:val="004F514B"/>
    <w:rsid w:val="004F51F3"/>
    <w:rsid w:val="004F5218"/>
    <w:rsid w:val="004F5248"/>
    <w:rsid w:val="004F52C6"/>
    <w:rsid w:val="004F543C"/>
    <w:rsid w:val="004F5521"/>
    <w:rsid w:val="004F5524"/>
    <w:rsid w:val="004F552D"/>
    <w:rsid w:val="004F55AF"/>
    <w:rsid w:val="004F5610"/>
    <w:rsid w:val="004F5798"/>
    <w:rsid w:val="004F58E3"/>
    <w:rsid w:val="004F5907"/>
    <w:rsid w:val="004F5ACE"/>
    <w:rsid w:val="004F5AF7"/>
    <w:rsid w:val="004F5B2F"/>
    <w:rsid w:val="004F5C10"/>
    <w:rsid w:val="004F5C75"/>
    <w:rsid w:val="004F5D25"/>
    <w:rsid w:val="004F5DE2"/>
    <w:rsid w:val="004F5E31"/>
    <w:rsid w:val="004F6017"/>
    <w:rsid w:val="004F6101"/>
    <w:rsid w:val="004F6172"/>
    <w:rsid w:val="004F61D7"/>
    <w:rsid w:val="004F61EE"/>
    <w:rsid w:val="004F62D6"/>
    <w:rsid w:val="004F6354"/>
    <w:rsid w:val="004F63EB"/>
    <w:rsid w:val="004F640A"/>
    <w:rsid w:val="004F6550"/>
    <w:rsid w:val="004F65E9"/>
    <w:rsid w:val="004F660A"/>
    <w:rsid w:val="004F667B"/>
    <w:rsid w:val="004F66AF"/>
    <w:rsid w:val="004F66B9"/>
    <w:rsid w:val="004F66CD"/>
    <w:rsid w:val="004F66ED"/>
    <w:rsid w:val="004F6788"/>
    <w:rsid w:val="004F6803"/>
    <w:rsid w:val="004F6853"/>
    <w:rsid w:val="004F6B96"/>
    <w:rsid w:val="004F6CD0"/>
    <w:rsid w:val="004F6D56"/>
    <w:rsid w:val="004F6D9D"/>
    <w:rsid w:val="004F6DE5"/>
    <w:rsid w:val="004F6FB9"/>
    <w:rsid w:val="004F70ED"/>
    <w:rsid w:val="004F7101"/>
    <w:rsid w:val="004F72B7"/>
    <w:rsid w:val="004F72CE"/>
    <w:rsid w:val="004F72F2"/>
    <w:rsid w:val="004F7404"/>
    <w:rsid w:val="004F74AE"/>
    <w:rsid w:val="004F75B6"/>
    <w:rsid w:val="004F75E5"/>
    <w:rsid w:val="004F7610"/>
    <w:rsid w:val="004F7698"/>
    <w:rsid w:val="004F77B0"/>
    <w:rsid w:val="004F77F5"/>
    <w:rsid w:val="004F78EB"/>
    <w:rsid w:val="004F7916"/>
    <w:rsid w:val="004F79AC"/>
    <w:rsid w:val="004F79E0"/>
    <w:rsid w:val="004F79ED"/>
    <w:rsid w:val="004F79FC"/>
    <w:rsid w:val="004F7A12"/>
    <w:rsid w:val="004F7A4A"/>
    <w:rsid w:val="004F7A74"/>
    <w:rsid w:val="004F7BD0"/>
    <w:rsid w:val="004F7C0A"/>
    <w:rsid w:val="004F7CCA"/>
    <w:rsid w:val="004F7CF8"/>
    <w:rsid w:val="004F7D1A"/>
    <w:rsid w:val="004F7E73"/>
    <w:rsid w:val="004F7E96"/>
    <w:rsid w:val="004F7F8D"/>
    <w:rsid w:val="004F7FBA"/>
    <w:rsid w:val="004F7FBE"/>
    <w:rsid w:val="005000B3"/>
    <w:rsid w:val="005000FB"/>
    <w:rsid w:val="0050013A"/>
    <w:rsid w:val="00500228"/>
    <w:rsid w:val="0050022B"/>
    <w:rsid w:val="00500250"/>
    <w:rsid w:val="005002AA"/>
    <w:rsid w:val="005003FA"/>
    <w:rsid w:val="005004CB"/>
    <w:rsid w:val="00500582"/>
    <w:rsid w:val="00500619"/>
    <w:rsid w:val="00500633"/>
    <w:rsid w:val="00500690"/>
    <w:rsid w:val="0050084C"/>
    <w:rsid w:val="0050089A"/>
    <w:rsid w:val="005008CF"/>
    <w:rsid w:val="00500935"/>
    <w:rsid w:val="005009C6"/>
    <w:rsid w:val="00500A92"/>
    <w:rsid w:val="00500A97"/>
    <w:rsid w:val="00500AA4"/>
    <w:rsid w:val="00500B49"/>
    <w:rsid w:val="00500BDA"/>
    <w:rsid w:val="00500D37"/>
    <w:rsid w:val="00500D6F"/>
    <w:rsid w:val="00500EC0"/>
    <w:rsid w:val="0050105C"/>
    <w:rsid w:val="00501157"/>
    <w:rsid w:val="00501177"/>
    <w:rsid w:val="00501272"/>
    <w:rsid w:val="005012A5"/>
    <w:rsid w:val="005013D8"/>
    <w:rsid w:val="005014D3"/>
    <w:rsid w:val="0050151A"/>
    <w:rsid w:val="0050153E"/>
    <w:rsid w:val="00501689"/>
    <w:rsid w:val="00501759"/>
    <w:rsid w:val="00501917"/>
    <w:rsid w:val="00501941"/>
    <w:rsid w:val="005019C0"/>
    <w:rsid w:val="005019C1"/>
    <w:rsid w:val="005019CC"/>
    <w:rsid w:val="00501A8D"/>
    <w:rsid w:val="00501AE2"/>
    <w:rsid w:val="00501B8E"/>
    <w:rsid w:val="00501D90"/>
    <w:rsid w:val="00501DCA"/>
    <w:rsid w:val="00501E02"/>
    <w:rsid w:val="00501E7F"/>
    <w:rsid w:val="00501EEB"/>
    <w:rsid w:val="00501F82"/>
    <w:rsid w:val="00501FF4"/>
    <w:rsid w:val="005020B7"/>
    <w:rsid w:val="00502244"/>
    <w:rsid w:val="00502255"/>
    <w:rsid w:val="0050226B"/>
    <w:rsid w:val="00502423"/>
    <w:rsid w:val="00502464"/>
    <w:rsid w:val="005024EB"/>
    <w:rsid w:val="00502673"/>
    <w:rsid w:val="0050286A"/>
    <w:rsid w:val="00502B1F"/>
    <w:rsid w:val="00502B2D"/>
    <w:rsid w:val="00502B77"/>
    <w:rsid w:val="00502C39"/>
    <w:rsid w:val="00502C83"/>
    <w:rsid w:val="00502D17"/>
    <w:rsid w:val="00502D96"/>
    <w:rsid w:val="00502E5D"/>
    <w:rsid w:val="00502FFF"/>
    <w:rsid w:val="00503072"/>
    <w:rsid w:val="00503078"/>
    <w:rsid w:val="005030DA"/>
    <w:rsid w:val="00503190"/>
    <w:rsid w:val="005031E7"/>
    <w:rsid w:val="0050324A"/>
    <w:rsid w:val="00503356"/>
    <w:rsid w:val="00503388"/>
    <w:rsid w:val="005033D3"/>
    <w:rsid w:val="005033E4"/>
    <w:rsid w:val="0050348D"/>
    <w:rsid w:val="005034EC"/>
    <w:rsid w:val="00503547"/>
    <w:rsid w:val="005035B2"/>
    <w:rsid w:val="005035E4"/>
    <w:rsid w:val="0050372F"/>
    <w:rsid w:val="005037B4"/>
    <w:rsid w:val="005037C3"/>
    <w:rsid w:val="005038FA"/>
    <w:rsid w:val="00503ACF"/>
    <w:rsid w:val="00503AE0"/>
    <w:rsid w:val="00503AF9"/>
    <w:rsid w:val="00503D88"/>
    <w:rsid w:val="00503DA1"/>
    <w:rsid w:val="00503DBA"/>
    <w:rsid w:val="00503DBD"/>
    <w:rsid w:val="00503FB4"/>
    <w:rsid w:val="005041D9"/>
    <w:rsid w:val="005041E5"/>
    <w:rsid w:val="0050422F"/>
    <w:rsid w:val="005043EB"/>
    <w:rsid w:val="0050450D"/>
    <w:rsid w:val="00504512"/>
    <w:rsid w:val="00504587"/>
    <w:rsid w:val="0050461D"/>
    <w:rsid w:val="00504677"/>
    <w:rsid w:val="00504690"/>
    <w:rsid w:val="00504749"/>
    <w:rsid w:val="0050475E"/>
    <w:rsid w:val="00504779"/>
    <w:rsid w:val="005048FA"/>
    <w:rsid w:val="0050496D"/>
    <w:rsid w:val="00504A79"/>
    <w:rsid w:val="00504B9D"/>
    <w:rsid w:val="00504C90"/>
    <w:rsid w:val="00504D65"/>
    <w:rsid w:val="00504D6F"/>
    <w:rsid w:val="00504EB8"/>
    <w:rsid w:val="00504FA5"/>
    <w:rsid w:val="00505147"/>
    <w:rsid w:val="00505232"/>
    <w:rsid w:val="005052B1"/>
    <w:rsid w:val="00505367"/>
    <w:rsid w:val="00505378"/>
    <w:rsid w:val="005054DF"/>
    <w:rsid w:val="0050552C"/>
    <w:rsid w:val="0050561C"/>
    <w:rsid w:val="00505675"/>
    <w:rsid w:val="0050570A"/>
    <w:rsid w:val="00505768"/>
    <w:rsid w:val="005057F8"/>
    <w:rsid w:val="00505847"/>
    <w:rsid w:val="00505862"/>
    <w:rsid w:val="00505A0C"/>
    <w:rsid w:val="00505A8E"/>
    <w:rsid w:val="00505AC8"/>
    <w:rsid w:val="00505AED"/>
    <w:rsid w:val="00505B07"/>
    <w:rsid w:val="00505C6A"/>
    <w:rsid w:val="00505C95"/>
    <w:rsid w:val="00505D77"/>
    <w:rsid w:val="00505D99"/>
    <w:rsid w:val="00505DDF"/>
    <w:rsid w:val="00506040"/>
    <w:rsid w:val="005060E5"/>
    <w:rsid w:val="0050610E"/>
    <w:rsid w:val="00506235"/>
    <w:rsid w:val="005063A6"/>
    <w:rsid w:val="005063C7"/>
    <w:rsid w:val="005063EE"/>
    <w:rsid w:val="005063FC"/>
    <w:rsid w:val="0050666D"/>
    <w:rsid w:val="005066A4"/>
    <w:rsid w:val="0050681F"/>
    <w:rsid w:val="005068D6"/>
    <w:rsid w:val="00506ABE"/>
    <w:rsid w:val="00506B3F"/>
    <w:rsid w:val="00506B49"/>
    <w:rsid w:val="00506B9F"/>
    <w:rsid w:val="00506C1E"/>
    <w:rsid w:val="00506C71"/>
    <w:rsid w:val="00506CDA"/>
    <w:rsid w:val="00506D66"/>
    <w:rsid w:val="00506E0A"/>
    <w:rsid w:val="00506E10"/>
    <w:rsid w:val="00506EF9"/>
    <w:rsid w:val="00506F53"/>
    <w:rsid w:val="00506FEC"/>
    <w:rsid w:val="005072DF"/>
    <w:rsid w:val="00507301"/>
    <w:rsid w:val="0050741D"/>
    <w:rsid w:val="00507471"/>
    <w:rsid w:val="005078B1"/>
    <w:rsid w:val="005079A4"/>
    <w:rsid w:val="005079E0"/>
    <w:rsid w:val="00507A23"/>
    <w:rsid w:val="00507C25"/>
    <w:rsid w:val="00507C5C"/>
    <w:rsid w:val="00507D27"/>
    <w:rsid w:val="00507E07"/>
    <w:rsid w:val="00507E4A"/>
    <w:rsid w:val="00507EC5"/>
    <w:rsid w:val="00507EDB"/>
    <w:rsid w:val="00507EEC"/>
    <w:rsid w:val="00507EF6"/>
    <w:rsid w:val="00507F65"/>
    <w:rsid w:val="00507FE8"/>
    <w:rsid w:val="00510106"/>
    <w:rsid w:val="005102D5"/>
    <w:rsid w:val="00510328"/>
    <w:rsid w:val="00510393"/>
    <w:rsid w:val="005103C5"/>
    <w:rsid w:val="00510427"/>
    <w:rsid w:val="005104BD"/>
    <w:rsid w:val="00510588"/>
    <w:rsid w:val="0051061D"/>
    <w:rsid w:val="00510761"/>
    <w:rsid w:val="005107B9"/>
    <w:rsid w:val="0051082E"/>
    <w:rsid w:val="00510867"/>
    <w:rsid w:val="005108FE"/>
    <w:rsid w:val="00510906"/>
    <w:rsid w:val="00510A3B"/>
    <w:rsid w:val="00510A56"/>
    <w:rsid w:val="00510B0B"/>
    <w:rsid w:val="00510CDC"/>
    <w:rsid w:val="00510D04"/>
    <w:rsid w:val="00510DD1"/>
    <w:rsid w:val="00510FEC"/>
    <w:rsid w:val="00510FF9"/>
    <w:rsid w:val="0051115A"/>
    <w:rsid w:val="005111E1"/>
    <w:rsid w:val="0051125A"/>
    <w:rsid w:val="0051125B"/>
    <w:rsid w:val="00511334"/>
    <w:rsid w:val="005114CC"/>
    <w:rsid w:val="005114DD"/>
    <w:rsid w:val="00511567"/>
    <w:rsid w:val="005115D5"/>
    <w:rsid w:val="005116F4"/>
    <w:rsid w:val="00511773"/>
    <w:rsid w:val="00511881"/>
    <w:rsid w:val="0051195C"/>
    <w:rsid w:val="005119DE"/>
    <w:rsid w:val="00511A33"/>
    <w:rsid w:val="00511A45"/>
    <w:rsid w:val="00511C5A"/>
    <w:rsid w:val="00511C6A"/>
    <w:rsid w:val="00511CAC"/>
    <w:rsid w:val="00511E27"/>
    <w:rsid w:val="00511E79"/>
    <w:rsid w:val="00511F32"/>
    <w:rsid w:val="00512011"/>
    <w:rsid w:val="00512038"/>
    <w:rsid w:val="0051207D"/>
    <w:rsid w:val="0051217F"/>
    <w:rsid w:val="00512187"/>
    <w:rsid w:val="00512188"/>
    <w:rsid w:val="005121A0"/>
    <w:rsid w:val="00512367"/>
    <w:rsid w:val="005123D1"/>
    <w:rsid w:val="005124D5"/>
    <w:rsid w:val="005125DA"/>
    <w:rsid w:val="0051268E"/>
    <w:rsid w:val="005126D9"/>
    <w:rsid w:val="00512773"/>
    <w:rsid w:val="0051282A"/>
    <w:rsid w:val="00512923"/>
    <w:rsid w:val="0051298B"/>
    <w:rsid w:val="00512A7B"/>
    <w:rsid w:val="00512A80"/>
    <w:rsid w:val="00512ABF"/>
    <w:rsid w:val="00512B37"/>
    <w:rsid w:val="00512D41"/>
    <w:rsid w:val="00512DBF"/>
    <w:rsid w:val="00512EFF"/>
    <w:rsid w:val="00512FBF"/>
    <w:rsid w:val="00512FD2"/>
    <w:rsid w:val="00513002"/>
    <w:rsid w:val="00513061"/>
    <w:rsid w:val="00513151"/>
    <w:rsid w:val="0051315A"/>
    <w:rsid w:val="00513666"/>
    <w:rsid w:val="00513727"/>
    <w:rsid w:val="00513764"/>
    <w:rsid w:val="00513765"/>
    <w:rsid w:val="00513A01"/>
    <w:rsid w:val="00513B54"/>
    <w:rsid w:val="00513B79"/>
    <w:rsid w:val="00513C17"/>
    <w:rsid w:val="00513C65"/>
    <w:rsid w:val="00513D6F"/>
    <w:rsid w:val="00513DBF"/>
    <w:rsid w:val="00513DE4"/>
    <w:rsid w:val="00513E53"/>
    <w:rsid w:val="00513F89"/>
    <w:rsid w:val="0051403E"/>
    <w:rsid w:val="00514043"/>
    <w:rsid w:val="00514080"/>
    <w:rsid w:val="00514132"/>
    <w:rsid w:val="005144A7"/>
    <w:rsid w:val="005149EA"/>
    <w:rsid w:val="00514A16"/>
    <w:rsid w:val="00514A17"/>
    <w:rsid w:val="00514A67"/>
    <w:rsid w:val="00514ABA"/>
    <w:rsid w:val="00514B2D"/>
    <w:rsid w:val="00514BBC"/>
    <w:rsid w:val="00514C97"/>
    <w:rsid w:val="00514D4B"/>
    <w:rsid w:val="00514DA0"/>
    <w:rsid w:val="00514E24"/>
    <w:rsid w:val="00514F33"/>
    <w:rsid w:val="00514F49"/>
    <w:rsid w:val="00514FB5"/>
    <w:rsid w:val="00514FBD"/>
    <w:rsid w:val="0051500C"/>
    <w:rsid w:val="005150CF"/>
    <w:rsid w:val="00515244"/>
    <w:rsid w:val="0051525C"/>
    <w:rsid w:val="005152B8"/>
    <w:rsid w:val="00515314"/>
    <w:rsid w:val="00515344"/>
    <w:rsid w:val="00515564"/>
    <w:rsid w:val="005155B7"/>
    <w:rsid w:val="00515641"/>
    <w:rsid w:val="0051570F"/>
    <w:rsid w:val="00515882"/>
    <w:rsid w:val="005158D8"/>
    <w:rsid w:val="00515A65"/>
    <w:rsid w:val="00515A77"/>
    <w:rsid w:val="00515CCB"/>
    <w:rsid w:val="00515D1A"/>
    <w:rsid w:val="00515D36"/>
    <w:rsid w:val="00515E23"/>
    <w:rsid w:val="00515E79"/>
    <w:rsid w:val="00515ED8"/>
    <w:rsid w:val="00515F4D"/>
    <w:rsid w:val="00515FC5"/>
    <w:rsid w:val="005160FF"/>
    <w:rsid w:val="0051620D"/>
    <w:rsid w:val="0051625C"/>
    <w:rsid w:val="0051631C"/>
    <w:rsid w:val="005165AC"/>
    <w:rsid w:val="0051672A"/>
    <w:rsid w:val="0051681B"/>
    <w:rsid w:val="00516950"/>
    <w:rsid w:val="00516957"/>
    <w:rsid w:val="005169FF"/>
    <w:rsid w:val="00516BDB"/>
    <w:rsid w:val="00516C45"/>
    <w:rsid w:val="00516C66"/>
    <w:rsid w:val="00516D62"/>
    <w:rsid w:val="00516D9F"/>
    <w:rsid w:val="00516E53"/>
    <w:rsid w:val="00516F5C"/>
    <w:rsid w:val="00516F7D"/>
    <w:rsid w:val="00516F86"/>
    <w:rsid w:val="00516FF0"/>
    <w:rsid w:val="0051706B"/>
    <w:rsid w:val="0051714E"/>
    <w:rsid w:val="005172CC"/>
    <w:rsid w:val="00517351"/>
    <w:rsid w:val="00517475"/>
    <w:rsid w:val="005175F1"/>
    <w:rsid w:val="00517651"/>
    <w:rsid w:val="0051778C"/>
    <w:rsid w:val="005177C9"/>
    <w:rsid w:val="0051785A"/>
    <w:rsid w:val="005178D2"/>
    <w:rsid w:val="0051796C"/>
    <w:rsid w:val="005179A3"/>
    <w:rsid w:val="005179D5"/>
    <w:rsid w:val="00517AFB"/>
    <w:rsid w:val="00517C62"/>
    <w:rsid w:val="00517CA5"/>
    <w:rsid w:val="00517CC9"/>
    <w:rsid w:val="0052001A"/>
    <w:rsid w:val="005200C7"/>
    <w:rsid w:val="005200CB"/>
    <w:rsid w:val="005200EB"/>
    <w:rsid w:val="0052013D"/>
    <w:rsid w:val="0052015E"/>
    <w:rsid w:val="005202D2"/>
    <w:rsid w:val="005202FC"/>
    <w:rsid w:val="005203A4"/>
    <w:rsid w:val="005204DA"/>
    <w:rsid w:val="00520524"/>
    <w:rsid w:val="005205FF"/>
    <w:rsid w:val="00520671"/>
    <w:rsid w:val="00520677"/>
    <w:rsid w:val="0052073A"/>
    <w:rsid w:val="0052075D"/>
    <w:rsid w:val="00520785"/>
    <w:rsid w:val="005207AC"/>
    <w:rsid w:val="00520961"/>
    <w:rsid w:val="005209BC"/>
    <w:rsid w:val="00520A47"/>
    <w:rsid w:val="00520BE4"/>
    <w:rsid w:val="00520C0E"/>
    <w:rsid w:val="00520C13"/>
    <w:rsid w:val="00520D85"/>
    <w:rsid w:val="00520DAC"/>
    <w:rsid w:val="00520DFA"/>
    <w:rsid w:val="00520E23"/>
    <w:rsid w:val="00520FA6"/>
    <w:rsid w:val="00520FB5"/>
    <w:rsid w:val="00521179"/>
    <w:rsid w:val="00521303"/>
    <w:rsid w:val="00521394"/>
    <w:rsid w:val="005215F4"/>
    <w:rsid w:val="005216C5"/>
    <w:rsid w:val="005216FE"/>
    <w:rsid w:val="00521755"/>
    <w:rsid w:val="00521762"/>
    <w:rsid w:val="005217B6"/>
    <w:rsid w:val="005218C2"/>
    <w:rsid w:val="00521A0B"/>
    <w:rsid w:val="00521B30"/>
    <w:rsid w:val="00521BB3"/>
    <w:rsid w:val="00521D37"/>
    <w:rsid w:val="00521DD8"/>
    <w:rsid w:val="00521DF9"/>
    <w:rsid w:val="00521EAE"/>
    <w:rsid w:val="00521F02"/>
    <w:rsid w:val="0052203A"/>
    <w:rsid w:val="00522094"/>
    <w:rsid w:val="0052209B"/>
    <w:rsid w:val="005220CD"/>
    <w:rsid w:val="00522138"/>
    <w:rsid w:val="005222CB"/>
    <w:rsid w:val="00522449"/>
    <w:rsid w:val="005224B4"/>
    <w:rsid w:val="0052266F"/>
    <w:rsid w:val="0052267F"/>
    <w:rsid w:val="00522772"/>
    <w:rsid w:val="0052278E"/>
    <w:rsid w:val="00522797"/>
    <w:rsid w:val="0052280D"/>
    <w:rsid w:val="005228CC"/>
    <w:rsid w:val="005229F0"/>
    <w:rsid w:val="00522A19"/>
    <w:rsid w:val="00522C6D"/>
    <w:rsid w:val="00522CC0"/>
    <w:rsid w:val="00522E06"/>
    <w:rsid w:val="00523044"/>
    <w:rsid w:val="0052310B"/>
    <w:rsid w:val="0052310F"/>
    <w:rsid w:val="00523175"/>
    <w:rsid w:val="00523259"/>
    <w:rsid w:val="005234D3"/>
    <w:rsid w:val="00523577"/>
    <w:rsid w:val="00523593"/>
    <w:rsid w:val="0052372D"/>
    <w:rsid w:val="00523769"/>
    <w:rsid w:val="005237B6"/>
    <w:rsid w:val="00523901"/>
    <w:rsid w:val="00523906"/>
    <w:rsid w:val="00523963"/>
    <w:rsid w:val="00523966"/>
    <w:rsid w:val="00523A6E"/>
    <w:rsid w:val="00523B82"/>
    <w:rsid w:val="00523C1E"/>
    <w:rsid w:val="00523D0A"/>
    <w:rsid w:val="00523E50"/>
    <w:rsid w:val="00523ED6"/>
    <w:rsid w:val="00523FCC"/>
    <w:rsid w:val="00524206"/>
    <w:rsid w:val="0052447D"/>
    <w:rsid w:val="005245A7"/>
    <w:rsid w:val="005245C5"/>
    <w:rsid w:val="005245C8"/>
    <w:rsid w:val="0052477B"/>
    <w:rsid w:val="005249B6"/>
    <w:rsid w:val="00524A2F"/>
    <w:rsid w:val="00524B3A"/>
    <w:rsid w:val="00524BA6"/>
    <w:rsid w:val="00524C64"/>
    <w:rsid w:val="00524DD9"/>
    <w:rsid w:val="00524E09"/>
    <w:rsid w:val="00524E66"/>
    <w:rsid w:val="00524EA4"/>
    <w:rsid w:val="00524ED9"/>
    <w:rsid w:val="00524F38"/>
    <w:rsid w:val="00524F7D"/>
    <w:rsid w:val="00524F85"/>
    <w:rsid w:val="00525227"/>
    <w:rsid w:val="00525272"/>
    <w:rsid w:val="005252DB"/>
    <w:rsid w:val="005252E2"/>
    <w:rsid w:val="005254AF"/>
    <w:rsid w:val="0052560C"/>
    <w:rsid w:val="0052560F"/>
    <w:rsid w:val="0052562E"/>
    <w:rsid w:val="00525773"/>
    <w:rsid w:val="00525798"/>
    <w:rsid w:val="00525826"/>
    <w:rsid w:val="0052587C"/>
    <w:rsid w:val="005258F3"/>
    <w:rsid w:val="00525999"/>
    <w:rsid w:val="005259F3"/>
    <w:rsid w:val="00525A2B"/>
    <w:rsid w:val="00525A79"/>
    <w:rsid w:val="00525A7B"/>
    <w:rsid w:val="00525B68"/>
    <w:rsid w:val="00525CE9"/>
    <w:rsid w:val="00525D44"/>
    <w:rsid w:val="00525D50"/>
    <w:rsid w:val="00525D59"/>
    <w:rsid w:val="00525DE8"/>
    <w:rsid w:val="00525E15"/>
    <w:rsid w:val="00525EBD"/>
    <w:rsid w:val="00525F2A"/>
    <w:rsid w:val="005260B7"/>
    <w:rsid w:val="00526112"/>
    <w:rsid w:val="0052614D"/>
    <w:rsid w:val="0052618D"/>
    <w:rsid w:val="00526265"/>
    <w:rsid w:val="00526303"/>
    <w:rsid w:val="00526305"/>
    <w:rsid w:val="005263B9"/>
    <w:rsid w:val="0052642E"/>
    <w:rsid w:val="005264F5"/>
    <w:rsid w:val="00526539"/>
    <w:rsid w:val="0052653C"/>
    <w:rsid w:val="00526638"/>
    <w:rsid w:val="0052665A"/>
    <w:rsid w:val="005266A5"/>
    <w:rsid w:val="005266FB"/>
    <w:rsid w:val="0052670B"/>
    <w:rsid w:val="005267BD"/>
    <w:rsid w:val="005267DA"/>
    <w:rsid w:val="0052680F"/>
    <w:rsid w:val="005268D7"/>
    <w:rsid w:val="005268EA"/>
    <w:rsid w:val="005268EE"/>
    <w:rsid w:val="00526941"/>
    <w:rsid w:val="00526A3B"/>
    <w:rsid w:val="00526AC3"/>
    <w:rsid w:val="00526BBD"/>
    <w:rsid w:val="00526C84"/>
    <w:rsid w:val="00526CA4"/>
    <w:rsid w:val="00526D80"/>
    <w:rsid w:val="00526E61"/>
    <w:rsid w:val="00526EF4"/>
    <w:rsid w:val="00526F5F"/>
    <w:rsid w:val="00527010"/>
    <w:rsid w:val="0052717E"/>
    <w:rsid w:val="0052721B"/>
    <w:rsid w:val="00527309"/>
    <w:rsid w:val="0052748A"/>
    <w:rsid w:val="00527760"/>
    <w:rsid w:val="0052786B"/>
    <w:rsid w:val="005279B3"/>
    <w:rsid w:val="00527A8C"/>
    <w:rsid w:val="00527ACE"/>
    <w:rsid w:val="00527BA3"/>
    <w:rsid w:val="00527C13"/>
    <w:rsid w:val="00527C2C"/>
    <w:rsid w:val="00527D33"/>
    <w:rsid w:val="00527D47"/>
    <w:rsid w:val="00527D69"/>
    <w:rsid w:val="00527DC2"/>
    <w:rsid w:val="00527FEA"/>
    <w:rsid w:val="00530016"/>
    <w:rsid w:val="00530129"/>
    <w:rsid w:val="00530195"/>
    <w:rsid w:val="00530226"/>
    <w:rsid w:val="0053024B"/>
    <w:rsid w:val="00530259"/>
    <w:rsid w:val="00530345"/>
    <w:rsid w:val="0053034A"/>
    <w:rsid w:val="0053036D"/>
    <w:rsid w:val="005304E0"/>
    <w:rsid w:val="005306E1"/>
    <w:rsid w:val="005307D8"/>
    <w:rsid w:val="005307DC"/>
    <w:rsid w:val="00530913"/>
    <w:rsid w:val="00530919"/>
    <w:rsid w:val="00530A0D"/>
    <w:rsid w:val="00530B5D"/>
    <w:rsid w:val="00530BD3"/>
    <w:rsid w:val="00530C0F"/>
    <w:rsid w:val="00530CC8"/>
    <w:rsid w:val="00530D17"/>
    <w:rsid w:val="00530D47"/>
    <w:rsid w:val="00530D78"/>
    <w:rsid w:val="00530DE0"/>
    <w:rsid w:val="00530E2F"/>
    <w:rsid w:val="00530FF8"/>
    <w:rsid w:val="0053102A"/>
    <w:rsid w:val="0053102C"/>
    <w:rsid w:val="0053103F"/>
    <w:rsid w:val="00531085"/>
    <w:rsid w:val="005310FE"/>
    <w:rsid w:val="0053112C"/>
    <w:rsid w:val="00531162"/>
    <w:rsid w:val="00531184"/>
    <w:rsid w:val="0053119E"/>
    <w:rsid w:val="00531251"/>
    <w:rsid w:val="00531283"/>
    <w:rsid w:val="005312BE"/>
    <w:rsid w:val="00531329"/>
    <w:rsid w:val="0053132B"/>
    <w:rsid w:val="005313E4"/>
    <w:rsid w:val="0053142E"/>
    <w:rsid w:val="00531486"/>
    <w:rsid w:val="005314A4"/>
    <w:rsid w:val="005314E6"/>
    <w:rsid w:val="00531526"/>
    <w:rsid w:val="0053161B"/>
    <w:rsid w:val="00531693"/>
    <w:rsid w:val="005316BE"/>
    <w:rsid w:val="00531811"/>
    <w:rsid w:val="005318E2"/>
    <w:rsid w:val="00531982"/>
    <w:rsid w:val="00531A0C"/>
    <w:rsid w:val="00531A6E"/>
    <w:rsid w:val="00531B1F"/>
    <w:rsid w:val="00531C52"/>
    <w:rsid w:val="00531CBF"/>
    <w:rsid w:val="00531D2F"/>
    <w:rsid w:val="00531D33"/>
    <w:rsid w:val="00531DA4"/>
    <w:rsid w:val="00531E87"/>
    <w:rsid w:val="00531EC6"/>
    <w:rsid w:val="00531FD1"/>
    <w:rsid w:val="00531FED"/>
    <w:rsid w:val="00532065"/>
    <w:rsid w:val="005320BC"/>
    <w:rsid w:val="0053218C"/>
    <w:rsid w:val="005321B7"/>
    <w:rsid w:val="005321C0"/>
    <w:rsid w:val="00532210"/>
    <w:rsid w:val="00532252"/>
    <w:rsid w:val="005322D7"/>
    <w:rsid w:val="0053234E"/>
    <w:rsid w:val="005323BD"/>
    <w:rsid w:val="005323E7"/>
    <w:rsid w:val="00532414"/>
    <w:rsid w:val="0053244B"/>
    <w:rsid w:val="00532454"/>
    <w:rsid w:val="005324CE"/>
    <w:rsid w:val="005324F3"/>
    <w:rsid w:val="00532530"/>
    <w:rsid w:val="0053254A"/>
    <w:rsid w:val="005326D0"/>
    <w:rsid w:val="0053283E"/>
    <w:rsid w:val="005328F0"/>
    <w:rsid w:val="005329E4"/>
    <w:rsid w:val="005329F5"/>
    <w:rsid w:val="00532B24"/>
    <w:rsid w:val="00532BCB"/>
    <w:rsid w:val="00532C93"/>
    <w:rsid w:val="00532D00"/>
    <w:rsid w:val="00532DA5"/>
    <w:rsid w:val="00532E18"/>
    <w:rsid w:val="00532EF0"/>
    <w:rsid w:val="00532F9D"/>
    <w:rsid w:val="00532FA2"/>
    <w:rsid w:val="005330BB"/>
    <w:rsid w:val="005330EB"/>
    <w:rsid w:val="005330EE"/>
    <w:rsid w:val="00533135"/>
    <w:rsid w:val="00533162"/>
    <w:rsid w:val="005331A8"/>
    <w:rsid w:val="005331D7"/>
    <w:rsid w:val="005331F8"/>
    <w:rsid w:val="00533303"/>
    <w:rsid w:val="0053335D"/>
    <w:rsid w:val="005333DB"/>
    <w:rsid w:val="00533450"/>
    <w:rsid w:val="005335E5"/>
    <w:rsid w:val="0053363B"/>
    <w:rsid w:val="0053374C"/>
    <w:rsid w:val="005338B0"/>
    <w:rsid w:val="0053394B"/>
    <w:rsid w:val="005339F0"/>
    <w:rsid w:val="00533B17"/>
    <w:rsid w:val="00533B68"/>
    <w:rsid w:val="00533B8F"/>
    <w:rsid w:val="00533C0C"/>
    <w:rsid w:val="00533C95"/>
    <w:rsid w:val="00533C9A"/>
    <w:rsid w:val="00533CB7"/>
    <w:rsid w:val="00533D2C"/>
    <w:rsid w:val="00533D6C"/>
    <w:rsid w:val="00533F4A"/>
    <w:rsid w:val="00533FFD"/>
    <w:rsid w:val="00534027"/>
    <w:rsid w:val="00534072"/>
    <w:rsid w:val="0053413D"/>
    <w:rsid w:val="005342FF"/>
    <w:rsid w:val="0053458A"/>
    <w:rsid w:val="005345A4"/>
    <w:rsid w:val="005345BD"/>
    <w:rsid w:val="005345C0"/>
    <w:rsid w:val="005345CA"/>
    <w:rsid w:val="00534666"/>
    <w:rsid w:val="0053466D"/>
    <w:rsid w:val="0053469C"/>
    <w:rsid w:val="00534794"/>
    <w:rsid w:val="00534841"/>
    <w:rsid w:val="005348E9"/>
    <w:rsid w:val="00534927"/>
    <w:rsid w:val="005349C7"/>
    <w:rsid w:val="00534BA0"/>
    <w:rsid w:val="00534CC0"/>
    <w:rsid w:val="00534DB4"/>
    <w:rsid w:val="0053500A"/>
    <w:rsid w:val="00535045"/>
    <w:rsid w:val="0053533A"/>
    <w:rsid w:val="00535375"/>
    <w:rsid w:val="005354E3"/>
    <w:rsid w:val="0053553C"/>
    <w:rsid w:val="005355BD"/>
    <w:rsid w:val="00535715"/>
    <w:rsid w:val="00535730"/>
    <w:rsid w:val="00535771"/>
    <w:rsid w:val="005357DD"/>
    <w:rsid w:val="005357F4"/>
    <w:rsid w:val="005358A8"/>
    <w:rsid w:val="005358D1"/>
    <w:rsid w:val="00535931"/>
    <w:rsid w:val="00535941"/>
    <w:rsid w:val="0053597D"/>
    <w:rsid w:val="00535A47"/>
    <w:rsid w:val="00535A8A"/>
    <w:rsid w:val="00535BD7"/>
    <w:rsid w:val="00535C14"/>
    <w:rsid w:val="00535CC8"/>
    <w:rsid w:val="00535E29"/>
    <w:rsid w:val="00535EB8"/>
    <w:rsid w:val="00535F33"/>
    <w:rsid w:val="005360FD"/>
    <w:rsid w:val="00536144"/>
    <w:rsid w:val="00536185"/>
    <w:rsid w:val="005361D4"/>
    <w:rsid w:val="0053628B"/>
    <w:rsid w:val="005362E7"/>
    <w:rsid w:val="00536414"/>
    <w:rsid w:val="00536477"/>
    <w:rsid w:val="00536559"/>
    <w:rsid w:val="005365E6"/>
    <w:rsid w:val="005366E8"/>
    <w:rsid w:val="005367C9"/>
    <w:rsid w:val="0053680E"/>
    <w:rsid w:val="00536850"/>
    <w:rsid w:val="00536923"/>
    <w:rsid w:val="00536946"/>
    <w:rsid w:val="00536A3A"/>
    <w:rsid w:val="00536A91"/>
    <w:rsid w:val="00536C1E"/>
    <w:rsid w:val="00536C3D"/>
    <w:rsid w:val="00536CD5"/>
    <w:rsid w:val="00536E34"/>
    <w:rsid w:val="00536F2B"/>
    <w:rsid w:val="005370BC"/>
    <w:rsid w:val="0053711B"/>
    <w:rsid w:val="0053719D"/>
    <w:rsid w:val="0053730F"/>
    <w:rsid w:val="00537440"/>
    <w:rsid w:val="0053760F"/>
    <w:rsid w:val="00537650"/>
    <w:rsid w:val="00537658"/>
    <w:rsid w:val="005376F1"/>
    <w:rsid w:val="00537758"/>
    <w:rsid w:val="00537AC6"/>
    <w:rsid w:val="00537C49"/>
    <w:rsid w:val="00537C7C"/>
    <w:rsid w:val="00537CAC"/>
    <w:rsid w:val="00537D3F"/>
    <w:rsid w:val="00537D5C"/>
    <w:rsid w:val="00537DF6"/>
    <w:rsid w:val="00537EC0"/>
    <w:rsid w:val="00537ECD"/>
    <w:rsid w:val="00537EDF"/>
    <w:rsid w:val="00537F00"/>
    <w:rsid w:val="00540076"/>
    <w:rsid w:val="00540203"/>
    <w:rsid w:val="0054022F"/>
    <w:rsid w:val="00540385"/>
    <w:rsid w:val="00540507"/>
    <w:rsid w:val="005406C8"/>
    <w:rsid w:val="005406CB"/>
    <w:rsid w:val="005408C7"/>
    <w:rsid w:val="00540ACD"/>
    <w:rsid w:val="00540B28"/>
    <w:rsid w:val="00540BA9"/>
    <w:rsid w:val="00540BAB"/>
    <w:rsid w:val="00540BD3"/>
    <w:rsid w:val="00540C05"/>
    <w:rsid w:val="00540C30"/>
    <w:rsid w:val="00540C6B"/>
    <w:rsid w:val="00540C8E"/>
    <w:rsid w:val="00540DB2"/>
    <w:rsid w:val="00540DFC"/>
    <w:rsid w:val="00540E0C"/>
    <w:rsid w:val="00540E18"/>
    <w:rsid w:val="00540E1D"/>
    <w:rsid w:val="00540E26"/>
    <w:rsid w:val="00540ED4"/>
    <w:rsid w:val="00540FD4"/>
    <w:rsid w:val="00540FEB"/>
    <w:rsid w:val="0054103C"/>
    <w:rsid w:val="00541055"/>
    <w:rsid w:val="005410AB"/>
    <w:rsid w:val="00541205"/>
    <w:rsid w:val="00541223"/>
    <w:rsid w:val="00541224"/>
    <w:rsid w:val="0054136C"/>
    <w:rsid w:val="0054143F"/>
    <w:rsid w:val="00541502"/>
    <w:rsid w:val="005415F8"/>
    <w:rsid w:val="00541744"/>
    <w:rsid w:val="00541773"/>
    <w:rsid w:val="00541835"/>
    <w:rsid w:val="005418E8"/>
    <w:rsid w:val="00541926"/>
    <w:rsid w:val="005419E1"/>
    <w:rsid w:val="00541AB9"/>
    <w:rsid w:val="00541BCE"/>
    <w:rsid w:val="00541BF4"/>
    <w:rsid w:val="00541C89"/>
    <w:rsid w:val="00541CB4"/>
    <w:rsid w:val="00541CF2"/>
    <w:rsid w:val="00541D84"/>
    <w:rsid w:val="00541DEC"/>
    <w:rsid w:val="00541E0D"/>
    <w:rsid w:val="00541E73"/>
    <w:rsid w:val="0054203E"/>
    <w:rsid w:val="005420D9"/>
    <w:rsid w:val="005422C6"/>
    <w:rsid w:val="005423A8"/>
    <w:rsid w:val="005423AB"/>
    <w:rsid w:val="00542584"/>
    <w:rsid w:val="005425D8"/>
    <w:rsid w:val="005425FE"/>
    <w:rsid w:val="0054263A"/>
    <w:rsid w:val="0054265B"/>
    <w:rsid w:val="005426AD"/>
    <w:rsid w:val="00542783"/>
    <w:rsid w:val="0054293A"/>
    <w:rsid w:val="005429D6"/>
    <w:rsid w:val="00542AAA"/>
    <w:rsid w:val="00542AEE"/>
    <w:rsid w:val="00542BA3"/>
    <w:rsid w:val="00542DCC"/>
    <w:rsid w:val="00542E6C"/>
    <w:rsid w:val="00543084"/>
    <w:rsid w:val="005430C7"/>
    <w:rsid w:val="0054320D"/>
    <w:rsid w:val="0054325A"/>
    <w:rsid w:val="005432F2"/>
    <w:rsid w:val="0054333B"/>
    <w:rsid w:val="0054334C"/>
    <w:rsid w:val="00543679"/>
    <w:rsid w:val="00543870"/>
    <w:rsid w:val="00543894"/>
    <w:rsid w:val="005438AE"/>
    <w:rsid w:val="00543922"/>
    <w:rsid w:val="00543971"/>
    <w:rsid w:val="0054397A"/>
    <w:rsid w:val="00543998"/>
    <w:rsid w:val="00543C5D"/>
    <w:rsid w:val="00543C68"/>
    <w:rsid w:val="00543D38"/>
    <w:rsid w:val="00543FCF"/>
    <w:rsid w:val="00544003"/>
    <w:rsid w:val="00544019"/>
    <w:rsid w:val="005443A4"/>
    <w:rsid w:val="00544452"/>
    <w:rsid w:val="00544476"/>
    <w:rsid w:val="005444A0"/>
    <w:rsid w:val="0054467A"/>
    <w:rsid w:val="005448F0"/>
    <w:rsid w:val="00544A33"/>
    <w:rsid w:val="00544ABB"/>
    <w:rsid w:val="00544B2E"/>
    <w:rsid w:val="00544B84"/>
    <w:rsid w:val="00544C51"/>
    <w:rsid w:val="00544C52"/>
    <w:rsid w:val="00544C60"/>
    <w:rsid w:val="00544C72"/>
    <w:rsid w:val="00544C99"/>
    <w:rsid w:val="00544CAE"/>
    <w:rsid w:val="00544CDF"/>
    <w:rsid w:val="00544D1C"/>
    <w:rsid w:val="00544D67"/>
    <w:rsid w:val="00544E49"/>
    <w:rsid w:val="00544E93"/>
    <w:rsid w:val="00544FD7"/>
    <w:rsid w:val="00545012"/>
    <w:rsid w:val="005450AD"/>
    <w:rsid w:val="005450EE"/>
    <w:rsid w:val="00545112"/>
    <w:rsid w:val="00545218"/>
    <w:rsid w:val="005452D9"/>
    <w:rsid w:val="005452EA"/>
    <w:rsid w:val="0054536F"/>
    <w:rsid w:val="005453CF"/>
    <w:rsid w:val="00545414"/>
    <w:rsid w:val="0054541F"/>
    <w:rsid w:val="0054545C"/>
    <w:rsid w:val="00545601"/>
    <w:rsid w:val="0054574C"/>
    <w:rsid w:val="0054594D"/>
    <w:rsid w:val="00545950"/>
    <w:rsid w:val="00545A36"/>
    <w:rsid w:val="00545AE1"/>
    <w:rsid w:val="00545E1A"/>
    <w:rsid w:val="00545EE9"/>
    <w:rsid w:val="005460B4"/>
    <w:rsid w:val="005460D7"/>
    <w:rsid w:val="005460ED"/>
    <w:rsid w:val="0054618C"/>
    <w:rsid w:val="00546196"/>
    <w:rsid w:val="00546199"/>
    <w:rsid w:val="005461BC"/>
    <w:rsid w:val="00546272"/>
    <w:rsid w:val="0054629C"/>
    <w:rsid w:val="005463A6"/>
    <w:rsid w:val="005463FA"/>
    <w:rsid w:val="00546447"/>
    <w:rsid w:val="005465D7"/>
    <w:rsid w:val="005465FD"/>
    <w:rsid w:val="0054661D"/>
    <w:rsid w:val="00546652"/>
    <w:rsid w:val="005466BE"/>
    <w:rsid w:val="00546750"/>
    <w:rsid w:val="0054680E"/>
    <w:rsid w:val="005468C3"/>
    <w:rsid w:val="00546942"/>
    <w:rsid w:val="00546952"/>
    <w:rsid w:val="0054698D"/>
    <w:rsid w:val="005469C9"/>
    <w:rsid w:val="00546A69"/>
    <w:rsid w:val="00546AD5"/>
    <w:rsid w:val="00546B61"/>
    <w:rsid w:val="00546BD3"/>
    <w:rsid w:val="00546C23"/>
    <w:rsid w:val="00546C44"/>
    <w:rsid w:val="00546C60"/>
    <w:rsid w:val="00546CDC"/>
    <w:rsid w:val="00546D3E"/>
    <w:rsid w:val="00546DA3"/>
    <w:rsid w:val="00546DCB"/>
    <w:rsid w:val="00546E35"/>
    <w:rsid w:val="00546EC6"/>
    <w:rsid w:val="00546F27"/>
    <w:rsid w:val="00547089"/>
    <w:rsid w:val="005470AC"/>
    <w:rsid w:val="0054710C"/>
    <w:rsid w:val="00547139"/>
    <w:rsid w:val="00547150"/>
    <w:rsid w:val="00547214"/>
    <w:rsid w:val="00547450"/>
    <w:rsid w:val="00547487"/>
    <w:rsid w:val="00547534"/>
    <w:rsid w:val="00547678"/>
    <w:rsid w:val="00547719"/>
    <w:rsid w:val="00547808"/>
    <w:rsid w:val="00547932"/>
    <w:rsid w:val="00547983"/>
    <w:rsid w:val="00547A80"/>
    <w:rsid w:val="00547ABB"/>
    <w:rsid w:val="00547B2D"/>
    <w:rsid w:val="00547C99"/>
    <w:rsid w:val="00547D1F"/>
    <w:rsid w:val="00547D4C"/>
    <w:rsid w:val="00547D9C"/>
    <w:rsid w:val="00547DA2"/>
    <w:rsid w:val="00547DCD"/>
    <w:rsid w:val="00547FC6"/>
    <w:rsid w:val="0055007D"/>
    <w:rsid w:val="00550093"/>
    <w:rsid w:val="0055009B"/>
    <w:rsid w:val="0055015C"/>
    <w:rsid w:val="005501CA"/>
    <w:rsid w:val="005502D3"/>
    <w:rsid w:val="00550362"/>
    <w:rsid w:val="0055072C"/>
    <w:rsid w:val="0055075B"/>
    <w:rsid w:val="0055081E"/>
    <w:rsid w:val="00550A97"/>
    <w:rsid w:val="00550AFB"/>
    <w:rsid w:val="00550B2C"/>
    <w:rsid w:val="00550BED"/>
    <w:rsid w:val="00550C93"/>
    <w:rsid w:val="00550D45"/>
    <w:rsid w:val="00550D62"/>
    <w:rsid w:val="00550DFC"/>
    <w:rsid w:val="00550E10"/>
    <w:rsid w:val="00550EE6"/>
    <w:rsid w:val="00550EF0"/>
    <w:rsid w:val="00550F5C"/>
    <w:rsid w:val="005511F7"/>
    <w:rsid w:val="005512E0"/>
    <w:rsid w:val="00551422"/>
    <w:rsid w:val="005514E8"/>
    <w:rsid w:val="005515D9"/>
    <w:rsid w:val="005516C8"/>
    <w:rsid w:val="0055176B"/>
    <w:rsid w:val="00551770"/>
    <w:rsid w:val="005517B1"/>
    <w:rsid w:val="005519E7"/>
    <w:rsid w:val="00551AE0"/>
    <w:rsid w:val="00551B3E"/>
    <w:rsid w:val="00551F87"/>
    <w:rsid w:val="0055200C"/>
    <w:rsid w:val="0055204F"/>
    <w:rsid w:val="005520DC"/>
    <w:rsid w:val="005521EC"/>
    <w:rsid w:val="00552250"/>
    <w:rsid w:val="005522CF"/>
    <w:rsid w:val="005522D6"/>
    <w:rsid w:val="0055236A"/>
    <w:rsid w:val="005523FC"/>
    <w:rsid w:val="00552410"/>
    <w:rsid w:val="005524E5"/>
    <w:rsid w:val="005524F3"/>
    <w:rsid w:val="005525F5"/>
    <w:rsid w:val="00552666"/>
    <w:rsid w:val="00552774"/>
    <w:rsid w:val="00552858"/>
    <w:rsid w:val="005528C2"/>
    <w:rsid w:val="005528C5"/>
    <w:rsid w:val="005528FF"/>
    <w:rsid w:val="0055295A"/>
    <w:rsid w:val="00552A44"/>
    <w:rsid w:val="00552A79"/>
    <w:rsid w:val="00552A93"/>
    <w:rsid w:val="00552AD5"/>
    <w:rsid w:val="00552CAB"/>
    <w:rsid w:val="00552CF8"/>
    <w:rsid w:val="00552D39"/>
    <w:rsid w:val="00552DAE"/>
    <w:rsid w:val="00552E18"/>
    <w:rsid w:val="00552EB3"/>
    <w:rsid w:val="00552EC9"/>
    <w:rsid w:val="00552F4C"/>
    <w:rsid w:val="00553045"/>
    <w:rsid w:val="0055306A"/>
    <w:rsid w:val="005531F6"/>
    <w:rsid w:val="005533B4"/>
    <w:rsid w:val="005533F2"/>
    <w:rsid w:val="005533F8"/>
    <w:rsid w:val="005534AF"/>
    <w:rsid w:val="005534FC"/>
    <w:rsid w:val="00553865"/>
    <w:rsid w:val="005538D0"/>
    <w:rsid w:val="00553A44"/>
    <w:rsid w:val="00553A9D"/>
    <w:rsid w:val="00553AF4"/>
    <w:rsid w:val="00553AFE"/>
    <w:rsid w:val="00553CDA"/>
    <w:rsid w:val="00553D53"/>
    <w:rsid w:val="00553DBE"/>
    <w:rsid w:val="00553E46"/>
    <w:rsid w:val="00553FA8"/>
    <w:rsid w:val="00553FEF"/>
    <w:rsid w:val="005541AE"/>
    <w:rsid w:val="00554257"/>
    <w:rsid w:val="00554271"/>
    <w:rsid w:val="00554378"/>
    <w:rsid w:val="0055438C"/>
    <w:rsid w:val="005543F1"/>
    <w:rsid w:val="005544CA"/>
    <w:rsid w:val="005544DE"/>
    <w:rsid w:val="005545DA"/>
    <w:rsid w:val="0055463F"/>
    <w:rsid w:val="00554A14"/>
    <w:rsid w:val="00554A93"/>
    <w:rsid w:val="00554ABF"/>
    <w:rsid w:val="00554C4D"/>
    <w:rsid w:val="00554C55"/>
    <w:rsid w:val="00554C57"/>
    <w:rsid w:val="00554D2A"/>
    <w:rsid w:val="00554D73"/>
    <w:rsid w:val="00554FA0"/>
    <w:rsid w:val="005550DB"/>
    <w:rsid w:val="00555106"/>
    <w:rsid w:val="005551AD"/>
    <w:rsid w:val="0055538F"/>
    <w:rsid w:val="005555B2"/>
    <w:rsid w:val="005555E2"/>
    <w:rsid w:val="005555F1"/>
    <w:rsid w:val="00555794"/>
    <w:rsid w:val="00555799"/>
    <w:rsid w:val="005557A2"/>
    <w:rsid w:val="005558D9"/>
    <w:rsid w:val="00555930"/>
    <w:rsid w:val="00555955"/>
    <w:rsid w:val="005559A7"/>
    <w:rsid w:val="005559F2"/>
    <w:rsid w:val="00555B72"/>
    <w:rsid w:val="00555CB3"/>
    <w:rsid w:val="00555DA7"/>
    <w:rsid w:val="00555EB2"/>
    <w:rsid w:val="00555ECD"/>
    <w:rsid w:val="00555F14"/>
    <w:rsid w:val="00555F3B"/>
    <w:rsid w:val="0055604C"/>
    <w:rsid w:val="005560E5"/>
    <w:rsid w:val="00556224"/>
    <w:rsid w:val="005563A2"/>
    <w:rsid w:val="005563AA"/>
    <w:rsid w:val="00556415"/>
    <w:rsid w:val="0055655E"/>
    <w:rsid w:val="00556739"/>
    <w:rsid w:val="00556763"/>
    <w:rsid w:val="00556780"/>
    <w:rsid w:val="005567BE"/>
    <w:rsid w:val="00556842"/>
    <w:rsid w:val="00556871"/>
    <w:rsid w:val="005568AE"/>
    <w:rsid w:val="00556912"/>
    <w:rsid w:val="005569C8"/>
    <w:rsid w:val="00556A41"/>
    <w:rsid w:val="00556A73"/>
    <w:rsid w:val="00556A7A"/>
    <w:rsid w:val="00556AB2"/>
    <w:rsid w:val="00556B79"/>
    <w:rsid w:val="00556C57"/>
    <w:rsid w:val="00556F9F"/>
    <w:rsid w:val="00556FED"/>
    <w:rsid w:val="0055716A"/>
    <w:rsid w:val="005571D0"/>
    <w:rsid w:val="005571E8"/>
    <w:rsid w:val="00557317"/>
    <w:rsid w:val="00557367"/>
    <w:rsid w:val="005574A6"/>
    <w:rsid w:val="00557582"/>
    <w:rsid w:val="0055758E"/>
    <w:rsid w:val="005577D3"/>
    <w:rsid w:val="00557A1E"/>
    <w:rsid w:val="00557C16"/>
    <w:rsid w:val="00557C18"/>
    <w:rsid w:val="00557C24"/>
    <w:rsid w:val="00557CE8"/>
    <w:rsid w:val="00557F96"/>
    <w:rsid w:val="005600FF"/>
    <w:rsid w:val="005605A1"/>
    <w:rsid w:val="005605BF"/>
    <w:rsid w:val="00560765"/>
    <w:rsid w:val="00560859"/>
    <w:rsid w:val="00560861"/>
    <w:rsid w:val="005608B0"/>
    <w:rsid w:val="005608CA"/>
    <w:rsid w:val="00560ADC"/>
    <w:rsid w:val="00560B60"/>
    <w:rsid w:val="00560D1A"/>
    <w:rsid w:val="00560E0C"/>
    <w:rsid w:val="00560EEE"/>
    <w:rsid w:val="00560F1F"/>
    <w:rsid w:val="005610D2"/>
    <w:rsid w:val="0056133A"/>
    <w:rsid w:val="00561386"/>
    <w:rsid w:val="00561590"/>
    <w:rsid w:val="005615D8"/>
    <w:rsid w:val="00561623"/>
    <w:rsid w:val="00561730"/>
    <w:rsid w:val="005617E6"/>
    <w:rsid w:val="0056189A"/>
    <w:rsid w:val="005618CB"/>
    <w:rsid w:val="00561915"/>
    <w:rsid w:val="0056192C"/>
    <w:rsid w:val="00561A75"/>
    <w:rsid w:val="00561B23"/>
    <w:rsid w:val="00561D4E"/>
    <w:rsid w:val="00561D4F"/>
    <w:rsid w:val="00561E13"/>
    <w:rsid w:val="00561E3B"/>
    <w:rsid w:val="00561EAA"/>
    <w:rsid w:val="00561ECE"/>
    <w:rsid w:val="0056208F"/>
    <w:rsid w:val="005620EF"/>
    <w:rsid w:val="00562184"/>
    <w:rsid w:val="0056223A"/>
    <w:rsid w:val="0056224B"/>
    <w:rsid w:val="0056225B"/>
    <w:rsid w:val="00562373"/>
    <w:rsid w:val="00562526"/>
    <w:rsid w:val="0056254C"/>
    <w:rsid w:val="005625B7"/>
    <w:rsid w:val="005626D8"/>
    <w:rsid w:val="005626F7"/>
    <w:rsid w:val="00562740"/>
    <w:rsid w:val="00562851"/>
    <w:rsid w:val="00562884"/>
    <w:rsid w:val="005629ED"/>
    <w:rsid w:val="005629F0"/>
    <w:rsid w:val="00562B26"/>
    <w:rsid w:val="00562CB8"/>
    <w:rsid w:val="00562CE7"/>
    <w:rsid w:val="00562CF8"/>
    <w:rsid w:val="00562DC1"/>
    <w:rsid w:val="00562FE9"/>
    <w:rsid w:val="005630BB"/>
    <w:rsid w:val="005632AE"/>
    <w:rsid w:val="005634C0"/>
    <w:rsid w:val="00563588"/>
    <w:rsid w:val="00563596"/>
    <w:rsid w:val="005635E4"/>
    <w:rsid w:val="005635ED"/>
    <w:rsid w:val="005636D8"/>
    <w:rsid w:val="0056383D"/>
    <w:rsid w:val="005638DE"/>
    <w:rsid w:val="005639BE"/>
    <w:rsid w:val="00563A0D"/>
    <w:rsid w:val="00563A9A"/>
    <w:rsid w:val="00563BB6"/>
    <w:rsid w:val="00563BC0"/>
    <w:rsid w:val="00563BD7"/>
    <w:rsid w:val="00563CDE"/>
    <w:rsid w:val="00563D14"/>
    <w:rsid w:val="00563DA6"/>
    <w:rsid w:val="00563DC2"/>
    <w:rsid w:val="00563DEB"/>
    <w:rsid w:val="005640FD"/>
    <w:rsid w:val="00564260"/>
    <w:rsid w:val="005643ED"/>
    <w:rsid w:val="0056455E"/>
    <w:rsid w:val="0056463D"/>
    <w:rsid w:val="00564671"/>
    <w:rsid w:val="0056475C"/>
    <w:rsid w:val="0056481D"/>
    <w:rsid w:val="005648B0"/>
    <w:rsid w:val="00564951"/>
    <w:rsid w:val="00564B48"/>
    <w:rsid w:val="00564B5C"/>
    <w:rsid w:val="00564B5D"/>
    <w:rsid w:val="00564B96"/>
    <w:rsid w:val="00564BC8"/>
    <w:rsid w:val="00564DC8"/>
    <w:rsid w:val="00564E90"/>
    <w:rsid w:val="00564EB7"/>
    <w:rsid w:val="00564ED1"/>
    <w:rsid w:val="00564F72"/>
    <w:rsid w:val="0056512E"/>
    <w:rsid w:val="00565175"/>
    <w:rsid w:val="0056520C"/>
    <w:rsid w:val="0056523A"/>
    <w:rsid w:val="00565454"/>
    <w:rsid w:val="005654C6"/>
    <w:rsid w:val="005654D4"/>
    <w:rsid w:val="005655B7"/>
    <w:rsid w:val="005656AA"/>
    <w:rsid w:val="005656F4"/>
    <w:rsid w:val="00565706"/>
    <w:rsid w:val="00565767"/>
    <w:rsid w:val="00565769"/>
    <w:rsid w:val="00565784"/>
    <w:rsid w:val="00565816"/>
    <w:rsid w:val="00565855"/>
    <w:rsid w:val="005658F2"/>
    <w:rsid w:val="0056590B"/>
    <w:rsid w:val="00565934"/>
    <w:rsid w:val="0056598C"/>
    <w:rsid w:val="005659ED"/>
    <w:rsid w:val="00565AB4"/>
    <w:rsid w:val="00565AD5"/>
    <w:rsid w:val="00565C60"/>
    <w:rsid w:val="00565CB6"/>
    <w:rsid w:val="00565CDD"/>
    <w:rsid w:val="00565D28"/>
    <w:rsid w:val="00565D5F"/>
    <w:rsid w:val="00565D99"/>
    <w:rsid w:val="00565E8A"/>
    <w:rsid w:val="00566325"/>
    <w:rsid w:val="00566386"/>
    <w:rsid w:val="005664C0"/>
    <w:rsid w:val="00566790"/>
    <w:rsid w:val="005667CC"/>
    <w:rsid w:val="005669B3"/>
    <w:rsid w:val="00566A67"/>
    <w:rsid w:val="00566B06"/>
    <w:rsid w:val="00566B5D"/>
    <w:rsid w:val="00566BB2"/>
    <w:rsid w:val="00566D27"/>
    <w:rsid w:val="00566D74"/>
    <w:rsid w:val="00566D87"/>
    <w:rsid w:val="00566DFC"/>
    <w:rsid w:val="00566E13"/>
    <w:rsid w:val="00566F29"/>
    <w:rsid w:val="00566F53"/>
    <w:rsid w:val="00566F76"/>
    <w:rsid w:val="00566FA4"/>
    <w:rsid w:val="005670DA"/>
    <w:rsid w:val="00567112"/>
    <w:rsid w:val="005671CB"/>
    <w:rsid w:val="00567301"/>
    <w:rsid w:val="00567404"/>
    <w:rsid w:val="00567412"/>
    <w:rsid w:val="0056762D"/>
    <w:rsid w:val="005678FE"/>
    <w:rsid w:val="00567975"/>
    <w:rsid w:val="005679AA"/>
    <w:rsid w:val="005679D4"/>
    <w:rsid w:val="005679DC"/>
    <w:rsid w:val="00567A93"/>
    <w:rsid w:val="00567DD0"/>
    <w:rsid w:val="005700B5"/>
    <w:rsid w:val="00570113"/>
    <w:rsid w:val="0057016B"/>
    <w:rsid w:val="00570239"/>
    <w:rsid w:val="0057027A"/>
    <w:rsid w:val="0057040D"/>
    <w:rsid w:val="005704DA"/>
    <w:rsid w:val="00570617"/>
    <w:rsid w:val="005706BE"/>
    <w:rsid w:val="005708A1"/>
    <w:rsid w:val="0057092B"/>
    <w:rsid w:val="00570961"/>
    <w:rsid w:val="005709B0"/>
    <w:rsid w:val="00570A34"/>
    <w:rsid w:val="00570A54"/>
    <w:rsid w:val="00570B56"/>
    <w:rsid w:val="00570CE5"/>
    <w:rsid w:val="00570E8D"/>
    <w:rsid w:val="00570F1C"/>
    <w:rsid w:val="00570F56"/>
    <w:rsid w:val="00570FFF"/>
    <w:rsid w:val="00571052"/>
    <w:rsid w:val="00571071"/>
    <w:rsid w:val="00571260"/>
    <w:rsid w:val="005712DA"/>
    <w:rsid w:val="005712F7"/>
    <w:rsid w:val="00571387"/>
    <w:rsid w:val="00571422"/>
    <w:rsid w:val="00571517"/>
    <w:rsid w:val="00571577"/>
    <w:rsid w:val="005715C5"/>
    <w:rsid w:val="005716B0"/>
    <w:rsid w:val="00571702"/>
    <w:rsid w:val="0057176C"/>
    <w:rsid w:val="005717E7"/>
    <w:rsid w:val="00571836"/>
    <w:rsid w:val="005718C6"/>
    <w:rsid w:val="00571A16"/>
    <w:rsid w:val="00571A6D"/>
    <w:rsid w:val="00571BF0"/>
    <w:rsid w:val="00571C3D"/>
    <w:rsid w:val="00571DD7"/>
    <w:rsid w:val="00571E48"/>
    <w:rsid w:val="00571EEF"/>
    <w:rsid w:val="00571F8C"/>
    <w:rsid w:val="00571F9A"/>
    <w:rsid w:val="00572069"/>
    <w:rsid w:val="00572083"/>
    <w:rsid w:val="005720EE"/>
    <w:rsid w:val="005721A9"/>
    <w:rsid w:val="005721D1"/>
    <w:rsid w:val="00572206"/>
    <w:rsid w:val="0057223B"/>
    <w:rsid w:val="0057246E"/>
    <w:rsid w:val="00572522"/>
    <w:rsid w:val="00572619"/>
    <w:rsid w:val="0057262E"/>
    <w:rsid w:val="0057270D"/>
    <w:rsid w:val="005727A8"/>
    <w:rsid w:val="005727C1"/>
    <w:rsid w:val="00572860"/>
    <w:rsid w:val="0057288C"/>
    <w:rsid w:val="005728BB"/>
    <w:rsid w:val="005728D5"/>
    <w:rsid w:val="0057292A"/>
    <w:rsid w:val="00572993"/>
    <w:rsid w:val="00572B2B"/>
    <w:rsid w:val="00572B3E"/>
    <w:rsid w:val="00572C2B"/>
    <w:rsid w:val="00572CC8"/>
    <w:rsid w:val="00572CDC"/>
    <w:rsid w:val="00572DF2"/>
    <w:rsid w:val="00572E7D"/>
    <w:rsid w:val="00572EB6"/>
    <w:rsid w:val="00572F1A"/>
    <w:rsid w:val="00572F40"/>
    <w:rsid w:val="00572F41"/>
    <w:rsid w:val="00572FD7"/>
    <w:rsid w:val="00573015"/>
    <w:rsid w:val="00573084"/>
    <w:rsid w:val="005731F0"/>
    <w:rsid w:val="0057336A"/>
    <w:rsid w:val="00573491"/>
    <w:rsid w:val="0057363A"/>
    <w:rsid w:val="00573761"/>
    <w:rsid w:val="005737A3"/>
    <w:rsid w:val="005737C0"/>
    <w:rsid w:val="00573A0F"/>
    <w:rsid w:val="00573B40"/>
    <w:rsid w:val="00573B5A"/>
    <w:rsid w:val="00573BF2"/>
    <w:rsid w:val="00573E08"/>
    <w:rsid w:val="00573E37"/>
    <w:rsid w:val="00573F17"/>
    <w:rsid w:val="00573F67"/>
    <w:rsid w:val="00573FC9"/>
    <w:rsid w:val="00574000"/>
    <w:rsid w:val="0057409E"/>
    <w:rsid w:val="00574193"/>
    <w:rsid w:val="00574300"/>
    <w:rsid w:val="00574303"/>
    <w:rsid w:val="005743C3"/>
    <w:rsid w:val="0057449F"/>
    <w:rsid w:val="005744A9"/>
    <w:rsid w:val="005745F5"/>
    <w:rsid w:val="0057463E"/>
    <w:rsid w:val="005746B8"/>
    <w:rsid w:val="00574729"/>
    <w:rsid w:val="00574825"/>
    <w:rsid w:val="00574A4F"/>
    <w:rsid w:val="00574B69"/>
    <w:rsid w:val="00574D78"/>
    <w:rsid w:val="00574D90"/>
    <w:rsid w:val="00574E5F"/>
    <w:rsid w:val="00574F59"/>
    <w:rsid w:val="00575085"/>
    <w:rsid w:val="0057514A"/>
    <w:rsid w:val="0057515A"/>
    <w:rsid w:val="005751F3"/>
    <w:rsid w:val="00575220"/>
    <w:rsid w:val="0057525B"/>
    <w:rsid w:val="005752C7"/>
    <w:rsid w:val="005752CE"/>
    <w:rsid w:val="0057537A"/>
    <w:rsid w:val="005753E0"/>
    <w:rsid w:val="005753F7"/>
    <w:rsid w:val="0057549C"/>
    <w:rsid w:val="0057558C"/>
    <w:rsid w:val="00575602"/>
    <w:rsid w:val="00575687"/>
    <w:rsid w:val="005756BC"/>
    <w:rsid w:val="0057572D"/>
    <w:rsid w:val="00575732"/>
    <w:rsid w:val="00575898"/>
    <w:rsid w:val="0057591E"/>
    <w:rsid w:val="005759C8"/>
    <w:rsid w:val="005759D2"/>
    <w:rsid w:val="00575AAB"/>
    <w:rsid w:val="00575ACC"/>
    <w:rsid w:val="00575B9F"/>
    <w:rsid w:val="00575F18"/>
    <w:rsid w:val="00575FDB"/>
    <w:rsid w:val="0057601D"/>
    <w:rsid w:val="005760AB"/>
    <w:rsid w:val="00576197"/>
    <w:rsid w:val="0057623F"/>
    <w:rsid w:val="005763B1"/>
    <w:rsid w:val="005763DF"/>
    <w:rsid w:val="005764FD"/>
    <w:rsid w:val="00576592"/>
    <w:rsid w:val="00576628"/>
    <w:rsid w:val="00576630"/>
    <w:rsid w:val="00576632"/>
    <w:rsid w:val="005767FC"/>
    <w:rsid w:val="00576895"/>
    <w:rsid w:val="00576943"/>
    <w:rsid w:val="00576A71"/>
    <w:rsid w:val="00576A85"/>
    <w:rsid w:val="00576AE0"/>
    <w:rsid w:val="00576C13"/>
    <w:rsid w:val="00576C52"/>
    <w:rsid w:val="00576C74"/>
    <w:rsid w:val="00576CB5"/>
    <w:rsid w:val="00576CD1"/>
    <w:rsid w:val="00576D35"/>
    <w:rsid w:val="00576EA9"/>
    <w:rsid w:val="00576EAC"/>
    <w:rsid w:val="00576FEC"/>
    <w:rsid w:val="0057705B"/>
    <w:rsid w:val="0057706F"/>
    <w:rsid w:val="00577072"/>
    <w:rsid w:val="0057708C"/>
    <w:rsid w:val="00577126"/>
    <w:rsid w:val="0057714F"/>
    <w:rsid w:val="00577368"/>
    <w:rsid w:val="0057740E"/>
    <w:rsid w:val="00577539"/>
    <w:rsid w:val="00577570"/>
    <w:rsid w:val="00577721"/>
    <w:rsid w:val="00577739"/>
    <w:rsid w:val="00577762"/>
    <w:rsid w:val="00577774"/>
    <w:rsid w:val="0057784D"/>
    <w:rsid w:val="005778AE"/>
    <w:rsid w:val="00577928"/>
    <w:rsid w:val="00577A78"/>
    <w:rsid w:val="00577A9D"/>
    <w:rsid w:val="00577AE8"/>
    <w:rsid w:val="00577B53"/>
    <w:rsid w:val="00577C38"/>
    <w:rsid w:val="00577C55"/>
    <w:rsid w:val="00577CF8"/>
    <w:rsid w:val="00577D81"/>
    <w:rsid w:val="00577DC8"/>
    <w:rsid w:val="00577DCF"/>
    <w:rsid w:val="00577EE0"/>
    <w:rsid w:val="00577F2C"/>
    <w:rsid w:val="00577FCC"/>
    <w:rsid w:val="005800D4"/>
    <w:rsid w:val="0058028E"/>
    <w:rsid w:val="005805B7"/>
    <w:rsid w:val="005805BC"/>
    <w:rsid w:val="00580697"/>
    <w:rsid w:val="00580699"/>
    <w:rsid w:val="005806B7"/>
    <w:rsid w:val="00580780"/>
    <w:rsid w:val="005808C6"/>
    <w:rsid w:val="0058096E"/>
    <w:rsid w:val="00580A0A"/>
    <w:rsid w:val="00580AC1"/>
    <w:rsid w:val="00580B2C"/>
    <w:rsid w:val="00580BCA"/>
    <w:rsid w:val="00580C5C"/>
    <w:rsid w:val="00580D35"/>
    <w:rsid w:val="00580D5E"/>
    <w:rsid w:val="00580D9E"/>
    <w:rsid w:val="00580DCA"/>
    <w:rsid w:val="00580DF9"/>
    <w:rsid w:val="00580EA6"/>
    <w:rsid w:val="00580F95"/>
    <w:rsid w:val="005810CE"/>
    <w:rsid w:val="0058121F"/>
    <w:rsid w:val="005812F7"/>
    <w:rsid w:val="0058139B"/>
    <w:rsid w:val="005813AE"/>
    <w:rsid w:val="005814D3"/>
    <w:rsid w:val="005815AD"/>
    <w:rsid w:val="00581617"/>
    <w:rsid w:val="005816E8"/>
    <w:rsid w:val="0058187D"/>
    <w:rsid w:val="0058189D"/>
    <w:rsid w:val="00581A05"/>
    <w:rsid w:val="00581A13"/>
    <w:rsid w:val="00581B07"/>
    <w:rsid w:val="00581C28"/>
    <w:rsid w:val="00581D69"/>
    <w:rsid w:val="00581DA1"/>
    <w:rsid w:val="00581DD0"/>
    <w:rsid w:val="00581EAB"/>
    <w:rsid w:val="00581F08"/>
    <w:rsid w:val="0058204C"/>
    <w:rsid w:val="00582126"/>
    <w:rsid w:val="00582154"/>
    <w:rsid w:val="005821A1"/>
    <w:rsid w:val="005822BF"/>
    <w:rsid w:val="005822C9"/>
    <w:rsid w:val="005822FC"/>
    <w:rsid w:val="00582331"/>
    <w:rsid w:val="005824F1"/>
    <w:rsid w:val="0058254C"/>
    <w:rsid w:val="00582590"/>
    <w:rsid w:val="005825EE"/>
    <w:rsid w:val="00582629"/>
    <w:rsid w:val="00582704"/>
    <w:rsid w:val="00582971"/>
    <w:rsid w:val="00582B77"/>
    <w:rsid w:val="00582B9E"/>
    <w:rsid w:val="00582C3C"/>
    <w:rsid w:val="00582C78"/>
    <w:rsid w:val="00582CAC"/>
    <w:rsid w:val="00582DBF"/>
    <w:rsid w:val="00582DD3"/>
    <w:rsid w:val="00583051"/>
    <w:rsid w:val="00583094"/>
    <w:rsid w:val="00583166"/>
    <w:rsid w:val="005832A6"/>
    <w:rsid w:val="005832C8"/>
    <w:rsid w:val="0058337C"/>
    <w:rsid w:val="0058344C"/>
    <w:rsid w:val="00583454"/>
    <w:rsid w:val="00583460"/>
    <w:rsid w:val="00583497"/>
    <w:rsid w:val="005834A3"/>
    <w:rsid w:val="005834F9"/>
    <w:rsid w:val="00583521"/>
    <w:rsid w:val="00583593"/>
    <w:rsid w:val="00583A00"/>
    <w:rsid w:val="00583AFE"/>
    <w:rsid w:val="00583D0B"/>
    <w:rsid w:val="00583EB3"/>
    <w:rsid w:val="0058411C"/>
    <w:rsid w:val="0058435C"/>
    <w:rsid w:val="00584518"/>
    <w:rsid w:val="005845AB"/>
    <w:rsid w:val="005845DD"/>
    <w:rsid w:val="00584613"/>
    <w:rsid w:val="005848A9"/>
    <w:rsid w:val="0058493D"/>
    <w:rsid w:val="00584B01"/>
    <w:rsid w:val="00584C15"/>
    <w:rsid w:val="00584D3F"/>
    <w:rsid w:val="00584DC5"/>
    <w:rsid w:val="00584E96"/>
    <w:rsid w:val="00584EBE"/>
    <w:rsid w:val="00584FD0"/>
    <w:rsid w:val="005851D8"/>
    <w:rsid w:val="00585307"/>
    <w:rsid w:val="00585318"/>
    <w:rsid w:val="005853B6"/>
    <w:rsid w:val="005856F5"/>
    <w:rsid w:val="005858B3"/>
    <w:rsid w:val="0058593C"/>
    <w:rsid w:val="00585B37"/>
    <w:rsid w:val="00585B5D"/>
    <w:rsid w:val="00585B69"/>
    <w:rsid w:val="00585BE3"/>
    <w:rsid w:val="00585C31"/>
    <w:rsid w:val="00585D15"/>
    <w:rsid w:val="00585E3A"/>
    <w:rsid w:val="00585EE0"/>
    <w:rsid w:val="00585EEA"/>
    <w:rsid w:val="005860AF"/>
    <w:rsid w:val="005860D2"/>
    <w:rsid w:val="0058617F"/>
    <w:rsid w:val="00586181"/>
    <w:rsid w:val="0058619C"/>
    <w:rsid w:val="005862D1"/>
    <w:rsid w:val="0058635D"/>
    <w:rsid w:val="00586555"/>
    <w:rsid w:val="00586682"/>
    <w:rsid w:val="00586906"/>
    <w:rsid w:val="00586924"/>
    <w:rsid w:val="00586AC7"/>
    <w:rsid w:val="00586AF2"/>
    <w:rsid w:val="00586CED"/>
    <w:rsid w:val="00586D52"/>
    <w:rsid w:val="00586EF3"/>
    <w:rsid w:val="00587028"/>
    <w:rsid w:val="00587104"/>
    <w:rsid w:val="0058719D"/>
    <w:rsid w:val="00587215"/>
    <w:rsid w:val="00587260"/>
    <w:rsid w:val="0058735D"/>
    <w:rsid w:val="00587401"/>
    <w:rsid w:val="00587464"/>
    <w:rsid w:val="005874C6"/>
    <w:rsid w:val="005874D4"/>
    <w:rsid w:val="00587513"/>
    <w:rsid w:val="0058769D"/>
    <w:rsid w:val="00587933"/>
    <w:rsid w:val="00587950"/>
    <w:rsid w:val="00587D24"/>
    <w:rsid w:val="00587E0A"/>
    <w:rsid w:val="00587F73"/>
    <w:rsid w:val="00587FEB"/>
    <w:rsid w:val="0059012B"/>
    <w:rsid w:val="0059012F"/>
    <w:rsid w:val="005901B4"/>
    <w:rsid w:val="00590324"/>
    <w:rsid w:val="00590362"/>
    <w:rsid w:val="005903AA"/>
    <w:rsid w:val="005903E0"/>
    <w:rsid w:val="00590402"/>
    <w:rsid w:val="0059043F"/>
    <w:rsid w:val="005904CF"/>
    <w:rsid w:val="005905E8"/>
    <w:rsid w:val="0059065E"/>
    <w:rsid w:val="00590837"/>
    <w:rsid w:val="00590915"/>
    <w:rsid w:val="00590A12"/>
    <w:rsid w:val="00590A5D"/>
    <w:rsid w:val="00590A6B"/>
    <w:rsid w:val="00590C3A"/>
    <w:rsid w:val="00590CC0"/>
    <w:rsid w:val="00590CFD"/>
    <w:rsid w:val="00590D5A"/>
    <w:rsid w:val="00590DAA"/>
    <w:rsid w:val="00590DCB"/>
    <w:rsid w:val="00590FFE"/>
    <w:rsid w:val="00591120"/>
    <w:rsid w:val="005911EF"/>
    <w:rsid w:val="0059127E"/>
    <w:rsid w:val="005912E6"/>
    <w:rsid w:val="00591394"/>
    <w:rsid w:val="00591505"/>
    <w:rsid w:val="0059155C"/>
    <w:rsid w:val="00591574"/>
    <w:rsid w:val="005916A4"/>
    <w:rsid w:val="0059183B"/>
    <w:rsid w:val="0059184E"/>
    <w:rsid w:val="00591906"/>
    <w:rsid w:val="00591978"/>
    <w:rsid w:val="005919F5"/>
    <w:rsid w:val="00591A1C"/>
    <w:rsid w:val="00591AEC"/>
    <w:rsid w:val="00591D12"/>
    <w:rsid w:val="00591E22"/>
    <w:rsid w:val="00592181"/>
    <w:rsid w:val="00592217"/>
    <w:rsid w:val="005922C0"/>
    <w:rsid w:val="00592327"/>
    <w:rsid w:val="00592332"/>
    <w:rsid w:val="005923CD"/>
    <w:rsid w:val="0059240A"/>
    <w:rsid w:val="005925DB"/>
    <w:rsid w:val="0059268F"/>
    <w:rsid w:val="005928B7"/>
    <w:rsid w:val="0059294C"/>
    <w:rsid w:val="005929B7"/>
    <w:rsid w:val="00592A02"/>
    <w:rsid w:val="00592BE7"/>
    <w:rsid w:val="00592BEC"/>
    <w:rsid w:val="00592C31"/>
    <w:rsid w:val="00592C37"/>
    <w:rsid w:val="00592CD2"/>
    <w:rsid w:val="00592D14"/>
    <w:rsid w:val="00592D53"/>
    <w:rsid w:val="00592F54"/>
    <w:rsid w:val="00592F5E"/>
    <w:rsid w:val="00592F7F"/>
    <w:rsid w:val="00593033"/>
    <w:rsid w:val="005930A4"/>
    <w:rsid w:val="0059313B"/>
    <w:rsid w:val="00593150"/>
    <w:rsid w:val="00593250"/>
    <w:rsid w:val="0059330B"/>
    <w:rsid w:val="00593537"/>
    <w:rsid w:val="0059358E"/>
    <w:rsid w:val="00593737"/>
    <w:rsid w:val="00593776"/>
    <w:rsid w:val="0059380B"/>
    <w:rsid w:val="00593852"/>
    <w:rsid w:val="00593911"/>
    <w:rsid w:val="00593921"/>
    <w:rsid w:val="0059397D"/>
    <w:rsid w:val="00593A2A"/>
    <w:rsid w:val="00593B22"/>
    <w:rsid w:val="00593B49"/>
    <w:rsid w:val="00593B70"/>
    <w:rsid w:val="00593BEE"/>
    <w:rsid w:val="005940E0"/>
    <w:rsid w:val="005941C4"/>
    <w:rsid w:val="005941ED"/>
    <w:rsid w:val="0059420F"/>
    <w:rsid w:val="0059421B"/>
    <w:rsid w:val="005942D2"/>
    <w:rsid w:val="0059442B"/>
    <w:rsid w:val="005944B1"/>
    <w:rsid w:val="00594735"/>
    <w:rsid w:val="00594759"/>
    <w:rsid w:val="0059476F"/>
    <w:rsid w:val="00594821"/>
    <w:rsid w:val="00594881"/>
    <w:rsid w:val="00594958"/>
    <w:rsid w:val="00594A5F"/>
    <w:rsid w:val="00594A75"/>
    <w:rsid w:val="00594AB9"/>
    <w:rsid w:val="00594C49"/>
    <w:rsid w:val="00594C78"/>
    <w:rsid w:val="00594CE8"/>
    <w:rsid w:val="00594CFD"/>
    <w:rsid w:val="00594E07"/>
    <w:rsid w:val="00594E0C"/>
    <w:rsid w:val="005950A3"/>
    <w:rsid w:val="005950F6"/>
    <w:rsid w:val="00595267"/>
    <w:rsid w:val="005952C5"/>
    <w:rsid w:val="0059533D"/>
    <w:rsid w:val="0059538F"/>
    <w:rsid w:val="00595509"/>
    <w:rsid w:val="00595674"/>
    <w:rsid w:val="0059579E"/>
    <w:rsid w:val="005958BC"/>
    <w:rsid w:val="005958F9"/>
    <w:rsid w:val="00595B39"/>
    <w:rsid w:val="00595C32"/>
    <w:rsid w:val="00595D4C"/>
    <w:rsid w:val="00595DE6"/>
    <w:rsid w:val="00595E3A"/>
    <w:rsid w:val="00595EBA"/>
    <w:rsid w:val="00595F10"/>
    <w:rsid w:val="00595FE0"/>
    <w:rsid w:val="0059604B"/>
    <w:rsid w:val="00596135"/>
    <w:rsid w:val="00596145"/>
    <w:rsid w:val="00596248"/>
    <w:rsid w:val="0059631B"/>
    <w:rsid w:val="00596350"/>
    <w:rsid w:val="005964DD"/>
    <w:rsid w:val="0059682B"/>
    <w:rsid w:val="005969DB"/>
    <w:rsid w:val="00596B26"/>
    <w:rsid w:val="00596BA6"/>
    <w:rsid w:val="00596C12"/>
    <w:rsid w:val="00596C21"/>
    <w:rsid w:val="00596C4E"/>
    <w:rsid w:val="00596D9B"/>
    <w:rsid w:val="00596EC7"/>
    <w:rsid w:val="005970DA"/>
    <w:rsid w:val="0059713C"/>
    <w:rsid w:val="005972AB"/>
    <w:rsid w:val="00597368"/>
    <w:rsid w:val="0059753B"/>
    <w:rsid w:val="005975AA"/>
    <w:rsid w:val="0059762C"/>
    <w:rsid w:val="0059769C"/>
    <w:rsid w:val="005976DE"/>
    <w:rsid w:val="0059773D"/>
    <w:rsid w:val="005977A3"/>
    <w:rsid w:val="0059789A"/>
    <w:rsid w:val="00597904"/>
    <w:rsid w:val="00597988"/>
    <w:rsid w:val="00597990"/>
    <w:rsid w:val="00597A28"/>
    <w:rsid w:val="00597BA1"/>
    <w:rsid w:val="00597BF2"/>
    <w:rsid w:val="00597D22"/>
    <w:rsid w:val="00597D27"/>
    <w:rsid w:val="00597D84"/>
    <w:rsid w:val="00597E15"/>
    <w:rsid w:val="00597E46"/>
    <w:rsid w:val="00597E95"/>
    <w:rsid w:val="005A00A3"/>
    <w:rsid w:val="005A00CC"/>
    <w:rsid w:val="005A0166"/>
    <w:rsid w:val="005A018A"/>
    <w:rsid w:val="005A0217"/>
    <w:rsid w:val="005A0231"/>
    <w:rsid w:val="005A0242"/>
    <w:rsid w:val="005A02D6"/>
    <w:rsid w:val="005A02DC"/>
    <w:rsid w:val="005A0442"/>
    <w:rsid w:val="005A0469"/>
    <w:rsid w:val="005A04EE"/>
    <w:rsid w:val="005A0624"/>
    <w:rsid w:val="005A06B6"/>
    <w:rsid w:val="005A0749"/>
    <w:rsid w:val="005A086A"/>
    <w:rsid w:val="005A099E"/>
    <w:rsid w:val="005A09BF"/>
    <w:rsid w:val="005A0A63"/>
    <w:rsid w:val="005A0B25"/>
    <w:rsid w:val="005A0C4F"/>
    <w:rsid w:val="005A0C83"/>
    <w:rsid w:val="005A0DF2"/>
    <w:rsid w:val="005A0EF6"/>
    <w:rsid w:val="005A0F26"/>
    <w:rsid w:val="005A0F58"/>
    <w:rsid w:val="005A0F66"/>
    <w:rsid w:val="005A0FDC"/>
    <w:rsid w:val="005A1020"/>
    <w:rsid w:val="005A10E4"/>
    <w:rsid w:val="005A1146"/>
    <w:rsid w:val="005A11EC"/>
    <w:rsid w:val="005A13D2"/>
    <w:rsid w:val="005A1517"/>
    <w:rsid w:val="005A189F"/>
    <w:rsid w:val="005A18D4"/>
    <w:rsid w:val="005A1A16"/>
    <w:rsid w:val="005A1AAD"/>
    <w:rsid w:val="005A1AE1"/>
    <w:rsid w:val="005A1B6E"/>
    <w:rsid w:val="005A1B6F"/>
    <w:rsid w:val="005A1B7C"/>
    <w:rsid w:val="005A1B8E"/>
    <w:rsid w:val="005A1C9C"/>
    <w:rsid w:val="005A1E11"/>
    <w:rsid w:val="005A20D5"/>
    <w:rsid w:val="005A20F6"/>
    <w:rsid w:val="005A2249"/>
    <w:rsid w:val="005A229A"/>
    <w:rsid w:val="005A22C2"/>
    <w:rsid w:val="005A237D"/>
    <w:rsid w:val="005A2446"/>
    <w:rsid w:val="005A2461"/>
    <w:rsid w:val="005A248F"/>
    <w:rsid w:val="005A2501"/>
    <w:rsid w:val="005A263A"/>
    <w:rsid w:val="005A2735"/>
    <w:rsid w:val="005A2819"/>
    <w:rsid w:val="005A2878"/>
    <w:rsid w:val="005A2954"/>
    <w:rsid w:val="005A299E"/>
    <w:rsid w:val="005A2A04"/>
    <w:rsid w:val="005A2AEE"/>
    <w:rsid w:val="005A2CF3"/>
    <w:rsid w:val="005A2D19"/>
    <w:rsid w:val="005A2E81"/>
    <w:rsid w:val="005A2F01"/>
    <w:rsid w:val="005A306A"/>
    <w:rsid w:val="005A30BF"/>
    <w:rsid w:val="005A30C4"/>
    <w:rsid w:val="005A30E6"/>
    <w:rsid w:val="005A321C"/>
    <w:rsid w:val="005A336E"/>
    <w:rsid w:val="005A3422"/>
    <w:rsid w:val="005A35B2"/>
    <w:rsid w:val="005A3634"/>
    <w:rsid w:val="005A371E"/>
    <w:rsid w:val="005A3915"/>
    <w:rsid w:val="005A39E8"/>
    <w:rsid w:val="005A3A12"/>
    <w:rsid w:val="005A3AB2"/>
    <w:rsid w:val="005A3CAB"/>
    <w:rsid w:val="005A3D31"/>
    <w:rsid w:val="005A3E4B"/>
    <w:rsid w:val="005A3FCA"/>
    <w:rsid w:val="005A401F"/>
    <w:rsid w:val="005A404F"/>
    <w:rsid w:val="005A4146"/>
    <w:rsid w:val="005A4149"/>
    <w:rsid w:val="005A43C1"/>
    <w:rsid w:val="005A4520"/>
    <w:rsid w:val="005A45E1"/>
    <w:rsid w:val="005A45EF"/>
    <w:rsid w:val="005A461D"/>
    <w:rsid w:val="005A4712"/>
    <w:rsid w:val="005A4800"/>
    <w:rsid w:val="005A4842"/>
    <w:rsid w:val="005A4858"/>
    <w:rsid w:val="005A486D"/>
    <w:rsid w:val="005A48E3"/>
    <w:rsid w:val="005A491C"/>
    <w:rsid w:val="005A49F1"/>
    <w:rsid w:val="005A4A81"/>
    <w:rsid w:val="005A4AAF"/>
    <w:rsid w:val="005A4B0D"/>
    <w:rsid w:val="005A4B3C"/>
    <w:rsid w:val="005A4B62"/>
    <w:rsid w:val="005A4CD0"/>
    <w:rsid w:val="005A4E41"/>
    <w:rsid w:val="005A4E5C"/>
    <w:rsid w:val="005A4EB2"/>
    <w:rsid w:val="005A5007"/>
    <w:rsid w:val="005A5053"/>
    <w:rsid w:val="005A5326"/>
    <w:rsid w:val="005A542B"/>
    <w:rsid w:val="005A54C6"/>
    <w:rsid w:val="005A5525"/>
    <w:rsid w:val="005A5621"/>
    <w:rsid w:val="005A572E"/>
    <w:rsid w:val="005A5737"/>
    <w:rsid w:val="005A5785"/>
    <w:rsid w:val="005A57E2"/>
    <w:rsid w:val="005A5C26"/>
    <w:rsid w:val="005A5C43"/>
    <w:rsid w:val="005A5CA7"/>
    <w:rsid w:val="005A5CC5"/>
    <w:rsid w:val="005A5CDB"/>
    <w:rsid w:val="005A5E06"/>
    <w:rsid w:val="005A5E98"/>
    <w:rsid w:val="005A5F48"/>
    <w:rsid w:val="005A5FC8"/>
    <w:rsid w:val="005A5FEF"/>
    <w:rsid w:val="005A6279"/>
    <w:rsid w:val="005A6285"/>
    <w:rsid w:val="005A62FF"/>
    <w:rsid w:val="005A6390"/>
    <w:rsid w:val="005A63D3"/>
    <w:rsid w:val="005A63FA"/>
    <w:rsid w:val="005A652C"/>
    <w:rsid w:val="005A6568"/>
    <w:rsid w:val="005A65D1"/>
    <w:rsid w:val="005A66F3"/>
    <w:rsid w:val="005A6716"/>
    <w:rsid w:val="005A675F"/>
    <w:rsid w:val="005A67DE"/>
    <w:rsid w:val="005A67FF"/>
    <w:rsid w:val="005A6891"/>
    <w:rsid w:val="005A68A4"/>
    <w:rsid w:val="005A69AE"/>
    <w:rsid w:val="005A69C5"/>
    <w:rsid w:val="005A6A1E"/>
    <w:rsid w:val="005A6ADE"/>
    <w:rsid w:val="005A6AEC"/>
    <w:rsid w:val="005A6D51"/>
    <w:rsid w:val="005A6F23"/>
    <w:rsid w:val="005A7068"/>
    <w:rsid w:val="005A731A"/>
    <w:rsid w:val="005A73B3"/>
    <w:rsid w:val="005A740D"/>
    <w:rsid w:val="005A7538"/>
    <w:rsid w:val="005A759F"/>
    <w:rsid w:val="005A75BF"/>
    <w:rsid w:val="005A76B1"/>
    <w:rsid w:val="005A76D0"/>
    <w:rsid w:val="005A76F1"/>
    <w:rsid w:val="005A775C"/>
    <w:rsid w:val="005A7831"/>
    <w:rsid w:val="005A7845"/>
    <w:rsid w:val="005A78FB"/>
    <w:rsid w:val="005A7A97"/>
    <w:rsid w:val="005A7CD1"/>
    <w:rsid w:val="005A7D74"/>
    <w:rsid w:val="005A7E48"/>
    <w:rsid w:val="005A7E78"/>
    <w:rsid w:val="005A7E98"/>
    <w:rsid w:val="005A7F7F"/>
    <w:rsid w:val="005B0107"/>
    <w:rsid w:val="005B0125"/>
    <w:rsid w:val="005B0148"/>
    <w:rsid w:val="005B0164"/>
    <w:rsid w:val="005B025D"/>
    <w:rsid w:val="005B02A7"/>
    <w:rsid w:val="005B0389"/>
    <w:rsid w:val="005B040E"/>
    <w:rsid w:val="005B05B2"/>
    <w:rsid w:val="005B08C5"/>
    <w:rsid w:val="005B09C4"/>
    <w:rsid w:val="005B0A42"/>
    <w:rsid w:val="005B0A50"/>
    <w:rsid w:val="005B0AA3"/>
    <w:rsid w:val="005B0BDF"/>
    <w:rsid w:val="005B0CD4"/>
    <w:rsid w:val="005B0D9D"/>
    <w:rsid w:val="005B0DB8"/>
    <w:rsid w:val="005B0E03"/>
    <w:rsid w:val="005B0F30"/>
    <w:rsid w:val="005B10F0"/>
    <w:rsid w:val="005B1154"/>
    <w:rsid w:val="005B12F0"/>
    <w:rsid w:val="005B1393"/>
    <w:rsid w:val="005B153C"/>
    <w:rsid w:val="005B1561"/>
    <w:rsid w:val="005B159A"/>
    <w:rsid w:val="005B15DA"/>
    <w:rsid w:val="005B1684"/>
    <w:rsid w:val="005B1776"/>
    <w:rsid w:val="005B178D"/>
    <w:rsid w:val="005B1793"/>
    <w:rsid w:val="005B192C"/>
    <w:rsid w:val="005B19B4"/>
    <w:rsid w:val="005B1A9A"/>
    <w:rsid w:val="005B1ABA"/>
    <w:rsid w:val="005B1AC5"/>
    <w:rsid w:val="005B1ACE"/>
    <w:rsid w:val="005B1B0F"/>
    <w:rsid w:val="005B1B2E"/>
    <w:rsid w:val="005B1B64"/>
    <w:rsid w:val="005B1C0E"/>
    <w:rsid w:val="005B1C4B"/>
    <w:rsid w:val="005B1CAE"/>
    <w:rsid w:val="005B1CC9"/>
    <w:rsid w:val="005B1D0F"/>
    <w:rsid w:val="005B1D32"/>
    <w:rsid w:val="005B1E70"/>
    <w:rsid w:val="005B210E"/>
    <w:rsid w:val="005B221D"/>
    <w:rsid w:val="005B221F"/>
    <w:rsid w:val="005B232C"/>
    <w:rsid w:val="005B23E3"/>
    <w:rsid w:val="005B23F0"/>
    <w:rsid w:val="005B2408"/>
    <w:rsid w:val="005B242E"/>
    <w:rsid w:val="005B254C"/>
    <w:rsid w:val="005B25A0"/>
    <w:rsid w:val="005B25AB"/>
    <w:rsid w:val="005B25CF"/>
    <w:rsid w:val="005B27F4"/>
    <w:rsid w:val="005B2872"/>
    <w:rsid w:val="005B28CB"/>
    <w:rsid w:val="005B28D9"/>
    <w:rsid w:val="005B28F4"/>
    <w:rsid w:val="005B2A05"/>
    <w:rsid w:val="005B2A20"/>
    <w:rsid w:val="005B2B10"/>
    <w:rsid w:val="005B2B33"/>
    <w:rsid w:val="005B2B74"/>
    <w:rsid w:val="005B2B9A"/>
    <w:rsid w:val="005B2CDF"/>
    <w:rsid w:val="005B2CEB"/>
    <w:rsid w:val="005B2DCF"/>
    <w:rsid w:val="005B2E02"/>
    <w:rsid w:val="005B2F6E"/>
    <w:rsid w:val="005B2F9E"/>
    <w:rsid w:val="005B305D"/>
    <w:rsid w:val="005B30CC"/>
    <w:rsid w:val="005B316C"/>
    <w:rsid w:val="005B31C1"/>
    <w:rsid w:val="005B31F3"/>
    <w:rsid w:val="005B32EF"/>
    <w:rsid w:val="005B3309"/>
    <w:rsid w:val="005B3346"/>
    <w:rsid w:val="005B335D"/>
    <w:rsid w:val="005B34BD"/>
    <w:rsid w:val="005B36A8"/>
    <w:rsid w:val="005B378E"/>
    <w:rsid w:val="005B38D5"/>
    <w:rsid w:val="005B3997"/>
    <w:rsid w:val="005B39C1"/>
    <w:rsid w:val="005B3A1D"/>
    <w:rsid w:val="005B3A25"/>
    <w:rsid w:val="005B3B18"/>
    <w:rsid w:val="005B3B3A"/>
    <w:rsid w:val="005B3C94"/>
    <w:rsid w:val="005B3D98"/>
    <w:rsid w:val="005B3DA5"/>
    <w:rsid w:val="005B3F24"/>
    <w:rsid w:val="005B3F78"/>
    <w:rsid w:val="005B3FFD"/>
    <w:rsid w:val="005B413A"/>
    <w:rsid w:val="005B417E"/>
    <w:rsid w:val="005B42CC"/>
    <w:rsid w:val="005B4407"/>
    <w:rsid w:val="005B4433"/>
    <w:rsid w:val="005B45AA"/>
    <w:rsid w:val="005B465D"/>
    <w:rsid w:val="005B4938"/>
    <w:rsid w:val="005B4988"/>
    <w:rsid w:val="005B4BFF"/>
    <w:rsid w:val="005B4D51"/>
    <w:rsid w:val="005B4D7D"/>
    <w:rsid w:val="005B4D93"/>
    <w:rsid w:val="005B4E17"/>
    <w:rsid w:val="005B4F2D"/>
    <w:rsid w:val="005B4F6D"/>
    <w:rsid w:val="005B4FBF"/>
    <w:rsid w:val="005B51C8"/>
    <w:rsid w:val="005B51D3"/>
    <w:rsid w:val="005B523C"/>
    <w:rsid w:val="005B526F"/>
    <w:rsid w:val="005B52D9"/>
    <w:rsid w:val="005B5391"/>
    <w:rsid w:val="005B54BF"/>
    <w:rsid w:val="005B54F9"/>
    <w:rsid w:val="005B554C"/>
    <w:rsid w:val="005B55EF"/>
    <w:rsid w:val="005B566C"/>
    <w:rsid w:val="005B5709"/>
    <w:rsid w:val="005B577D"/>
    <w:rsid w:val="005B589B"/>
    <w:rsid w:val="005B5E2A"/>
    <w:rsid w:val="005B5E4C"/>
    <w:rsid w:val="005B6025"/>
    <w:rsid w:val="005B6028"/>
    <w:rsid w:val="005B6145"/>
    <w:rsid w:val="005B6266"/>
    <w:rsid w:val="005B637D"/>
    <w:rsid w:val="005B639B"/>
    <w:rsid w:val="005B63CD"/>
    <w:rsid w:val="005B63E6"/>
    <w:rsid w:val="005B6402"/>
    <w:rsid w:val="005B64C0"/>
    <w:rsid w:val="005B65CE"/>
    <w:rsid w:val="005B65E9"/>
    <w:rsid w:val="005B6995"/>
    <w:rsid w:val="005B69B3"/>
    <w:rsid w:val="005B6AD5"/>
    <w:rsid w:val="005B6BF8"/>
    <w:rsid w:val="005B6E2D"/>
    <w:rsid w:val="005B6ED3"/>
    <w:rsid w:val="005B6EFF"/>
    <w:rsid w:val="005B6F44"/>
    <w:rsid w:val="005B6FBF"/>
    <w:rsid w:val="005B7016"/>
    <w:rsid w:val="005B7047"/>
    <w:rsid w:val="005B7095"/>
    <w:rsid w:val="005B7291"/>
    <w:rsid w:val="005B72A1"/>
    <w:rsid w:val="005B747D"/>
    <w:rsid w:val="005B748C"/>
    <w:rsid w:val="005B75B6"/>
    <w:rsid w:val="005B766A"/>
    <w:rsid w:val="005B7699"/>
    <w:rsid w:val="005B76B0"/>
    <w:rsid w:val="005B76C1"/>
    <w:rsid w:val="005B7733"/>
    <w:rsid w:val="005B777E"/>
    <w:rsid w:val="005B779D"/>
    <w:rsid w:val="005B77B9"/>
    <w:rsid w:val="005B7896"/>
    <w:rsid w:val="005B789D"/>
    <w:rsid w:val="005B78D9"/>
    <w:rsid w:val="005B7A12"/>
    <w:rsid w:val="005B7B63"/>
    <w:rsid w:val="005B7C84"/>
    <w:rsid w:val="005B7D91"/>
    <w:rsid w:val="005B7EF8"/>
    <w:rsid w:val="005C002B"/>
    <w:rsid w:val="005C00BA"/>
    <w:rsid w:val="005C00E1"/>
    <w:rsid w:val="005C00FA"/>
    <w:rsid w:val="005C0134"/>
    <w:rsid w:val="005C0196"/>
    <w:rsid w:val="005C01E7"/>
    <w:rsid w:val="005C025E"/>
    <w:rsid w:val="005C02E1"/>
    <w:rsid w:val="005C031D"/>
    <w:rsid w:val="005C0470"/>
    <w:rsid w:val="005C0479"/>
    <w:rsid w:val="005C04C4"/>
    <w:rsid w:val="005C0644"/>
    <w:rsid w:val="005C0696"/>
    <w:rsid w:val="005C0738"/>
    <w:rsid w:val="005C0742"/>
    <w:rsid w:val="005C092A"/>
    <w:rsid w:val="005C09D4"/>
    <w:rsid w:val="005C0B05"/>
    <w:rsid w:val="005C0B1D"/>
    <w:rsid w:val="005C0B47"/>
    <w:rsid w:val="005C0B61"/>
    <w:rsid w:val="005C0B82"/>
    <w:rsid w:val="005C0C9A"/>
    <w:rsid w:val="005C0D35"/>
    <w:rsid w:val="005C0E09"/>
    <w:rsid w:val="005C0E4F"/>
    <w:rsid w:val="005C0FA8"/>
    <w:rsid w:val="005C1040"/>
    <w:rsid w:val="005C137D"/>
    <w:rsid w:val="005C1474"/>
    <w:rsid w:val="005C1563"/>
    <w:rsid w:val="005C15BC"/>
    <w:rsid w:val="005C1718"/>
    <w:rsid w:val="005C1784"/>
    <w:rsid w:val="005C17ED"/>
    <w:rsid w:val="005C1802"/>
    <w:rsid w:val="005C184F"/>
    <w:rsid w:val="005C1B0A"/>
    <w:rsid w:val="005C1BF7"/>
    <w:rsid w:val="005C1CDE"/>
    <w:rsid w:val="005C1D60"/>
    <w:rsid w:val="005C1D77"/>
    <w:rsid w:val="005C1DC4"/>
    <w:rsid w:val="005C1E0A"/>
    <w:rsid w:val="005C205A"/>
    <w:rsid w:val="005C2071"/>
    <w:rsid w:val="005C2082"/>
    <w:rsid w:val="005C2121"/>
    <w:rsid w:val="005C21CF"/>
    <w:rsid w:val="005C21DE"/>
    <w:rsid w:val="005C22E2"/>
    <w:rsid w:val="005C2400"/>
    <w:rsid w:val="005C24E3"/>
    <w:rsid w:val="005C25E8"/>
    <w:rsid w:val="005C263E"/>
    <w:rsid w:val="005C2867"/>
    <w:rsid w:val="005C299F"/>
    <w:rsid w:val="005C29AB"/>
    <w:rsid w:val="005C29AF"/>
    <w:rsid w:val="005C29C8"/>
    <w:rsid w:val="005C2B25"/>
    <w:rsid w:val="005C2B3B"/>
    <w:rsid w:val="005C2BC9"/>
    <w:rsid w:val="005C2C4D"/>
    <w:rsid w:val="005C2EA7"/>
    <w:rsid w:val="005C2F34"/>
    <w:rsid w:val="005C3159"/>
    <w:rsid w:val="005C31B5"/>
    <w:rsid w:val="005C329A"/>
    <w:rsid w:val="005C32BD"/>
    <w:rsid w:val="005C32C2"/>
    <w:rsid w:val="005C3320"/>
    <w:rsid w:val="005C3381"/>
    <w:rsid w:val="005C3466"/>
    <w:rsid w:val="005C347F"/>
    <w:rsid w:val="005C3601"/>
    <w:rsid w:val="005C3615"/>
    <w:rsid w:val="005C3765"/>
    <w:rsid w:val="005C3767"/>
    <w:rsid w:val="005C37B5"/>
    <w:rsid w:val="005C37E8"/>
    <w:rsid w:val="005C38E5"/>
    <w:rsid w:val="005C38FB"/>
    <w:rsid w:val="005C390C"/>
    <w:rsid w:val="005C3A54"/>
    <w:rsid w:val="005C3B36"/>
    <w:rsid w:val="005C3C0B"/>
    <w:rsid w:val="005C3C42"/>
    <w:rsid w:val="005C3DE9"/>
    <w:rsid w:val="005C3E1A"/>
    <w:rsid w:val="005C3F3D"/>
    <w:rsid w:val="005C415D"/>
    <w:rsid w:val="005C433A"/>
    <w:rsid w:val="005C433E"/>
    <w:rsid w:val="005C43F1"/>
    <w:rsid w:val="005C44D9"/>
    <w:rsid w:val="005C451D"/>
    <w:rsid w:val="005C457B"/>
    <w:rsid w:val="005C4614"/>
    <w:rsid w:val="005C471F"/>
    <w:rsid w:val="005C4822"/>
    <w:rsid w:val="005C4AA5"/>
    <w:rsid w:val="005C4DAE"/>
    <w:rsid w:val="005C4FF1"/>
    <w:rsid w:val="005C5069"/>
    <w:rsid w:val="005C51A2"/>
    <w:rsid w:val="005C52C9"/>
    <w:rsid w:val="005C54F3"/>
    <w:rsid w:val="005C5501"/>
    <w:rsid w:val="005C560F"/>
    <w:rsid w:val="005C5649"/>
    <w:rsid w:val="005C56BF"/>
    <w:rsid w:val="005C56E2"/>
    <w:rsid w:val="005C5732"/>
    <w:rsid w:val="005C57AA"/>
    <w:rsid w:val="005C5892"/>
    <w:rsid w:val="005C58CC"/>
    <w:rsid w:val="005C58E1"/>
    <w:rsid w:val="005C5909"/>
    <w:rsid w:val="005C59B1"/>
    <w:rsid w:val="005C5A49"/>
    <w:rsid w:val="005C5AD6"/>
    <w:rsid w:val="005C5B41"/>
    <w:rsid w:val="005C5C9B"/>
    <w:rsid w:val="005C5CD8"/>
    <w:rsid w:val="005C5DE4"/>
    <w:rsid w:val="005C5EF8"/>
    <w:rsid w:val="005C5F17"/>
    <w:rsid w:val="005C5F85"/>
    <w:rsid w:val="005C5F95"/>
    <w:rsid w:val="005C5FA5"/>
    <w:rsid w:val="005C5FE1"/>
    <w:rsid w:val="005C615C"/>
    <w:rsid w:val="005C6239"/>
    <w:rsid w:val="005C6299"/>
    <w:rsid w:val="005C645B"/>
    <w:rsid w:val="005C6499"/>
    <w:rsid w:val="005C64A8"/>
    <w:rsid w:val="005C6596"/>
    <w:rsid w:val="005C66C5"/>
    <w:rsid w:val="005C67B1"/>
    <w:rsid w:val="005C67E5"/>
    <w:rsid w:val="005C6853"/>
    <w:rsid w:val="005C692E"/>
    <w:rsid w:val="005C6A30"/>
    <w:rsid w:val="005C6AF7"/>
    <w:rsid w:val="005C6D95"/>
    <w:rsid w:val="005C6D98"/>
    <w:rsid w:val="005C6E53"/>
    <w:rsid w:val="005C6ED6"/>
    <w:rsid w:val="005C6FCD"/>
    <w:rsid w:val="005C702C"/>
    <w:rsid w:val="005C708D"/>
    <w:rsid w:val="005C716E"/>
    <w:rsid w:val="005C7219"/>
    <w:rsid w:val="005C725C"/>
    <w:rsid w:val="005C72A7"/>
    <w:rsid w:val="005C730F"/>
    <w:rsid w:val="005C7346"/>
    <w:rsid w:val="005C73AE"/>
    <w:rsid w:val="005C7422"/>
    <w:rsid w:val="005C75D5"/>
    <w:rsid w:val="005C75E5"/>
    <w:rsid w:val="005C76A4"/>
    <w:rsid w:val="005C78D1"/>
    <w:rsid w:val="005C7A08"/>
    <w:rsid w:val="005C7CDB"/>
    <w:rsid w:val="005C7D9D"/>
    <w:rsid w:val="005C7DDB"/>
    <w:rsid w:val="005C7E4E"/>
    <w:rsid w:val="005C7F86"/>
    <w:rsid w:val="005C7F8A"/>
    <w:rsid w:val="005D003E"/>
    <w:rsid w:val="005D0100"/>
    <w:rsid w:val="005D037D"/>
    <w:rsid w:val="005D03A3"/>
    <w:rsid w:val="005D058C"/>
    <w:rsid w:val="005D069A"/>
    <w:rsid w:val="005D06D8"/>
    <w:rsid w:val="005D0897"/>
    <w:rsid w:val="005D08FA"/>
    <w:rsid w:val="005D0916"/>
    <w:rsid w:val="005D0B10"/>
    <w:rsid w:val="005D0BBF"/>
    <w:rsid w:val="005D0D75"/>
    <w:rsid w:val="005D0D99"/>
    <w:rsid w:val="005D0F07"/>
    <w:rsid w:val="005D0FC3"/>
    <w:rsid w:val="005D10B2"/>
    <w:rsid w:val="005D10F3"/>
    <w:rsid w:val="005D11B8"/>
    <w:rsid w:val="005D1220"/>
    <w:rsid w:val="005D125B"/>
    <w:rsid w:val="005D1263"/>
    <w:rsid w:val="005D13F8"/>
    <w:rsid w:val="005D1465"/>
    <w:rsid w:val="005D1569"/>
    <w:rsid w:val="005D1608"/>
    <w:rsid w:val="005D1655"/>
    <w:rsid w:val="005D1678"/>
    <w:rsid w:val="005D16F4"/>
    <w:rsid w:val="005D191A"/>
    <w:rsid w:val="005D1A2B"/>
    <w:rsid w:val="005D1C36"/>
    <w:rsid w:val="005D1C52"/>
    <w:rsid w:val="005D1C8C"/>
    <w:rsid w:val="005D1CA0"/>
    <w:rsid w:val="005D1CAF"/>
    <w:rsid w:val="005D1D02"/>
    <w:rsid w:val="005D1D06"/>
    <w:rsid w:val="005D1D52"/>
    <w:rsid w:val="005D1E0C"/>
    <w:rsid w:val="005D1E1D"/>
    <w:rsid w:val="005D1F45"/>
    <w:rsid w:val="005D1FE2"/>
    <w:rsid w:val="005D2026"/>
    <w:rsid w:val="005D2072"/>
    <w:rsid w:val="005D2081"/>
    <w:rsid w:val="005D213D"/>
    <w:rsid w:val="005D2150"/>
    <w:rsid w:val="005D22E6"/>
    <w:rsid w:val="005D2372"/>
    <w:rsid w:val="005D2411"/>
    <w:rsid w:val="005D2501"/>
    <w:rsid w:val="005D25D1"/>
    <w:rsid w:val="005D26A5"/>
    <w:rsid w:val="005D273B"/>
    <w:rsid w:val="005D273D"/>
    <w:rsid w:val="005D288E"/>
    <w:rsid w:val="005D295B"/>
    <w:rsid w:val="005D29BC"/>
    <w:rsid w:val="005D2A31"/>
    <w:rsid w:val="005D2A5D"/>
    <w:rsid w:val="005D2C83"/>
    <w:rsid w:val="005D2FC0"/>
    <w:rsid w:val="005D300D"/>
    <w:rsid w:val="005D311E"/>
    <w:rsid w:val="005D3150"/>
    <w:rsid w:val="005D31A6"/>
    <w:rsid w:val="005D32C7"/>
    <w:rsid w:val="005D336F"/>
    <w:rsid w:val="005D34B3"/>
    <w:rsid w:val="005D34E9"/>
    <w:rsid w:val="005D359F"/>
    <w:rsid w:val="005D360F"/>
    <w:rsid w:val="005D36C2"/>
    <w:rsid w:val="005D3782"/>
    <w:rsid w:val="005D37CA"/>
    <w:rsid w:val="005D3806"/>
    <w:rsid w:val="005D3857"/>
    <w:rsid w:val="005D388F"/>
    <w:rsid w:val="005D38FE"/>
    <w:rsid w:val="005D39E6"/>
    <w:rsid w:val="005D3C25"/>
    <w:rsid w:val="005D3D17"/>
    <w:rsid w:val="005D3D4E"/>
    <w:rsid w:val="005D3D58"/>
    <w:rsid w:val="005D3DDE"/>
    <w:rsid w:val="005D3FB1"/>
    <w:rsid w:val="005D4213"/>
    <w:rsid w:val="005D4242"/>
    <w:rsid w:val="005D42B2"/>
    <w:rsid w:val="005D43C7"/>
    <w:rsid w:val="005D4444"/>
    <w:rsid w:val="005D4480"/>
    <w:rsid w:val="005D45CF"/>
    <w:rsid w:val="005D460F"/>
    <w:rsid w:val="005D46C1"/>
    <w:rsid w:val="005D488A"/>
    <w:rsid w:val="005D4905"/>
    <w:rsid w:val="005D490B"/>
    <w:rsid w:val="005D49A1"/>
    <w:rsid w:val="005D4BCB"/>
    <w:rsid w:val="005D4BE9"/>
    <w:rsid w:val="005D4C5E"/>
    <w:rsid w:val="005D4C6D"/>
    <w:rsid w:val="005D4C7D"/>
    <w:rsid w:val="005D4CA5"/>
    <w:rsid w:val="005D4E27"/>
    <w:rsid w:val="005D4E77"/>
    <w:rsid w:val="005D4E84"/>
    <w:rsid w:val="005D4EEB"/>
    <w:rsid w:val="005D4F72"/>
    <w:rsid w:val="005D5025"/>
    <w:rsid w:val="005D50A9"/>
    <w:rsid w:val="005D50D7"/>
    <w:rsid w:val="005D516E"/>
    <w:rsid w:val="005D52D9"/>
    <w:rsid w:val="005D53A8"/>
    <w:rsid w:val="005D53AF"/>
    <w:rsid w:val="005D53BA"/>
    <w:rsid w:val="005D5427"/>
    <w:rsid w:val="005D54C9"/>
    <w:rsid w:val="005D551D"/>
    <w:rsid w:val="005D55A5"/>
    <w:rsid w:val="005D5630"/>
    <w:rsid w:val="005D5643"/>
    <w:rsid w:val="005D5646"/>
    <w:rsid w:val="005D56AF"/>
    <w:rsid w:val="005D56C5"/>
    <w:rsid w:val="005D5779"/>
    <w:rsid w:val="005D57F7"/>
    <w:rsid w:val="005D5941"/>
    <w:rsid w:val="005D59B9"/>
    <w:rsid w:val="005D59D4"/>
    <w:rsid w:val="005D59E5"/>
    <w:rsid w:val="005D5A3F"/>
    <w:rsid w:val="005D5BEB"/>
    <w:rsid w:val="005D5C1B"/>
    <w:rsid w:val="005D617F"/>
    <w:rsid w:val="005D6199"/>
    <w:rsid w:val="005D61DC"/>
    <w:rsid w:val="005D61F2"/>
    <w:rsid w:val="005D6262"/>
    <w:rsid w:val="005D626F"/>
    <w:rsid w:val="005D63DB"/>
    <w:rsid w:val="005D64DE"/>
    <w:rsid w:val="005D6690"/>
    <w:rsid w:val="005D6732"/>
    <w:rsid w:val="005D678A"/>
    <w:rsid w:val="005D6801"/>
    <w:rsid w:val="005D69B1"/>
    <w:rsid w:val="005D6A11"/>
    <w:rsid w:val="005D6A6F"/>
    <w:rsid w:val="005D6BD6"/>
    <w:rsid w:val="005D6E2D"/>
    <w:rsid w:val="005D6E43"/>
    <w:rsid w:val="005D6E8A"/>
    <w:rsid w:val="005D6E9A"/>
    <w:rsid w:val="005D6F24"/>
    <w:rsid w:val="005D70F3"/>
    <w:rsid w:val="005D71A4"/>
    <w:rsid w:val="005D71D7"/>
    <w:rsid w:val="005D7352"/>
    <w:rsid w:val="005D739A"/>
    <w:rsid w:val="005D745D"/>
    <w:rsid w:val="005D749A"/>
    <w:rsid w:val="005D74CB"/>
    <w:rsid w:val="005D74E7"/>
    <w:rsid w:val="005D74F8"/>
    <w:rsid w:val="005D75AF"/>
    <w:rsid w:val="005D7629"/>
    <w:rsid w:val="005D7680"/>
    <w:rsid w:val="005D77EC"/>
    <w:rsid w:val="005D783B"/>
    <w:rsid w:val="005D783F"/>
    <w:rsid w:val="005D7864"/>
    <w:rsid w:val="005D7867"/>
    <w:rsid w:val="005D78AE"/>
    <w:rsid w:val="005D79A7"/>
    <w:rsid w:val="005D7B89"/>
    <w:rsid w:val="005D7C01"/>
    <w:rsid w:val="005D7C55"/>
    <w:rsid w:val="005D7D80"/>
    <w:rsid w:val="005D7FCC"/>
    <w:rsid w:val="005E0003"/>
    <w:rsid w:val="005E003C"/>
    <w:rsid w:val="005E0061"/>
    <w:rsid w:val="005E0114"/>
    <w:rsid w:val="005E0125"/>
    <w:rsid w:val="005E0179"/>
    <w:rsid w:val="005E01A0"/>
    <w:rsid w:val="005E01AF"/>
    <w:rsid w:val="005E0276"/>
    <w:rsid w:val="005E02A5"/>
    <w:rsid w:val="005E02C8"/>
    <w:rsid w:val="005E050C"/>
    <w:rsid w:val="005E05B4"/>
    <w:rsid w:val="005E060D"/>
    <w:rsid w:val="005E069D"/>
    <w:rsid w:val="005E06E8"/>
    <w:rsid w:val="005E0770"/>
    <w:rsid w:val="005E0802"/>
    <w:rsid w:val="005E0997"/>
    <w:rsid w:val="005E09BC"/>
    <w:rsid w:val="005E0BC1"/>
    <w:rsid w:val="005E0D85"/>
    <w:rsid w:val="005E0DFD"/>
    <w:rsid w:val="005E0FA8"/>
    <w:rsid w:val="005E1038"/>
    <w:rsid w:val="005E1195"/>
    <w:rsid w:val="005E11CD"/>
    <w:rsid w:val="005E11FC"/>
    <w:rsid w:val="005E1237"/>
    <w:rsid w:val="005E133A"/>
    <w:rsid w:val="005E152E"/>
    <w:rsid w:val="005E164D"/>
    <w:rsid w:val="005E1674"/>
    <w:rsid w:val="005E170A"/>
    <w:rsid w:val="005E174F"/>
    <w:rsid w:val="005E1A97"/>
    <w:rsid w:val="005E1AFF"/>
    <w:rsid w:val="005E1B1A"/>
    <w:rsid w:val="005E1CAF"/>
    <w:rsid w:val="005E1DC0"/>
    <w:rsid w:val="005E1E2F"/>
    <w:rsid w:val="005E1E84"/>
    <w:rsid w:val="005E1F1A"/>
    <w:rsid w:val="005E1F2E"/>
    <w:rsid w:val="005E200D"/>
    <w:rsid w:val="005E2108"/>
    <w:rsid w:val="005E2125"/>
    <w:rsid w:val="005E21DA"/>
    <w:rsid w:val="005E241D"/>
    <w:rsid w:val="005E2429"/>
    <w:rsid w:val="005E2760"/>
    <w:rsid w:val="005E280D"/>
    <w:rsid w:val="005E2903"/>
    <w:rsid w:val="005E2990"/>
    <w:rsid w:val="005E29BD"/>
    <w:rsid w:val="005E2A56"/>
    <w:rsid w:val="005E2BAF"/>
    <w:rsid w:val="005E2CFC"/>
    <w:rsid w:val="005E2D01"/>
    <w:rsid w:val="005E2E4A"/>
    <w:rsid w:val="005E2E58"/>
    <w:rsid w:val="005E2FA4"/>
    <w:rsid w:val="005E2FE0"/>
    <w:rsid w:val="005E304F"/>
    <w:rsid w:val="005E312E"/>
    <w:rsid w:val="005E32A9"/>
    <w:rsid w:val="005E3396"/>
    <w:rsid w:val="005E34FE"/>
    <w:rsid w:val="005E3524"/>
    <w:rsid w:val="005E3573"/>
    <w:rsid w:val="005E3642"/>
    <w:rsid w:val="005E364C"/>
    <w:rsid w:val="005E36BA"/>
    <w:rsid w:val="005E36F4"/>
    <w:rsid w:val="005E3777"/>
    <w:rsid w:val="005E38AF"/>
    <w:rsid w:val="005E38BE"/>
    <w:rsid w:val="005E390B"/>
    <w:rsid w:val="005E3A41"/>
    <w:rsid w:val="005E3A7A"/>
    <w:rsid w:val="005E3AA3"/>
    <w:rsid w:val="005E3BB7"/>
    <w:rsid w:val="005E3BDC"/>
    <w:rsid w:val="005E3CF4"/>
    <w:rsid w:val="005E3E1C"/>
    <w:rsid w:val="005E3E6A"/>
    <w:rsid w:val="005E3E76"/>
    <w:rsid w:val="005E3FE8"/>
    <w:rsid w:val="005E40C9"/>
    <w:rsid w:val="005E40CD"/>
    <w:rsid w:val="005E4120"/>
    <w:rsid w:val="005E4281"/>
    <w:rsid w:val="005E4328"/>
    <w:rsid w:val="005E439B"/>
    <w:rsid w:val="005E44AB"/>
    <w:rsid w:val="005E4565"/>
    <w:rsid w:val="005E45D1"/>
    <w:rsid w:val="005E4691"/>
    <w:rsid w:val="005E4729"/>
    <w:rsid w:val="005E4922"/>
    <w:rsid w:val="005E494E"/>
    <w:rsid w:val="005E4BC0"/>
    <w:rsid w:val="005E4C8D"/>
    <w:rsid w:val="005E4D1C"/>
    <w:rsid w:val="005E4D64"/>
    <w:rsid w:val="005E4FAD"/>
    <w:rsid w:val="005E5025"/>
    <w:rsid w:val="005E5192"/>
    <w:rsid w:val="005E5317"/>
    <w:rsid w:val="005E533F"/>
    <w:rsid w:val="005E53B5"/>
    <w:rsid w:val="005E5529"/>
    <w:rsid w:val="005E5542"/>
    <w:rsid w:val="005E558A"/>
    <w:rsid w:val="005E563C"/>
    <w:rsid w:val="005E56F1"/>
    <w:rsid w:val="005E571A"/>
    <w:rsid w:val="005E588F"/>
    <w:rsid w:val="005E59DC"/>
    <w:rsid w:val="005E5A3A"/>
    <w:rsid w:val="005E5BC4"/>
    <w:rsid w:val="005E5D12"/>
    <w:rsid w:val="005E5D18"/>
    <w:rsid w:val="005E5D1E"/>
    <w:rsid w:val="005E5D37"/>
    <w:rsid w:val="005E5D82"/>
    <w:rsid w:val="005E5EA2"/>
    <w:rsid w:val="005E5F2A"/>
    <w:rsid w:val="005E5FC2"/>
    <w:rsid w:val="005E606E"/>
    <w:rsid w:val="005E60C6"/>
    <w:rsid w:val="005E629F"/>
    <w:rsid w:val="005E63F7"/>
    <w:rsid w:val="005E66CB"/>
    <w:rsid w:val="005E671E"/>
    <w:rsid w:val="005E6778"/>
    <w:rsid w:val="005E6A54"/>
    <w:rsid w:val="005E6BBD"/>
    <w:rsid w:val="005E6BE6"/>
    <w:rsid w:val="005E6C56"/>
    <w:rsid w:val="005E6E5A"/>
    <w:rsid w:val="005E6EC0"/>
    <w:rsid w:val="005E6F75"/>
    <w:rsid w:val="005E6F88"/>
    <w:rsid w:val="005E7090"/>
    <w:rsid w:val="005E716F"/>
    <w:rsid w:val="005E7224"/>
    <w:rsid w:val="005E727D"/>
    <w:rsid w:val="005E7386"/>
    <w:rsid w:val="005E7592"/>
    <w:rsid w:val="005E76F2"/>
    <w:rsid w:val="005E77A2"/>
    <w:rsid w:val="005E77BA"/>
    <w:rsid w:val="005E7822"/>
    <w:rsid w:val="005E78FF"/>
    <w:rsid w:val="005E790A"/>
    <w:rsid w:val="005E7958"/>
    <w:rsid w:val="005E79B4"/>
    <w:rsid w:val="005E7A48"/>
    <w:rsid w:val="005E7A4C"/>
    <w:rsid w:val="005E7AA3"/>
    <w:rsid w:val="005E7AAE"/>
    <w:rsid w:val="005E7AFE"/>
    <w:rsid w:val="005E7B40"/>
    <w:rsid w:val="005E7BDD"/>
    <w:rsid w:val="005E7C89"/>
    <w:rsid w:val="005E7C99"/>
    <w:rsid w:val="005E7DC7"/>
    <w:rsid w:val="005E7E3F"/>
    <w:rsid w:val="005F0000"/>
    <w:rsid w:val="005F00ED"/>
    <w:rsid w:val="005F02AB"/>
    <w:rsid w:val="005F02E7"/>
    <w:rsid w:val="005F03E6"/>
    <w:rsid w:val="005F05D3"/>
    <w:rsid w:val="005F0717"/>
    <w:rsid w:val="005F0813"/>
    <w:rsid w:val="005F095C"/>
    <w:rsid w:val="005F09EC"/>
    <w:rsid w:val="005F0A04"/>
    <w:rsid w:val="005F0C3E"/>
    <w:rsid w:val="005F0CB9"/>
    <w:rsid w:val="005F0CE1"/>
    <w:rsid w:val="005F0D6A"/>
    <w:rsid w:val="005F10ED"/>
    <w:rsid w:val="005F1173"/>
    <w:rsid w:val="005F11D6"/>
    <w:rsid w:val="005F120A"/>
    <w:rsid w:val="005F1344"/>
    <w:rsid w:val="005F13E5"/>
    <w:rsid w:val="005F14C8"/>
    <w:rsid w:val="005F1564"/>
    <w:rsid w:val="005F162A"/>
    <w:rsid w:val="005F1638"/>
    <w:rsid w:val="005F1703"/>
    <w:rsid w:val="005F1720"/>
    <w:rsid w:val="005F1869"/>
    <w:rsid w:val="005F19B1"/>
    <w:rsid w:val="005F1A30"/>
    <w:rsid w:val="005F1A62"/>
    <w:rsid w:val="005F1B27"/>
    <w:rsid w:val="005F1B69"/>
    <w:rsid w:val="005F1B8C"/>
    <w:rsid w:val="005F1B9B"/>
    <w:rsid w:val="005F1BB1"/>
    <w:rsid w:val="005F1C87"/>
    <w:rsid w:val="005F1DDE"/>
    <w:rsid w:val="005F1F5C"/>
    <w:rsid w:val="005F1FA0"/>
    <w:rsid w:val="005F1FCA"/>
    <w:rsid w:val="005F20D5"/>
    <w:rsid w:val="005F22A9"/>
    <w:rsid w:val="005F22BB"/>
    <w:rsid w:val="005F22D8"/>
    <w:rsid w:val="005F236B"/>
    <w:rsid w:val="005F2372"/>
    <w:rsid w:val="005F2454"/>
    <w:rsid w:val="005F2567"/>
    <w:rsid w:val="005F25CD"/>
    <w:rsid w:val="005F262E"/>
    <w:rsid w:val="005F267D"/>
    <w:rsid w:val="005F272E"/>
    <w:rsid w:val="005F2E12"/>
    <w:rsid w:val="005F2E51"/>
    <w:rsid w:val="005F2E81"/>
    <w:rsid w:val="005F2ED5"/>
    <w:rsid w:val="005F2F08"/>
    <w:rsid w:val="005F2F31"/>
    <w:rsid w:val="005F2F94"/>
    <w:rsid w:val="005F2F96"/>
    <w:rsid w:val="005F310B"/>
    <w:rsid w:val="005F318A"/>
    <w:rsid w:val="005F31DF"/>
    <w:rsid w:val="005F31F3"/>
    <w:rsid w:val="005F3303"/>
    <w:rsid w:val="005F3525"/>
    <w:rsid w:val="005F363D"/>
    <w:rsid w:val="005F3667"/>
    <w:rsid w:val="005F3675"/>
    <w:rsid w:val="005F36AE"/>
    <w:rsid w:val="005F3734"/>
    <w:rsid w:val="005F377E"/>
    <w:rsid w:val="005F3806"/>
    <w:rsid w:val="005F386A"/>
    <w:rsid w:val="005F38B3"/>
    <w:rsid w:val="005F39BB"/>
    <w:rsid w:val="005F3A10"/>
    <w:rsid w:val="005F3B1C"/>
    <w:rsid w:val="005F3C7E"/>
    <w:rsid w:val="005F3CA3"/>
    <w:rsid w:val="005F3CD7"/>
    <w:rsid w:val="005F3DBE"/>
    <w:rsid w:val="005F3F1B"/>
    <w:rsid w:val="005F3FBC"/>
    <w:rsid w:val="005F3FBF"/>
    <w:rsid w:val="005F3FFF"/>
    <w:rsid w:val="005F4058"/>
    <w:rsid w:val="005F408C"/>
    <w:rsid w:val="005F4233"/>
    <w:rsid w:val="005F4442"/>
    <w:rsid w:val="005F45AC"/>
    <w:rsid w:val="005F4656"/>
    <w:rsid w:val="005F4761"/>
    <w:rsid w:val="005F479F"/>
    <w:rsid w:val="005F4801"/>
    <w:rsid w:val="005F4A54"/>
    <w:rsid w:val="005F4A67"/>
    <w:rsid w:val="005F4A8A"/>
    <w:rsid w:val="005F4BF4"/>
    <w:rsid w:val="005F4D3F"/>
    <w:rsid w:val="005F4D92"/>
    <w:rsid w:val="005F4FA4"/>
    <w:rsid w:val="005F4FC0"/>
    <w:rsid w:val="005F4FD5"/>
    <w:rsid w:val="005F502F"/>
    <w:rsid w:val="005F51D6"/>
    <w:rsid w:val="005F5229"/>
    <w:rsid w:val="005F526B"/>
    <w:rsid w:val="005F526C"/>
    <w:rsid w:val="005F52C1"/>
    <w:rsid w:val="005F545C"/>
    <w:rsid w:val="005F5469"/>
    <w:rsid w:val="005F546B"/>
    <w:rsid w:val="005F5535"/>
    <w:rsid w:val="005F55DA"/>
    <w:rsid w:val="005F56FC"/>
    <w:rsid w:val="005F5712"/>
    <w:rsid w:val="005F5762"/>
    <w:rsid w:val="005F5798"/>
    <w:rsid w:val="005F588A"/>
    <w:rsid w:val="005F58EC"/>
    <w:rsid w:val="005F5949"/>
    <w:rsid w:val="005F596A"/>
    <w:rsid w:val="005F5991"/>
    <w:rsid w:val="005F5B05"/>
    <w:rsid w:val="005F5B77"/>
    <w:rsid w:val="005F5BFA"/>
    <w:rsid w:val="005F5C04"/>
    <w:rsid w:val="005F5D95"/>
    <w:rsid w:val="005F5D9B"/>
    <w:rsid w:val="005F5E30"/>
    <w:rsid w:val="005F5E90"/>
    <w:rsid w:val="005F605C"/>
    <w:rsid w:val="005F6196"/>
    <w:rsid w:val="005F61CD"/>
    <w:rsid w:val="005F6318"/>
    <w:rsid w:val="005F6541"/>
    <w:rsid w:val="005F6641"/>
    <w:rsid w:val="005F66E2"/>
    <w:rsid w:val="005F671D"/>
    <w:rsid w:val="005F67E0"/>
    <w:rsid w:val="005F67E4"/>
    <w:rsid w:val="005F6A1C"/>
    <w:rsid w:val="005F6A91"/>
    <w:rsid w:val="005F6B48"/>
    <w:rsid w:val="005F6C26"/>
    <w:rsid w:val="005F6CBA"/>
    <w:rsid w:val="005F6D01"/>
    <w:rsid w:val="005F6DDB"/>
    <w:rsid w:val="005F6E8D"/>
    <w:rsid w:val="005F6F1A"/>
    <w:rsid w:val="005F707D"/>
    <w:rsid w:val="005F70B7"/>
    <w:rsid w:val="005F70D1"/>
    <w:rsid w:val="005F71BF"/>
    <w:rsid w:val="005F71C8"/>
    <w:rsid w:val="005F733B"/>
    <w:rsid w:val="005F73FC"/>
    <w:rsid w:val="005F7571"/>
    <w:rsid w:val="005F75D3"/>
    <w:rsid w:val="005F7604"/>
    <w:rsid w:val="005F7682"/>
    <w:rsid w:val="005F76FB"/>
    <w:rsid w:val="005F7824"/>
    <w:rsid w:val="005F79BE"/>
    <w:rsid w:val="005F7B20"/>
    <w:rsid w:val="005F7B30"/>
    <w:rsid w:val="005F7B73"/>
    <w:rsid w:val="005F7B86"/>
    <w:rsid w:val="005F7BDC"/>
    <w:rsid w:val="005F7C52"/>
    <w:rsid w:val="005F7CE8"/>
    <w:rsid w:val="005F7D22"/>
    <w:rsid w:val="005F7ECD"/>
    <w:rsid w:val="005F7F03"/>
    <w:rsid w:val="005F7F0E"/>
    <w:rsid w:val="0060003E"/>
    <w:rsid w:val="006000C8"/>
    <w:rsid w:val="006001E6"/>
    <w:rsid w:val="0060021A"/>
    <w:rsid w:val="00600324"/>
    <w:rsid w:val="00600346"/>
    <w:rsid w:val="006003B9"/>
    <w:rsid w:val="006003E3"/>
    <w:rsid w:val="00600429"/>
    <w:rsid w:val="00600537"/>
    <w:rsid w:val="0060059F"/>
    <w:rsid w:val="0060067F"/>
    <w:rsid w:val="006006D4"/>
    <w:rsid w:val="00600723"/>
    <w:rsid w:val="0060074C"/>
    <w:rsid w:val="00600773"/>
    <w:rsid w:val="006007C7"/>
    <w:rsid w:val="00600831"/>
    <w:rsid w:val="006008FC"/>
    <w:rsid w:val="00600B21"/>
    <w:rsid w:val="00600C00"/>
    <w:rsid w:val="00600C01"/>
    <w:rsid w:val="00600C5A"/>
    <w:rsid w:val="00600D22"/>
    <w:rsid w:val="00600D89"/>
    <w:rsid w:val="00600DF5"/>
    <w:rsid w:val="00600E48"/>
    <w:rsid w:val="00600EDD"/>
    <w:rsid w:val="00600EF8"/>
    <w:rsid w:val="00600F1D"/>
    <w:rsid w:val="00600F27"/>
    <w:rsid w:val="0060109F"/>
    <w:rsid w:val="006011DE"/>
    <w:rsid w:val="00601389"/>
    <w:rsid w:val="0060151A"/>
    <w:rsid w:val="0060156C"/>
    <w:rsid w:val="0060166E"/>
    <w:rsid w:val="00601733"/>
    <w:rsid w:val="0060177A"/>
    <w:rsid w:val="006017C4"/>
    <w:rsid w:val="006017EE"/>
    <w:rsid w:val="0060184E"/>
    <w:rsid w:val="006019BE"/>
    <w:rsid w:val="00601BD5"/>
    <w:rsid w:val="00601C0D"/>
    <w:rsid w:val="00601CC3"/>
    <w:rsid w:val="00601D22"/>
    <w:rsid w:val="00601E43"/>
    <w:rsid w:val="00601E49"/>
    <w:rsid w:val="00601EF9"/>
    <w:rsid w:val="00601F00"/>
    <w:rsid w:val="0060207B"/>
    <w:rsid w:val="0060211B"/>
    <w:rsid w:val="006021E4"/>
    <w:rsid w:val="006021F4"/>
    <w:rsid w:val="0060223A"/>
    <w:rsid w:val="00602274"/>
    <w:rsid w:val="006022CA"/>
    <w:rsid w:val="006023BB"/>
    <w:rsid w:val="006023F6"/>
    <w:rsid w:val="0060242B"/>
    <w:rsid w:val="006024A1"/>
    <w:rsid w:val="006024AB"/>
    <w:rsid w:val="00602515"/>
    <w:rsid w:val="0060252D"/>
    <w:rsid w:val="0060262D"/>
    <w:rsid w:val="00602731"/>
    <w:rsid w:val="00602743"/>
    <w:rsid w:val="006028C3"/>
    <w:rsid w:val="00602AA8"/>
    <w:rsid w:val="00602C36"/>
    <w:rsid w:val="00602CA6"/>
    <w:rsid w:val="00602E0D"/>
    <w:rsid w:val="00602E1D"/>
    <w:rsid w:val="00602F5E"/>
    <w:rsid w:val="00602F75"/>
    <w:rsid w:val="00602FC2"/>
    <w:rsid w:val="00602FCF"/>
    <w:rsid w:val="00603234"/>
    <w:rsid w:val="00603275"/>
    <w:rsid w:val="0060337F"/>
    <w:rsid w:val="00603472"/>
    <w:rsid w:val="006034F7"/>
    <w:rsid w:val="0060351B"/>
    <w:rsid w:val="00603582"/>
    <w:rsid w:val="006035E9"/>
    <w:rsid w:val="0060362E"/>
    <w:rsid w:val="0060364F"/>
    <w:rsid w:val="0060371A"/>
    <w:rsid w:val="006037D8"/>
    <w:rsid w:val="006038DC"/>
    <w:rsid w:val="00603908"/>
    <w:rsid w:val="00603A56"/>
    <w:rsid w:val="00603A64"/>
    <w:rsid w:val="00603B23"/>
    <w:rsid w:val="00603CA2"/>
    <w:rsid w:val="00603CBA"/>
    <w:rsid w:val="00603DA8"/>
    <w:rsid w:val="00603F44"/>
    <w:rsid w:val="00604331"/>
    <w:rsid w:val="00604541"/>
    <w:rsid w:val="0060454E"/>
    <w:rsid w:val="0060455A"/>
    <w:rsid w:val="00604593"/>
    <w:rsid w:val="0060469E"/>
    <w:rsid w:val="006046CC"/>
    <w:rsid w:val="006046FC"/>
    <w:rsid w:val="00604729"/>
    <w:rsid w:val="006047F5"/>
    <w:rsid w:val="00604BF6"/>
    <w:rsid w:val="00604C6D"/>
    <w:rsid w:val="00604C95"/>
    <w:rsid w:val="00604CC0"/>
    <w:rsid w:val="00604DD1"/>
    <w:rsid w:val="00604F40"/>
    <w:rsid w:val="00604FE8"/>
    <w:rsid w:val="00605038"/>
    <w:rsid w:val="006052FC"/>
    <w:rsid w:val="006053D8"/>
    <w:rsid w:val="00605405"/>
    <w:rsid w:val="006054CA"/>
    <w:rsid w:val="00605520"/>
    <w:rsid w:val="006055B5"/>
    <w:rsid w:val="00605741"/>
    <w:rsid w:val="006057AF"/>
    <w:rsid w:val="00605957"/>
    <w:rsid w:val="006059D6"/>
    <w:rsid w:val="00605B52"/>
    <w:rsid w:val="00605BE0"/>
    <w:rsid w:val="00605C12"/>
    <w:rsid w:val="00605C84"/>
    <w:rsid w:val="00605D70"/>
    <w:rsid w:val="00605DD6"/>
    <w:rsid w:val="00605FAC"/>
    <w:rsid w:val="006060E8"/>
    <w:rsid w:val="006060F1"/>
    <w:rsid w:val="0060611F"/>
    <w:rsid w:val="0060618B"/>
    <w:rsid w:val="00606263"/>
    <w:rsid w:val="0060629F"/>
    <w:rsid w:val="00606445"/>
    <w:rsid w:val="0060647A"/>
    <w:rsid w:val="006066B2"/>
    <w:rsid w:val="006066DE"/>
    <w:rsid w:val="00606713"/>
    <w:rsid w:val="00606720"/>
    <w:rsid w:val="0060672B"/>
    <w:rsid w:val="006068C0"/>
    <w:rsid w:val="006068C9"/>
    <w:rsid w:val="00606916"/>
    <w:rsid w:val="0060697C"/>
    <w:rsid w:val="006069E2"/>
    <w:rsid w:val="00606A16"/>
    <w:rsid w:val="00606A26"/>
    <w:rsid w:val="00606C34"/>
    <w:rsid w:val="00606D40"/>
    <w:rsid w:val="00606DF0"/>
    <w:rsid w:val="00606E18"/>
    <w:rsid w:val="00606F55"/>
    <w:rsid w:val="00607064"/>
    <w:rsid w:val="0060723B"/>
    <w:rsid w:val="00607309"/>
    <w:rsid w:val="00607401"/>
    <w:rsid w:val="00607409"/>
    <w:rsid w:val="006074AF"/>
    <w:rsid w:val="006074DA"/>
    <w:rsid w:val="006075E9"/>
    <w:rsid w:val="0060773D"/>
    <w:rsid w:val="00607892"/>
    <w:rsid w:val="00607917"/>
    <w:rsid w:val="00607A51"/>
    <w:rsid w:val="00607B67"/>
    <w:rsid w:val="00607C1D"/>
    <w:rsid w:val="00607C38"/>
    <w:rsid w:val="00607C94"/>
    <w:rsid w:val="00607D39"/>
    <w:rsid w:val="00607DC9"/>
    <w:rsid w:val="00607ECD"/>
    <w:rsid w:val="00610032"/>
    <w:rsid w:val="0061016C"/>
    <w:rsid w:val="0061019B"/>
    <w:rsid w:val="006101B6"/>
    <w:rsid w:val="006102DE"/>
    <w:rsid w:val="00610392"/>
    <w:rsid w:val="0061041A"/>
    <w:rsid w:val="0061043D"/>
    <w:rsid w:val="00610492"/>
    <w:rsid w:val="006104D6"/>
    <w:rsid w:val="00610648"/>
    <w:rsid w:val="006106F8"/>
    <w:rsid w:val="006108BA"/>
    <w:rsid w:val="006108F0"/>
    <w:rsid w:val="00610926"/>
    <w:rsid w:val="00610995"/>
    <w:rsid w:val="00610A91"/>
    <w:rsid w:val="00610BD8"/>
    <w:rsid w:val="00610C01"/>
    <w:rsid w:val="00610C13"/>
    <w:rsid w:val="00610C4B"/>
    <w:rsid w:val="00610CE9"/>
    <w:rsid w:val="00610CF9"/>
    <w:rsid w:val="00610D2B"/>
    <w:rsid w:val="00610D62"/>
    <w:rsid w:val="00610E8E"/>
    <w:rsid w:val="00610EDF"/>
    <w:rsid w:val="00610FF1"/>
    <w:rsid w:val="006110D7"/>
    <w:rsid w:val="0061117C"/>
    <w:rsid w:val="006111C8"/>
    <w:rsid w:val="006112C2"/>
    <w:rsid w:val="00611300"/>
    <w:rsid w:val="00611374"/>
    <w:rsid w:val="006113BD"/>
    <w:rsid w:val="006113CC"/>
    <w:rsid w:val="00611415"/>
    <w:rsid w:val="00611461"/>
    <w:rsid w:val="0061159B"/>
    <w:rsid w:val="006115C1"/>
    <w:rsid w:val="0061165C"/>
    <w:rsid w:val="00611686"/>
    <w:rsid w:val="00611712"/>
    <w:rsid w:val="00611745"/>
    <w:rsid w:val="006117FD"/>
    <w:rsid w:val="00611820"/>
    <w:rsid w:val="00611939"/>
    <w:rsid w:val="0061193F"/>
    <w:rsid w:val="00611A06"/>
    <w:rsid w:val="00611A64"/>
    <w:rsid w:val="00611B92"/>
    <w:rsid w:val="00611BB6"/>
    <w:rsid w:val="00611D50"/>
    <w:rsid w:val="00611EE7"/>
    <w:rsid w:val="00611F55"/>
    <w:rsid w:val="00611FBD"/>
    <w:rsid w:val="0061204E"/>
    <w:rsid w:val="0061204F"/>
    <w:rsid w:val="006121D0"/>
    <w:rsid w:val="006121E2"/>
    <w:rsid w:val="006121E7"/>
    <w:rsid w:val="006122E8"/>
    <w:rsid w:val="00612325"/>
    <w:rsid w:val="00612387"/>
    <w:rsid w:val="006124AE"/>
    <w:rsid w:val="006125C1"/>
    <w:rsid w:val="0061260C"/>
    <w:rsid w:val="0061266C"/>
    <w:rsid w:val="00612711"/>
    <w:rsid w:val="00612714"/>
    <w:rsid w:val="006127C7"/>
    <w:rsid w:val="006128BC"/>
    <w:rsid w:val="00612975"/>
    <w:rsid w:val="00612AC6"/>
    <w:rsid w:val="00612AD8"/>
    <w:rsid w:val="00612BDC"/>
    <w:rsid w:val="00612E27"/>
    <w:rsid w:val="00612E5A"/>
    <w:rsid w:val="00612F5D"/>
    <w:rsid w:val="00612FEB"/>
    <w:rsid w:val="006130A1"/>
    <w:rsid w:val="00613176"/>
    <w:rsid w:val="0061319D"/>
    <w:rsid w:val="0061323C"/>
    <w:rsid w:val="0061327E"/>
    <w:rsid w:val="00613296"/>
    <w:rsid w:val="0061346E"/>
    <w:rsid w:val="006134C2"/>
    <w:rsid w:val="0061375B"/>
    <w:rsid w:val="006137D2"/>
    <w:rsid w:val="00613913"/>
    <w:rsid w:val="00613920"/>
    <w:rsid w:val="0061392A"/>
    <w:rsid w:val="00613A46"/>
    <w:rsid w:val="00613AD4"/>
    <w:rsid w:val="00613B34"/>
    <w:rsid w:val="00613B45"/>
    <w:rsid w:val="00613BAD"/>
    <w:rsid w:val="00613BED"/>
    <w:rsid w:val="00613CBE"/>
    <w:rsid w:val="00613E01"/>
    <w:rsid w:val="00613F0D"/>
    <w:rsid w:val="00613FE8"/>
    <w:rsid w:val="0061409B"/>
    <w:rsid w:val="00614294"/>
    <w:rsid w:val="006143A2"/>
    <w:rsid w:val="006143C2"/>
    <w:rsid w:val="006144DE"/>
    <w:rsid w:val="006146F5"/>
    <w:rsid w:val="00614780"/>
    <w:rsid w:val="006147F5"/>
    <w:rsid w:val="006149A7"/>
    <w:rsid w:val="00614C36"/>
    <w:rsid w:val="00614CAB"/>
    <w:rsid w:val="00614CEE"/>
    <w:rsid w:val="00614CF0"/>
    <w:rsid w:val="00614D5D"/>
    <w:rsid w:val="00614DF2"/>
    <w:rsid w:val="00614E13"/>
    <w:rsid w:val="00614E4F"/>
    <w:rsid w:val="0061501D"/>
    <w:rsid w:val="0061506D"/>
    <w:rsid w:val="006151A2"/>
    <w:rsid w:val="006151D4"/>
    <w:rsid w:val="006151E2"/>
    <w:rsid w:val="00615279"/>
    <w:rsid w:val="006152D0"/>
    <w:rsid w:val="006154C2"/>
    <w:rsid w:val="0061552F"/>
    <w:rsid w:val="00615556"/>
    <w:rsid w:val="0061555F"/>
    <w:rsid w:val="006155CB"/>
    <w:rsid w:val="0061567E"/>
    <w:rsid w:val="006156A1"/>
    <w:rsid w:val="0061575A"/>
    <w:rsid w:val="006158E1"/>
    <w:rsid w:val="0061592C"/>
    <w:rsid w:val="00615A36"/>
    <w:rsid w:val="00615A53"/>
    <w:rsid w:val="00615BDD"/>
    <w:rsid w:val="00615C0D"/>
    <w:rsid w:val="00615E94"/>
    <w:rsid w:val="00615F04"/>
    <w:rsid w:val="00615FDD"/>
    <w:rsid w:val="00616157"/>
    <w:rsid w:val="0061625C"/>
    <w:rsid w:val="0061635A"/>
    <w:rsid w:val="006164BC"/>
    <w:rsid w:val="00616581"/>
    <w:rsid w:val="00616639"/>
    <w:rsid w:val="00616684"/>
    <w:rsid w:val="006167B1"/>
    <w:rsid w:val="006167D9"/>
    <w:rsid w:val="006167F9"/>
    <w:rsid w:val="00616984"/>
    <w:rsid w:val="00616AB8"/>
    <w:rsid w:val="00616B8E"/>
    <w:rsid w:val="00616BA2"/>
    <w:rsid w:val="00616E86"/>
    <w:rsid w:val="00616F04"/>
    <w:rsid w:val="00616F64"/>
    <w:rsid w:val="00616F92"/>
    <w:rsid w:val="00617139"/>
    <w:rsid w:val="00617184"/>
    <w:rsid w:val="006171BE"/>
    <w:rsid w:val="00617228"/>
    <w:rsid w:val="006172D6"/>
    <w:rsid w:val="006173A9"/>
    <w:rsid w:val="006174A8"/>
    <w:rsid w:val="00617576"/>
    <w:rsid w:val="006175E8"/>
    <w:rsid w:val="006176CA"/>
    <w:rsid w:val="006177E0"/>
    <w:rsid w:val="00617889"/>
    <w:rsid w:val="0061789F"/>
    <w:rsid w:val="00617956"/>
    <w:rsid w:val="00617958"/>
    <w:rsid w:val="00617999"/>
    <w:rsid w:val="00617A01"/>
    <w:rsid w:val="00617A19"/>
    <w:rsid w:val="00617A1E"/>
    <w:rsid w:val="00617B58"/>
    <w:rsid w:val="00617CE7"/>
    <w:rsid w:val="00617D1C"/>
    <w:rsid w:val="00617E1D"/>
    <w:rsid w:val="00617ECF"/>
    <w:rsid w:val="00617EDC"/>
    <w:rsid w:val="00617EF9"/>
    <w:rsid w:val="00617F0F"/>
    <w:rsid w:val="00617F21"/>
    <w:rsid w:val="00617F72"/>
    <w:rsid w:val="006203D3"/>
    <w:rsid w:val="0062042F"/>
    <w:rsid w:val="00620566"/>
    <w:rsid w:val="006205CD"/>
    <w:rsid w:val="00620849"/>
    <w:rsid w:val="0062084B"/>
    <w:rsid w:val="006208A1"/>
    <w:rsid w:val="006208D7"/>
    <w:rsid w:val="00620920"/>
    <w:rsid w:val="00620DC1"/>
    <w:rsid w:val="00620DF4"/>
    <w:rsid w:val="00620E9F"/>
    <w:rsid w:val="00620F12"/>
    <w:rsid w:val="00621075"/>
    <w:rsid w:val="00621091"/>
    <w:rsid w:val="00621132"/>
    <w:rsid w:val="006211FA"/>
    <w:rsid w:val="006212FB"/>
    <w:rsid w:val="0062137E"/>
    <w:rsid w:val="006213BB"/>
    <w:rsid w:val="0062149C"/>
    <w:rsid w:val="0062175C"/>
    <w:rsid w:val="0062183B"/>
    <w:rsid w:val="00621865"/>
    <w:rsid w:val="006219D4"/>
    <w:rsid w:val="00621A1F"/>
    <w:rsid w:val="00621AA2"/>
    <w:rsid w:val="00621BB1"/>
    <w:rsid w:val="00621C14"/>
    <w:rsid w:val="00621D85"/>
    <w:rsid w:val="00621F16"/>
    <w:rsid w:val="006221A1"/>
    <w:rsid w:val="006222A8"/>
    <w:rsid w:val="0062239B"/>
    <w:rsid w:val="00622420"/>
    <w:rsid w:val="0062242C"/>
    <w:rsid w:val="006224AE"/>
    <w:rsid w:val="006224D0"/>
    <w:rsid w:val="00622518"/>
    <w:rsid w:val="00622611"/>
    <w:rsid w:val="00622615"/>
    <w:rsid w:val="006226E5"/>
    <w:rsid w:val="006227CE"/>
    <w:rsid w:val="006228DC"/>
    <w:rsid w:val="00622B66"/>
    <w:rsid w:val="00622BB6"/>
    <w:rsid w:val="00622BE4"/>
    <w:rsid w:val="00622D18"/>
    <w:rsid w:val="00622D28"/>
    <w:rsid w:val="00622E3E"/>
    <w:rsid w:val="00623078"/>
    <w:rsid w:val="006230D6"/>
    <w:rsid w:val="0062312C"/>
    <w:rsid w:val="0062316F"/>
    <w:rsid w:val="0062333D"/>
    <w:rsid w:val="00623381"/>
    <w:rsid w:val="006233A6"/>
    <w:rsid w:val="006233B3"/>
    <w:rsid w:val="0062345F"/>
    <w:rsid w:val="0062358D"/>
    <w:rsid w:val="006235F5"/>
    <w:rsid w:val="00623644"/>
    <w:rsid w:val="0062368D"/>
    <w:rsid w:val="006236B7"/>
    <w:rsid w:val="00623725"/>
    <w:rsid w:val="0062374E"/>
    <w:rsid w:val="0062379B"/>
    <w:rsid w:val="006239EB"/>
    <w:rsid w:val="00623A8F"/>
    <w:rsid w:val="00623AEF"/>
    <w:rsid w:val="00623BBE"/>
    <w:rsid w:val="00623D40"/>
    <w:rsid w:val="00623D4A"/>
    <w:rsid w:val="00623DD2"/>
    <w:rsid w:val="00623DDE"/>
    <w:rsid w:val="00623F28"/>
    <w:rsid w:val="00623F3D"/>
    <w:rsid w:val="00624074"/>
    <w:rsid w:val="00624122"/>
    <w:rsid w:val="006242F9"/>
    <w:rsid w:val="00624307"/>
    <w:rsid w:val="00624358"/>
    <w:rsid w:val="00624368"/>
    <w:rsid w:val="006243C6"/>
    <w:rsid w:val="006243E6"/>
    <w:rsid w:val="0062441C"/>
    <w:rsid w:val="006244C4"/>
    <w:rsid w:val="006244DD"/>
    <w:rsid w:val="0062462A"/>
    <w:rsid w:val="006246CA"/>
    <w:rsid w:val="00624850"/>
    <w:rsid w:val="00624950"/>
    <w:rsid w:val="006249CC"/>
    <w:rsid w:val="00624BE7"/>
    <w:rsid w:val="00624C86"/>
    <w:rsid w:val="00624D25"/>
    <w:rsid w:val="00624DCE"/>
    <w:rsid w:val="00624E91"/>
    <w:rsid w:val="00624F33"/>
    <w:rsid w:val="00624FF1"/>
    <w:rsid w:val="00625027"/>
    <w:rsid w:val="0062502B"/>
    <w:rsid w:val="00625044"/>
    <w:rsid w:val="0062512F"/>
    <w:rsid w:val="00625325"/>
    <w:rsid w:val="0062549E"/>
    <w:rsid w:val="006255BA"/>
    <w:rsid w:val="00625669"/>
    <w:rsid w:val="00625782"/>
    <w:rsid w:val="00625A80"/>
    <w:rsid w:val="00625C01"/>
    <w:rsid w:val="00625DE7"/>
    <w:rsid w:val="00625E0A"/>
    <w:rsid w:val="00625E54"/>
    <w:rsid w:val="00625FBE"/>
    <w:rsid w:val="00625FE8"/>
    <w:rsid w:val="0062628C"/>
    <w:rsid w:val="006262A0"/>
    <w:rsid w:val="006262B5"/>
    <w:rsid w:val="00626425"/>
    <w:rsid w:val="0062648D"/>
    <w:rsid w:val="0062653C"/>
    <w:rsid w:val="0062656A"/>
    <w:rsid w:val="0062656E"/>
    <w:rsid w:val="0062659B"/>
    <w:rsid w:val="006266BF"/>
    <w:rsid w:val="006266E6"/>
    <w:rsid w:val="00626793"/>
    <w:rsid w:val="006268D9"/>
    <w:rsid w:val="00626A61"/>
    <w:rsid w:val="00626C0D"/>
    <w:rsid w:val="00626CC4"/>
    <w:rsid w:val="00626DFF"/>
    <w:rsid w:val="00626E9F"/>
    <w:rsid w:val="00626F03"/>
    <w:rsid w:val="00626F20"/>
    <w:rsid w:val="00626FD8"/>
    <w:rsid w:val="0062711D"/>
    <w:rsid w:val="006271C5"/>
    <w:rsid w:val="00627471"/>
    <w:rsid w:val="006274BD"/>
    <w:rsid w:val="006274E4"/>
    <w:rsid w:val="006274F1"/>
    <w:rsid w:val="00627538"/>
    <w:rsid w:val="00627652"/>
    <w:rsid w:val="006276F2"/>
    <w:rsid w:val="00627888"/>
    <w:rsid w:val="006278C6"/>
    <w:rsid w:val="00627902"/>
    <w:rsid w:val="00627966"/>
    <w:rsid w:val="00627A44"/>
    <w:rsid w:val="00627B89"/>
    <w:rsid w:val="00627C9F"/>
    <w:rsid w:val="00627D44"/>
    <w:rsid w:val="00627DE0"/>
    <w:rsid w:val="00627E2B"/>
    <w:rsid w:val="00627E4F"/>
    <w:rsid w:val="00627ED6"/>
    <w:rsid w:val="00627F0D"/>
    <w:rsid w:val="00627F32"/>
    <w:rsid w:val="00627F62"/>
    <w:rsid w:val="00627FFA"/>
    <w:rsid w:val="006300BB"/>
    <w:rsid w:val="00630113"/>
    <w:rsid w:val="00630231"/>
    <w:rsid w:val="00630294"/>
    <w:rsid w:val="00630365"/>
    <w:rsid w:val="006305E7"/>
    <w:rsid w:val="00630707"/>
    <w:rsid w:val="0063079B"/>
    <w:rsid w:val="0063087F"/>
    <w:rsid w:val="00630A1C"/>
    <w:rsid w:val="00630B0D"/>
    <w:rsid w:val="00630B42"/>
    <w:rsid w:val="00630B80"/>
    <w:rsid w:val="00630B90"/>
    <w:rsid w:val="00630C57"/>
    <w:rsid w:val="00630CE8"/>
    <w:rsid w:val="00630D60"/>
    <w:rsid w:val="00630D90"/>
    <w:rsid w:val="00630DA1"/>
    <w:rsid w:val="00630E8A"/>
    <w:rsid w:val="00630E9D"/>
    <w:rsid w:val="00630FD9"/>
    <w:rsid w:val="0063115F"/>
    <w:rsid w:val="006311A0"/>
    <w:rsid w:val="006311DA"/>
    <w:rsid w:val="006312BE"/>
    <w:rsid w:val="00631454"/>
    <w:rsid w:val="006314BA"/>
    <w:rsid w:val="006314CA"/>
    <w:rsid w:val="00631513"/>
    <w:rsid w:val="006316CE"/>
    <w:rsid w:val="00631802"/>
    <w:rsid w:val="00631895"/>
    <w:rsid w:val="00631898"/>
    <w:rsid w:val="006319AF"/>
    <w:rsid w:val="006319DB"/>
    <w:rsid w:val="006319F8"/>
    <w:rsid w:val="00631A04"/>
    <w:rsid w:val="00631A30"/>
    <w:rsid w:val="00631B3B"/>
    <w:rsid w:val="00631C15"/>
    <w:rsid w:val="00631C5D"/>
    <w:rsid w:val="00631D41"/>
    <w:rsid w:val="00631E2A"/>
    <w:rsid w:val="00631ECC"/>
    <w:rsid w:val="00631ED1"/>
    <w:rsid w:val="00631F1D"/>
    <w:rsid w:val="00631F43"/>
    <w:rsid w:val="00631FCD"/>
    <w:rsid w:val="006323CB"/>
    <w:rsid w:val="00632420"/>
    <w:rsid w:val="006324DC"/>
    <w:rsid w:val="0063255E"/>
    <w:rsid w:val="006325E4"/>
    <w:rsid w:val="00632645"/>
    <w:rsid w:val="006326D7"/>
    <w:rsid w:val="006327CC"/>
    <w:rsid w:val="00632AEB"/>
    <w:rsid w:val="00632B93"/>
    <w:rsid w:val="00632B99"/>
    <w:rsid w:val="00632BFE"/>
    <w:rsid w:val="00632C68"/>
    <w:rsid w:val="00632D77"/>
    <w:rsid w:val="00632D9D"/>
    <w:rsid w:val="00632DE7"/>
    <w:rsid w:val="00632E33"/>
    <w:rsid w:val="00632EDC"/>
    <w:rsid w:val="0063319E"/>
    <w:rsid w:val="00633236"/>
    <w:rsid w:val="0063329E"/>
    <w:rsid w:val="0063329F"/>
    <w:rsid w:val="00633403"/>
    <w:rsid w:val="00633447"/>
    <w:rsid w:val="0063346D"/>
    <w:rsid w:val="006335A7"/>
    <w:rsid w:val="00633607"/>
    <w:rsid w:val="006336A2"/>
    <w:rsid w:val="00633764"/>
    <w:rsid w:val="006337AE"/>
    <w:rsid w:val="006337FC"/>
    <w:rsid w:val="006338F6"/>
    <w:rsid w:val="00633992"/>
    <w:rsid w:val="00633B74"/>
    <w:rsid w:val="00633BA9"/>
    <w:rsid w:val="00633BD0"/>
    <w:rsid w:val="00633C4C"/>
    <w:rsid w:val="00633C71"/>
    <w:rsid w:val="00633D41"/>
    <w:rsid w:val="00633DB4"/>
    <w:rsid w:val="00633FB8"/>
    <w:rsid w:val="006340B1"/>
    <w:rsid w:val="0063434B"/>
    <w:rsid w:val="00634439"/>
    <w:rsid w:val="00634461"/>
    <w:rsid w:val="0063447F"/>
    <w:rsid w:val="0063449A"/>
    <w:rsid w:val="006344D5"/>
    <w:rsid w:val="006345D7"/>
    <w:rsid w:val="006345F2"/>
    <w:rsid w:val="00634659"/>
    <w:rsid w:val="00634787"/>
    <w:rsid w:val="006347A0"/>
    <w:rsid w:val="006347E9"/>
    <w:rsid w:val="0063492B"/>
    <w:rsid w:val="0063498F"/>
    <w:rsid w:val="006349BA"/>
    <w:rsid w:val="00634A19"/>
    <w:rsid w:val="00634A78"/>
    <w:rsid w:val="00634BBE"/>
    <w:rsid w:val="00634BEB"/>
    <w:rsid w:val="00634CA4"/>
    <w:rsid w:val="00634CFD"/>
    <w:rsid w:val="00635115"/>
    <w:rsid w:val="0063516E"/>
    <w:rsid w:val="00635179"/>
    <w:rsid w:val="00635284"/>
    <w:rsid w:val="006352EE"/>
    <w:rsid w:val="00635356"/>
    <w:rsid w:val="00635508"/>
    <w:rsid w:val="006355D0"/>
    <w:rsid w:val="0063560F"/>
    <w:rsid w:val="00635690"/>
    <w:rsid w:val="00635733"/>
    <w:rsid w:val="0063576A"/>
    <w:rsid w:val="006357B3"/>
    <w:rsid w:val="006357E0"/>
    <w:rsid w:val="006357F2"/>
    <w:rsid w:val="0063584D"/>
    <w:rsid w:val="0063591A"/>
    <w:rsid w:val="00635AD5"/>
    <w:rsid w:val="00635BEC"/>
    <w:rsid w:val="00635E6A"/>
    <w:rsid w:val="00635E6F"/>
    <w:rsid w:val="00635EC1"/>
    <w:rsid w:val="00636098"/>
    <w:rsid w:val="00636113"/>
    <w:rsid w:val="00636155"/>
    <w:rsid w:val="00636187"/>
    <w:rsid w:val="006361D1"/>
    <w:rsid w:val="00636320"/>
    <w:rsid w:val="0063636E"/>
    <w:rsid w:val="006363E0"/>
    <w:rsid w:val="0063647F"/>
    <w:rsid w:val="006364B4"/>
    <w:rsid w:val="00636551"/>
    <w:rsid w:val="00636597"/>
    <w:rsid w:val="006366A8"/>
    <w:rsid w:val="0063696D"/>
    <w:rsid w:val="006369BB"/>
    <w:rsid w:val="00636A5F"/>
    <w:rsid w:val="00636A8C"/>
    <w:rsid w:val="00636AA0"/>
    <w:rsid w:val="00636B42"/>
    <w:rsid w:val="00636B91"/>
    <w:rsid w:val="00636BBA"/>
    <w:rsid w:val="00636C1F"/>
    <w:rsid w:val="00636C40"/>
    <w:rsid w:val="00636C61"/>
    <w:rsid w:val="00636CC2"/>
    <w:rsid w:val="00636D68"/>
    <w:rsid w:val="00636DB3"/>
    <w:rsid w:val="00636F4C"/>
    <w:rsid w:val="006370AB"/>
    <w:rsid w:val="0063719F"/>
    <w:rsid w:val="006372DC"/>
    <w:rsid w:val="006372E6"/>
    <w:rsid w:val="00637359"/>
    <w:rsid w:val="0063739E"/>
    <w:rsid w:val="006373AD"/>
    <w:rsid w:val="00637409"/>
    <w:rsid w:val="006374AA"/>
    <w:rsid w:val="006374DB"/>
    <w:rsid w:val="0063754A"/>
    <w:rsid w:val="00637586"/>
    <w:rsid w:val="00637645"/>
    <w:rsid w:val="00637670"/>
    <w:rsid w:val="0063786A"/>
    <w:rsid w:val="00637B9E"/>
    <w:rsid w:val="00637C19"/>
    <w:rsid w:val="00637C35"/>
    <w:rsid w:val="00637C3B"/>
    <w:rsid w:val="00637D89"/>
    <w:rsid w:val="00637E13"/>
    <w:rsid w:val="00637F28"/>
    <w:rsid w:val="00637F5B"/>
    <w:rsid w:val="00637F83"/>
    <w:rsid w:val="00637FC6"/>
    <w:rsid w:val="00637FDB"/>
    <w:rsid w:val="00640005"/>
    <w:rsid w:val="0064001B"/>
    <w:rsid w:val="0064013F"/>
    <w:rsid w:val="006401FB"/>
    <w:rsid w:val="00640295"/>
    <w:rsid w:val="006402FC"/>
    <w:rsid w:val="00640376"/>
    <w:rsid w:val="006403D2"/>
    <w:rsid w:val="006404E7"/>
    <w:rsid w:val="006405CB"/>
    <w:rsid w:val="0064063D"/>
    <w:rsid w:val="00640657"/>
    <w:rsid w:val="0064083E"/>
    <w:rsid w:val="00640995"/>
    <w:rsid w:val="006409C9"/>
    <w:rsid w:val="006409D3"/>
    <w:rsid w:val="006409E1"/>
    <w:rsid w:val="00640ABD"/>
    <w:rsid w:val="00640AFB"/>
    <w:rsid w:val="00640B3D"/>
    <w:rsid w:val="00640BCF"/>
    <w:rsid w:val="00640C7C"/>
    <w:rsid w:val="00640E4F"/>
    <w:rsid w:val="00640E85"/>
    <w:rsid w:val="00640EA9"/>
    <w:rsid w:val="00640ECC"/>
    <w:rsid w:val="00640EEF"/>
    <w:rsid w:val="00640FBA"/>
    <w:rsid w:val="00641053"/>
    <w:rsid w:val="00641075"/>
    <w:rsid w:val="006410CB"/>
    <w:rsid w:val="00641206"/>
    <w:rsid w:val="00641268"/>
    <w:rsid w:val="006413EF"/>
    <w:rsid w:val="00641403"/>
    <w:rsid w:val="0064176D"/>
    <w:rsid w:val="0064187A"/>
    <w:rsid w:val="00641934"/>
    <w:rsid w:val="00641955"/>
    <w:rsid w:val="00641957"/>
    <w:rsid w:val="00641B08"/>
    <w:rsid w:val="00641B88"/>
    <w:rsid w:val="00641C22"/>
    <w:rsid w:val="00641C29"/>
    <w:rsid w:val="00641CB0"/>
    <w:rsid w:val="00641D65"/>
    <w:rsid w:val="00641E76"/>
    <w:rsid w:val="00641E77"/>
    <w:rsid w:val="00641F4C"/>
    <w:rsid w:val="00642147"/>
    <w:rsid w:val="006421F0"/>
    <w:rsid w:val="006423C9"/>
    <w:rsid w:val="0064240A"/>
    <w:rsid w:val="00642418"/>
    <w:rsid w:val="00642470"/>
    <w:rsid w:val="00642596"/>
    <w:rsid w:val="0064283A"/>
    <w:rsid w:val="0064285C"/>
    <w:rsid w:val="00642892"/>
    <w:rsid w:val="00642897"/>
    <w:rsid w:val="0064290B"/>
    <w:rsid w:val="006429FC"/>
    <w:rsid w:val="00642AAE"/>
    <w:rsid w:val="00642BA4"/>
    <w:rsid w:val="00642C33"/>
    <w:rsid w:val="00642C52"/>
    <w:rsid w:val="00642CDB"/>
    <w:rsid w:val="00642DBF"/>
    <w:rsid w:val="00642E08"/>
    <w:rsid w:val="00642E28"/>
    <w:rsid w:val="00642E3F"/>
    <w:rsid w:val="00643065"/>
    <w:rsid w:val="0064307D"/>
    <w:rsid w:val="006430C8"/>
    <w:rsid w:val="00643187"/>
    <w:rsid w:val="0064329F"/>
    <w:rsid w:val="00643330"/>
    <w:rsid w:val="006433DD"/>
    <w:rsid w:val="006434F7"/>
    <w:rsid w:val="006435AC"/>
    <w:rsid w:val="00643725"/>
    <w:rsid w:val="0064393A"/>
    <w:rsid w:val="00643A33"/>
    <w:rsid w:val="00643B53"/>
    <w:rsid w:val="00643BE6"/>
    <w:rsid w:val="00643D00"/>
    <w:rsid w:val="00643D1D"/>
    <w:rsid w:val="00643DDA"/>
    <w:rsid w:val="00643E78"/>
    <w:rsid w:val="00643ED7"/>
    <w:rsid w:val="00644406"/>
    <w:rsid w:val="00644467"/>
    <w:rsid w:val="00644535"/>
    <w:rsid w:val="006445F0"/>
    <w:rsid w:val="00644608"/>
    <w:rsid w:val="006446A4"/>
    <w:rsid w:val="00644740"/>
    <w:rsid w:val="00644742"/>
    <w:rsid w:val="00644A25"/>
    <w:rsid w:val="00644AC3"/>
    <w:rsid w:val="00644AFD"/>
    <w:rsid w:val="00644B09"/>
    <w:rsid w:val="00644BA2"/>
    <w:rsid w:val="00644CC1"/>
    <w:rsid w:val="00644F4C"/>
    <w:rsid w:val="00645061"/>
    <w:rsid w:val="006450CB"/>
    <w:rsid w:val="0064510D"/>
    <w:rsid w:val="006451E2"/>
    <w:rsid w:val="0064520E"/>
    <w:rsid w:val="00645256"/>
    <w:rsid w:val="006452C9"/>
    <w:rsid w:val="006452E4"/>
    <w:rsid w:val="0064545C"/>
    <w:rsid w:val="00645579"/>
    <w:rsid w:val="006455A6"/>
    <w:rsid w:val="0064575F"/>
    <w:rsid w:val="006457C8"/>
    <w:rsid w:val="006457F5"/>
    <w:rsid w:val="006459AA"/>
    <w:rsid w:val="00645AAF"/>
    <w:rsid w:val="00645CE9"/>
    <w:rsid w:val="00645E44"/>
    <w:rsid w:val="00645F13"/>
    <w:rsid w:val="0064615F"/>
    <w:rsid w:val="006463B1"/>
    <w:rsid w:val="0064643B"/>
    <w:rsid w:val="006466D3"/>
    <w:rsid w:val="00646754"/>
    <w:rsid w:val="0064684B"/>
    <w:rsid w:val="006468C3"/>
    <w:rsid w:val="006468D0"/>
    <w:rsid w:val="00646938"/>
    <w:rsid w:val="00646F05"/>
    <w:rsid w:val="0064700D"/>
    <w:rsid w:val="006470AE"/>
    <w:rsid w:val="00647265"/>
    <w:rsid w:val="00647325"/>
    <w:rsid w:val="0064736A"/>
    <w:rsid w:val="006473D6"/>
    <w:rsid w:val="00647561"/>
    <w:rsid w:val="0064766C"/>
    <w:rsid w:val="0064779B"/>
    <w:rsid w:val="00647927"/>
    <w:rsid w:val="00647A10"/>
    <w:rsid w:val="00647A5D"/>
    <w:rsid w:val="00647AB9"/>
    <w:rsid w:val="00647AFE"/>
    <w:rsid w:val="00647B2E"/>
    <w:rsid w:val="00647BE5"/>
    <w:rsid w:val="00647C39"/>
    <w:rsid w:val="00647C9A"/>
    <w:rsid w:val="00647DF5"/>
    <w:rsid w:val="00647E21"/>
    <w:rsid w:val="00647EA8"/>
    <w:rsid w:val="00647F9C"/>
    <w:rsid w:val="00647FE7"/>
    <w:rsid w:val="00650099"/>
    <w:rsid w:val="006500A6"/>
    <w:rsid w:val="006501E9"/>
    <w:rsid w:val="006502CD"/>
    <w:rsid w:val="006503E2"/>
    <w:rsid w:val="0065040B"/>
    <w:rsid w:val="0065049F"/>
    <w:rsid w:val="0065051A"/>
    <w:rsid w:val="006505B6"/>
    <w:rsid w:val="006505C3"/>
    <w:rsid w:val="006506AC"/>
    <w:rsid w:val="00650738"/>
    <w:rsid w:val="00650763"/>
    <w:rsid w:val="006507BD"/>
    <w:rsid w:val="00650801"/>
    <w:rsid w:val="0065085A"/>
    <w:rsid w:val="006508CC"/>
    <w:rsid w:val="006508E2"/>
    <w:rsid w:val="006508FC"/>
    <w:rsid w:val="00650943"/>
    <w:rsid w:val="00650963"/>
    <w:rsid w:val="006509C5"/>
    <w:rsid w:val="00650A3D"/>
    <w:rsid w:val="00650BAB"/>
    <w:rsid w:val="00650BC8"/>
    <w:rsid w:val="00650D99"/>
    <w:rsid w:val="0065100E"/>
    <w:rsid w:val="00651112"/>
    <w:rsid w:val="00651127"/>
    <w:rsid w:val="00651539"/>
    <w:rsid w:val="006515E9"/>
    <w:rsid w:val="00651619"/>
    <w:rsid w:val="00651726"/>
    <w:rsid w:val="00651784"/>
    <w:rsid w:val="006517A1"/>
    <w:rsid w:val="00651833"/>
    <w:rsid w:val="006519C9"/>
    <w:rsid w:val="006519F8"/>
    <w:rsid w:val="00651A75"/>
    <w:rsid w:val="00651AE1"/>
    <w:rsid w:val="00651B0E"/>
    <w:rsid w:val="00651BF4"/>
    <w:rsid w:val="00651DC7"/>
    <w:rsid w:val="00651E11"/>
    <w:rsid w:val="00651E76"/>
    <w:rsid w:val="00651EB4"/>
    <w:rsid w:val="00651FA0"/>
    <w:rsid w:val="00652170"/>
    <w:rsid w:val="00652357"/>
    <w:rsid w:val="006523ED"/>
    <w:rsid w:val="00652590"/>
    <w:rsid w:val="006525B7"/>
    <w:rsid w:val="006525ED"/>
    <w:rsid w:val="006526FA"/>
    <w:rsid w:val="00652878"/>
    <w:rsid w:val="00652945"/>
    <w:rsid w:val="006529B6"/>
    <w:rsid w:val="00652A67"/>
    <w:rsid w:val="00652C3B"/>
    <w:rsid w:val="00652CC1"/>
    <w:rsid w:val="00652D3E"/>
    <w:rsid w:val="00652D51"/>
    <w:rsid w:val="00652D59"/>
    <w:rsid w:val="00652EBF"/>
    <w:rsid w:val="00652EC3"/>
    <w:rsid w:val="006530D6"/>
    <w:rsid w:val="006530F5"/>
    <w:rsid w:val="006531A4"/>
    <w:rsid w:val="0065327F"/>
    <w:rsid w:val="0065329A"/>
    <w:rsid w:val="006533B0"/>
    <w:rsid w:val="006534D3"/>
    <w:rsid w:val="00653713"/>
    <w:rsid w:val="006538C0"/>
    <w:rsid w:val="00653900"/>
    <w:rsid w:val="00653B73"/>
    <w:rsid w:val="00653B80"/>
    <w:rsid w:val="00653C97"/>
    <w:rsid w:val="00653E79"/>
    <w:rsid w:val="00654011"/>
    <w:rsid w:val="00654051"/>
    <w:rsid w:val="006540C3"/>
    <w:rsid w:val="006541BC"/>
    <w:rsid w:val="00654263"/>
    <w:rsid w:val="006543C8"/>
    <w:rsid w:val="006544AF"/>
    <w:rsid w:val="006544CD"/>
    <w:rsid w:val="006545BD"/>
    <w:rsid w:val="006545DE"/>
    <w:rsid w:val="006547F7"/>
    <w:rsid w:val="0065489C"/>
    <w:rsid w:val="00654A12"/>
    <w:rsid w:val="00654AD4"/>
    <w:rsid w:val="00654B65"/>
    <w:rsid w:val="00654BC6"/>
    <w:rsid w:val="00654BDB"/>
    <w:rsid w:val="00654D2E"/>
    <w:rsid w:val="00654E37"/>
    <w:rsid w:val="00654FC5"/>
    <w:rsid w:val="00654FED"/>
    <w:rsid w:val="006550A9"/>
    <w:rsid w:val="00655129"/>
    <w:rsid w:val="0065512A"/>
    <w:rsid w:val="00655180"/>
    <w:rsid w:val="0065521A"/>
    <w:rsid w:val="0065529D"/>
    <w:rsid w:val="006552E0"/>
    <w:rsid w:val="00655330"/>
    <w:rsid w:val="006553F7"/>
    <w:rsid w:val="00655452"/>
    <w:rsid w:val="006554CD"/>
    <w:rsid w:val="006554EC"/>
    <w:rsid w:val="006556EA"/>
    <w:rsid w:val="00655751"/>
    <w:rsid w:val="0065587C"/>
    <w:rsid w:val="00655934"/>
    <w:rsid w:val="0065598E"/>
    <w:rsid w:val="00655A80"/>
    <w:rsid w:val="00655AFB"/>
    <w:rsid w:val="00655AFC"/>
    <w:rsid w:val="00655B2B"/>
    <w:rsid w:val="00655C56"/>
    <w:rsid w:val="00655D9E"/>
    <w:rsid w:val="00655E3E"/>
    <w:rsid w:val="00655EBA"/>
    <w:rsid w:val="00655EFC"/>
    <w:rsid w:val="00655F1D"/>
    <w:rsid w:val="00655FE4"/>
    <w:rsid w:val="0065610A"/>
    <w:rsid w:val="00656156"/>
    <w:rsid w:val="00656194"/>
    <w:rsid w:val="006561A4"/>
    <w:rsid w:val="006561C5"/>
    <w:rsid w:val="00656243"/>
    <w:rsid w:val="00656282"/>
    <w:rsid w:val="00656376"/>
    <w:rsid w:val="006563AA"/>
    <w:rsid w:val="00656430"/>
    <w:rsid w:val="00656484"/>
    <w:rsid w:val="006564D7"/>
    <w:rsid w:val="00656614"/>
    <w:rsid w:val="006567B1"/>
    <w:rsid w:val="006568FA"/>
    <w:rsid w:val="0065698A"/>
    <w:rsid w:val="00656C34"/>
    <w:rsid w:val="00656C63"/>
    <w:rsid w:val="00656D88"/>
    <w:rsid w:val="00656DE9"/>
    <w:rsid w:val="00656F1B"/>
    <w:rsid w:val="006570B2"/>
    <w:rsid w:val="0065717E"/>
    <w:rsid w:val="00657250"/>
    <w:rsid w:val="006572DB"/>
    <w:rsid w:val="00657378"/>
    <w:rsid w:val="0065739B"/>
    <w:rsid w:val="006573B5"/>
    <w:rsid w:val="0065741E"/>
    <w:rsid w:val="00657459"/>
    <w:rsid w:val="00657538"/>
    <w:rsid w:val="00657858"/>
    <w:rsid w:val="00657860"/>
    <w:rsid w:val="006578CE"/>
    <w:rsid w:val="00657905"/>
    <w:rsid w:val="00657A5E"/>
    <w:rsid w:val="00657A93"/>
    <w:rsid w:val="00657B2F"/>
    <w:rsid w:val="00657B53"/>
    <w:rsid w:val="00657BB5"/>
    <w:rsid w:val="00657BB6"/>
    <w:rsid w:val="00657C1B"/>
    <w:rsid w:val="00657C49"/>
    <w:rsid w:val="00657DF6"/>
    <w:rsid w:val="0066005D"/>
    <w:rsid w:val="00660182"/>
    <w:rsid w:val="00660342"/>
    <w:rsid w:val="006604A7"/>
    <w:rsid w:val="006604AD"/>
    <w:rsid w:val="006604B0"/>
    <w:rsid w:val="00660515"/>
    <w:rsid w:val="0066060F"/>
    <w:rsid w:val="006606BE"/>
    <w:rsid w:val="006606DF"/>
    <w:rsid w:val="00660733"/>
    <w:rsid w:val="006608EE"/>
    <w:rsid w:val="0066094C"/>
    <w:rsid w:val="00660956"/>
    <w:rsid w:val="006609D3"/>
    <w:rsid w:val="00660B61"/>
    <w:rsid w:val="00660B76"/>
    <w:rsid w:val="00660C40"/>
    <w:rsid w:val="00660C94"/>
    <w:rsid w:val="00660D48"/>
    <w:rsid w:val="00660D72"/>
    <w:rsid w:val="00660EAB"/>
    <w:rsid w:val="00660EBF"/>
    <w:rsid w:val="00660F41"/>
    <w:rsid w:val="006610DA"/>
    <w:rsid w:val="00661145"/>
    <w:rsid w:val="0066130E"/>
    <w:rsid w:val="00661334"/>
    <w:rsid w:val="00661361"/>
    <w:rsid w:val="00661443"/>
    <w:rsid w:val="006614A7"/>
    <w:rsid w:val="006614B9"/>
    <w:rsid w:val="00661501"/>
    <w:rsid w:val="006615F2"/>
    <w:rsid w:val="00661648"/>
    <w:rsid w:val="00661758"/>
    <w:rsid w:val="00661783"/>
    <w:rsid w:val="00661894"/>
    <w:rsid w:val="00661969"/>
    <w:rsid w:val="00661971"/>
    <w:rsid w:val="00661A0B"/>
    <w:rsid w:val="00661B57"/>
    <w:rsid w:val="00661BD0"/>
    <w:rsid w:val="00661F99"/>
    <w:rsid w:val="00661FA7"/>
    <w:rsid w:val="00661FAB"/>
    <w:rsid w:val="00662029"/>
    <w:rsid w:val="00662073"/>
    <w:rsid w:val="0066217B"/>
    <w:rsid w:val="006621EC"/>
    <w:rsid w:val="0066225A"/>
    <w:rsid w:val="006622C0"/>
    <w:rsid w:val="00662583"/>
    <w:rsid w:val="006625FB"/>
    <w:rsid w:val="006629A9"/>
    <w:rsid w:val="00662A42"/>
    <w:rsid w:val="00662A9D"/>
    <w:rsid w:val="00662AC8"/>
    <w:rsid w:val="00662C38"/>
    <w:rsid w:val="00662CB6"/>
    <w:rsid w:val="00662D6D"/>
    <w:rsid w:val="00662E2F"/>
    <w:rsid w:val="00662EB6"/>
    <w:rsid w:val="00662FEB"/>
    <w:rsid w:val="00663054"/>
    <w:rsid w:val="006630B6"/>
    <w:rsid w:val="0066323C"/>
    <w:rsid w:val="00663258"/>
    <w:rsid w:val="00663261"/>
    <w:rsid w:val="006632B0"/>
    <w:rsid w:val="006632D9"/>
    <w:rsid w:val="006632ED"/>
    <w:rsid w:val="006632F4"/>
    <w:rsid w:val="006634B4"/>
    <w:rsid w:val="00663579"/>
    <w:rsid w:val="00663688"/>
    <w:rsid w:val="006636D9"/>
    <w:rsid w:val="00663798"/>
    <w:rsid w:val="00663898"/>
    <w:rsid w:val="0066389C"/>
    <w:rsid w:val="00663A6B"/>
    <w:rsid w:val="00663B29"/>
    <w:rsid w:val="00663B96"/>
    <w:rsid w:val="00663D06"/>
    <w:rsid w:val="00663D7E"/>
    <w:rsid w:val="00663D8B"/>
    <w:rsid w:val="00664073"/>
    <w:rsid w:val="006640E2"/>
    <w:rsid w:val="006642C8"/>
    <w:rsid w:val="006643E9"/>
    <w:rsid w:val="00664400"/>
    <w:rsid w:val="006644B1"/>
    <w:rsid w:val="006644C6"/>
    <w:rsid w:val="00664530"/>
    <w:rsid w:val="006645A1"/>
    <w:rsid w:val="006646F5"/>
    <w:rsid w:val="0066473B"/>
    <w:rsid w:val="00664747"/>
    <w:rsid w:val="00664751"/>
    <w:rsid w:val="006647D1"/>
    <w:rsid w:val="00664832"/>
    <w:rsid w:val="0066494D"/>
    <w:rsid w:val="006649D2"/>
    <w:rsid w:val="00664A30"/>
    <w:rsid w:val="00664C78"/>
    <w:rsid w:val="00664C81"/>
    <w:rsid w:val="00664E0C"/>
    <w:rsid w:val="00664E3F"/>
    <w:rsid w:val="00664E9C"/>
    <w:rsid w:val="00664ECA"/>
    <w:rsid w:val="00664F55"/>
    <w:rsid w:val="00664F71"/>
    <w:rsid w:val="00664FC0"/>
    <w:rsid w:val="00664FDE"/>
    <w:rsid w:val="00665118"/>
    <w:rsid w:val="006651CF"/>
    <w:rsid w:val="00665280"/>
    <w:rsid w:val="0066528A"/>
    <w:rsid w:val="00665584"/>
    <w:rsid w:val="00665703"/>
    <w:rsid w:val="006657CC"/>
    <w:rsid w:val="00665853"/>
    <w:rsid w:val="006658D9"/>
    <w:rsid w:val="006658ED"/>
    <w:rsid w:val="00665A34"/>
    <w:rsid w:val="00665B4C"/>
    <w:rsid w:val="00665B7D"/>
    <w:rsid w:val="00665BEB"/>
    <w:rsid w:val="00665C0E"/>
    <w:rsid w:val="00665C2F"/>
    <w:rsid w:val="00665C45"/>
    <w:rsid w:val="00665C83"/>
    <w:rsid w:val="00665CA3"/>
    <w:rsid w:val="00665CBC"/>
    <w:rsid w:val="00665D49"/>
    <w:rsid w:val="00665D57"/>
    <w:rsid w:val="00665D80"/>
    <w:rsid w:val="00666015"/>
    <w:rsid w:val="006661A4"/>
    <w:rsid w:val="006661D9"/>
    <w:rsid w:val="00666283"/>
    <w:rsid w:val="00666390"/>
    <w:rsid w:val="006665AE"/>
    <w:rsid w:val="006665B6"/>
    <w:rsid w:val="0066668A"/>
    <w:rsid w:val="006666B7"/>
    <w:rsid w:val="006669EF"/>
    <w:rsid w:val="00666A00"/>
    <w:rsid w:val="00666A7A"/>
    <w:rsid w:val="00666B1E"/>
    <w:rsid w:val="00666B40"/>
    <w:rsid w:val="00666C4E"/>
    <w:rsid w:val="00666D42"/>
    <w:rsid w:val="00666DD2"/>
    <w:rsid w:val="0066707F"/>
    <w:rsid w:val="0066715E"/>
    <w:rsid w:val="006672BD"/>
    <w:rsid w:val="006672EC"/>
    <w:rsid w:val="006673B8"/>
    <w:rsid w:val="006674CA"/>
    <w:rsid w:val="00667599"/>
    <w:rsid w:val="00667622"/>
    <w:rsid w:val="006676C6"/>
    <w:rsid w:val="006676CE"/>
    <w:rsid w:val="0066776D"/>
    <w:rsid w:val="00667844"/>
    <w:rsid w:val="00667857"/>
    <w:rsid w:val="00667902"/>
    <w:rsid w:val="006679A8"/>
    <w:rsid w:val="006679AC"/>
    <w:rsid w:val="00667B25"/>
    <w:rsid w:val="00667B41"/>
    <w:rsid w:val="00667BE4"/>
    <w:rsid w:val="00667D6B"/>
    <w:rsid w:val="00667D97"/>
    <w:rsid w:val="00667DB6"/>
    <w:rsid w:val="00667E39"/>
    <w:rsid w:val="00667E5A"/>
    <w:rsid w:val="00670177"/>
    <w:rsid w:val="00670198"/>
    <w:rsid w:val="0067046B"/>
    <w:rsid w:val="0067048B"/>
    <w:rsid w:val="006704D8"/>
    <w:rsid w:val="006705AE"/>
    <w:rsid w:val="00670893"/>
    <w:rsid w:val="006708C4"/>
    <w:rsid w:val="006708DD"/>
    <w:rsid w:val="00670908"/>
    <w:rsid w:val="0067094B"/>
    <w:rsid w:val="00670A42"/>
    <w:rsid w:val="00670B20"/>
    <w:rsid w:val="00670BAE"/>
    <w:rsid w:val="00670CEB"/>
    <w:rsid w:val="00670CF0"/>
    <w:rsid w:val="00670E33"/>
    <w:rsid w:val="00670E4D"/>
    <w:rsid w:val="00670E9E"/>
    <w:rsid w:val="00670FCA"/>
    <w:rsid w:val="0067104D"/>
    <w:rsid w:val="00671051"/>
    <w:rsid w:val="006710C4"/>
    <w:rsid w:val="006711C7"/>
    <w:rsid w:val="006713C5"/>
    <w:rsid w:val="0067155B"/>
    <w:rsid w:val="0067156B"/>
    <w:rsid w:val="00671596"/>
    <w:rsid w:val="00671741"/>
    <w:rsid w:val="00671835"/>
    <w:rsid w:val="006719B9"/>
    <w:rsid w:val="00671C17"/>
    <w:rsid w:val="00671C9B"/>
    <w:rsid w:val="00671DF8"/>
    <w:rsid w:val="00671E09"/>
    <w:rsid w:val="006720A0"/>
    <w:rsid w:val="006720E9"/>
    <w:rsid w:val="006720F2"/>
    <w:rsid w:val="00672124"/>
    <w:rsid w:val="00672163"/>
    <w:rsid w:val="006722CD"/>
    <w:rsid w:val="006724C3"/>
    <w:rsid w:val="0067263C"/>
    <w:rsid w:val="006726DC"/>
    <w:rsid w:val="0067281A"/>
    <w:rsid w:val="006728D7"/>
    <w:rsid w:val="00672905"/>
    <w:rsid w:val="0067297F"/>
    <w:rsid w:val="00672A32"/>
    <w:rsid w:val="00672ABB"/>
    <w:rsid w:val="00672B4D"/>
    <w:rsid w:val="00672B94"/>
    <w:rsid w:val="00672BFC"/>
    <w:rsid w:val="00672D33"/>
    <w:rsid w:val="00672F91"/>
    <w:rsid w:val="00673002"/>
    <w:rsid w:val="00673082"/>
    <w:rsid w:val="00673090"/>
    <w:rsid w:val="0067315A"/>
    <w:rsid w:val="00673183"/>
    <w:rsid w:val="006731F2"/>
    <w:rsid w:val="00673207"/>
    <w:rsid w:val="006733A4"/>
    <w:rsid w:val="006733AF"/>
    <w:rsid w:val="006734E4"/>
    <w:rsid w:val="006734EE"/>
    <w:rsid w:val="006737E3"/>
    <w:rsid w:val="00673837"/>
    <w:rsid w:val="00673867"/>
    <w:rsid w:val="00673A72"/>
    <w:rsid w:val="00673A82"/>
    <w:rsid w:val="00673AD7"/>
    <w:rsid w:val="00673AE9"/>
    <w:rsid w:val="00673B2C"/>
    <w:rsid w:val="00673B5A"/>
    <w:rsid w:val="00673BDE"/>
    <w:rsid w:val="00673C1C"/>
    <w:rsid w:val="00673C93"/>
    <w:rsid w:val="00673CF7"/>
    <w:rsid w:val="00673D17"/>
    <w:rsid w:val="00673D72"/>
    <w:rsid w:val="00673DAC"/>
    <w:rsid w:val="00673E78"/>
    <w:rsid w:val="00673E83"/>
    <w:rsid w:val="00673EA3"/>
    <w:rsid w:val="00673F9C"/>
    <w:rsid w:val="00673FC8"/>
    <w:rsid w:val="006741CC"/>
    <w:rsid w:val="0067421F"/>
    <w:rsid w:val="006742B0"/>
    <w:rsid w:val="00674338"/>
    <w:rsid w:val="00674377"/>
    <w:rsid w:val="0067440F"/>
    <w:rsid w:val="00674474"/>
    <w:rsid w:val="006744AE"/>
    <w:rsid w:val="00674530"/>
    <w:rsid w:val="00674706"/>
    <w:rsid w:val="00674760"/>
    <w:rsid w:val="006747C4"/>
    <w:rsid w:val="00674860"/>
    <w:rsid w:val="00674868"/>
    <w:rsid w:val="006748AF"/>
    <w:rsid w:val="0067497C"/>
    <w:rsid w:val="006749DD"/>
    <w:rsid w:val="00674BBD"/>
    <w:rsid w:val="00674C1E"/>
    <w:rsid w:val="00674C61"/>
    <w:rsid w:val="00674D25"/>
    <w:rsid w:val="00674D7E"/>
    <w:rsid w:val="00674DEB"/>
    <w:rsid w:val="00674EE8"/>
    <w:rsid w:val="006750E2"/>
    <w:rsid w:val="006750EA"/>
    <w:rsid w:val="00675142"/>
    <w:rsid w:val="006751B4"/>
    <w:rsid w:val="006751BB"/>
    <w:rsid w:val="006751C1"/>
    <w:rsid w:val="0067520E"/>
    <w:rsid w:val="0067521E"/>
    <w:rsid w:val="0067534F"/>
    <w:rsid w:val="006753A9"/>
    <w:rsid w:val="00675545"/>
    <w:rsid w:val="006756EB"/>
    <w:rsid w:val="006758CE"/>
    <w:rsid w:val="00675AA9"/>
    <w:rsid w:val="00675C04"/>
    <w:rsid w:val="00675CA4"/>
    <w:rsid w:val="00675D40"/>
    <w:rsid w:val="00675D73"/>
    <w:rsid w:val="00675E95"/>
    <w:rsid w:val="00675F93"/>
    <w:rsid w:val="00675FD7"/>
    <w:rsid w:val="00675FFE"/>
    <w:rsid w:val="00676093"/>
    <w:rsid w:val="006760D7"/>
    <w:rsid w:val="00676142"/>
    <w:rsid w:val="00676186"/>
    <w:rsid w:val="00676288"/>
    <w:rsid w:val="006762AB"/>
    <w:rsid w:val="0067636A"/>
    <w:rsid w:val="00676444"/>
    <w:rsid w:val="0067645D"/>
    <w:rsid w:val="00676676"/>
    <w:rsid w:val="006767C8"/>
    <w:rsid w:val="0067682D"/>
    <w:rsid w:val="00676962"/>
    <w:rsid w:val="00676A13"/>
    <w:rsid w:val="00676B6F"/>
    <w:rsid w:val="00676BA4"/>
    <w:rsid w:val="00676BE0"/>
    <w:rsid w:val="00676C00"/>
    <w:rsid w:val="00676C24"/>
    <w:rsid w:val="00676C7F"/>
    <w:rsid w:val="00676CE0"/>
    <w:rsid w:val="00676D14"/>
    <w:rsid w:val="00676D22"/>
    <w:rsid w:val="00676DBE"/>
    <w:rsid w:val="00676E73"/>
    <w:rsid w:val="00676E82"/>
    <w:rsid w:val="00676E8A"/>
    <w:rsid w:val="00676F4B"/>
    <w:rsid w:val="00677137"/>
    <w:rsid w:val="0067719D"/>
    <w:rsid w:val="0067722A"/>
    <w:rsid w:val="0067725D"/>
    <w:rsid w:val="006772C2"/>
    <w:rsid w:val="006772F1"/>
    <w:rsid w:val="00677433"/>
    <w:rsid w:val="00677442"/>
    <w:rsid w:val="00677463"/>
    <w:rsid w:val="00677535"/>
    <w:rsid w:val="00677556"/>
    <w:rsid w:val="0067757B"/>
    <w:rsid w:val="0067759F"/>
    <w:rsid w:val="006775D6"/>
    <w:rsid w:val="00677790"/>
    <w:rsid w:val="00677824"/>
    <w:rsid w:val="0067787F"/>
    <w:rsid w:val="00677B57"/>
    <w:rsid w:val="00677BB3"/>
    <w:rsid w:val="00677C56"/>
    <w:rsid w:val="00677CC7"/>
    <w:rsid w:val="00677D04"/>
    <w:rsid w:val="00677DB8"/>
    <w:rsid w:val="00677E8E"/>
    <w:rsid w:val="00677F21"/>
    <w:rsid w:val="00677FE6"/>
    <w:rsid w:val="00680074"/>
    <w:rsid w:val="00680125"/>
    <w:rsid w:val="006801D6"/>
    <w:rsid w:val="00680202"/>
    <w:rsid w:val="006802D6"/>
    <w:rsid w:val="006802D7"/>
    <w:rsid w:val="00680704"/>
    <w:rsid w:val="00680731"/>
    <w:rsid w:val="00680745"/>
    <w:rsid w:val="00680888"/>
    <w:rsid w:val="006808E5"/>
    <w:rsid w:val="00680A0E"/>
    <w:rsid w:val="00680A33"/>
    <w:rsid w:val="00680A4D"/>
    <w:rsid w:val="00680C5F"/>
    <w:rsid w:val="00680C81"/>
    <w:rsid w:val="00680DE3"/>
    <w:rsid w:val="00680E87"/>
    <w:rsid w:val="00680FB3"/>
    <w:rsid w:val="0068103F"/>
    <w:rsid w:val="006810BC"/>
    <w:rsid w:val="00681219"/>
    <w:rsid w:val="00681235"/>
    <w:rsid w:val="00681248"/>
    <w:rsid w:val="00681250"/>
    <w:rsid w:val="0068125C"/>
    <w:rsid w:val="006812F2"/>
    <w:rsid w:val="006813B0"/>
    <w:rsid w:val="006814B5"/>
    <w:rsid w:val="006815DD"/>
    <w:rsid w:val="0068183D"/>
    <w:rsid w:val="006818EC"/>
    <w:rsid w:val="00681915"/>
    <w:rsid w:val="0068199B"/>
    <w:rsid w:val="006819E2"/>
    <w:rsid w:val="00681A63"/>
    <w:rsid w:val="00681A7C"/>
    <w:rsid w:val="00681B73"/>
    <w:rsid w:val="00681C97"/>
    <w:rsid w:val="00681D2D"/>
    <w:rsid w:val="00681D5B"/>
    <w:rsid w:val="00681E49"/>
    <w:rsid w:val="00682083"/>
    <w:rsid w:val="006820AE"/>
    <w:rsid w:val="0068212D"/>
    <w:rsid w:val="0068213F"/>
    <w:rsid w:val="0068229D"/>
    <w:rsid w:val="006823E7"/>
    <w:rsid w:val="006823FE"/>
    <w:rsid w:val="00682511"/>
    <w:rsid w:val="00682527"/>
    <w:rsid w:val="00682559"/>
    <w:rsid w:val="0068259D"/>
    <w:rsid w:val="0068266D"/>
    <w:rsid w:val="00682753"/>
    <w:rsid w:val="00682892"/>
    <w:rsid w:val="006828A2"/>
    <w:rsid w:val="0068298B"/>
    <w:rsid w:val="00682A9D"/>
    <w:rsid w:val="00682C4D"/>
    <w:rsid w:val="00682D8F"/>
    <w:rsid w:val="0068314B"/>
    <w:rsid w:val="006832B0"/>
    <w:rsid w:val="006832D6"/>
    <w:rsid w:val="006832FA"/>
    <w:rsid w:val="006834F8"/>
    <w:rsid w:val="006834FD"/>
    <w:rsid w:val="00683546"/>
    <w:rsid w:val="00683594"/>
    <w:rsid w:val="006835C2"/>
    <w:rsid w:val="00683747"/>
    <w:rsid w:val="006838BE"/>
    <w:rsid w:val="006838F5"/>
    <w:rsid w:val="006838FA"/>
    <w:rsid w:val="006839F4"/>
    <w:rsid w:val="00683A63"/>
    <w:rsid w:val="00683B5F"/>
    <w:rsid w:val="00683C41"/>
    <w:rsid w:val="00683D36"/>
    <w:rsid w:val="00683EE1"/>
    <w:rsid w:val="00683FE9"/>
    <w:rsid w:val="006840CB"/>
    <w:rsid w:val="00684168"/>
    <w:rsid w:val="006843EC"/>
    <w:rsid w:val="00684427"/>
    <w:rsid w:val="0068466A"/>
    <w:rsid w:val="0068469A"/>
    <w:rsid w:val="00684829"/>
    <w:rsid w:val="006848C4"/>
    <w:rsid w:val="0068491A"/>
    <w:rsid w:val="00684941"/>
    <w:rsid w:val="00684955"/>
    <w:rsid w:val="0068496A"/>
    <w:rsid w:val="006849D9"/>
    <w:rsid w:val="00684D9A"/>
    <w:rsid w:val="00684DB2"/>
    <w:rsid w:val="00684F06"/>
    <w:rsid w:val="00684F45"/>
    <w:rsid w:val="00685003"/>
    <w:rsid w:val="00685178"/>
    <w:rsid w:val="00685203"/>
    <w:rsid w:val="00685269"/>
    <w:rsid w:val="0068529C"/>
    <w:rsid w:val="006852F2"/>
    <w:rsid w:val="00685350"/>
    <w:rsid w:val="006854E6"/>
    <w:rsid w:val="00685541"/>
    <w:rsid w:val="006855A1"/>
    <w:rsid w:val="006857C3"/>
    <w:rsid w:val="006858EF"/>
    <w:rsid w:val="00685D37"/>
    <w:rsid w:val="00685E77"/>
    <w:rsid w:val="00685F27"/>
    <w:rsid w:val="00686042"/>
    <w:rsid w:val="00686098"/>
    <w:rsid w:val="006860F4"/>
    <w:rsid w:val="00686100"/>
    <w:rsid w:val="0068621C"/>
    <w:rsid w:val="00686233"/>
    <w:rsid w:val="0068632B"/>
    <w:rsid w:val="0068638D"/>
    <w:rsid w:val="0068644C"/>
    <w:rsid w:val="0068648C"/>
    <w:rsid w:val="006864EA"/>
    <w:rsid w:val="0068658B"/>
    <w:rsid w:val="00686769"/>
    <w:rsid w:val="0068678A"/>
    <w:rsid w:val="00686793"/>
    <w:rsid w:val="006867E1"/>
    <w:rsid w:val="0068683E"/>
    <w:rsid w:val="006868FC"/>
    <w:rsid w:val="00686A08"/>
    <w:rsid w:val="00686B06"/>
    <w:rsid w:val="00686B16"/>
    <w:rsid w:val="00686BE8"/>
    <w:rsid w:val="00686CEE"/>
    <w:rsid w:val="00686D59"/>
    <w:rsid w:val="00686EA3"/>
    <w:rsid w:val="00686EDB"/>
    <w:rsid w:val="006870E4"/>
    <w:rsid w:val="006871FD"/>
    <w:rsid w:val="00687293"/>
    <w:rsid w:val="00687417"/>
    <w:rsid w:val="006875BB"/>
    <w:rsid w:val="0068769C"/>
    <w:rsid w:val="0068770F"/>
    <w:rsid w:val="00687752"/>
    <w:rsid w:val="006877FC"/>
    <w:rsid w:val="00687832"/>
    <w:rsid w:val="00687AC0"/>
    <w:rsid w:val="00687B85"/>
    <w:rsid w:val="00687BD7"/>
    <w:rsid w:val="00687C19"/>
    <w:rsid w:val="00687D98"/>
    <w:rsid w:val="00687E91"/>
    <w:rsid w:val="00690117"/>
    <w:rsid w:val="00690156"/>
    <w:rsid w:val="0069015F"/>
    <w:rsid w:val="006901D3"/>
    <w:rsid w:val="0069059E"/>
    <w:rsid w:val="00690850"/>
    <w:rsid w:val="006909E8"/>
    <w:rsid w:val="00690B82"/>
    <w:rsid w:val="00690C01"/>
    <w:rsid w:val="00690C65"/>
    <w:rsid w:val="00690CE0"/>
    <w:rsid w:val="00690D5D"/>
    <w:rsid w:val="00690DA2"/>
    <w:rsid w:val="00690F01"/>
    <w:rsid w:val="00690FF9"/>
    <w:rsid w:val="00691142"/>
    <w:rsid w:val="00691324"/>
    <w:rsid w:val="0069138E"/>
    <w:rsid w:val="006913C0"/>
    <w:rsid w:val="00691409"/>
    <w:rsid w:val="006914F1"/>
    <w:rsid w:val="00691552"/>
    <w:rsid w:val="006915B1"/>
    <w:rsid w:val="00691716"/>
    <w:rsid w:val="006917FB"/>
    <w:rsid w:val="00691833"/>
    <w:rsid w:val="00691870"/>
    <w:rsid w:val="00691A0A"/>
    <w:rsid w:val="00691A81"/>
    <w:rsid w:val="00691B3A"/>
    <w:rsid w:val="00691C46"/>
    <w:rsid w:val="00691CEB"/>
    <w:rsid w:val="00691CEE"/>
    <w:rsid w:val="00691D69"/>
    <w:rsid w:val="00691DDF"/>
    <w:rsid w:val="00691E94"/>
    <w:rsid w:val="00691F79"/>
    <w:rsid w:val="00691FC8"/>
    <w:rsid w:val="0069200F"/>
    <w:rsid w:val="00692034"/>
    <w:rsid w:val="00692044"/>
    <w:rsid w:val="0069213C"/>
    <w:rsid w:val="00692146"/>
    <w:rsid w:val="006921B0"/>
    <w:rsid w:val="00692269"/>
    <w:rsid w:val="00692300"/>
    <w:rsid w:val="00692525"/>
    <w:rsid w:val="006925E5"/>
    <w:rsid w:val="006926DF"/>
    <w:rsid w:val="00692814"/>
    <w:rsid w:val="006928D3"/>
    <w:rsid w:val="00692B5A"/>
    <w:rsid w:val="00692BE5"/>
    <w:rsid w:val="00692C27"/>
    <w:rsid w:val="00692C70"/>
    <w:rsid w:val="00692CCE"/>
    <w:rsid w:val="00692E44"/>
    <w:rsid w:val="00692FF1"/>
    <w:rsid w:val="0069301A"/>
    <w:rsid w:val="00693137"/>
    <w:rsid w:val="00693215"/>
    <w:rsid w:val="006932B6"/>
    <w:rsid w:val="00693387"/>
    <w:rsid w:val="006933E5"/>
    <w:rsid w:val="00693429"/>
    <w:rsid w:val="00693615"/>
    <w:rsid w:val="0069363F"/>
    <w:rsid w:val="006937FB"/>
    <w:rsid w:val="00693802"/>
    <w:rsid w:val="006938B2"/>
    <w:rsid w:val="00693933"/>
    <w:rsid w:val="00693AF3"/>
    <w:rsid w:val="00693EB8"/>
    <w:rsid w:val="00693ECF"/>
    <w:rsid w:val="00694011"/>
    <w:rsid w:val="00694046"/>
    <w:rsid w:val="00694323"/>
    <w:rsid w:val="00694359"/>
    <w:rsid w:val="00694511"/>
    <w:rsid w:val="006945B4"/>
    <w:rsid w:val="006945CE"/>
    <w:rsid w:val="0069460D"/>
    <w:rsid w:val="00694670"/>
    <w:rsid w:val="00694720"/>
    <w:rsid w:val="006947A7"/>
    <w:rsid w:val="0069485F"/>
    <w:rsid w:val="00694993"/>
    <w:rsid w:val="00694BBC"/>
    <w:rsid w:val="00694BEC"/>
    <w:rsid w:val="00694E0A"/>
    <w:rsid w:val="00694F24"/>
    <w:rsid w:val="00694F38"/>
    <w:rsid w:val="00694FB2"/>
    <w:rsid w:val="00694FFA"/>
    <w:rsid w:val="00695078"/>
    <w:rsid w:val="0069521F"/>
    <w:rsid w:val="006952B1"/>
    <w:rsid w:val="0069543C"/>
    <w:rsid w:val="00695515"/>
    <w:rsid w:val="006955A7"/>
    <w:rsid w:val="00695626"/>
    <w:rsid w:val="006956E5"/>
    <w:rsid w:val="0069587F"/>
    <w:rsid w:val="006959B0"/>
    <w:rsid w:val="006959D6"/>
    <w:rsid w:val="006959DF"/>
    <w:rsid w:val="00695C38"/>
    <w:rsid w:val="00695D7E"/>
    <w:rsid w:val="00695D9B"/>
    <w:rsid w:val="00695D9F"/>
    <w:rsid w:val="00695F67"/>
    <w:rsid w:val="00695F7E"/>
    <w:rsid w:val="006960D2"/>
    <w:rsid w:val="00696386"/>
    <w:rsid w:val="0069639E"/>
    <w:rsid w:val="0069648A"/>
    <w:rsid w:val="00696571"/>
    <w:rsid w:val="006965CD"/>
    <w:rsid w:val="006965DF"/>
    <w:rsid w:val="00696685"/>
    <w:rsid w:val="00696761"/>
    <w:rsid w:val="00696775"/>
    <w:rsid w:val="006967BB"/>
    <w:rsid w:val="006968E1"/>
    <w:rsid w:val="006968E7"/>
    <w:rsid w:val="006968F1"/>
    <w:rsid w:val="00696962"/>
    <w:rsid w:val="00696999"/>
    <w:rsid w:val="00696A2C"/>
    <w:rsid w:val="00696AB3"/>
    <w:rsid w:val="00696AD7"/>
    <w:rsid w:val="00696AE3"/>
    <w:rsid w:val="00696B14"/>
    <w:rsid w:val="00696BCD"/>
    <w:rsid w:val="00696C6D"/>
    <w:rsid w:val="00696CAB"/>
    <w:rsid w:val="00696CF5"/>
    <w:rsid w:val="00696D29"/>
    <w:rsid w:val="0069714A"/>
    <w:rsid w:val="006971A7"/>
    <w:rsid w:val="006971E0"/>
    <w:rsid w:val="00697207"/>
    <w:rsid w:val="0069723C"/>
    <w:rsid w:val="00697263"/>
    <w:rsid w:val="006974B9"/>
    <w:rsid w:val="006974D5"/>
    <w:rsid w:val="00697629"/>
    <w:rsid w:val="0069763C"/>
    <w:rsid w:val="0069771B"/>
    <w:rsid w:val="00697720"/>
    <w:rsid w:val="00697730"/>
    <w:rsid w:val="0069775B"/>
    <w:rsid w:val="0069778C"/>
    <w:rsid w:val="00697A19"/>
    <w:rsid w:val="00697AA4"/>
    <w:rsid w:val="00697B03"/>
    <w:rsid w:val="00697B62"/>
    <w:rsid w:val="00697C0B"/>
    <w:rsid w:val="00697C67"/>
    <w:rsid w:val="00697E81"/>
    <w:rsid w:val="00697E86"/>
    <w:rsid w:val="00697F35"/>
    <w:rsid w:val="006A01A3"/>
    <w:rsid w:val="006A02D8"/>
    <w:rsid w:val="006A031E"/>
    <w:rsid w:val="006A0337"/>
    <w:rsid w:val="006A035A"/>
    <w:rsid w:val="006A04D2"/>
    <w:rsid w:val="006A0559"/>
    <w:rsid w:val="006A0575"/>
    <w:rsid w:val="006A0588"/>
    <w:rsid w:val="006A0590"/>
    <w:rsid w:val="006A05F2"/>
    <w:rsid w:val="006A0654"/>
    <w:rsid w:val="006A0682"/>
    <w:rsid w:val="006A0775"/>
    <w:rsid w:val="006A0B5E"/>
    <w:rsid w:val="006A0BB3"/>
    <w:rsid w:val="006A0DB9"/>
    <w:rsid w:val="006A0DC1"/>
    <w:rsid w:val="006A0DCC"/>
    <w:rsid w:val="006A0DF8"/>
    <w:rsid w:val="006A0E24"/>
    <w:rsid w:val="006A0F6D"/>
    <w:rsid w:val="006A0FDD"/>
    <w:rsid w:val="006A1164"/>
    <w:rsid w:val="006A116A"/>
    <w:rsid w:val="006A1275"/>
    <w:rsid w:val="006A138E"/>
    <w:rsid w:val="006A146F"/>
    <w:rsid w:val="006A14D7"/>
    <w:rsid w:val="006A14E4"/>
    <w:rsid w:val="006A14E8"/>
    <w:rsid w:val="006A153A"/>
    <w:rsid w:val="006A16CB"/>
    <w:rsid w:val="006A170D"/>
    <w:rsid w:val="006A1713"/>
    <w:rsid w:val="006A18F0"/>
    <w:rsid w:val="006A195D"/>
    <w:rsid w:val="006A195E"/>
    <w:rsid w:val="006A196A"/>
    <w:rsid w:val="006A1A33"/>
    <w:rsid w:val="006A1AA7"/>
    <w:rsid w:val="006A1C3D"/>
    <w:rsid w:val="006A1C94"/>
    <w:rsid w:val="006A1FE4"/>
    <w:rsid w:val="006A204E"/>
    <w:rsid w:val="006A2051"/>
    <w:rsid w:val="006A205D"/>
    <w:rsid w:val="006A206C"/>
    <w:rsid w:val="006A20AF"/>
    <w:rsid w:val="006A20D0"/>
    <w:rsid w:val="006A20D6"/>
    <w:rsid w:val="006A2101"/>
    <w:rsid w:val="006A216F"/>
    <w:rsid w:val="006A2182"/>
    <w:rsid w:val="006A218A"/>
    <w:rsid w:val="006A219E"/>
    <w:rsid w:val="006A2216"/>
    <w:rsid w:val="006A223A"/>
    <w:rsid w:val="006A2269"/>
    <w:rsid w:val="006A2304"/>
    <w:rsid w:val="006A23A2"/>
    <w:rsid w:val="006A23D2"/>
    <w:rsid w:val="006A2428"/>
    <w:rsid w:val="006A24A4"/>
    <w:rsid w:val="006A254F"/>
    <w:rsid w:val="006A25B8"/>
    <w:rsid w:val="006A2670"/>
    <w:rsid w:val="006A2747"/>
    <w:rsid w:val="006A276F"/>
    <w:rsid w:val="006A28E1"/>
    <w:rsid w:val="006A2927"/>
    <w:rsid w:val="006A2A65"/>
    <w:rsid w:val="006A2A71"/>
    <w:rsid w:val="006A2AFC"/>
    <w:rsid w:val="006A2C93"/>
    <w:rsid w:val="006A2EB0"/>
    <w:rsid w:val="006A2FDC"/>
    <w:rsid w:val="006A2FEC"/>
    <w:rsid w:val="006A32F1"/>
    <w:rsid w:val="006A331B"/>
    <w:rsid w:val="006A346D"/>
    <w:rsid w:val="006A34E8"/>
    <w:rsid w:val="006A353E"/>
    <w:rsid w:val="006A359B"/>
    <w:rsid w:val="006A3721"/>
    <w:rsid w:val="006A3776"/>
    <w:rsid w:val="006A379F"/>
    <w:rsid w:val="006A3805"/>
    <w:rsid w:val="006A3878"/>
    <w:rsid w:val="006A387A"/>
    <w:rsid w:val="006A3927"/>
    <w:rsid w:val="006A3B8D"/>
    <w:rsid w:val="006A3BE1"/>
    <w:rsid w:val="006A3C4B"/>
    <w:rsid w:val="006A3DB2"/>
    <w:rsid w:val="006A3F4B"/>
    <w:rsid w:val="006A405C"/>
    <w:rsid w:val="006A40FD"/>
    <w:rsid w:val="006A410A"/>
    <w:rsid w:val="006A4281"/>
    <w:rsid w:val="006A42F1"/>
    <w:rsid w:val="006A456A"/>
    <w:rsid w:val="006A45DA"/>
    <w:rsid w:val="006A462F"/>
    <w:rsid w:val="006A465E"/>
    <w:rsid w:val="006A46CE"/>
    <w:rsid w:val="006A46D6"/>
    <w:rsid w:val="006A4774"/>
    <w:rsid w:val="006A47EF"/>
    <w:rsid w:val="006A49AE"/>
    <w:rsid w:val="006A49F6"/>
    <w:rsid w:val="006A4A34"/>
    <w:rsid w:val="006A4DC7"/>
    <w:rsid w:val="006A4E6A"/>
    <w:rsid w:val="006A4EBA"/>
    <w:rsid w:val="006A4F77"/>
    <w:rsid w:val="006A4FEA"/>
    <w:rsid w:val="006A5218"/>
    <w:rsid w:val="006A5288"/>
    <w:rsid w:val="006A5301"/>
    <w:rsid w:val="006A5317"/>
    <w:rsid w:val="006A5434"/>
    <w:rsid w:val="006A5507"/>
    <w:rsid w:val="006A55DC"/>
    <w:rsid w:val="006A563A"/>
    <w:rsid w:val="006A565B"/>
    <w:rsid w:val="006A56EF"/>
    <w:rsid w:val="006A57E1"/>
    <w:rsid w:val="006A5925"/>
    <w:rsid w:val="006A599F"/>
    <w:rsid w:val="006A59E3"/>
    <w:rsid w:val="006A5A3D"/>
    <w:rsid w:val="006A5AB7"/>
    <w:rsid w:val="006A5AFC"/>
    <w:rsid w:val="006A5B32"/>
    <w:rsid w:val="006A5B7B"/>
    <w:rsid w:val="006A5B89"/>
    <w:rsid w:val="006A5D91"/>
    <w:rsid w:val="006A5FD4"/>
    <w:rsid w:val="006A60A1"/>
    <w:rsid w:val="006A6103"/>
    <w:rsid w:val="006A61EF"/>
    <w:rsid w:val="006A6200"/>
    <w:rsid w:val="006A6247"/>
    <w:rsid w:val="006A62C5"/>
    <w:rsid w:val="006A62DC"/>
    <w:rsid w:val="006A6337"/>
    <w:rsid w:val="006A63A6"/>
    <w:rsid w:val="006A6445"/>
    <w:rsid w:val="006A653B"/>
    <w:rsid w:val="006A6587"/>
    <w:rsid w:val="006A664E"/>
    <w:rsid w:val="006A687E"/>
    <w:rsid w:val="006A6A4F"/>
    <w:rsid w:val="006A6AAD"/>
    <w:rsid w:val="006A6AC6"/>
    <w:rsid w:val="006A6AEB"/>
    <w:rsid w:val="006A6B1C"/>
    <w:rsid w:val="006A6B65"/>
    <w:rsid w:val="006A6CA8"/>
    <w:rsid w:val="006A6CBA"/>
    <w:rsid w:val="006A6D34"/>
    <w:rsid w:val="006A6EDA"/>
    <w:rsid w:val="006A6EE6"/>
    <w:rsid w:val="006A70B1"/>
    <w:rsid w:val="006A72C7"/>
    <w:rsid w:val="006A72DF"/>
    <w:rsid w:val="006A73F1"/>
    <w:rsid w:val="006A7558"/>
    <w:rsid w:val="006A7584"/>
    <w:rsid w:val="006A7592"/>
    <w:rsid w:val="006A75BC"/>
    <w:rsid w:val="006A75DA"/>
    <w:rsid w:val="006A77B6"/>
    <w:rsid w:val="006A784B"/>
    <w:rsid w:val="006A78F0"/>
    <w:rsid w:val="006A79C0"/>
    <w:rsid w:val="006A79DA"/>
    <w:rsid w:val="006A79EC"/>
    <w:rsid w:val="006A7A36"/>
    <w:rsid w:val="006A7BC0"/>
    <w:rsid w:val="006A7BFB"/>
    <w:rsid w:val="006A7EAA"/>
    <w:rsid w:val="006A7F1D"/>
    <w:rsid w:val="006B0023"/>
    <w:rsid w:val="006B0047"/>
    <w:rsid w:val="006B0097"/>
    <w:rsid w:val="006B00C2"/>
    <w:rsid w:val="006B0121"/>
    <w:rsid w:val="006B0153"/>
    <w:rsid w:val="006B0262"/>
    <w:rsid w:val="006B0289"/>
    <w:rsid w:val="006B02CB"/>
    <w:rsid w:val="006B046C"/>
    <w:rsid w:val="006B064A"/>
    <w:rsid w:val="006B0753"/>
    <w:rsid w:val="006B07CB"/>
    <w:rsid w:val="006B07DE"/>
    <w:rsid w:val="006B088A"/>
    <w:rsid w:val="006B08D2"/>
    <w:rsid w:val="006B096A"/>
    <w:rsid w:val="006B09A8"/>
    <w:rsid w:val="006B0B73"/>
    <w:rsid w:val="006B0BBC"/>
    <w:rsid w:val="006B0C3B"/>
    <w:rsid w:val="006B0D6A"/>
    <w:rsid w:val="006B0DB4"/>
    <w:rsid w:val="006B0E19"/>
    <w:rsid w:val="006B0EE8"/>
    <w:rsid w:val="006B0F45"/>
    <w:rsid w:val="006B0F4B"/>
    <w:rsid w:val="006B0FFB"/>
    <w:rsid w:val="006B10A7"/>
    <w:rsid w:val="006B10AE"/>
    <w:rsid w:val="006B1104"/>
    <w:rsid w:val="006B1121"/>
    <w:rsid w:val="006B1189"/>
    <w:rsid w:val="006B11AA"/>
    <w:rsid w:val="006B11CC"/>
    <w:rsid w:val="006B125A"/>
    <w:rsid w:val="006B1284"/>
    <w:rsid w:val="006B12B6"/>
    <w:rsid w:val="006B135C"/>
    <w:rsid w:val="006B1450"/>
    <w:rsid w:val="006B145C"/>
    <w:rsid w:val="006B14BE"/>
    <w:rsid w:val="006B1575"/>
    <w:rsid w:val="006B1653"/>
    <w:rsid w:val="006B1667"/>
    <w:rsid w:val="006B1778"/>
    <w:rsid w:val="006B187B"/>
    <w:rsid w:val="006B189D"/>
    <w:rsid w:val="006B195E"/>
    <w:rsid w:val="006B1A10"/>
    <w:rsid w:val="006B1C1F"/>
    <w:rsid w:val="006B1C7A"/>
    <w:rsid w:val="006B1CF7"/>
    <w:rsid w:val="006B1DDE"/>
    <w:rsid w:val="006B1E22"/>
    <w:rsid w:val="006B1E25"/>
    <w:rsid w:val="006B1EA7"/>
    <w:rsid w:val="006B2097"/>
    <w:rsid w:val="006B20CE"/>
    <w:rsid w:val="006B2107"/>
    <w:rsid w:val="006B2108"/>
    <w:rsid w:val="006B217B"/>
    <w:rsid w:val="006B222A"/>
    <w:rsid w:val="006B2330"/>
    <w:rsid w:val="006B243D"/>
    <w:rsid w:val="006B245D"/>
    <w:rsid w:val="006B24D3"/>
    <w:rsid w:val="006B2524"/>
    <w:rsid w:val="006B2598"/>
    <w:rsid w:val="006B25FE"/>
    <w:rsid w:val="006B268E"/>
    <w:rsid w:val="006B26F7"/>
    <w:rsid w:val="006B2710"/>
    <w:rsid w:val="006B2770"/>
    <w:rsid w:val="006B2829"/>
    <w:rsid w:val="006B284A"/>
    <w:rsid w:val="006B2878"/>
    <w:rsid w:val="006B2888"/>
    <w:rsid w:val="006B2926"/>
    <w:rsid w:val="006B2942"/>
    <w:rsid w:val="006B29FC"/>
    <w:rsid w:val="006B2A59"/>
    <w:rsid w:val="006B2B0E"/>
    <w:rsid w:val="006B2B22"/>
    <w:rsid w:val="006B2C5E"/>
    <w:rsid w:val="006B2C7B"/>
    <w:rsid w:val="006B2F17"/>
    <w:rsid w:val="006B2F5B"/>
    <w:rsid w:val="006B2F95"/>
    <w:rsid w:val="006B32C6"/>
    <w:rsid w:val="006B3428"/>
    <w:rsid w:val="006B34D8"/>
    <w:rsid w:val="006B3581"/>
    <w:rsid w:val="006B360E"/>
    <w:rsid w:val="006B3633"/>
    <w:rsid w:val="006B38A1"/>
    <w:rsid w:val="006B38FA"/>
    <w:rsid w:val="006B3901"/>
    <w:rsid w:val="006B3AB6"/>
    <w:rsid w:val="006B3C59"/>
    <w:rsid w:val="006B3CB1"/>
    <w:rsid w:val="006B3DBA"/>
    <w:rsid w:val="006B3F59"/>
    <w:rsid w:val="006B4072"/>
    <w:rsid w:val="006B4249"/>
    <w:rsid w:val="006B4296"/>
    <w:rsid w:val="006B4387"/>
    <w:rsid w:val="006B43A4"/>
    <w:rsid w:val="006B44F5"/>
    <w:rsid w:val="006B4519"/>
    <w:rsid w:val="006B464B"/>
    <w:rsid w:val="006B47D5"/>
    <w:rsid w:val="006B485F"/>
    <w:rsid w:val="006B48EE"/>
    <w:rsid w:val="006B4916"/>
    <w:rsid w:val="006B4A2D"/>
    <w:rsid w:val="006B4AA0"/>
    <w:rsid w:val="006B4B19"/>
    <w:rsid w:val="006B4B38"/>
    <w:rsid w:val="006B4B44"/>
    <w:rsid w:val="006B4BD8"/>
    <w:rsid w:val="006B4C24"/>
    <w:rsid w:val="006B4D34"/>
    <w:rsid w:val="006B4D77"/>
    <w:rsid w:val="006B4F68"/>
    <w:rsid w:val="006B50D0"/>
    <w:rsid w:val="006B5102"/>
    <w:rsid w:val="006B51BD"/>
    <w:rsid w:val="006B5343"/>
    <w:rsid w:val="006B536F"/>
    <w:rsid w:val="006B541D"/>
    <w:rsid w:val="006B550B"/>
    <w:rsid w:val="006B5528"/>
    <w:rsid w:val="006B5530"/>
    <w:rsid w:val="006B5633"/>
    <w:rsid w:val="006B56B1"/>
    <w:rsid w:val="006B5713"/>
    <w:rsid w:val="006B59C9"/>
    <w:rsid w:val="006B59FF"/>
    <w:rsid w:val="006B5A08"/>
    <w:rsid w:val="006B5B19"/>
    <w:rsid w:val="006B5BB7"/>
    <w:rsid w:val="006B5BCE"/>
    <w:rsid w:val="006B5C9F"/>
    <w:rsid w:val="006B5DB8"/>
    <w:rsid w:val="006B5DE3"/>
    <w:rsid w:val="006B5DE5"/>
    <w:rsid w:val="006B5EA6"/>
    <w:rsid w:val="006B5EF0"/>
    <w:rsid w:val="006B5F8C"/>
    <w:rsid w:val="006B600F"/>
    <w:rsid w:val="006B606B"/>
    <w:rsid w:val="006B6085"/>
    <w:rsid w:val="006B60DF"/>
    <w:rsid w:val="006B616A"/>
    <w:rsid w:val="006B61CD"/>
    <w:rsid w:val="006B62DF"/>
    <w:rsid w:val="006B62EB"/>
    <w:rsid w:val="006B63A7"/>
    <w:rsid w:val="006B640F"/>
    <w:rsid w:val="006B6416"/>
    <w:rsid w:val="006B653E"/>
    <w:rsid w:val="006B6584"/>
    <w:rsid w:val="006B6653"/>
    <w:rsid w:val="006B67F3"/>
    <w:rsid w:val="006B6824"/>
    <w:rsid w:val="006B6922"/>
    <w:rsid w:val="006B6A7A"/>
    <w:rsid w:val="006B6AA8"/>
    <w:rsid w:val="006B6BD1"/>
    <w:rsid w:val="006B6CE6"/>
    <w:rsid w:val="006B6D8F"/>
    <w:rsid w:val="006B6DFF"/>
    <w:rsid w:val="006B6E98"/>
    <w:rsid w:val="006B6F45"/>
    <w:rsid w:val="006B701A"/>
    <w:rsid w:val="006B7032"/>
    <w:rsid w:val="006B7064"/>
    <w:rsid w:val="006B709D"/>
    <w:rsid w:val="006B7122"/>
    <w:rsid w:val="006B7129"/>
    <w:rsid w:val="006B7280"/>
    <w:rsid w:val="006B72FF"/>
    <w:rsid w:val="006B73CE"/>
    <w:rsid w:val="006B7417"/>
    <w:rsid w:val="006B7463"/>
    <w:rsid w:val="006B749C"/>
    <w:rsid w:val="006B74C4"/>
    <w:rsid w:val="006B761E"/>
    <w:rsid w:val="006B772F"/>
    <w:rsid w:val="006B7753"/>
    <w:rsid w:val="006B776D"/>
    <w:rsid w:val="006B7798"/>
    <w:rsid w:val="006B7828"/>
    <w:rsid w:val="006B7889"/>
    <w:rsid w:val="006B7891"/>
    <w:rsid w:val="006B78B0"/>
    <w:rsid w:val="006B790D"/>
    <w:rsid w:val="006B7960"/>
    <w:rsid w:val="006B7A73"/>
    <w:rsid w:val="006B7AFE"/>
    <w:rsid w:val="006B7B99"/>
    <w:rsid w:val="006B7BD6"/>
    <w:rsid w:val="006B7D73"/>
    <w:rsid w:val="006B7DCC"/>
    <w:rsid w:val="006B7EF6"/>
    <w:rsid w:val="006C0395"/>
    <w:rsid w:val="006C0435"/>
    <w:rsid w:val="006C046E"/>
    <w:rsid w:val="006C063F"/>
    <w:rsid w:val="006C06A0"/>
    <w:rsid w:val="006C06C3"/>
    <w:rsid w:val="006C06EA"/>
    <w:rsid w:val="006C07E9"/>
    <w:rsid w:val="006C08A1"/>
    <w:rsid w:val="006C0935"/>
    <w:rsid w:val="006C093E"/>
    <w:rsid w:val="006C09B4"/>
    <w:rsid w:val="006C0A18"/>
    <w:rsid w:val="006C0A79"/>
    <w:rsid w:val="006C0B0C"/>
    <w:rsid w:val="006C0B38"/>
    <w:rsid w:val="006C0C9F"/>
    <w:rsid w:val="006C0DC3"/>
    <w:rsid w:val="006C0E67"/>
    <w:rsid w:val="006C0E81"/>
    <w:rsid w:val="006C0E99"/>
    <w:rsid w:val="006C0ED1"/>
    <w:rsid w:val="006C0F23"/>
    <w:rsid w:val="006C0F3D"/>
    <w:rsid w:val="006C0FE5"/>
    <w:rsid w:val="006C1156"/>
    <w:rsid w:val="006C1167"/>
    <w:rsid w:val="006C130F"/>
    <w:rsid w:val="006C13BE"/>
    <w:rsid w:val="006C14CE"/>
    <w:rsid w:val="006C1570"/>
    <w:rsid w:val="006C15A7"/>
    <w:rsid w:val="006C1862"/>
    <w:rsid w:val="006C1AC1"/>
    <w:rsid w:val="006C1CB3"/>
    <w:rsid w:val="006C1D27"/>
    <w:rsid w:val="006C1D32"/>
    <w:rsid w:val="006C1E8A"/>
    <w:rsid w:val="006C1F38"/>
    <w:rsid w:val="006C1F3F"/>
    <w:rsid w:val="006C2014"/>
    <w:rsid w:val="006C21EA"/>
    <w:rsid w:val="006C23B7"/>
    <w:rsid w:val="006C254E"/>
    <w:rsid w:val="006C2655"/>
    <w:rsid w:val="006C2799"/>
    <w:rsid w:val="006C2844"/>
    <w:rsid w:val="006C289E"/>
    <w:rsid w:val="006C2ABA"/>
    <w:rsid w:val="006C2B68"/>
    <w:rsid w:val="006C2E3C"/>
    <w:rsid w:val="006C2E8B"/>
    <w:rsid w:val="006C2FDE"/>
    <w:rsid w:val="006C304D"/>
    <w:rsid w:val="006C306C"/>
    <w:rsid w:val="006C3158"/>
    <w:rsid w:val="006C3189"/>
    <w:rsid w:val="006C3393"/>
    <w:rsid w:val="006C3472"/>
    <w:rsid w:val="006C371D"/>
    <w:rsid w:val="006C38B5"/>
    <w:rsid w:val="006C38DC"/>
    <w:rsid w:val="006C3931"/>
    <w:rsid w:val="006C3A91"/>
    <w:rsid w:val="006C3ACA"/>
    <w:rsid w:val="006C3D41"/>
    <w:rsid w:val="006C3DC2"/>
    <w:rsid w:val="006C3E36"/>
    <w:rsid w:val="006C3E7C"/>
    <w:rsid w:val="006C40F4"/>
    <w:rsid w:val="006C4191"/>
    <w:rsid w:val="006C41CE"/>
    <w:rsid w:val="006C422C"/>
    <w:rsid w:val="006C428D"/>
    <w:rsid w:val="006C430A"/>
    <w:rsid w:val="006C4315"/>
    <w:rsid w:val="006C435B"/>
    <w:rsid w:val="006C437E"/>
    <w:rsid w:val="006C43DB"/>
    <w:rsid w:val="006C43F3"/>
    <w:rsid w:val="006C45BD"/>
    <w:rsid w:val="006C461B"/>
    <w:rsid w:val="006C4656"/>
    <w:rsid w:val="006C4731"/>
    <w:rsid w:val="006C4734"/>
    <w:rsid w:val="006C475E"/>
    <w:rsid w:val="006C47D1"/>
    <w:rsid w:val="006C4895"/>
    <w:rsid w:val="006C489E"/>
    <w:rsid w:val="006C491A"/>
    <w:rsid w:val="006C4935"/>
    <w:rsid w:val="006C4937"/>
    <w:rsid w:val="006C4971"/>
    <w:rsid w:val="006C4A98"/>
    <w:rsid w:val="006C4C1D"/>
    <w:rsid w:val="006C4C30"/>
    <w:rsid w:val="006C4C32"/>
    <w:rsid w:val="006C4E15"/>
    <w:rsid w:val="006C4E53"/>
    <w:rsid w:val="006C4EB4"/>
    <w:rsid w:val="006C4ECA"/>
    <w:rsid w:val="006C4F07"/>
    <w:rsid w:val="006C4F09"/>
    <w:rsid w:val="006C4F0B"/>
    <w:rsid w:val="006C5101"/>
    <w:rsid w:val="006C5164"/>
    <w:rsid w:val="006C518B"/>
    <w:rsid w:val="006C520F"/>
    <w:rsid w:val="006C5245"/>
    <w:rsid w:val="006C52A3"/>
    <w:rsid w:val="006C5510"/>
    <w:rsid w:val="006C5611"/>
    <w:rsid w:val="006C56E5"/>
    <w:rsid w:val="006C570A"/>
    <w:rsid w:val="006C5793"/>
    <w:rsid w:val="006C587A"/>
    <w:rsid w:val="006C58CC"/>
    <w:rsid w:val="006C5B04"/>
    <w:rsid w:val="006C5C2D"/>
    <w:rsid w:val="006C5EB2"/>
    <w:rsid w:val="006C5EF6"/>
    <w:rsid w:val="006C5F25"/>
    <w:rsid w:val="006C5F39"/>
    <w:rsid w:val="006C5F4E"/>
    <w:rsid w:val="006C5F6A"/>
    <w:rsid w:val="006C613B"/>
    <w:rsid w:val="006C617D"/>
    <w:rsid w:val="006C6255"/>
    <w:rsid w:val="006C62AE"/>
    <w:rsid w:val="006C6324"/>
    <w:rsid w:val="006C635F"/>
    <w:rsid w:val="006C63AA"/>
    <w:rsid w:val="006C64CC"/>
    <w:rsid w:val="006C657B"/>
    <w:rsid w:val="006C6665"/>
    <w:rsid w:val="006C66AE"/>
    <w:rsid w:val="006C67CF"/>
    <w:rsid w:val="006C6805"/>
    <w:rsid w:val="006C682A"/>
    <w:rsid w:val="006C688C"/>
    <w:rsid w:val="006C6894"/>
    <w:rsid w:val="006C6A46"/>
    <w:rsid w:val="006C6B34"/>
    <w:rsid w:val="006C6B52"/>
    <w:rsid w:val="006C6E2C"/>
    <w:rsid w:val="006C6F46"/>
    <w:rsid w:val="006C7021"/>
    <w:rsid w:val="006C7035"/>
    <w:rsid w:val="006C705E"/>
    <w:rsid w:val="006C708F"/>
    <w:rsid w:val="006C70D9"/>
    <w:rsid w:val="006C7130"/>
    <w:rsid w:val="006C72A2"/>
    <w:rsid w:val="006C7468"/>
    <w:rsid w:val="006C746B"/>
    <w:rsid w:val="006C7495"/>
    <w:rsid w:val="006C7673"/>
    <w:rsid w:val="006C7750"/>
    <w:rsid w:val="006C7851"/>
    <w:rsid w:val="006C79A4"/>
    <w:rsid w:val="006C79B4"/>
    <w:rsid w:val="006C79D8"/>
    <w:rsid w:val="006C7A26"/>
    <w:rsid w:val="006C7A71"/>
    <w:rsid w:val="006C7AE6"/>
    <w:rsid w:val="006C7AFE"/>
    <w:rsid w:val="006C7B51"/>
    <w:rsid w:val="006C7BEC"/>
    <w:rsid w:val="006C7CE4"/>
    <w:rsid w:val="006C7F0A"/>
    <w:rsid w:val="006D02AB"/>
    <w:rsid w:val="006D02DE"/>
    <w:rsid w:val="006D03BA"/>
    <w:rsid w:val="006D03EA"/>
    <w:rsid w:val="006D0408"/>
    <w:rsid w:val="006D0585"/>
    <w:rsid w:val="006D060A"/>
    <w:rsid w:val="006D0661"/>
    <w:rsid w:val="006D06BD"/>
    <w:rsid w:val="006D0746"/>
    <w:rsid w:val="006D07F5"/>
    <w:rsid w:val="006D080C"/>
    <w:rsid w:val="006D08CF"/>
    <w:rsid w:val="006D09E2"/>
    <w:rsid w:val="006D0A06"/>
    <w:rsid w:val="006D0B1A"/>
    <w:rsid w:val="006D0B51"/>
    <w:rsid w:val="006D0CE5"/>
    <w:rsid w:val="006D0E26"/>
    <w:rsid w:val="006D0EA0"/>
    <w:rsid w:val="006D110B"/>
    <w:rsid w:val="006D1205"/>
    <w:rsid w:val="006D1236"/>
    <w:rsid w:val="006D1268"/>
    <w:rsid w:val="006D128A"/>
    <w:rsid w:val="006D12D6"/>
    <w:rsid w:val="006D142F"/>
    <w:rsid w:val="006D14E8"/>
    <w:rsid w:val="006D15BD"/>
    <w:rsid w:val="006D15EA"/>
    <w:rsid w:val="006D1667"/>
    <w:rsid w:val="006D1875"/>
    <w:rsid w:val="006D19E8"/>
    <w:rsid w:val="006D1A1B"/>
    <w:rsid w:val="006D1A4C"/>
    <w:rsid w:val="006D1AB0"/>
    <w:rsid w:val="006D1B18"/>
    <w:rsid w:val="006D1CE1"/>
    <w:rsid w:val="006D1D32"/>
    <w:rsid w:val="006D1E9D"/>
    <w:rsid w:val="006D1EF1"/>
    <w:rsid w:val="006D1F0A"/>
    <w:rsid w:val="006D1F29"/>
    <w:rsid w:val="006D1F4A"/>
    <w:rsid w:val="006D1F7B"/>
    <w:rsid w:val="006D1FE5"/>
    <w:rsid w:val="006D210C"/>
    <w:rsid w:val="006D215A"/>
    <w:rsid w:val="006D2260"/>
    <w:rsid w:val="006D22C5"/>
    <w:rsid w:val="006D22D0"/>
    <w:rsid w:val="006D246F"/>
    <w:rsid w:val="006D2538"/>
    <w:rsid w:val="006D277F"/>
    <w:rsid w:val="006D2788"/>
    <w:rsid w:val="006D27ED"/>
    <w:rsid w:val="006D2835"/>
    <w:rsid w:val="006D2913"/>
    <w:rsid w:val="006D295D"/>
    <w:rsid w:val="006D297D"/>
    <w:rsid w:val="006D29B2"/>
    <w:rsid w:val="006D2AC9"/>
    <w:rsid w:val="006D2C12"/>
    <w:rsid w:val="006D2C46"/>
    <w:rsid w:val="006D2C67"/>
    <w:rsid w:val="006D2CD9"/>
    <w:rsid w:val="006D2D0C"/>
    <w:rsid w:val="006D2E37"/>
    <w:rsid w:val="006D2F0C"/>
    <w:rsid w:val="006D2F3B"/>
    <w:rsid w:val="006D2F93"/>
    <w:rsid w:val="006D3040"/>
    <w:rsid w:val="006D30AF"/>
    <w:rsid w:val="006D3134"/>
    <w:rsid w:val="006D31EF"/>
    <w:rsid w:val="006D3332"/>
    <w:rsid w:val="006D339D"/>
    <w:rsid w:val="006D33DA"/>
    <w:rsid w:val="006D3440"/>
    <w:rsid w:val="006D3468"/>
    <w:rsid w:val="006D3482"/>
    <w:rsid w:val="006D34C4"/>
    <w:rsid w:val="006D34C5"/>
    <w:rsid w:val="006D34C6"/>
    <w:rsid w:val="006D3563"/>
    <w:rsid w:val="006D3617"/>
    <w:rsid w:val="006D37FB"/>
    <w:rsid w:val="006D3819"/>
    <w:rsid w:val="006D3856"/>
    <w:rsid w:val="006D3881"/>
    <w:rsid w:val="006D38AF"/>
    <w:rsid w:val="006D395B"/>
    <w:rsid w:val="006D39E6"/>
    <w:rsid w:val="006D39FA"/>
    <w:rsid w:val="006D3CD2"/>
    <w:rsid w:val="006D3E04"/>
    <w:rsid w:val="006D3E08"/>
    <w:rsid w:val="006D3E39"/>
    <w:rsid w:val="006D3E8B"/>
    <w:rsid w:val="006D3ECB"/>
    <w:rsid w:val="006D4140"/>
    <w:rsid w:val="006D4155"/>
    <w:rsid w:val="006D42BD"/>
    <w:rsid w:val="006D4332"/>
    <w:rsid w:val="006D4364"/>
    <w:rsid w:val="006D4385"/>
    <w:rsid w:val="006D4506"/>
    <w:rsid w:val="006D456A"/>
    <w:rsid w:val="006D459D"/>
    <w:rsid w:val="006D45F3"/>
    <w:rsid w:val="006D460F"/>
    <w:rsid w:val="006D4717"/>
    <w:rsid w:val="006D4728"/>
    <w:rsid w:val="006D4794"/>
    <w:rsid w:val="006D4923"/>
    <w:rsid w:val="006D4AEB"/>
    <w:rsid w:val="006D4C77"/>
    <w:rsid w:val="006D4ECD"/>
    <w:rsid w:val="006D518D"/>
    <w:rsid w:val="006D5226"/>
    <w:rsid w:val="006D52DD"/>
    <w:rsid w:val="006D539B"/>
    <w:rsid w:val="006D5739"/>
    <w:rsid w:val="006D5742"/>
    <w:rsid w:val="006D589F"/>
    <w:rsid w:val="006D595B"/>
    <w:rsid w:val="006D5A24"/>
    <w:rsid w:val="006D5A99"/>
    <w:rsid w:val="006D5B53"/>
    <w:rsid w:val="006D5B66"/>
    <w:rsid w:val="006D5B9A"/>
    <w:rsid w:val="006D5BC4"/>
    <w:rsid w:val="006D5C35"/>
    <w:rsid w:val="006D5DA2"/>
    <w:rsid w:val="006D5DC5"/>
    <w:rsid w:val="006D5F3D"/>
    <w:rsid w:val="006D5FD3"/>
    <w:rsid w:val="006D608F"/>
    <w:rsid w:val="006D60C1"/>
    <w:rsid w:val="006D620A"/>
    <w:rsid w:val="006D6233"/>
    <w:rsid w:val="006D626E"/>
    <w:rsid w:val="006D6291"/>
    <w:rsid w:val="006D65DC"/>
    <w:rsid w:val="006D6623"/>
    <w:rsid w:val="006D66B4"/>
    <w:rsid w:val="006D677A"/>
    <w:rsid w:val="006D67BA"/>
    <w:rsid w:val="006D6948"/>
    <w:rsid w:val="006D694C"/>
    <w:rsid w:val="006D6AC7"/>
    <w:rsid w:val="006D6B03"/>
    <w:rsid w:val="006D6C4C"/>
    <w:rsid w:val="006D6C7E"/>
    <w:rsid w:val="006D6D43"/>
    <w:rsid w:val="006D6E6F"/>
    <w:rsid w:val="006D6F93"/>
    <w:rsid w:val="006D7058"/>
    <w:rsid w:val="006D7237"/>
    <w:rsid w:val="006D72B9"/>
    <w:rsid w:val="006D72C3"/>
    <w:rsid w:val="006D7313"/>
    <w:rsid w:val="006D739D"/>
    <w:rsid w:val="006D759E"/>
    <w:rsid w:val="006D75B5"/>
    <w:rsid w:val="006D7607"/>
    <w:rsid w:val="006D761F"/>
    <w:rsid w:val="006D76ED"/>
    <w:rsid w:val="006D77B2"/>
    <w:rsid w:val="006D77EF"/>
    <w:rsid w:val="006D78C1"/>
    <w:rsid w:val="006D7921"/>
    <w:rsid w:val="006D7923"/>
    <w:rsid w:val="006D7A69"/>
    <w:rsid w:val="006D7B9B"/>
    <w:rsid w:val="006D7BE6"/>
    <w:rsid w:val="006D7CEA"/>
    <w:rsid w:val="006D7D0F"/>
    <w:rsid w:val="006D7D34"/>
    <w:rsid w:val="006D7DD3"/>
    <w:rsid w:val="006D7E05"/>
    <w:rsid w:val="006D7E2E"/>
    <w:rsid w:val="006E004F"/>
    <w:rsid w:val="006E006A"/>
    <w:rsid w:val="006E0124"/>
    <w:rsid w:val="006E014D"/>
    <w:rsid w:val="006E035C"/>
    <w:rsid w:val="006E03B3"/>
    <w:rsid w:val="006E044C"/>
    <w:rsid w:val="006E0469"/>
    <w:rsid w:val="006E054B"/>
    <w:rsid w:val="006E060E"/>
    <w:rsid w:val="006E06B4"/>
    <w:rsid w:val="006E0731"/>
    <w:rsid w:val="006E0792"/>
    <w:rsid w:val="006E08DD"/>
    <w:rsid w:val="006E096C"/>
    <w:rsid w:val="006E09B5"/>
    <w:rsid w:val="006E0A06"/>
    <w:rsid w:val="006E0A30"/>
    <w:rsid w:val="006E0A67"/>
    <w:rsid w:val="006E0AB8"/>
    <w:rsid w:val="006E0AC1"/>
    <w:rsid w:val="006E0B44"/>
    <w:rsid w:val="006E0B55"/>
    <w:rsid w:val="006E0BAB"/>
    <w:rsid w:val="006E0BC6"/>
    <w:rsid w:val="006E0C2E"/>
    <w:rsid w:val="006E0C31"/>
    <w:rsid w:val="006E0C74"/>
    <w:rsid w:val="006E0CB1"/>
    <w:rsid w:val="006E0E02"/>
    <w:rsid w:val="006E105B"/>
    <w:rsid w:val="006E106A"/>
    <w:rsid w:val="006E1119"/>
    <w:rsid w:val="006E117D"/>
    <w:rsid w:val="006E1192"/>
    <w:rsid w:val="006E140E"/>
    <w:rsid w:val="006E15EA"/>
    <w:rsid w:val="006E172A"/>
    <w:rsid w:val="006E1779"/>
    <w:rsid w:val="006E17BD"/>
    <w:rsid w:val="006E17BF"/>
    <w:rsid w:val="006E184B"/>
    <w:rsid w:val="006E18B9"/>
    <w:rsid w:val="006E18CC"/>
    <w:rsid w:val="006E1A24"/>
    <w:rsid w:val="006E1A98"/>
    <w:rsid w:val="006E1B7E"/>
    <w:rsid w:val="006E1B9D"/>
    <w:rsid w:val="006E1C34"/>
    <w:rsid w:val="006E1EBA"/>
    <w:rsid w:val="006E1EFF"/>
    <w:rsid w:val="006E2043"/>
    <w:rsid w:val="006E239C"/>
    <w:rsid w:val="006E242F"/>
    <w:rsid w:val="006E24C3"/>
    <w:rsid w:val="006E256D"/>
    <w:rsid w:val="006E2578"/>
    <w:rsid w:val="006E2596"/>
    <w:rsid w:val="006E25A3"/>
    <w:rsid w:val="006E2633"/>
    <w:rsid w:val="006E2795"/>
    <w:rsid w:val="006E27C6"/>
    <w:rsid w:val="006E28A8"/>
    <w:rsid w:val="006E2A0B"/>
    <w:rsid w:val="006E2A64"/>
    <w:rsid w:val="006E2A88"/>
    <w:rsid w:val="006E2BD9"/>
    <w:rsid w:val="006E2BF5"/>
    <w:rsid w:val="006E2C68"/>
    <w:rsid w:val="006E2CBC"/>
    <w:rsid w:val="006E2EB9"/>
    <w:rsid w:val="006E2EF6"/>
    <w:rsid w:val="006E2F05"/>
    <w:rsid w:val="006E2F2D"/>
    <w:rsid w:val="006E309F"/>
    <w:rsid w:val="006E3226"/>
    <w:rsid w:val="006E32C2"/>
    <w:rsid w:val="006E337B"/>
    <w:rsid w:val="006E3410"/>
    <w:rsid w:val="006E350F"/>
    <w:rsid w:val="006E3551"/>
    <w:rsid w:val="006E3559"/>
    <w:rsid w:val="006E35CA"/>
    <w:rsid w:val="006E36EE"/>
    <w:rsid w:val="006E372E"/>
    <w:rsid w:val="006E3824"/>
    <w:rsid w:val="006E399E"/>
    <w:rsid w:val="006E399F"/>
    <w:rsid w:val="006E39F8"/>
    <w:rsid w:val="006E3A3E"/>
    <w:rsid w:val="006E3B06"/>
    <w:rsid w:val="006E3BB5"/>
    <w:rsid w:val="006E3BBD"/>
    <w:rsid w:val="006E3E40"/>
    <w:rsid w:val="006E3F33"/>
    <w:rsid w:val="006E3F8C"/>
    <w:rsid w:val="006E4022"/>
    <w:rsid w:val="006E4042"/>
    <w:rsid w:val="006E405D"/>
    <w:rsid w:val="006E4262"/>
    <w:rsid w:val="006E4307"/>
    <w:rsid w:val="006E43F4"/>
    <w:rsid w:val="006E4410"/>
    <w:rsid w:val="006E4506"/>
    <w:rsid w:val="006E453A"/>
    <w:rsid w:val="006E45AE"/>
    <w:rsid w:val="006E4606"/>
    <w:rsid w:val="006E46EF"/>
    <w:rsid w:val="006E47AA"/>
    <w:rsid w:val="006E489E"/>
    <w:rsid w:val="006E4A26"/>
    <w:rsid w:val="006E4ACA"/>
    <w:rsid w:val="006E4BD8"/>
    <w:rsid w:val="006E4BD9"/>
    <w:rsid w:val="006E4BFE"/>
    <w:rsid w:val="006E4D28"/>
    <w:rsid w:val="006E4DD9"/>
    <w:rsid w:val="006E4DE5"/>
    <w:rsid w:val="006E4E35"/>
    <w:rsid w:val="006E4E59"/>
    <w:rsid w:val="006E4EDE"/>
    <w:rsid w:val="006E4F1B"/>
    <w:rsid w:val="006E4F3F"/>
    <w:rsid w:val="006E4FC5"/>
    <w:rsid w:val="006E506E"/>
    <w:rsid w:val="006E50A2"/>
    <w:rsid w:val="006E51CF"/>
    <w:rsid w:val="006E520A"/>
    <w:rsid w:val="006E52FE"/>
    <w:rsid w:val="006E534E"/>
    <w:rsid w:val="006E53F6"/>
    <w:rsid w:val="006E544A"/>
    <w:rsid w:val="006E54D6"/>
    <w:rsid w:val="006E55CA"/>
    <w:rsid w:val="006E5641"/>
    <w:rsid w:val="006E5890"/>
    <w:rsid w:val="006E58AB"/>
    <w:rsid w:val="006E5906"/>
    <w:rsid w:val="006E598C"/>
    <w:rsid w:val="006E59BE"/>
    <w:rsid w:val="006E59DB"/>
    <w:rsid w:val="006E59F7"/>
    <w:rsid w:val="006E5A10"/>
    <w:rsid w:val="006E5B00"/>
    <w:rsid w:val="006E5B3C"/>
    <w:rsid w:val="006E5B41"/>
    <w:rsid w:val="006E5BDE"/>
    <w:rsid w:val="006E5D89"/>
    <w:rsid w:val="006E5D9F"/>
    <w:rsid w:val="006E5DF2"/>
    <w:rsid w:val="006E5E52"/>
    <w:rsid w:val="006E5F02"/>
    <w:rsid w:val="006E6082"/>
    <w:rsid w:val="006E6224"/>
    <w:rsid w:val="006E6376"/>
    <w:rsid w:val="006E63F2"/>
    <w:rsid w:val="006E65A8"/>
    <w:rsid w:val="006E65E1"/>
    <w:rsid w:val="006E664E"/>
    <w:rsid w:val="006E6653"/>
    <w:rsid w:val="006E673F"/>
    <w:rsid w:val="006E6771"/>
    <w:rsid w:val="006E6791"/>
    <w:rsid w:val="006E696B"/>
    <w:rsid w:val="006E6BC2"/>
    <w:rsid w:val="006E6BE5"/>
    <w:rsid w:val="006E6BF1"/>
    <w:rsid w:val="006E6C57"/>
    <w:rsid w:val="006E6DBB"/>
    <w:rsid w:val="006E6DD6"/>
    <w:rsid w:val="006E6DEC"/>
    <w:rsid w:val="006E6DF4"/>
    <w:rsid w:val="006E6DF9"/>
    <w:rsid w:val="006E6EDA"/>
    <w:rsid w:val="006E6F3A"/>
    <w:rsid w:val="006E6FCC"/>
    <w:rsid w:val="006E703D"/>
    <w:rsid w:val="006E70B1"/>
    <w:rsid w:val="006E7126"/>
    <w:rsid w:val="006E712C"/>
    <w:rsid w:val="006E7217"/>
    <w:rsid w:val="006E7354"/>
    <w:rsid w:val="006E73C9"/>
    <w:rsid w:val="006E742C"/>
    <w:rsid w:val="006E7519"/>
    <w:rsid w:val="006E758D"/>
    <w:rsid w:val="006E7664"/>
    <w:rsid w:val="006E767C"/>
    <w:rsid w:val="006E76A8"/>
    <w:rsid w:val="006E76BE"/>
    <w:rsid w:val="006E776C"/>
    <w:rsid w:val="006E7854"/>
    <w:rsid w:val="006E7865"/>
    <w:rsid w:val="006E7954"/>
    <w:rsid w:val="006E7962"/>
    <w:rsid w:val="006E79ED"/>
    <w:rsid w:val="006E79F1"/>
    <w:rsid w:val="006E7B38"/>
    <w:rsid w:val="006E7C47"/>
    <w:rsid w:val="006E7C69"/>
    <w:rsid w:val="006E7EC5"/>
    <w:rsid w:val="006E7F86"/>
    <w:rsid w:val="006F0096"/>
    <w:rsid w:val="006F00CC"/>
    <w:rsid w:val="006F00D8"/>
    <w:rsid w:val="006F011E"/>
    <w:rsid w:val="006F0183"/>
    <w:rsid w:val="006F01C4"/>
    <w:rsid w:val="006F02C3"/>
    <w:rsid w:val="006F033A"/>
    <w:rsid w:val="006F03E1"/>
    <w:rsid w:val="006F0488"/>
    <w:rsid w:val="006F048A"/>
    <w:rsid w:val="006F0706"/>
    <w:rsid w:val="006F0716"/>
    <w:rsid w:val="006F0719"/>
    <w:rsid w:val="006F07B4"/>
    <w:rsid w:val="006F08A8"/>
    <w:rsid w:val="006F0965"/>
    <w:rsid w:val="006F0A36"/>
    <w:rsid w:val="006F0A9C"/>
    <w:rsid w:val="006F0AE3"/>
    <w:rsid w:val="006F0B57"/>
    <w:rsid w:val="006F0C12"/>
    <w:rsid w:val="006F0C24"/>
    <w:rsid w:val="006F0C56"/>
    <w:rsid w:val="006F0C73"/>
    <w:rsid w:val="006F0E58"/>
    <w:rsid w:val="006F0E87"/>
    <w:rsid w:val="006F0F37"/>
    <w:rsid w:val="006F1047"/>
    <w:rsid w:val="006F1293"/>
    <w:rsid w:val="006F12DB"/>
    <w:rsid w:val="006F1318"/>
    <w:rsid w:val="006F13B1"/>
    <w:rsid w:val="006F13D9"/>
    <w:rsid w:val="006F1400"/>
    <w:rsid w:val="006F147B"/>
    <w:rsid w:val="006F14CA"/>
    <w:rsid w:val="006F1569"/>
    <w:rsid w:val="006F15AC"/>
    <w:rsid w:val="006F15E5"/>
    <w:rsid w:val="006F1745"/>
    <w:rsid w:val="006F174B"/>
    <w:rsid w:val="006F175F"/>
    <w:rsid w:val="006F1801"/>
    <w:rsid w:val="006F1A02"/>
    <w:rsid w:val="006F1A46"/>
    <w:rsid w:val="006F1A62"/>
    <w:rsid w:val="006F1B33"/>
    <w:rsid w:val="006F1B36"/>
    <w:rsid w:val="006F1C30"/>
    <w:rsid w:val="006F1C9E"/>
    <w:rsid w:val="006F1CCF"/>
    <w:rsid w:val="006F1DD8"/>
    <w:rsid w:val="006F1EC8"/>
    <w:rsid w:val="006F1F88"/>
    <w:rsid w:val="006F1F89"/>
    <w:rsid w:val="006F2091"/>
    <w:rsid w:val="006F20A1"/>
    <w:rsid w:val="006F216B"/>
    <w:rsid w:val="006F220B"/>
    <w:rsid w:val="006F2278"/>
    <w:rsid w:val="006F2325"/>
    <w:rsid w:val="006F2680"/>
    <w:rsid w:val="006F2781"/>
    <w:rsid w:val="006F27B5"/>
    <w:rsid w:val="006F284A"/>
    <w:rsid w:val="006F2889"/>
    <w:rsid w:val="006F28A1"/>
    <w:rsid w:val="006F2900"/>
    <w:rsid w:val="006F2A0E"/>
    <w:rsid w:val="006F2B0E"/>
    <w:rsid w:val="006F2B2E"/>
    <w:rsid w:val="006F2B61"/>
    <w:rsid w:val="006F2C98"/>
    <w:rsid w:val="006F2CD8"/>
    <w:rsid w:val="006F2DC9"/>
    <w:rsid w:val="006F2E3F"/>
    <w:rsid w:val="006F2EC1"/>
    <w:rsid w:val="006F2F08"/>
    <w:rsid w:val="006F2FC3"/>
    <w:rsid w:val="006F2FD1"/>
    <w:rsid w:val="006F3101"/>
    <w:rsid w:val="006F3108"/>
    <w:rsid w:val="006F31E1"/>
    <w:rsid w:val="006F33A1"/>
    <w:rsid w:val="006F3464"/>
    <w:rsid w:val="006F34C6"/>
    <w:rsid w:val="006F3537"/>
    <w:rsid w:val="006F35B5"/>
    <w:rsid w:val="006F35D0"/>
    <w:rsid w:val="006F366E"/>
    <w:rsid w:val="006F36C6"/>
    <w:rsid w:val="006F37CC"/>
    <w:rsid w:val="006F3947"/>
    <w:rsid w:val="006F3A39"/>
    <w:rsid w:val="006F3AC8"/>
    <w:rsid w:val="006F3B05"/>
    <w:rsid w:val="006F3B9E"/>
    <w:rsid w:val="006F3DCB"/>
    <w:rsid w:val="006F3F3C"/>
    <w:rsid w:val="006F3FCC"/>
    <w:rsid w:val="006F3FCD"/>
    <w:rsid w:val="006F4035"/>
    <w:rsid w:val="006F4074"/>
    <w:rsid w:val="006F40A8"/>
    <w:rsid w:val="006F40B0"/>
    <w:rsid w:val="006F419D"/>
    <w:rsid w:val="006F4238"/>
    <w:rsid w:val="006F428F"/>
    <w:rsid w:val="006F44F6"/>
    <w:rsid w:val="006F4563"/>
    <w:rsid w:val="006F459F"/>
    <w:rsid w:val="006F46AB"/>
    <w:rsid w:val="006F46C5"/>
    <w:rsid w:val="006F46DD"/>
    <w:rsid w:val="006F46E5"/>
    <w:rsid w:val="006F47B4"/>
    <w:rsid w:val="006F4815"/>
    <w:rsid w:val="006F485C"/>
    <w:rsid w:val="006F495C"/>
    <w:rsid w:val="006F4B1B"/>
    <w:rsid w:val="006F4B72"/>
    <w:rsid w:val="006F4C8E"/>
    <w:rsid w:val="006F4CA5"/>
    <w:rsid w:val="006F4D10"/>
    <w:rsid w:val="006F4D33"/>
    <w:rsid w:val="006F4D65"/>
    <w:rsid w:val="006F4DD8"/>
    <w:rsid w:val="006F5137"/>
    <w:rsid w:val="006F5176"/>
    <w:rsid w:val="006F5340"/>
    <w:rsid w:val="006F534F"/>
    <w:rsid w:val="006F53C4"/>
    <w:rsid w:val="006F5558"/>
    <w:rsid w:val="006F56C4"/>
    <w:rsid w:val="006F56F6"/>
    <w:rsid w:val="006F5872"/>
    <w:rsid w:val="006F5921"/>
    <w:rsid w:val="006F5966"/>
    <w:rsid w:val="006F5979"/>
    <w:rsid w:val="006F5A1D"/>
    <w:rsid w:val="006F5AB7"/>
    <w:rsid w:val="006F5AF5"/>
    <w:rsid w:val="006F5CC9"/>
    <w:rsid w:val="006F5E52"/>
    <w:rsid w:val="006F5E9A"/>
    <w:rsid w:val="006F5F16"/>
    <w:rsid w:val="006F5FCF"/>
    <w:rsid w:val="006F6087"/>
    <w:rsid w:val="006F6099"/>
    <w:rsid w:val="006F60B0"/>
    <w:rsid w:val="006F60FA"/>
    <w:rsid w:val="006F6150"/>
    <w:rsid w:val="006F623C"/>
    <w:rsid w:val="006F6322"/>
    <w:rsid w:val="006F6388"/>
    <w:rsid w:val="006F6434"/>
    <w:rsid w:val="006F65F8"/>
    <w:rsid w:val="006F6672"/>
    <w:rsid w:val="006F66FF"/>
    <w:rsid w:val="006F68F2"/>
    <w:rsid w:val="006F6964"/>
    <w:rsid w:val="006F69EE"/>
    <w:rsid w:val="006F69FE"/>
    <w:rsid w:val="006F6A3B"/>
    <w:rsid w:val="006F6B85"/>
    <w:rsid w:val="006F6B8A"/>
    <w:rsid w:val="006F6CEE"/>
    <w:rsid w:val="006F6F49"/>
    <w:rsid w:val="006F6F81"/>
    <w:rsid w:val="006F6FA9"/>
    <w:rsid w:val="006F6FD1"/>
    <w:rsid w:val="006F7154"/>
    <w:rsid w:val="006F729B"/>
    <w:rsid w:val="006F737E"/>
    <w:rsid w:val="006F73E3"/>
    <w:rsid w:val="006F74A7"/>
    <w:rsid w:val="006F750B"/>
    <w:rsid w:val="006F75A7"/>
    <w:rsid w:val="006F76BC"/>
    <w:rsid w:val="006F76C8"/>
    <w:rsid w:val="006F76E4"/>
    <w:rsid w:val="006F7B86"/>
    <w:rsid w:val="006F7BAD"/>
    <w:rsid w:val="006F7C36"/>
    <w:rsid w:val="006F7C78"/>
    <w:rsid w:val="006F7C97"/>
    <w:rsid w:val="006F7CA5"/>
    <w:rsid w:val="006F7FAB"/>
    <w:rsid w:val="00700045"/>
    <w:rsid w:val="00700122"/>
    <w:rsid w:val="00700141"/>
    <w:rsid w:val="00700192"/>
    <w:rsid w:val="00700195"/>
    <w:rsid w:val="007002A4"/>
    <w:rsid w:val="007002D6"/>
    <w:rsid w:val="0070034E"/>
    <w:rsid w:val="007003FA"/>
    <w:rsid w:val="00700453"/>
    <w:rsid w:val="007004EE"/>
    <w:rsid w:val="00700503"/>
    <w:rsid w:val="007005F7"/>
    <w:rsid w:val="007007C4"/>
    <w:rsid w:val="007008F0"/>
    <w:rsid w:val="00700950"/>
    <w:rsid w:val="00700990"/>
    <w:rsid w:val="00700AC1"/>
    <w:rsid w:val="00700BF7"/>
    <w:rsid w:val="00700C31"/>
    <w:rsid w:val="00700CEA"/>
    <w:rsid w:val="00700D11"/>
    <w:rsid w:val="00700D50"/>
    <w:rsid w:val="00700E7B"/>
    <w:rsid w:val="00700F7E"/>
    <w:rsid w:val="00701068"/>
    <w:rsid w:val="007010E4"/>
    <w:rsid w:val="00701156"/>
    <w:rsid w:val="007014E9"/>
    <w:rsid w:val="007014FD"/>
    <w:rsid w:val="007015AB"/>
    <w:rsid w:val="007017EE"/>
    <w:rsid w:val="00701821"/>
    <w:rsid w:val="00701A21"/>
    <w:rsid w:val="00701A5E"/>
    <w:rsid w:val="00701B13"/>
    <w:rsid w:val="00701C15"/>
    <w:rsid w:val="00701C6C"/>
    <w:rsid w:val="00701C8B"/>
    <w:rsid w:val="00701D2D"/>
    <w:rsid w:val="00701D56"/>
    <w:rsid w:val="00701E49"/>
    <w:rsid w:val="00701E74"/>
    <w:rsid w:val="00701F4B"/>
    <w:rsid w:val="00701FE1"/>
    <w:rsid w:val="00702029"/>
    <w:rsid w:val="00702041"/>
    <w:rsid w:val="00702194"/>
    <w:rsid w:val="007021CD"/>
    <w:rsid w:val="00702212"/>
    <w:rsid w:val="00702243"/>
    <w:rsid w:val="00702245"/>
    <w:rsid w:val="0070230D"/>
    <w:rsid w:val="0070232C"/>
    <w:rsid w:val="007023B8"/>
    <w:rsid w:val="0070257A"/>
    <w:rsid w:val="007025A5"/>
    <w:rsid w:val="007026F8"/>
    <w:rsid w:val="0070281E"/>
    <w:rsid w:val="00702ADE"/>
    <w:rsid w:val="00702B3F"/>
    <w:rsid w:val="00702C1F"/>
    <w:rsid w:val="00702C88"/>
    <w:rsid w:val="00702CDB"/>
    <w:rsid w:val="00702D1B"/>
    <w:rsid w:val="00702F49"/>
    <w:rsid w:val="00702F63"/>
    <w:rsid w:val="00702F67"/>
    <w:rsid w:val="00702F7B"/>
    <w:rsid w:val="007030FC"/>
    <w:rsid w:val="0070327D"/>
    <w:rsid w:val="00703467"/>
    <w:rsid w:val="00703468"/>
    <w:rsid w:val="0070354F"/>
    <w:rsid w:val="007035DE"/>
    <w:rsid w:val="00703670"/>
    <w:rsid w:val="0070371F"/>
    <w:rsid w:val="00703781"/>
    <w:rsid w:val="007037A6"/>
    <w:rsid w:val="007038A2"/>
    <w:rsid w:val="00703906"/>
    <w:rsid w:val="00703B5B"/>
    <w:rsid w:val="00703BCE"/>
    <w:rsid w:val="00703CED"/>
    <w:rsid w:val="00703D44"/>
    <w:rsid w:val="00703D57"/>
    <w:rsid w:val="00703E67"/>
    <w:rsid w:val="00704010"/>
    <w:rsid w:val="0070406B"/>
    <w:rsid w:val="0070440D"/>
    <w:rsid w:val="00704478"/>
    <w:rsid w:val="007044C8"/>
    <w:rsid w:val="007044E9"/>
    <w:rsid w:val="007044F6"/>
    <w:rsid w:val="00704529"/>
    <w:rsid w:val="00704542"/>
    <w:rsid w:val="00704608"/>
    <w:rsid w:val="0070467D"/>
    <w:rsid w:val="0070475B"/>
    <w:rsid w:val="0070477E"/>
    <w:rsid w:val="00704883"/>
    <w:rsid w:val="00704893"/>
    <w:rsid w:val="00704895"/>
    <w:rsid w:val="007048A7"/>
    <w:rsid w:val="007048F3"/>
    <w:rsid w:val="007049CD"/>
    <w:rsid w:val="00704B43"/>
    <w:rsid w:val="00704B89"/>
    <w:rsid w:val="00704C9A"/>
    <w:rsid w:val="00704CC9"/>
    <w:rsid w:val="00704E2F"/>
    <w:rsid w:val="00704EA8"/>
    <w:rsid w:val="00704ECF"/>
    <w:rsid w:val="00704F8D"/>
    <w:rsid w:val="00705042"/>
    <w:rsid w:val="007052F7"/>
    <w:rsid w:val="00705358"/>
    <w:rsid w:val="0070540D"/>
    <w:rsid w:val="00705459"/>
    <w:rsid w:val="00705622"/>
    <w:rsid w:val="0070569B"/>
    <w:rsid w:val="00705738"/>
    <w:rsid w:val="007057E5"/>
    <w:rsid w:val="00705908"/>
    <w:rsid w:val="0070592B"/>
    <w:rsid w:val="007059BB"/>
    <w:rsid w:val="00705A35"/>
    <w:rsid w:val="00705AC1"/>
    <w:rsid w:val="00705AE8"/>
    <w:rsid w:val="00705BAC"/>
    <w:rsid w:val="00705CB5"/>
    <w:rsid w:val="00705DE4"/>
    <w:rsid w:val="00705ED9"/>
    <w:rsid w:val="00705F61"/>
    <w:rsid w:val="00706087"/>
    <w:rsid w:val="007061F4"/>
    <w:rsid w:val="00706219"/>
    <w:rsid w:val="007064D5"/>
    <w:rsid w:val="00706529"/>
    <w:rsid w:val="0070654A"/>
    <w:rsid w:val="007065DC"/>
    <w:rsid w:val="00706670"/>
    <w:rsid w:val="00706888"/>
    <w:rsid w:val="007069BC"/>
    <w:rsid w:val="007069FE"/>
    <w:rsid w:val="00706A8B"/>
    <w:rsid w:val="00706AD0"/>
    <w:rsid w:val="00706B22"/>
    <w:rsid w:val="00706BFA"/>
    <w:rsid w:val="00706CE2"/>
    <w:rsid w:val="00706CE6"/>
    <w:rsid w:val="0070710D"/>
    <w:rsid w:val="007071AD"/>
    <w:rsid w:val="007071C2"/>
    <w:rsid w:val="0070720C"/>
    <w:rsid w:val="00707219"/>
    <w:rsid w:val="00707228"/>
    <w:rsid w:val="0070731B"/>
    <w:rsid w:val="00707453"/>
    <w:rsid w:val="0070748C"/>
    <w:rsid w:val="007074E2"/>
    <w:rsid w:val="007074FE"/>
    <w:rsid w:val="00707538"/>
    <w:rsid w:val="0070754D"/>
    <w:rsid w:val="007075AC"/>
    <w:rsid w:val="007075D8"/>
    <w:rsid w:val="00707686"/>
    <w:rsid w:val="00707694"/>
    <w:rsid w:val="00707835"/>
    <w:rsid w:val="007078FA"/>
    <w:rsid w:val="007078FE"/>
    <w:rsid w:val="00707946"/>
    <w:rsid w:val="00707A29"/>
    <w:rsid w:val="00707B8F"/>
    <w:rsid w:val="00707C16"/>
    <w:rsid w:val="00707E25"/>
    <w:rsid w:val="00707E56"/>
    <w:rsid w:val="00707E70"/>
    <w:rsid w:val="00707E8B"/>
    <w:rsid w:val="00707EBE"/>
    <w:rsid w:val="00707ED6"/>
    <w:rsid w:val="00707FB7"/>
    <w:rsid w:val="00707FCC"/>
    <w:rsid w:val="00707FFB"/>
    <w:rsid w:val="00710010"/>
    <w:rsid w:val="00710038"/>
    <w:rsid w:val="00710087"/>
    <w:rsid w:val="0071012C"/>
    <w:rsid w:val="0071014B"/>
    <w:rsid w:val="0071015D"/>
    <w:rsid w:val="007101B2"/>
    <w:rsid w:val="00710200"/>
    <w:rsid w:val="0071029E"/>
    <w:rsid w:val="007102F3"/>
    <w:rsid w:val="0071030E"/>
    <w:rsid w:val="0071033B"/>
    <w:rsid w:val="007104E1"/>
    <w:rsid w:val="00710585"/>
    <w:rsid w:val="00710594"/>
    <w:rsid w:val="007105E3"/>
    <w:rsid w:val="0071076D"/>
    <w:rsid w:val="007107C0"/>
    <w:rsid w:val="007107C2"/>
    <w:rsid w:val="007107F9"/>
    <w:rsid w:val="007109BD"/>
    <w:rsid w:val="007109FF"/>
    <w:rsid w:val="00710A9A"/>
    <w:rsid w:val="00710AD8"/>
    <w:rsid w:val="00710B32"/>
    <w:rsid w:val="00710D12"/>
    <w:rsid w:val="00710D41"/>
    <w:rsid w:val="00710E67"/>
    <w:rsid w:val="00710F07"/>
    <w:rsid w:val="00711013"/>
    <w:rsid w:val="00711017"/>
    <w:rsid w:val="00711061"/>
    <w:rsid w:val="0071110D"/>
    <w:rsid w:val="00711150"/>
    <w:rsid w:val="007111BD"/>
    <w:rsid w:val="0071129A"/>
    <w:rsid w:val="00711364"/>
    <w:rsid w:val="0071142B"/>
    <w:rsid w:val="007114E1"/>
    <w:rsid w:val="00711506"/>
    <w:rsid w:val="00711570"/>
    <w:rsid w:val="00711628"/>
    <w:rsid w:val="00711645"/>
    <w:rsid w:val="007116CA"/>
    <w:rsid w:val="007116EF"/>
    <w:rsid w:val="00711720"/>
    <w:rsid w:val="00711752"/>
    <w:rsid w:val="00711775"/>
    <w:rsid w:val="007117CE"/>
    <w:rsid w:val="0071188D"/>
    <w:rsid w:val="007119BB"/>
    <w:rsid w:val="00711A46"/>
    <w:rsid w:val="00711AAB"/>
    <w:rsid w:val="00711D0A"/>
    <w:rsid w:val="00711DE8"/>
    <w:rsid w:val="00711DEF"/>
    <w:rsid w:val="00711ECF"/>
    <w:rsid w:val="00711EE8"/>
    <w:rsid w:val="007120D7"/>
    <w:rsid w:val="0071223A"/>
    <w:rsid w:val="0071224C"/>
    <w:rsid w:val="007122FF"/>
    <w:rsid w:val="007123B8"/>
    <w:rsid w:val="007123EC"/>
    <w:rsid w:val="00712424"/>
    <w:rsid w:val="0071246C"/>
    <w:rsid w:val="0071248B"/>
    <w:rsid w:val="00712533"/>
    <w:rsid w:val="007125BA"/>
    <w:rsid w:val="00712625"/>
    <w:rsid w:val="007126B5"/>
    <w:rsid w:val="007127BC"/>
    <w:rsid w:val="007128BD"/>
    <w:rsid w:val="007128E9"/>
    <w:rsid w:val="00712925"/>
    <w:rsid w:val="00712949"/>
    <w:rsid w:val="00712978"/>
    <w:rsid w:val="0071297B"/>
    <w:rsid w:val="00712AA5"/>
    <w:rsid w:val="00712ACB"/>
    <w:rsid w:val="00712B30"/>
    <w:rsid w:val="00712B73"/>
    <w:rsid w:val="00712BB9"/>
    <w:rsid w:val="00712BCC"/>
    <w:rsid w:val="00712BFC"/>
    <w:rsid w:val="00712C2C"/>
    <w:rsid w:val="00712D1A"/>
    <w:rsid w:val="00712DDA"/>
    <w:rsid w:val="00712E46"/>
    <w:rsid w:val="00712F7B"/>
    <w:rsid w:val="00712F8A"/>
    <w:rsid w:val="007134B4"/>
    <w:rsid w:val="007134D2"/>
    <w:rsid w:val="0071362D"/>
    <w:rsid w:val="00713720"/>
    <w:rsid w:val="007137A1"/>
    <w:rsid w:val="00713868"/>
    <w:rsid w:val="007138EE"/>
    <w:rsid w:val="007139A5"/>
    <w:rsid w:val="00713B6C"/>
    <w:rsid w:val="00713C9B"/>
    <w:rsid w:val="00713DFF"/>
    <w:rsid w:val="00713EB4"/>
    <w:rsid w:val="00713ED1"/>
    <w:rsid w:val="00713F03"/>
    <w:rsid w:val="00713F40"/>
    <w:rsid w:val="00713F46"/>
    <w:rsid w:val="00714015"/>
    <w:rsid w:val="007140E6"/>
    <w:rsid w:val="00714157"/>
    <w:rsid w:val="007141E8"/>
    <w:rsid w:val="007142EB"/>
    <w:rsid w:val="00714325"/>
    <w:rsid w:val="00714327"/>
    <w:rsid w:val="00714505"/>
    <w:rsid w:val="00714588"/>
    <w:rsid w:val="00714679"/>
    <w:rsid w:val="0071473D"/>
    <w:rsid w:val="0071478E"/>
    <w:rsid w:val="007147E1"/>
    <w:rsid w:val="007148A2"/>
    <w:rsid w:val="00714A7D"/>
    <w:rsid w:val="00714B5E"/>
    <w:rsid w:val="00714FAF"/>
    <w:rsid w:val="00714FF3"/>
    <w:rsid w:val="007150BF"/>
    <w:rsid w:val="007150FC"/>
    <w:rsid w:val="007151B2"/>
    <w:rsid w:val="00715220"/>
    <w:rsid w:val="0071522B"/>
    <w:rsid w:val="0071526E"/>
    <w:rsid w:val="00715342"/>
    <w:rsid w:val="0071536F"/>
    <w:rsid w:val="007154CB"/>
    <w:rsid w:val="007154E5"/>
    <w:rsid w:val="007154E7"/>
    <w:rsid w:val="00715566"/>
    <w:rsid w:val="007155C9"/>
    <w:rsid w:val="007155F3"/>
    <w:rsid w:val="007157C6"/>
    <w:rsid w:val="0071586D"/>
    <w:rsid w:val="00715973"/>
    <w:rsid w:val="00715AF4"/>
    <w:rsid w:val="00715BC1"/>
    <w:rsid w:val="00715CA3"/>
    <w:rsid w:val="00715CA9"/>
    <w:rsid w:val="00715CFF"/>
    <w:rsid w:val="00715D8F"/>
    <w:rsid w:val="00715E23"/>
    <w:rsid w:val="00715E98"/>
    <w:rsid w:val="00715F6A"/>
    <w:rsid w:val="00715F96"/>
    <w:rsid w:val="00715F9C"/>
    <w:rsid w:val="0071632A"/>
    <w:rsid w:val="0071638E"/>
    <w:rsid w:val="0071653B"/>
    <w:rsid w:val="007166B4"/>
    <w:rsid w:val="007166C5"/>
    <w:rsid w:val="0071672D"/>
    <w:rsid w:val="00716801"/>
    <w:rsid w:val="00716961"/>
    <w:rsid w:val="00716975"/>
    <w:rsid w:val="007169F0"/>
    <w:rsid w:val="00716A69"/>
    <w:rsid w:val="00716B67"/>
    <w:rsid w:val="00716CF5"/>
    <w:rsid w:val="00716D2D"/>
    <w:rsid w:val="00716ECB"/>
    <w:rsid w:val="00716EE9"/>
    <w:rsid w:val="00716EFF"/>
    <w:rsid w:val="00716FC7"/>
    <w:rsid w:val="007171AE"/>
    <w:rsid w:val="00717243"/>
    <w:rsid w:val="0071738F"/>
    <w:rsid w:val="007173DA"/>
    <w:rsid w:val="007173EC"/>
    <w:rsid w:val="00717495"/>
    <w:rsid w:val="007175CB"/>
    <w:rsid w:val="007175D0"/>
    <w:rsid w:val="007175E8"/>
    <w:rsid w:val="007176C7"/>
    <w:rsid w:val="007177B9"/>
    <w:rsid w:val="007177CA"/>
    <w:rsid w:val="007177DF"/>
    <w:rsid w:val="007177F7"/>
    <w:rsid w:val="00717867"/>
    <w:rsid w:val="007179A5"/>
    <w:rsid w:val="00717A3A"/>
    <w:rsid w:val="00717B03"/>
    <w:rsid w:val="00717B74"/>
    <w:rsid w:val="00717C1C"/>
    <w:rsid w:val="00717C33"/>
    <w:rsid w:val="00717C60"/>
    <w:rsid w:val="00717C64"/>
    <w:rsid w:val="00717C94"/>
    <w:rsid w:val="00717D4A"/>
    <w:rsid w:val="00717DBD"/>
    <w:rsid w:val="00717E25"/>
    <w:rsid w:val="00717EE1"/>
    <w:rsid w:val="00717FA4"/>
    <w:rsid w:val="00717FEE"/>
    <w:rsid w:val="007200B6"/>
    <w:rsid w:val="0072010F"/>
    <w:rsid w:val="00720172"/>
    <w:rsid w:val="007201FB"/>
    <w:rsid w:val="00720209"/>
    <w:rsid w:val="00720330"/>
    <w:rsid w:val="00720338"/>
    <w:rsid w:val="007205A4"/>
    <w:rsid w:val="0072078D"/>
    <w:rsid w:val="007207B4"/>
    <w:rsid w:val="007207D1"/>
    <w:rsid w:val="007207DD"/>
    <w:rsid w:val="007207FA"/>
    <w:rsid w:val="0072084C"/>
    <w:rsid w:val="00720878"/>
    <w:rsid w:val="00720992"/>
    <w:rsid w:val="00720A6C"/>
    <w:rsid w:val="00720BA4"/>
    <w:rsid w:val="00720BC4"/>
    <w:rsid w:val="00720CF4"/>
    <w:rsid w:val="00720E72"/>
    <w:rsid w:val="00720F49"/>
    <w:rsid w:val="00720F9E"/>
    <w:rsid w:val="00720FD9"/>
    <w:rsid w:val="00720FE4"/>
    <w:rsid w:val="0072109F"/>
    <w:rsid w:val="007210B2"/>
    <w:rsid w:val="007211B8"/>
    <w:rsid w:val="00721342"/>
    <w:rsid w:val="007213DF"/>
    <w:rsid w:val="00721405"/>
    <w:rsid w:val="0072157A"/>
    <w:rsid w:val="0072159B"/>
    <w:rsid w:val="007215F5"/>
    <w:rsid w:val="00721765"/>
    <w:rsid w:val="00721933"/>
    <w:rsid w:val="00721AE1"/>
    <w:rsid w:val="00721C29"/>
    <w:rsid w:val="00721CC1"/>
    <w:rsid w:val="00721F6B"/>
    <w:rsid w:val="00722127"/>
    <w:rsid w:val="0072214D"/>
    <w:rsid w:val="007221DE"/>
    <w:rsid w:val="0072225C"/>
    <w:rsid w:val="007222E3"/>
    <w:rsid w:val="00722413"/>
    <w:rsid w:val="0072242D"/>
    <w:rsid w:val="0072244F"/>
    <w:rsid w:val="00722462"/>
    <w:rsid w:val="007224B7"/>
    <w:rsid w:val="00722557"/>
    <w:rsid w:val="0072262A"/>
    <w:rsid w:val="007226CB"/>
    <w:rsid w:val="007228F7"/>
    <w:rsid w:val="007228FE"/>
    <w:rsid w:val="0072296D"/>
    <w:rsid w:val="007229A1"/>
    <w:rsid w:val="00722A07"/>
    <w:rsid w:val="00722BC8"/>
    <w:rsid w:val="00722C90"/>
    <w:rsid w:val="00722DF2"/>
    <w:rsid w:val="00722E12"/>
    <w:rsid w:val="00722E6F"/>
    <w:rsid w:val="0072311A"/>
    <w:rsid w:val="0072312A"/>
    <w:rsid w:val="00723135"/>
    <w:rsid w:val="007232A0"/>
    <w:rsid w:val="0072335D"/>
    <w:rsid w:val="007233D8"/>
    <w:rsid w:val="00723447"/>
    <w:rsid w:val="0072349F"/>
    <w:rsid w:val="007234F1"/>
    <w:rsid w:val="0072386E"/>
    <w:rsid w:val="007238E2"/>
    <w:rsid w:val="00723968"/>
    <w:rsid w:val="007239D8"/>
    <w:rsid w:val="00723A09"/>
    <w:rsid w:val="00723A6C"/>
    <w:rsid w:val="00723B4D"/>
    <w:rsid w:val="00723B86"/>
    <w:rsid w:val="00723BC5"/>
    <w:rsid w:val="00723E9C"/>
    <w:rsid w:val="00724070"/>
    <w:rsid w:val="00724127"/>
    <w:rsid w:val="0072417B"/>
    <w:rsid w:val="007241D0"/>
    <w:rsid w:val="00724220"/>
    <w:rsid w:val="00724316"/>
    <w:rsid w:val="0072456C"/>
    <w:rsid w:val="00724590"/>
    <w:rsid w:val="007245FC"/>
    <w:rsid w:val="0072483F"/>
    <w:rsid w:val="007249F6"/>
    <w:rsid w:val="00724A78"/>
    <w:rsid w:val="00724B97"/>
    <w:rsid w:val="00724C3C"/>
    <w:rsid w:val="00724C66"/>
    <w:rsid w:val="00724D4F"/>
    <w:rsid w:val="00724DDF"/>
    <w:rsid w:val="00724DF2"/>
    <w:rsid w:val="00724F0C"/>
    <w:rsid w:val="00725000"/>
    <w:rsid w:val="007250BD"/>
    <w:rsid w:val="00725128"/>
    <w:rsid w:val="007251C9"/>
    <w:rsid w:val="00725216"/>
    <w:rsid w:val="00725282"/>
    <w:rsid w:val="00725303"/>
    <w:rsid w:val="007253B7"/>
    <w:rsid w:val="00725406"/>
    <w:rsid w:val="0072564B"/>
    <w:rsid w:val="007256E8"/>
    <w:rsid w:val="0072588E"/>
    <w:rsid w:val="007258BD"/>
    <w:rsid w:val="00725913"/>
    <w:rsid w:val="00725948"/>
    <w:rsid w:val="0072597B"/>
    <w:rsid w:val="00725A35"/>
    <w:rsid w:val="00725B50"/>
    <w:rsid w:val="00725BDB"/>
    <w:rsid w:val="00725EA5"/>
    <w:rsid w:val="00725EEA"/>
    <w:rsid w:val="00725F2A"/>
    <w:rsid w:val="00725F34"/>
    <w:rsid w:val="00725FC0"/>
    <w:rsid w:val="00725FF7"/>
    <w:rsid w:val="00726049"/>
    <w:rsid w:val="00726137"/>
    <w:rsid w:val="007261F6"/>
    <w:rsid w:val="00726202"/>
    <w:rsid w:val="00726270"/>
    <w:rsid w:val="00726344"/>
    <w:rsid w:val="0072634F"/>
    <w:rsid w:val="00726405"/>
    <w:rsid w:val="00726469"/>
    <w:rsid w:val="007265B6"/>
    <w:rsid w:val="007268B8"/>
    <w:rsid w:val="007268E3"/>
    <w:rsid w:val="00726A4D"/>
    <w:rsid w:val="00726A6B"/>
    <w:rsid w:val="00726EDE"/>
    <w:rsid w:val="007271B9"/>
    <w:rsid w:val="00727298"/>
    <w:rsid w:val="007272C5"/>
    <w:rsid w:val="007272E5"/>
    <w:rsid w:val="0072743A"/>
    <w:rsid w:val="00727494"/>
    <w:rsid w:val="0072795D"/>
    <w:rsid w:val="007279E4"/>
    <w:rsid w:val="00727A84"/>
    <w:rsid w:val="00727B58"/>
    <w:rsid w:val="00727B69"/>
    <w:rsid w:val="00727BED"/>
    <w:rsid w:val="00727C14"/>
    <w:rsid w:val="00727C5E"/>
    <w:rsid w:val="00727D58"/>
    <w:rsid w:val="00727DE0"/>
    <w:rsid w:val="00727E48"/>
    <w:rsid w:val="00727E96"/>
    <w:rsid w:val="00727EB8"/>
    <w:rsid w:val="00727FE1"/>
    <w:rsid w:val="0073019F"/>
    <w:rsid w:val="007302FE"/>
    <w:rsid w:val="00730368"/>
    <w:rsid w:val="007303C7"/>
    <w:rsid w:val="00730475"/>
    <w:rsid w:val="007305F4"/>
    <w:rsid w:val="0073063F"/>
    <w:rsid w:val="007306EB"/>
    <w:rsid w:val="0073081C"/>
    <w:rsid w:val="0073086B"/>
    <w:rsid w:val="00730979"/>
    <w:rsid w:val="00730A73"/>
    <w:rsid w:val="00730B98"/>
    <w:rsid w:val="00730BA6"/>
    <w:rsid w:val="00730BA7"/>
    <w:rsid w:val="00730BEC"/>
    <w:rsid w:val="00730C04"/>
    <w:rsid w:val="00730C07"/>
    <w:rsid w:val="00730C89"/>
    <w:rsid w:val="00730CB5"/>
    <w:rsid w:val="00730E78"/>
    <w:rsid w:val="00730EF9"/>
    <w:rsid w:val="00730F76"/>
    <w:rsid w:val="00731004"/>
    <w:rsid w:val="00731097"/>
    <w:rsid w:val="007310CC"/>
    <w:rsid w:val="00731164"/>
    <w:rsid w:val="00731167"/>
    <w:rsid w:val="00731247"/>
    <w:rsid w:val="0073124C"/>
    <w:rsid w:val="00731369"/>
    <w:rsid w:val="00731374"/>
    <w:rsid w:val="007316E9"/>
    <w:rsid w:val="00731A4B"/>
    <w:rsid w:val="00731B21"/>
    <w:rsid w:val="00731BDF"/>
    <w:rsid w:val="00731C69"/>
    <w:rsid w:val="00731D91"/>
    <w:rsid w:val="00731F18"/>
    <w:rsid w:val="00731F3F"/>
    <w:rsid w:val="00732002"/>
    <w:rsid w:val="00732123"/>
    <w:rsid w:val="00732160"/>
    <w:rsid w:val="0073224A"/>
    <w:rsid w:val="0073225B"/>
    <w:rsid w:val="0073227F"/>
    <w:rsid w:val="00732334"/>
    <w:rsid w:val="007323FD"/>
    <w:rsid w:val="0073240B"/>
    <w:rsid w:val="0073246B"/>
    <w:rsid w:val="007324D5"/>
    <w:rsid w:val="007324F3"/>
    <w:rsid w:val="00732554"/>
    <w:rsid w:val="007325AB"/>
    <w:rsid w:val="00732618"/>
    <w:rsid w:val="0073267D"/>
    <w:rsid w:val="007327CC"/>
    <w:rsid w:val="007327EB"/>
    <w:rsid w:val="007328D5"/>
    <w:rsid w:val="0073299E"/>
    <w:rsid w:val="00732C34"/>
    <w:rsid w:val="00732CBD"/>
    <w:rsid w:val="00732E30"/>
    <w:rsid w:val="00732EC3"/>
    <w:rsid w:val="007330DD"/>
    <w:rsid w:val="0073314C"/>
    <w:rsid w:val="007332D1"/>
    <w:rsid w:val="00733425"/>
    <w:rsid w:val="00733443"/>
    <w:rsid w:val="00733488"/>
    <w:rsid w:val="007334DD"/>
    <w:rsid w:val="00733617"/>
    <w:rsid w:val="0073363F"/>
    <w:rsid w:val="00733651"/>
    <w:rsid w:val="007336DA"/>
    <w:rsid w:val="00733755"/>
    <w:rsid w:val="00733780"/>
    <w:rsid w:val="00733820"/>
    <w:rsid w:val="007339F8"/>
    <w:rsid w:val="00733A12"/>
    <w:rsid w:val="00733C1B"/>
    <w:rsid w:val="00733C23"/>
    <w:rsid w:val="00733C60"/>
    <w:rsid w:val="00733C6B"/>
    <w:rsid w:val="00733D0F"/>
    <w:rsid w:val="00733D35"/>
    <w:rsid w:val="00733D6D"/>
    <w:rsid w:val="00733E11"/>
    <w:rsid w:val="00733E31"/>
    <w:rsid w:val="00733F2D"/>
    <w:rsid w:val="007340C3"/>
    <w:rsid w:val="00734125"/>
    <w:rsid w:val="0073413D"/>
    <w:rsid w:val="007342C4"/>
    <w:rsid w:val="007343BA"/>
    <w:rsid w:val="007343FD"/>
    <w:rsid w:val="0073468C"/>
    <w:rsid w:val="00734753"/>
    <w:rsid w:val="00734771"/>
    <w:rsid w:val="0073479A"/>
    <w:rsid w:val="007347A1"/>
    <w:rsid w:val="007347DF"/>
    <w:rsid w:val="007348CD"/>
    <w:rsid w:val="00734907"/>
    <w:rsid w:val="00734918"/>
    <w:rsid w:val="00734948"/>
    <w:rsid w:val="00734986"/>
    <w:rsid w:val="00734BD7"/>
    <w:rsid w:val="00734C8C"/>
    <w:rsid w:val="00734C93"/>
    <w:rsid w:val="00734CFD"/>
    <w:rsid w:val="00734D02"/>
    <w:rsid w:val="00734D2C"/>
    <w:rsid w:val="00734D5B"/>
    <w:rsid w:val="00734E7B"/>
    <w:rsid w:val="00734EEB"/>
    <w:rsid w:val="00735141"/>
    <w:rsid w:val="007352F8"/>
    <w:rsid w:val="00735308"/>
    <w:rsid w:val="007353B2"/>
    <w:rsid w:val="00735518"/>
    <w:rsid w:val="007355D8"/>
    <w:rsid w:val="00735600"/>
    <w:rsid w:val="00735627"/>
    <w:rsid w:val="00735761"/>
    <w:rsid w:val="00735775"/>
    <w:rsid w:val="0073581E"/>
    <w:rsid w:val="00735A8C"/>
    <w:rsid w:val="00735B52"/>
    <w:rsid w:val="00735CA3"/>
    <w:rsid w:val="00735F5A"/>
    <w:rsid w:val="00735FC3"/>
    <w:rsid w:val="0073616C"/>
    <w:rsid w:val="007361A4"/>
    <w:rsid w:val="007361FB"/>
    <w:rsid w:val="00736243"/>
    <w:rsid w:val="007362C4"/>
    <w:rsid w:val="007362E8"/>
    <w:rsid w:val="007363C7"/>
    <w:rsid w:val="0073649F"/>
    <w:rsid w:val="00736542"/>
    <w:rsid w:val="00736557"/>
    <w:rsid w:val="00736707"/>
    <w:rsid w:val="00736764"/>
    <w:rsid w:val="007368C3"/>
    <w:rsid w:val="00736900"/>
    <w:rsid w:val="00736929"/>
    <w:rsid w:val="00736B3B"/>
    <w:rsid w:val="00736BA0"/>
    <w:rsid w:val="00736D06"/>
    <w:rsid w:val="00736E0B"/>
    <w:rsid w:val="00736EDD"/>
    <w:rsid w:val="00736F65"/>
    <w:rsid w:val="00736F79"/>
    <w:rsid w:val="00736FF2"/>
    <w:rsid w:val="00737075"/>
    <w:rsid w:val="007370EB"/>
    <w:rsid w:val="007371A1"/>
    <w:rsid w:val="007371E4"/>
    <w:rsid w:val="007373D4"/>
    <w:rsid w:val="007374F7"/>
    <w:rsid w:val="00737614"/>
    <w:rsid w:val="0073770A"/>
    <w:rsid w:val="007377D6"/>
    <w:rsid w:val="007378AD"/>
    <w:rsid w:val="007378D0"/>
    <w:rsid w:val="00737A6C"/>
    <w:rsid w:val="00737ABF"/>
    <w:rsid w:val="00737B7D"/>
    <w:rsid w:val="00737C38"/>
    <w:rsid w:val="00737E5A"/>
    <w:rsid w:val="00737ED0"/>
    <w:rsid w:val="00737FB2"/>
    <w:rsid w:val="00737FB8"/>
    <w:rsid w:val="00740024"/>
    <w:rsid w:val="00740181"/>
    <w:rsid w:val="0074026F"/>
    <w:rsid w:val="0074029C"/>
    <w:rsid w:val="0074036B"/>
    <w:rsid w:val="0074048A"/>
    <w:rsid w:val="0074049A"/>
    <w:rsid w:val="0074051C"/>
    <w:rsid w:val="007405AF"/>
    <w:rsid w:val="007405EF"/>
    <w:rsid w:val="0074060E"/>
    <w:rsid w:val="00740639"/>
    <w:rsid w:val="0074064D"/>
    <w:rsid w:val="0074078E"/>
    <w:rsid w:val="007407B0"/>
    <w:rsid w:val="00740B95"/>
    <w:rsid w:val="00740C1F"/>
    <w:rsid w:val="00740CD0"/>
    <w:rsid w:val="00740D14"/>
    <w:rsid w:val="00740D24"/>
    <w:rsid w:val="00740DBB"/>
    <w:rsid w:val="00740E90"/>
    <w:rsid w:val="00740E9B"/>
    <w:rsid w:val="00740E9F"/>
    <w:rsid w:val="00740EA9"/>
    <w:rsid w:val="007410D7"/>
    <w:rsid w:val="007411BA"/>
    <w:rsid w:val="007411DE"/>
    <w:rsid w:val="00741823"/>
    <w:rsid w:val="007418C0"/>
    <w:rsid w:val="007418F1"/>
    <w:rsid w:val="0074194D"/>
    <w:rsid w:val="00741A78"/>
    <w:rsid w:val="00741AAA"/>
    <w:rsid w:val="00741BC7"/>
    <w:rsid w:val="00741CF0"/>
    <w:rsid w:val="00741E7A"/>
    <w:rsid w:val="00741E80"/>
    <w:rsid w:val="00741EC4"/>
    <w:rsid w:val="00741F57"/>
    <w:rsid w:val="00741F92"/>
    <w:rsid w:val="0074206D"/>
    <w:rsid w:val="0074218E"/>
    <w:rsid w:val="00742436"/>
    <w:rsid w:val="00742553"/>
    <w:rsid w:val="00742616"/>
    <w:rsid w:val="00742844"/>
    <w:rsid w:val="00742CB0"/>
    <w:rsid w:val="00742CE0"/>
    <w:rsid w:val="00742D03"/>
    <w:rsid w:val="00742D9A"/>
    <w:rsid w:val="00742E5E"/>
    <w:rsid w:val="007431F1"/>
    <w:rsid w:val="0074334E"/>
    <w:rsid w:val="007434F3"/>
    <w:rsid w:val="007436B3"/>
    <w:rsid w:val="007437C9"/>
    <w:rsid w:val="007438B4"/>
    <w:rsid w:val="007438DF"/>
    <w:rsid w:val="007438FC"/>
    <w:rsid w:val="00743A1C"/>
    <w:rsid w:val="00743A5B"/>
    <w:rsid w:val="00743AF0"/>
    <w:rsid w:val="00743B72"/>
    <w:rsid w:val="00743BAF"/>
    <w:rsid w:val="00743BBE"/>
    <w:rsid w:val="00743BEE"/>
    <w:rsid w:val="00743FA2"/>
    <w:rsid w:val="00743FED"/>
    <w:rsid w:val="0074419D"/>
    <w:rsid w:val="007441F8"/>
    <w:rsid w:val="007442A9"/>
    <w:rsid w:val="007442E3"/>
    <w:rsid w:val="007442E7"/>
    <w:rsid w:val="0074435A"/>
    <w:rsid w:val="00744416"/>
    <w:rsid w:val="00744585"/>
    <w:rsid w:val="007445EF"/>
    <w:rsid w:val="0074462C"/>
    <w:rsid w:val="00744720"/>
    <w:rsid w:val="0074481A"/>
    <w:rsid w:val="007448DF"/>
    <w:rsid w:val="007449E5"/>
    <w:rsid w:val="00744B96"/>
    <w:rsid w:val="00744BC9"/>
    <w:rsid w:val="00744BDE"/>
    <w:rsid w:val="00744DCC"/>
    <w:rsid w:val="00744FD2"/>
    <w:rsid w:val="007450FF"/>
    <w:rsid w:val="007451B7"/>
    <w:rsid w:val="0074526B"/>
    <w:rsid w:val="007452AA"/>
    <w:rsid w:val="007453B4"/>
    <w:rsid w:val="007454F1"/>
    <w:rsid w:val="00745555"/>
    <w:rsid w:val="0074570D"/>
    <w:rsid w:val="00745842"/>
    <w:rsid w:val="007458A3"/>
    <w:rsid w:val="00745969"/>
    <w:rsid w:val="0074599C"/>
    <w:rsid w:val="007459EE"/>
    <w:rsid w:val="00745B20"/>
    <w:rsid w:val="00745B73"/>
    <w:rsid w:val="00745B99"/>
    <w:rsid w:val="00745BF6"/>
    <w:rsid w:val="00745E07"/>
    <w:rsid w:val="00745E5C"/>
    <w:rsid w:val="00745EBE"/>
    <w:rsid w:val="00745ED1"/>
    <w:rsid w:val="00745F48"/>
    <w:rsid w:val="00745F4D"/>
    <w:rsid w:val="00745FDE"/>
    <w:rsid w:val="007462E4"/>
    <w:rsid w:val="007463D2"/>
    <w:rsid w:val="0074646F"/>
    <w:rsid w:val="0074650D"/>
    <w:rsid w:val="00746767"/>
    <w:rsid w:val="0074697F"/>
    <w:rsid w:val="007469F4"/>
    <w:rsid w:val="00746AA2"/>
    <w:rsid w:val="00746C89"/>
    <w:rsid w:val="00746DCE"/>
    <w:rsid w:val="00746F91"/>
    <w:rsid w:val="00747021"/>
    <w:rsid w:val="00747043"/>
    <w:rsid w:val="0074714C"/>
    <w:rsid w:val="00747259"/>
    <w:rsid w:val="0074735C"/>
    <w:rsid w:val="00747454"/>
    <w:rsid w:val="0074748B"/>
    <w:rsid w:val="007474A7"/>
    <w:rsid w:val="00747546"/>
    <w:rsid w:val="0074763C"/>
    <w:rsid w:val="007476E5"/>
    <w:rsid w:val="007476F3"/>
    <w:rsid w:val="00747701"/>
    <w:rsid w:val="00747802"/>
    <w:rsid w:val="007478A9"/>
    <w:rsid w:val="00747AA1"/>
    <w:rsid w:val="00747C37"/>
    <w:rsid w:val="00747C5C"/>
    <w:rsid w:val="00747CCB"/>
    <w:rsid w:val="00747CDA"/>
    <w:rsid w:val="00747D2F"/>
    <w:rsid w:val="00747DB1"/>
    <w:rsid w:val="00747EC0"/>
    <w:rsid w:val="00747F8F"/>
    <w:rsid w:val="00750060"/>
    <w:rsid w:val="00750253"/>
    <w:rsid w:val="007502F5"/>
    <w:rsid w:val="007503AF"/>
    <w:rsid w:val="00750462"/>
    <w:rsid w:val="007504A4"/>
    <w:rsid w:val="007505D8"/>
    <w:rsid w:val="00750602"/>
    <w:rsid w:val="00750742"/>
    <w:rsid w:val="00750746"/>
    <w:rsid w:val="007508F2"/>
    <w:rsid w:val="00750969"/>
    <w:rsid w:val="00750A43"/>
    <w:rsid w:val="00750B66"/>
    <w:rsid w:val="00750BBD"/>
    <w:rsid w:val="00750CDF"/>
    <w:rsid w:val="00750D21"/>
    <w:rsid w:val="00750D72"/>
    <w:rsid w:val="00750E28"/>
    <w:rsid w:val="00750E9E"/>
    <w:rsid w:val="00750EFD"/>
    <w:rsid w:val="0075114B"/>
    <w:rsid w:val="00751199"/>
    <w:rsid w:val="00751220"/>
    <w:rsid w:val="00751335"/>
    <w:rsid w:val="00751337"/>
    <w:rsid w:val="0075133D"/>
    <w:rsid w:val="0075139C"/>
    <w:rsid w:val="007514BE"/>
    <w:rsid w:val="0075157A"/>
    <w:rsid w:val="007516FB"/>
    <w:rsid w:val="007517EF"/>
    <w:rsid w:val="00751837"/>
    <w:rsid w:val="0075184F"/>
    <w:rsid w:val="00751866"/>
    <w:rsid w:val="007519C3"/>
    <w:rsid w:val="007519D6"/>
    <w:rsid w:val="007519DB"/>
    <w:rsid w:val="00751A33"/>
    <w:rsid w:val="00751A65"/>
    <w:rsid w:val="00751C0D"/>
    <w:rsid w:val="00751C1D"/>
    <w:rsid w:val="00751CBC"/>
    <w:rsid w:val="00751CD9"/>
    <w:rsid w:val="00751D14"/>
    <w:rsid w:val="00751D5A"/>
    <w:rsid w:val="00751DA7"/>
    <w:rsid w:val="00751F02"/>
    <w:rsid w:val="00751FC5"/>
    <w:rsid w:val="007520A1"/>
    <w:rsid w:val="0075211D"/>
    <w:rsid w:val="0075216A"/>
    <w:rsid w:val="007521C1"/>
    <w:rsid w:val="0075224E"/>
    <w:rsid w:val="00752254"/>
    <w:rsid w:val="0075227D"/>
    <w:rsid w:val="00752329"/>
    <w:rsid w:val="007523E0"/>
    <w:rsid w:val="00752424"/>
    <w:rsid w:val="0075245B"/>
    <w:rsid w:val="007527A4"/>
    <w:rsid w:val="007527C8"/>
    <w:rsid w:val="00752810"/>
    <w:rsid w:val="0075289D"/>
    <w:rsid w:val="00752AB2"/>
    <w:rsid w:val="00752B38"/>
    <w:rsid w:val="00752B4F"/>
    <w:rsid w:val="00752B96"/>
    <w:rsid w:val="00752D0D"/>
    <w:rsid w:val="00752D10"/>
    <w:rsid w:val="00752D40"/>
    <w:rsid w:val="00752DF2"/>
    <w:rsid w:val="00753097"/>
    <w:rsid w:val="00753101"/>
    <w:rsid w:val="00753207"/>
    <w:rsid w:val="0075329C"/>
    <w:rsid w:val="007532D6"/>
    <w:rsid w:val="0075348A"/>
    <w:rsid w:val="00753493"/>
    <w:rsid w:val="00753505"/>
    <w:rsid w:val="0075350A"/>
    <w:rsid w:val="007538BC"/>
    <w:rsid w:val="0075390D"/>
    <w:rsid w:val="00753A14"/>
    <w:rsid w:val="00753BB3"/>
    <w:rsid w:val="00753D8B"/>
    <w:rsid w:val="00753E4C"/>
    <w:rsid w:val="00753F0B"/>
    <w:rsid w:val="007540AF"/>
    <w:rsid w:val="00754106"/>
    <w:rsid w:val="007541C7"/>
    <w:rsid w:val="007542A5"/>
    <w:rsid w:val="00754362"/>
    <w:rsid w:val="00754368"/>
    <w:rsid w:val="00754383"/>
    <w:rsid w:val="0075446F"/>
    <w:rsid w:val="0075466F"/>
    <w:rsid w:val="007547BB"/>
    <w:rsid w:val="007547EC"/>
    <w:rsid w:val="00754840"/>
    <w:rsid w:val="00754957"/>
    <w:rsid w:val="00754BF5"/>
    <w:rsid w:val="00754C39"/>
    <w:rsid w:val="00754DD5"/>
    <w:rsid w:val="00754E59"/>
    <w:rsid w:val="00754E96"/>
    <w:rsid w:val="007550C7"/>
    <w:rsid w:val="0075510C"/>
    <w:rsid w:val="007552CC"/>
    <w:rsid w:val="0075531C"/>
    <w:rsid w:val="0075539F"/>
    <w:rsid w:val="007553FC"/>
    <w:rsid w:val="0075548B"/>
    <w:rsid w:val="007554AD"/>
    <w:rsid w:val="0075556D"/>
    <w:rsid w:val="007555C7"/>
    <w:rsid w:val="00755617"/>
    <w:rsid w:val="00755687"/>
    <w:rsid w:val="007558CB"/>
    <w:rsid w:val="007558D0"/>
    <w:rsid w:val="00755B5B"/>
    <w:rsid w:val="00755B5F"/>
    <w:rsid w:val="00755B80"/>
    <w:rsid w:val="00755C11"/>
    <w:rsid w:val="00755C87"/>
    <w:rsid w:val="00755CC1"/>
    <w:rsid w:val="00755D82"/>
    <w:rsid w:val="00755E82"/>
    <w:rsid w:val="00755EA0"/>
    <w:rsid w:val="00755EB1"/>
    <w:rsid w:val="00755F0D"/>
    <w:rsid w:val="0075601F"/>
    <w:rsid w:val="00756048"/>
    <w:rsid w:val="0075616A"/>
    <w:rsid w:val="00756185"/>
    <w:rsid w:val="00756195"/>
    <w:rsid w:val="007565EC"/>
    <w:rsid w:val="0075671E"/>
    <w:rsid w:val="007567D4"/>
    <w:rsid w:val="007568C1"/>
    <w:rsid w:val="007569B9"/>
    <w:rsid w:val="007569FC"/>
    <w:rsid w:val="00756A0F"/>
    <w:rsid w:val="00756A20"/>
    <w:rsid w:val="00756A5F"/>
    <w:rsid w:val="00756AC1"/>
    <w:rsid w:val="00756B95"/>
    <w:rsid w:val="00756BCF"/>
    <w:rsid w:val="00756BF4"/>
    <w:rsid w:val="00756C59"/>
    <w:rsid w:val="00756CFC"/>
    <w:rsid w:val="00756D37"/>
    <w:rsid w:val="00756D8A"/>
    <w:rsid w:val="00756DD8"/>
    <w:rsid w:val="00756F26"/>
    <w:rsid w:val="00756F63"/>
    <w:rsid w:val="00756F90"/>
    <w:rsid w:val="00756FD8"/>
    <w:rsid w:val="0075714C"/>
    <w:rsid w:val="007571C0"/>
    <w:rsid w:val="007571D7"/>
    <w:rsid w:val="00757221"/>
    <w:rsid w:val="0075722A"/>
    <w:rsid w:val="00757361"/>
    <w:rsid w:val="007573B9"/>
    <w:rsid w:val="00757422"/>
    <w:rsid w:val="007574E5"/>
    <w:rsid w:val="0075753A"/>
    <w:rsid w:val="00757576"/>
    <w:rsid w:val="00757585"/>
    <w:rsid w:val="0075764C"/>
    <w:rsid w:val="00757659"/>
    <w:rsid w:val="00757701"/>
    <w:rsid w:val="0075787B"/>
    <w:rsid w:val="00757917"/>
    <w:rsid w:val="007579AA"/>
    <w:rsid w:val="00757ABC"/>
    <w:rsid w:val="00757B0F"/>
    <w:rsid w:val="00757B65"/>
    <w:rsid w:val="00757BBE"/>
    <w:rsid w:val="00757BE1"/>
    <w:rsid w:val="00757C12"/>
    <w:rsid w:val="00757C1A"/>
    <w:rsid w:val="00757C73"/>
    <w:rsid w:val="00757CA6"/>
    <w:rsid w:val="00757D1E"/>
    <w:rsid w:val="00757EC2"/>
    <w:rsid w:val="00757F53"/>
    <w:rsid w:val="007600CA"/>
    <w:rsid w:val="007601F2"/>
    <w:rsid w:val="0076020D"/>
    <w:rsid w:val="0076025F"/>
    <w:rsid w:val="007602E6"/>
    <w:rsid w:val="007603FB"/>
    <w:rsid w:val="00760435"/>
    <w:rsid w:val="00760485"/>
    <w:rsid w:val="00760493"/>
    <w:rsid w:val="0076072F"/>
    <w:rsid w:val="0076083D"/>
    <w:rsid w:val="00760969"/>
    <w:rsid w:val="00760A86"/>
    <w:rsid w:val="00760B5B"/>
    <w:rsid w:val="00760BB8"/>
    <w:rsid w:val="00760BBE"/>
    <w:rsid w:val="00760CFE"/>
    <w:rsid w:val="00760DE1"/>
    <w:rsid w:val="00760F5D"/>
    <w:rsid w:val="00760FF1"/>
    <w:rsid w:val="00761016"/>
    <w:rsid w:val="007610AC"/>
    <w:rsid w:val="0076127E"/>
    <w:rsid w:val="00761398"/>
    <w:rsid w:val="00761430"/>
    <w:rsid w:val="007614C0"/>
    <w:rsid w:val="007614C2"/>
    <w:rsid w:val="00761800"/>
    <w:rsid w:val="00761981"/>
    <w:rsid w:val="007619F0"/>
    <w:rsid w:val="00761AF4"/>
    <w:rsid w:val="00761BC1"/>
    <w:rsid w:val="00761D02"/>
    <w:rsid w:val="00761D3A"/>
    <w:rsid w:val="00761D65"/>
    <w:rsid w:val="00761E61"/>
    <w:rsid w:val="00761F76"/>
    <w:rsid w:val="0076203A"/>
    <w:rsid w:val="007620C1"/>
    <w:rsid w:val="007620C8"/>
    <w:rsid w:val="0076214D"/>
    <w:rsid w:val="007621BD"/>
    <w:rsid w:val="0076221A"/>
    <w:rsid w:val="0076222F"/>
    <w:rsid w:val="0076228D"/>
    <w:rsid w:val="007623B9"/>
    <w:rsid w:val="00762558"/>
    <w:rsid w:val="007625FD"/>
    <w:rsid w:val="00762801"/>
    <w:rsid w:val="00762821"/>
    <w:rsid w:val="00762A26"/>
    <w:rsid w:val="00762A31"/>
    <w:rsid w:val="00762A3D"/>
    <w:rsid w:val="00762AD6"/>
    <w:rsid w:val="00762ADD"/>
    <w:rsid w:val="00762BA4"/>
    <w:rsid w:val="00762D5E"/>
    <w:rsid w:val="00762E55"/>
    <w:rsid w:val="00762E71"/>
    <w:rsid w:val="00762F48"/>
    <w:rsid w:val="0076300B"/>
    <w:rsid w:val="0076308D"/>
    <w:rsid w:val="007630AE"/>
    <w:rsid w:val="007630B8"/>
    <w:rsid w:val="00763113"/>
    <w:rsid w:val="007631CD"/>
    <w:rsid w:val="00763294"/>
    <w:rsid w:val="007632CF"/>
    <w:rsid w:val="007633A8"/>
    <w:rsid w:val="007633D3"/>
    <w:rsid w:val="0076341A"/>
    <w:rsid w:val="0076344F"/>
    <w:rsid w:val="00763597"/>
    <w:rsid w:val="007635CA"/>
    <w:rsid w:val="0076362A"/>
    <w:rsid w:val="007636E8"/>
    <w:rsid w:val="007637F2"/>
    <w:rsid w:val="0076392A"/>
    <w:rsid w:val="007639F2"/>
    <w:rsid w:val="00763A64"/>
    <w:rsid w:val="00763A92"/>
    <w:rsid w:val="00763B51"/>
    <w:rsid w:val="00763BA3"/>
    <w:rsid w:val="00763C69"/>
    <w:rsid w:val="00763DA4"/>
    <w:rsid w:val="00763E76"/>
    <w:rsid w:val="00763F23"/>
    <w:rsid w:val="00763FEE"/>
    <w:rsid w:val="00764026"/>
    <w:rsid w:val="007640B4"/>
    <w:rsid w:val="0076410F"/>
    <w:rsid w:val="0076414B"/>
    <w:rsid w:val="007641BF"/>
    <w:rsid w:val="00764202"/>
    <w:rsid w:val="00764205"/>
    <w:rsid w:val="0076429B"/>
    <w:rsid w:val="007642A9"/>
    <w:rsid w:val="0076438C"/>
    <w:rsid w:val="00764536"/>
    <w:rsid w:val="0076459D"/>
    <w:rsid w:val="007645EE"/>
    <w:rsid w:val="00764617"/>
    <w:rsid w:val="0076475F"/>
    <w:rsid w:val="00764766"/>
    <w:rsid w:val="0076482C"/>
    <w:rsid w:val="00764B32"/>
    <w:rsid w:val="00764B34"/>
    <w:rsid w:val="00764B3F"/>
    <w:rsid w:val="00764CC6"/>
    <w:rsid w:val="00764CE5"/>
    <w:rsid w:val="00764EDA"/>
    <w:rsid w:val="0076503D"/>
    <w:rsid w:val="007650B6"/>
    <w:rsid w:val="0076513C"/>
    <w:rsid w:val="0076522F"/>
    <w:rsid w:val="00765557"/>
    <w:rsid w:val="0076557B"/>
    <w:rsid w:val="0076559B"/>
    <w:rsid w:val="007655CF"/>
    <w:rsid w:val="00765659"/>
    <w:rsid w:val="0076573F"/>
    <w:rsid w:val="007657E3"/>
    <w:rsid w:val="007658EF"/>
    <w:rsid w:val="0076596C"/>
    <w:rsid w:val="0076597F"/>
    <w:rsid w:val="00765A15"/>
    <w:rsid w:val="00765AD5"/>
    <w:rsid w:val="00765B64"/>
    <w:rsid w:val="00765E20"/>
    <w:rsid w:val="00765EC5"/>
    <w:rsid w:val="00765ED1"/>
    <w:rsid w:val="00765FFE"/>
    <w:rsid w:val="00766012"/>
    <w:rsid w:val="007660AC"/>
    <w:rsid w:val="00766122"/>
    <w:rsid w:val="00766166"/>
    <w:rsid w:val="0076623A"/>
    <w:rsid w:val="007662E3"/>
    <w:rsid w:val="00766371"/>
    <w:rsid w:val="0076644B"/>
    <w:rsid w:val="007664CB"/>
    <w:rsid w:val="00766705"/>
    <w:rsid w:val="00766735"/>
    <w:rsid w:val="0076675F"/>
    <w:rsid w:val="0076685E"/>
    <w:rsid w:val="007669B8"/>
    <w:rsid w:val="00766A41"/>
    <w:rsid w:val="00766B35"/>
    <w:rsid w:val="00766ED9"/>
    <w:rsid w:val="00766F68"/>
    <w:rsid w:val="00766F82"/>
    <w:rsid w:val="0076700A"/>
    <w:rsid w:val="0076742F"/>
    <w:rsid w:val="007674A4"/>
    <w:rsid w:val="007675A3"/>
    <w:rsid w:val="00767686"/>
    <w:rsid w:val="00767755"/>
    <w:rsid w:val="007677A9"/>
    <w:rsid w:val="007678BA"/>
    <w:rsid w:val="007679D2"/>
    <w:rsid w:val="007679F5"/>
    <w:rsid w:val="00767A0E"/>
    <w:rsid w:val="00767A3A"/>
    <w:rsid w:val="00767AAC"/>
    <w:rsid w:val="00767ABD"/>
    <w:rsid w:val="00767B96"/>
    <w:rsid w:val="00767BFD"/>
    <w:rsid w:val="00767C74"/>
    <w:rsid w:val="00767CA9"/>
    <w:rsid w:val="00767CDF"/>
    <w:rsid w:val="00767D29"/>
    <w:rsid w:val="00767DE4"/>
    <w:rsid w:val="00767E73"/>
    <w:rsid w:val="00767E8F"/>
    <w:rsid w:val="00767F89"/>
    <w:rsid w:val="0077026F"/>
    <w:rsid w:val="0077035F"/>
    <w:rsid w:val="007706B2"/>
    <w:rsid w:val="007707CF"/>
    <w:rsid w:val="007709A5"/>
    <w:rsid w:val="007709F1"/>
    <w:rsid w:val="00770B3A"/>
    <w:rsid w:val="00770CA4"/>
    <w:rsid w:val="00770CEF"/>
    <w:rsid w:val="00770DAA"/>
    <w:rsid w:val="00771146"/>
    <w:rsid w:val="00771174"/>
    <w:rsid w:val="00771370"/>
    <w:rsid w:val="00771637"/>
    <w:rsid w:val="007717C6"/>
    <w:rsid w:val="007717D0"/>
    <w:rsid w:val="007717DF"/>
    <w:rsid w:val="0077181C"/>
    <w:rsid w:val="00771A6A"/>
    <w:rsid w:val="00771B3A"/>
    <w:rsid w:val="00771B68"/>
    <w:rsid w:val="00771BE9"/>
    <w:rsid w:val="00771C2E"/>
    <w:rsid w:val="00771CE4"/>
    <w:rsid w:val="00771D1A"/>
    <w:rsid w:val="00771DF8"/>
    <w:rsid w:val="00771F32"/>
    <w:rsid w:val="00771F6E"/>
    <w:rsid w:val="00772115"/>
    <w:rsid w:val="00772358"/>
    <w:rsid w:val="007723E6"/>
    <w:rsid w:val="0077242B"/>
    <w:rsid w:val="00772471"/>
    <w:rsid w:val="00772517"/>
    <w:rsid w:val="00772556"/>
    <w:rsid w:val="0077259B"/>
    <w:rsid w:val="007725C9"/>
    <w:rsid w:val="0077262B"/>
    <w:rsid w:val="00772699"/>
    <w:rsid w:val="007727FC"/>
    <w:rsid w:val="00772923"/>
    <w:rsid w:val="00772A14"/>
    <w:rsid w:val="00772AE0"/>
    <w:rsid w:val="00772AEE"/>
    <w:rsid w:val="00772CA2"/>
    <w:rsid w:val="00772D24"/>
    <w:rsid w:val="00772DB9"/>
    <w:rsid w:val="00772DCB"/>
    <w:rsid w:val="00772E85"/>
    <w:rsid w:val="00772E98"/>
    <w:rsid w:val="00772EE4"/>
    <w:rsid w:val="00772F23"/>
    <w:rsid w:val="00773009"/>
    <w:rsid w:val="0077301F"/>
    <w:rsid w:val="00773031"/>
    <w:rsid w:val="00773151"/>
    <w:rsid w:val="007732C3"/>
    <w:rsid w:val="007732DE"/>
    <w:rsid w:val="0077347A"/>
    <w:rsid w:val="007736AA"/>
    <w:rsid w:val="0077372C"/>
    <w:rsid w:val="007737D5"/>
    <w:rsid w:val="007737DC"/>
    <w:rsid w:val="0077389D"/>
    <w:rsid w:val="007739E7"/>
    <w:rsid w:val="00773AD9"/>
    <w:rsid w:val="00773BB1"/>
    <w:rsid w:val="00773BB4"/>
    <w:rsid w:val="00773BFC"/>
    <w:rsid w:val="00773C0F"/>
    <w:rsid w:val="00773CA9"/>
    <w:rsid w:val="00773D17"/>
    <w:rsid w:val="00773D42"/>
    <w:rsid w:val="00773E16"/>
    <w:rsid w:val="00773E6C"/>
    <w:rsid w:val="00773FE3"/>
    <w:rsid w:val="0077409D"/>
    <w:rsid w:val="00774190"/>
    <w:rsid w:val="00774221"/>
    <w:rsid w:val="00774287"/>
    <w:rsid w:val="0077434A"/>
    <w:rsid w:val="00774458"/>
    <w:rsid w:val="0077448E"/>
    <w:rsid w:val="007744C7"/>
    <w:rsid w:val="00774590"/>
    <w:rsid w:val="007745DE"/>
    <w:rsid w:val="007747AC"/>
    <w:rsid w:val="00774842"/>
    <w:rsid w:val="0077484E"/>
    <w:rsid w:val="00774864"/>
    <w:rsid w:val="007749A6"/>
    <w:rsid w:val="007749BC"/>
    <w:rsid w:val="007749D0"/>
    <w:rsid w:val="00774C80"/>
    <w:rsid w:val="00774E30"/>
    <w:rsid w:val="00775081"/>
    <w:rsid w:val="0077518A"/>
    <w:rsid w:val="00775412"/>
    <w:rsid w:val="0077543A"/>
    <w:rsid w:val="0077546B"/>
    <w:rsid w:val="007757B7"/>
    <w:rsid w:val="007757F5"/>
    <w:rsid w:val="007758A4"/>
    <w:rsid w:val="007758CF"/>
    <w:rsid w:val="00775935"/>
    <w:rsid w:val="007759A5"/>
    <w:rsid w:val="007759E1"/>
    <w:rsid w:val="00775A08"/>
    <w:rsid w:val="00775CE2"/>
    <w:rsid w:val="00775D7F"/>
    <w:rsid w:val="00775DC4"/>
    <w:rsid w:val="00775E15"/>
    <w:rsid w:val="00775E5E"/>
    <w:rsid w:val="00775F3B"/>
    <w:rsid w:val="007760BF"/>
    <w:rsid w:val="007761CA"/>
    <w:rsid w:val="007761E2"/>
    <w:rsid w:val="0077623C"/>
    <w:rsid w:val="007762CB"/>
    <w:rsid w:val="007762D8"/>
    <w:rsid w:val="007762D9"/>
    <w:rsid w:val="0077638C"/>
    <w:rsid w:val="00776593"/>
    <w:rsid w:val="00776709"/>
    <w:rsid w:val="00776761"/>
    <w:rsid w:val="0077679F"/>
    <w:rsid w:val="007767E0"/>
    <w:rsid w:val="00776856"/>
    <w:rsid w:val="007768D8"/>
    <w:rsid w:val="00776A92"/>
    <w:rsid w:val="00776BCA"/>
    <w:rsid w:val="00776D79"/>
    <w:rsid w:val="00776D86"/>
    <w:rsid w:val="00776DB4"/>
    <w:rsid w:val="00776DB7"/>
    <w:rsid w:val="00776DCA"/>
    <w:rsid w:val="00776EA9"/>
    <w:rsid w:val="00777078"/>
    <w:rsid w:val="00777148"/>
    <w:rsid w:val="007772DC"/>
    <w:rsid w:val="007772FB"/>
    <w:rsid w:val="007773E1"/>
    <w:rsid w:val="007774E4"/>
    <w:rsid w:val="0077751D"/>
    <w:rsid w:val="007777CE"/>
    <w:rsid w:val="007777E4"/>
    <w:rsid w:val="00777838"/>
    <w:rsid w:val="00777844"/>
    <w:rsid w:val="007778B5"/>
    <w:rsid w:val="007779D2"/>
    <w:rsid w:val="00777B15"/>
    <w:rsid w:val="00777C0D"/>
    <w:rsid w:val="00777CD2"/>
    <w:rsid w:val="00777D3F"/>
    <w:rsid w:val="00777D48"/>
    <w:rsid w:val="00777E07"/>
    <w:rsid w:val="00777E3E"/>
    <w:rsid w:val="007800CA"/>
    <w:rsid w:val="00780209"/>
    <w:rsid w:val="007802D4"/>
    <w:rsid w:val="0078032B"/>
    <w:rsid w:val="00780397"/>
    <w:rsid w:val="00780427"/>
    <w:rsid w:val="007804EE"/>
    <w:rsid w:val="00780515"/>
    <w:rsid w:val="0078052A"/>
    <w:rsid w:val="0078064C"/>
    <w:rsid w:val="0078069F"/>
    <w:rsid w:val="007806C5"/>
    <w:rsid w:val="00780939"/>
    <w:rsid w:val="00780A42"/>
    <w:rsid w:val="00780B29"/>
    <w:rsid w:val="00780B81"/>
    <w:rsid w:val="00780BD0"/>
    <w:rsid w:val="00780D1A"/>
    <w:rsid w:val="00780D7F"/>
    <w:rsid w:val="00780E4F"/>
    <w:rsid w:val="00780F47"/>
    <w:rsid w:val="00780F5D"/>
    <w:rsid w:val="00781010"/>
    <w:rsid w:val="0078127C"/>
    <w:rsid w:val="007812D6"/>
    <w:rsid w:val="007813D9"/>
    <w:rsid w:val="00781438"/>
    <w:rsid w:val="0078149C"/>
    <w:rsid w:val="007814A8"/>
    <w:rsid w:val="007814D5"/>
    <w:rsid w:val="00781510"/>
    <w:rsid w:val="007816B3"/>
    <w:rsid w:val="00781718"/>
    <w:rsid w:val="00781742"/>
    <w:rsid w:val="0078176D"/>
    <w:rsid w:val="0078179F"/>
    <w:rsid w:val="00781849"/>
    <w:rsid w:val="0078186E"/>
    <w:rsid w:val="00781935"/>
    <w:rsid w:val="007819C3"/>
    <w:rsid w:val="00781A7C"/>
    <w:rsid w:val="00781B25"/>
    <w:rsid w:val="00781D30"/>
    <w:rsid w:val="00781EB1"/>
    <w:rsid w:val="00781F31"/>
    <w:rsid w:val="00782048"/>
    <w:rsid w:val="0078210A"/>
    <w:rsid w:val="00782145"/>
    <w:rsid w:val="007821AE"/>
    <w:rsid w:val="007821C3"/>
    <w:rsid w:val="007823C2"/>
    <w:rsid w:val="0078240D"/>
    <w:rsid w:val="00782451"/>
    <w:rsid w:val="007824D1"/>
    <w:rsid w:val="00782526"/>
    <w:rsid w:val="007825C8"/>
    <w:rsid w:val="007825E0"/>
    <w:rsid w:val="0078264A"/>
    <w:rsid w:val="00782828"/>
    <w:rsid w:val="00782861"/>
    <w:rsid w:val="007828C6"/>
    <w:rsid w:val="007828CA"/>
    <w:rsid w:val="00782B51"/>
    <w:rsid w:val="00782CFD"/>
    <w:rsid w:val="00782FF1"/>
    <w:rsid w:val="007830B4"/>
    <w:rsid w:val="007831C0"/>
    <w:rsid w:val="00783269"/>
    <w:rsid w:val="00783300"/>
    <w:rsid w:val="007834AF"/>
    <w:rsid w:val="0078350B"/>
    <w:rsid w:val="00783673"/>
    <w:rsid w:val="007836ED"/>
    <w:rsid w:val="0078373F"/>
    <w:rsid w:val="007838E9"/>
    <w:rsid w:val="007839E8"/>
    <w:rsid w:val="00783A98"/>
    <w:rsid w:val="00783AC8"/>
    <w:rsid w:val="00783C9F"/>
    <w:rsid w:val="00783DD7"/>
    <w:rsid w:val="00783E6D"/>
    <w:rsid w:val="00783F77"/>
    <w:rsid w:val="00783F89"/>
    <w:rsid w:val="00783FA1"/>
    <w:rsid w:val="00784211"/>
    <w:rsid w:val="00784267"/>
    <w:rsid w:val="007842FF"/>
    <w:rsid w:val="0078446A"/>
    <w:rsid w:val="007845A6"/>
    <w:rsid w:val="007845DF"/>
    <w:rsid w:val="00784678"/>
    <w:rsid w:val="007846B8"/>
    <w:rsid w:val="007847F1"/>
    <w:rsid w:val="0078481B"/>
    <w:rsid w:val="007848FA"/>
    <w:rsid w:val="00784913"/>
    <w:rsid w:val="0078492A"/>
    <w:rsid w:val="00784933"/>
    <w:rsid w:val="00784B26"/>
    <w:rsid w:val="00784C55"/>
    <w:rsid w:val="00784CC2"/>
    <w:rsid w:val="00784E01"/>
    <w:rsid w:val="00784E13"/>
    <w:rsid w:val="00784F12"/>
    <w:rsid w:val="00784F30"/>
    <w:rsid w:val="00784F53"/>
    <w:rsid w:val="007850B7"/>
    <w:rsid w:val="00785100"/>
    <w:rsid w:val="00785140"/>
    <w:rsid w:val="00785158"/>
    <w:rsid w:val="00785428"/>
    <w:rsid w:val="007856D6"/>
    <w:rsid w:val="0078572F"/>
    <w:rsid w:val="00785980"/>
    <w:rsid w:val="00785A20"/>
    <w:rsid w:val="00785A6B"/>
    <w:rsid w:val="00785B45"/>
    <w:rsid w:val="00785C58"/>
    <w:rsid w:val="00785D3F"/>
    <w:rsid w:val="00785D47"/>
    <w:rsid w:val="00785D86"/>
    <w:rsid w:val="00785DE9"/>
    <w:rsid w:val="00785F49"/>
    <w:rsid w:val="00785FEC"/>
    <w:rsid w:val="007860CD"/>
    <w:rsid w:val="007860E5"/>
    <w:rsid w:val="00786119"/>
    <w:rsid w:val="007863AF"/>
    <w:rsid w:val="007863E1"/>
    <w:rsid w:val="00786440"/>
    <w:rsid w:val="00786456"/>
    <w:rsid w:val="007864CB"/>
    <w:rsid w:val="007866B7"/>
    <w:rsid w:val="007866C7"/>
    <w:rsid w:val="007866E7"/>
    <w:rsid w:val="007866F3"/>
    <w:rsid w:val="00786736"/>
    <w:rsid w:val="007868EA"/>
    <w:rsid w:val="0078694C"/>
    <w:rsid w:val="007869D5"/>
    <w:rsid w:val="00786AEB"/>
    <w:rsid w:val="00786BD6"/>
    <w:rsid w:val="00786C0E"/>
    <w:rsid w:val="00786D15"/>
    <w:rsid w:val="00786D4F"/>
    <w:rsid w:val="00786D9A"/>
    <w:rsid w:val="00786DBD"/>
    <w:rsid w:val="00786FC1"/>
    <w:rsid w:val="0078705D"/>
    <w:rsid w:val="0078719B"/>
    <w:rsid w:val="007871D3"/>
    <w:rsid w:val="0078721C"/>
    <w:rsid w:val="007877B8"/>
    <w:rsid w:val="00787819"/>
    <w:rsid w:val="00787852"/>
    <w:rsid w:val="007878E6"/>
    <w:rsid w:val="00787946"/>
    <w:rsid w:val="007879CD"/>
    <w:rsid w:val="00787A7F"/>
    <w:rsid w:val="00787B09"/>
    <w:rsid w:val="00787B6C"/>
    <w:rsid w:val="00787DC5"/>
    <w:rsid w:val="00787DD2"/>
    <w:rsid w:val="00787F94"/>
    <w:rsid w:val="00787F95"/>
    <w:rsid w:val="007900B1"/>
    <w:rsid w:val="0079012A"/>
    <w:rsid w:val="007901F2"/>
    <w:rsid w:val="007901FB"/>
    <w:rsid w:val="007902D9"/>
    <w:rsid w:val="0079033C"/>
    <w:rsid w:val="00790362"/>
    <w:rsid w:val="0079038F"/>
    <w:rsid w:val="007903CA"/>
    <w:rsid w:val="00790530"/>
    <w:rsid w:val="007906A9"/>
    <w:rsid w:val="007907CE"/>
    <w:rsid w:val="0079084C"/>
    <w:rsid w:val="00790879"/>
    <w:rsid w:val="007908E2"/>
    <w:rsid w:val="00790A5D"/>
    <w:rsid w:val="00790C0F"/>
    <w:rsid w:val="00790C54"/>
    <w:rsid w:val="00790C64"/>
    <w:rsid w:val="00790D62"/>
    <w:rsid w:val="00790DAF"/>
    <w:rsid w:val="00790E2B"/>
    <w:rsid w:val="00791015"/>
    <w:rsid w:val="007910B3"/>
    <w:rsid w:val="00791117"/>
    <w:rsid w:val="00791149"/>
    <w:rsid w:val="007911A7"/>
    <w:rsid w:val="00791356"/>
    <w:rsid w:val="00791375"/>
    <w:rsid w:val="00791412"/>
    <w:rsid w:val="0079148F"/>
    <w:rsid w:val="00791624"/>
    <w:rsid w:val="007916A0"/>
    <w:rsid w:val="007916B9"/>
    <w:rsid w:val="007916C5"/>
    <w:rsid w:val="00791828"/>
    <w:rsid w:val="007918D6"/>
    <w:rsid w:val="00791905"/>
    <w:rsid w:val="007919B3"/>
    <w:rsid w:val="00791AD4"/>
    <w:rsid w:val="00791B2E"/>
    <w:rsid w:val="00791C97"/>
    <w:rsid w:val="00791D64"/>
    <w:rsid w:val="00791D69"/>
    <w:rsid w:val="00791D72"/>
    <w:rsid w:val="00791DF1"/>
    <w:rsid w:val="00791DFE"/>
    <w:rsid w:val="00791F04"/>
    <w:rsid w:val="00791FB8"/>
    <w:rsid w:val="00791FE7"/>
    <w:rsid w:val="00792012"/>
    <w:rsid w:val="00792097"/>
    <w:rsid w:val="007922EE"/>
    <w:rsid w:val="007924DC"/>
    <w:rsid w:val="007925B0"/>
    <w:rsid w:val="007925FB"/>
    <w:rsid w:val="00792609"/>
    <w:rsid w:val="00792717"/>
    <w:rsid w:val="00792781"/>
    <w:rsid w:val="007927FF"/>
    <w:rsid w:val="007929CA"/>
    <w:rsid w:val="00792A32"/>
    <w:rsid w:val="00792AD4"/>
    <w:rsid w:val="00792B26"/>
    <w:rsid w:val="00792B4F"/>
    <w:rsid w:val="00792B5B"/>
    <w:rsid w:val="00792C93"/>
    <w:rsid w:val="00792CD5"/>
    <w:rsid w:val="00792CDC"/>
    <w:rsid w:val="00792D49"/>
    <w:rsid w:val="00792D5C"/>
    <w:rsid w:val="00792EE6"/>
    <w:rsid w:val="00792EF9"/>
    <w:rsid w:val="00792F46"/>
    <w:rsid w:val="00793028"/>
    <w:rsid w:val="007930C5"/>
    <w:rsid w:val="00793109"/>
    <w:rsid w:val="00793254"/>
    <w:rsid w:val="00793300"/>
    <w:rsid w:val="007933F0"/>
    <w:rsid w:val="007933FC"/>
    <w:rsid w:val="00793559"/>
    <w:rsid w:val="007935EE"/>
    <w:rsid w:val="00793635"/>
    <w:rsid w:val="0079365C"/>
    <w:rsid w:val="00793833"/>
    <w:rsid w:val="007939B5"/>
    <w:rsid w:val="00793AA8"/>
    <w:rsid w:val="00793B97"/>
    <w:rsid w:val="00793BAD"/>
    <w:rsid w:val="00793C02"/>
    <w:rsid w:val="00793C81"/>
    <w:rsid w:val="00793DD2"/>
    <w:rsid w:val="00793EAE"/>
    <w:rsid w:val="0079407B"/>
    <w:rsid w:val="0079407D"/>
    <w:rsid w:val="00794207"/>
    <w:rsid w:val="00794348"/>
    <w:rsid w:val="007943A4"/>
    <w:rsid w:val="007943D0"/>
    <w:rsid w:val="007943DE"/>
    <w:rsid w:val="007943EB"/>
    <w:rsid w:val="00794469"/>
    <w:rsid w:val="00794479"/>
    <w:rsid w:val="007944F6"/>
    <w:rsid w:val="0079453D"/>
    <w:rsid w:val="007945B6"/>
    <w:rsid w:val="007945CD"/>
    <w:rsid w:val="00794711"/>
    <w:rsid w:val="00794732"/>
    <w:rsid w:val="00794778"/>
    <w:rsid w:val="00794790"/>
    <w:rsid w:val="0079499E"/>
    <w:rsid w:val="00794AD6"/>
    <w:rsid w:val="00794B1B"/>
    <w:rsid w:val="00794B7D"/>
    <w:rsid w:val="00794BBC"/>
    <w:rsid w:val="00794CE8"/>
    <w:rsid w:val="00794D6C"/>
    <w:rsid w:val="00794DB9"/>
    <w:rsid w:val="00794DE3"/>
    <w:rsid w:val="00794E3D"/>
    <w:rsid w:val="00794F82"/>
    <w:rsid w:val="00794F92"/>
    <w:rsid w:val="0079509E"/>
    <w:rsid w:val="007951D0"/>
    <w:rsid w:val="0079533C"/>
    <w:rsid w:val="00795412"/>
    <w:rsid w:val="007954B7"/>
    <w:rsid w:val="007954C2"/>
    <w:rsid w:val="0079567C"/>
    <w:rsid w:val="007957E4"/>
    <w:rsid w:val="00795945"/>
    <w:rsid w:val="007959DC"/>
    <w:rsid w:val="00795A04"/>
    <w:rsid w:val="00795AA7"/>
    <w:rsid w:val="00795AC6"/>
    <w:rsid w:val="00795D31"/>
    <w:rsid w:val="00795E7B"/>
    <w:rsid w:val="00795FA7"/>
    <w:rsid w:val="007960C5"/>
    <w:rsid w:val="007961CD"/>
    <w:rsid w:val="0079650E"/>
    <w:rsid w:val="00796624"/>
    <w:rsid w:val="0079668B"/>
    <w:rsid w:val="00796779"/>
    <w:rsid w:val="0079685A"/>
    <w:rsid w:val="007968D7"/>
    <w:rsid w:val="0079690B"/>
    <w:rsid w:val="00796912"/>
    <w:rsid w:val="0079697C"/>
    <w:rsid w:val="00796B4A"/>
    <w:rsid w:val="00796B4E"/>
    <w:rsid w:val="00796B62"/>
    <w:rsid w:val="00796BA8"/>
    <w:rsid w:val="00796BA9"/>
    <w:rsid w:val="00796C22"/>
    <w:rsid w:val="00796C2F"/>
    <w:rsid w:val="00796CC1"/>
    <w:rsid w:val="00796D49"/>
    <w:rsid w:val="00797056"/>
    <w:rsid w:val="00797121"/>
    <w:rsid w:val="007971E4"/>
    <w:rsid w:val="007972E6"/>
    <w:rsid w:val="0079752D"/>
    <w:rsid w:val="007975DC"/>
    <w:rsid w:val="007976B9"/>
    <w:rsid w:val="00797738"/>
    <w:rsid w:val="0079773A"/>
    <w:rsid w:val="00797765"/>
    <w:rsid w:val="007977F1"/>
    <w:rsid w:val="007978A0"/>
    <w:rsid w:val="00797908"/>
    <w:rsid w:val="00797926"/>
    <w:rsid w:val="00797B12"/>
    <w:rsid w:val="00797CC5"/>
    <w:rsid w:val="007A0110"/>
    <w:rsid w:val="007A01DF"/>
    <w:rsid w:val="007A02BB"/>
    <w:rsid w:val="007A039B"/>
    <w:rsid w:val="007A03BA"/>
    <w:rsid w:val="007A046C"/>
    <w:rsid w:val="007A057E"/>
    <w:rsid w:val="007A05FB"/>
    <w:rsid w:val="007A075C"/>
    <w:rsid w:val="007A0899"/>
    <w:rsid w:val="007A0AA3"/>
    <w:rsid w:val="007A0ADA"/>
    <w:rsid w:val="007A0B05"/>
    <w:rsid w:val="007A0B10"/>
    <w:rsid w:val="007A0DC5"/>
    <w:rsid w:val="007A0E3C"/>
    <w:rsid w:val="007A0F75"/>
    <w:rsid w:val="007A0FD4"/>
    <w:rsid w:val="007A1065"/>
    <w:rsid w:val="007A1361"/>
    <w:rsid w:val="007A151B"/>
    <w:rsid w:val="007A154D"/>
    <w:rsid w:val="007A1562"/>
    <w:rsid w:val="007A15FC"/>
    <w:rsid w:val="007A16A1"/>
    <w:rsid w:val="007A1771"/>
    <w:rsid w:val="007A17BD"/>
    <w:rsid w:val="007A17DF"/>
    <w:rsid w:val="007A19EB"/>
    <w:rsid w:val="007A1A47"/>
    <w:rsid w:val="007A1A50"/>
    <w:rsid w:val="007A1A8A"/>
    <w:rsid w:val="007A1A8B"/>
    <w:rsid w:val="007A1B6F"/>
    <w:rsid w:val="007A1BB5"/>
    <w:rsid w:val="007A1BBB"/>
    <w:rsid w:val="007A1C6F"/>
    <w:rsid w:val="007A1C72"/>
    <w:rsid w:val="007A1D43"/>
    <w:rsid w:val="007A1DAE"/>
    <w:rsid w:val="007A1DEA"/>
    <w:rsid w:val="007A1F11"/>
    <w:rsid w:val="007A1F91"/>
    <w:rsid w:val="007A1FFE"/>
    <w:rsid w:val="007A209C"/>
    <w:rsid w:val="007A2168"/>
    <w:rsid w:val="007A2226"/>
    <w:rsid w:val="007A2239"/>
    <w:rsid w:val="007A2336"/>
    <w:rsid w:val="007A2373"/>
    <w:rsid w:val="007A23CD"/>
    <w:rsid w:val="007A24FC"/>
    <w:rsid w:val="007A2536"/>
    <w:rsid w:val="007A2581"/>
    <w:rsid w:val="007A2607"/>
    <w:rsid w:val="007A2625"/>
    <w:rsid w:val="007A26BB"/>
    <w:rsid w:val="007A2769"/>
    <w:rsid w:val="007A27C3"/>
    <w:rsid w:val="007A2A31"/>
    <w:rsid w:val="007A2D60"/>
    <w:rsid w:val="007A2E62"/>
    <w:rsid w:val="007A2EAE"/>
    <w:rsid w:val="007A2ED7"/>
    <w:rsid w:val="007A2EE1"/>
    <w:rsid w:val="007A2F14"/>
    <w:rsid w:val="007A2F28"/>
    <w:rsid w:val="007A301D"/>
    <w:rsid w:val="007A3087"/>
    <w:rsid w:val="007A30F5"/>
    <w:rsid w:val="007A3112"/>
    <w:rsid w:val="007A3120"/>
    <w:rsid w:val="007A331D"/>
    <w:rsid w:val="007A33DF"/>
    <w:rsid w:val="007A33FC"/>
    <w:rsid w:val="007A3415"/>
    <w:rsid w:val="007A3456"/>
    <w:rsid w:val="007A3545"/>
    <w:rsid w:val="007A3556"/>
    <w:rsid w:val="007A35EF"/>
    <w:rsid w:val="007A3602"/>
    <w:rsid w:val="007A3623"/>
    <w:rsid w:val="007A365F"/>
    <w:rsid w:val="007A366C"/>
    <w:rsid w:val="007A3673"/>
    <w:rsid w:val="007A36A8"/>
    <w:rsid w:val="007A36F7"/>
    <w:rsid w:val="007A36FA"/>
    <w:rsid w:val="007A3750"/>
    <w:rsid w:val="007A37B4"/>
    <w:rsid w:val="007A37BD"/>
    <w:rsid w:val="007A37DF"/>
    <w:rsid w:val="007A3825"/>
    <w:rsid w:val="007A3869"/>
    <w:rsid w:val="007A38D2"/>
    <w:rsid w:val="007A3987"/>
    <w:rsid w:val="007A3AD4"/>
    <w:rsid w:val="007A3B13"/>
    <w:rsid w:val="007A3B29"/>
    <w:rsid w:val="007A3B58"/>
    <w:rsid w:val="007A3C2A"/>
    <w:rsid w:val="007A3CB1"/>
    <w:rsid w:val="007A3D29"/>
    <w:rsid w:val="007A3DC3"/>
    <w:rsid w:val="007A3DD3"/>
    <w:rsid w:val="007A3E05"/>
    <w:rsid w:val="007A3E52"/>
    <w:rsid w:val="007A405A"/>
    <w:rsid w:val="007A4069"/>
    <w:rsid w:val="007A41A7"/>
    <w:rsid w:val="007A445B"/>
    <w:rsid w:val="007A4485"/>
    <w:rsid w:val="007A4862"/>
    <w:rsid w:val="007A4917"/>
    <w:rsid w:val="007A4990"/>
    <w:rsid w:val="007A4A0D"/>
    <w:rsid w:val="007A4C2C"/>
    <w:rsid w:val="007A4CF6"/>
    <w:rsid w:val="007A4DB4"/>
    <w:rsid w:val="007A4DC3"/>
    <w:rsid w:val="007A4E32"/>
    <w:rsid w:val="007A4E50"/>
    <w:rsid w:val="007A4ED7"/>
    <w:rsid w:val="007A4F51"/>
    <w:rsid w:val="007A4FAF"/>
    <w:rsid w:val="007A4FC9"/>
    <w:rsid w:val="007A51ED"/>
    <w:rsid w:val="007A528E"/>
    <w:rsid w:val="007A52C3"/>
    <w:rsid w:val="007A52D8"/>
    <w:rsid w:val="007A531B"/>
    <w:rsid w:val="007A5332"/>
    <w:rsid w:val="007A53C5"/>
    <w:rsid w:val="007A5484"/>
    <w:rsid w:val="007A54EE"/>
    <w:rsid w:val="007A550E"/>
    <w:rsid w:val="007A5685"/>
    <w:rsid w:val="007A5710"/>
    <w:rsid w:val="007A5756"/>
    <w:rsid w:val="007A57BE"/>
    <w:rsid w:val="007A57C4"/>
    <w:rsid w:val="007A58C2"/>
    <w:rsid w:val="007A594D"/>
    <w:rsid w:val="007A59CD"/>
    <w:rsid w:val="007A5A47"/>
    <w:rsid w:val="007A5AD3"/>
    <w:rsid w:val="007A5B5C"/>
    <w:rsid w:val="007A5C37"/>
    <w:rsid w:val="007A5D7A"/>
    <w:rsid w:val="007A5DF8"/>
    <w:rsid w:val="007A5DFE"/>
    <w:rsid w:val="007A5E3C"/>
    <w:rsid w:val="007A5E6F"/>
    <w:rsid w:val="007A5E71"/>
    <w:rsid w:val="007A617C"/>
    <w:rsid w:val="007A6234"/>
    <w:rsid w:val="007A64D2"/>
    <w:rsid w:val="007A6589"/>
    <w:rsid w:val="007A65E2"/>
    <w:rsid w:val="007A67CF"/>
    <w:rsid w:val="007A67F6"/>
    <w:rsid w:val="007A6854"/>
    <w:rsid w:val="007A68DB"/>
    <w:rsid w:val="007A6965"/>
    <w:rsid w:val="007A6A24"/>
    <w:rsid w:val="007A6A29"/>
    <w:rsid w:val="007A6A89"/>
    <w:rsid w:val="007A6A8E"/>
    <w:rsid w:val="007A6B14"/>
    <w:rsid w:val="007A6B44"/>
    <w:rsid w:val="007A6B81"/>
    <w:rsid w:val="007A6C14"/>
    <w:rsid w:val="007A6C9E"/>
    <w:rsid w:val="007A6CC5"/>
    <w:rsid w:val="007A6D12"/>
    <w:rsid w:val="007A6D77"/>
    <w:rsid w:val="007A6E0B"/>
    <w:rsid w:val="007A6F06"/>
    <w:rsid w:val="007A6F84"/>
    <w:rsid w:val="007A70A6"/>
    <w:rsid w:val="007A71FB"/>
    <w:rsid w:val="007A7243"/>
    <w:rsid w:val="007A7447"/>
    <w:rsid w:val="007A7561"/>
    <w:rsid w:val="007A75EC"/>
    <w:rsid w:val="007A778B"/>
    <w:rsid w:val="007A780F"/>
    <w:rsid w:val="007A7869"/>
    <w:rsid w:val="007A7923"/>
    <w:rsid w:val="007A7937"/>
    <w:rsid w:val="007A799F"/>
    <w:rsid w:val="007A79C6"/>
    <w:rsid w:val="007A7A6B"/>
    <w:rsid w:val="007A7A8D"/>
    <w:rsid w:val="007A7AAE"/>
    <w:rsid w:val="007A7AD8"/>
    <w:rsid w:val="007A7B6A"/>
    <w:rsid w:val="007A7BC3"/>
    <w:rsid w:val="007A7BE3"/>
    <w:rsid w:val="007A7BE6"/>
    <w:rsid w:val="007A7D64"/>
    <w:rsid w:val="007A7DF8"/>
    <w:rsid w:val="007B032E"/>
    <w:rsid w:val="007B0388"/>
    <w:rsid w:val="007B0458"/>
    <w:rsid w:val="007B0477"/>
    <w:rsid w:val="007B054A"/>
    <w:rsid w:val="007B0569"/>
    <w:rsid w:val="007B0670"/>
    <w:rsid w:val="007B06DC"/>
    <w:rsid w:val="007B06F0"/>
    <w:rsid w:val="007B0733"/>
    <w:rsid w:val="007B0778"/>
    <w:rsid w:val="007B077C"/>
    <w:rsid w:val="007B0826"/>
    <w:rsid w:val="007B0A12"/>
    <w:rsid w:val="007B0A2A"/>
    <w:rsid w:val="007B0AF0"/>
    <w:rsid w:val="007B0B7B"/>
    <w:rsid w:val="007B0DB0"/>
    <w:rsid w:val="007B0F60"/>
    <w:rsid w:val="007B0FAB"/>
    <w:rsid w:val="007B0FAE"/>
    <w:rsid w:val="007B1096"/>
    <w:rsid w:val="007B1140"/>
    <w:rsid w:val="007B125E"/>
    <w:rsid w:val="007B1271"/>
    <w:rsid w:val="007B12D3"/>
    <w:rsid w:val="007B140B"/>
    <w:rsid w:val="007B141D"/>
    <w:rsid w:val="007B156D"/>
    <w:rsid w:val="007B1761"/>
    <w:rsid w:val="007B17EC"/>
    <w:rsid w:val="007B1840"/>
    <w:rsid w:val="007B1844"/>
    <w:rsid w:val="007B18DF"/>
    <w:rsid w:val="007B1932"/>
    <w:rsid w:val="007B19F4"/>
    <w:rsid w:val="007B1A86"/>
    <w:rsid w:val="007B1ADD"/>
    <w:rsid w:val="007B1B0C"/>
    <w:rsid w:val="007B1C39"/>
    <w:rsid w:val="007B1C3F"/>
    <w:rsid w:val="007B1C63"/>
    <w:rsid w:val="007B1EB2"/>
    <w:rsid w:val="007B1FE0"/>
    <w:rsid w:val="007B2050"/>
    <w:rsid w:val="007B2052"/>
    <w:rsid w:val="007B2106"/>
    <w:rsid w:val="007B2262"/>
    <w:rsid w:val="007B22B8"/>
    <w:rsid w:val="007B2399"/>
    <w:rsid w:val="007B2411"/>
    <w:rsid w:val="007B2468"/>
    <w:rsid w:val="007B2533"/>
    <w:rsid w:val="007B2539"/>
    <w:rsid w:val="007B25FF"/>
    <w:rsid w:val="007B2646"/>
    <w:rsid w:val="007B2666"/>
    <w:rsid w:val="007B2680"/>
    <w:rsid w:val="007B268E"/>
    <w:rsid w:val="007B2864"/>
    <w:rsid w:val="007B291D"/>
    <w:rsid w:val="007B298E"/>
    <w:rsid w:val="007B2A78"/>
    <w:rsid w:val="007B2AF9"/>
    <w:rsid w:val="007B2BD1"/>
    <w:rsid w:val="007B2BF2"/>
    <w:rsid w:val="007B2CA8"/>
    <w:rsid w:val="007B2D1B"/>
    <w:rsid w:val="007B2DC8"/>
    <w:rsid w:val="007B2E7F"/>
    <w:rsid w:val="007B2EC7"/>
    <w:rsid w:val="007B3033"/>
    <w:rsid w:val="007B30BC"/>
    <w:rsid w:val="007B30EB"/>
    <w:rsid w:val="007B3127"/>
    <w:rsid w:val="007B3147"/>
    <w:rsid w:val="007B31A5"/>
    <w:rsid w:val="007B320E"/>
    <w:rsid w:val="007B3398"/>
    <w:rsid w:val="007B33BA"/>
    <w:rsid w:val="007B33BF"/>
    <w:rsid w:val="007B33FC"/>
    <w:rsid w:val="007B3403"/>
    <w:rsid w:val="007B34F9"/>
    <w:rsid w:val="007B35D2"/>
    <w:rsid w:val="007B3647"/>
    <w:rsid w:val="007B3692"/>
    <w:rsid w:val="007B3784"/>
    <w:rsid w:val="007B388B"/>
    <w:rsid w:val="007B39AD"/>
    <w:rsid w:val="007B3B87"/>
    <w:rsid w:val="007B3DDB"/>
    <w:rsid w:val="007B3E9A"/>
    <w:rsid w:val="007B4051"/>
    <w:rsid w:val="007B40F3"/>
    <w:rsid w:val="007B4150"/>
    <w:rsid w:val="007B42D4"/>
    <w:rsid w:val="007B4387"/>
    <w:rsid w:val="007B442B"/>
    <w:rsid w:val="007B444C"/>
    <w:rsid w:val="007B445B"/>
    <w:rsid w:val="007B4470"/>
    <w:rsid w:val="007B44A8"/>
    <w:rsid w:val="007B4594"/>
    <w:rsid w:val="007B4740"/>
    <w:rsid w:val="007B4A30"/>
    <w:rsid w:val="007B4B57"/>
    <w:rsid w:val="007B4BEA"/>
    <w:rsid w:val="007B4C08"/>
    <w:rsid w:val="007B4CFF"/>
    <w:rsid w:val="007B4D97"/>
    <w:rsid w:val="007B4DDC"/>
    <w:rsid w:val="007B4DF6"/>
    <w:rsid w:val="007B4E62"/>
    <w:rsid w:val="007B4E94"/>
    <w:rsid w:val="007B4EA9"/>
    <w:rsid w:val="007B500A"/>
    <w:rsid w:val="007B513C"/>
    <w:rsid w:val="007B5155"/>
    <w:rsid w:val="007B5164"/>
    <w:rsid w:val="007B51F5"/>
    <w:rsid w:val="007B522F"/>
    <w:rsid w:val="007B5322"/>
    <w:rsid w:val="007B536C"/>
    <w:rsid w:val="007B53EE"/>
    <w:rsid w:val="007B5462"/>
    <w:rsid w:val="007B54A1"/>
    <w:rsid w:val="007B54C5"/>
    <w:rsid w:val="007B5519"/>
    <w:rsid w:val="007B568D"/>
    <w:rsid w:val="007B5756"/>
    <w:rsid w:val="007B57E1"/>
    <w:rsid w:val="007B5820"/>
    <w:rsid w:val="007B58C5"/>
    <w:rsid w:val="007B5939"/>
    <w:rsid w:val="007B5C63"/>
    <w:rsid w:val="007B5D18"/>
    <w:rsid w:val="007B5D48"/>
    <w:rsid w:val="007B5D49"/>
    <w:rsid w:val="007B5DB5"/>
    <w:rsid w:val="007B5EDC"/>
    <w:rsid w:val="007B5EF6"/>
    <w:rsid w:val="007B5F28"/>
    <w:rsid w:val="007B5F3A"/>
    <w:rsid w:val="007B5F7E"/>
    <w:rsid w:val="007B5FE8"/>
    <w:rsid w:val="007B6007"/>
    <w:rsid w:val="007B6064"/>
    <w:rsid w:val="007B6078"/>
    <w:rsid w:val="007B6105"/>
    <w:rsid w:val="007B6125"/>
    <w:rsid w:val="007B613A"/>
    <w:rsid w:val="007B62A4"/>
    <w:rsid w:val="007B6377"/>
    <w:rsid w:val="007B6507"/>
    <w:rsid w:val="007B6536"/>
    <w:rsid w:val="007B65BB"/>
    <w:rsid w:val="007B65D2"/>
    <w:rsid w:val="007B65DE"/>
    <w:rsid w:val="007B65EB"/>
    <w:rsid w:val="007B6661"/>
    <w:rsid w:val="007B66C6"/>
    <w:rsid w:val="007B6796"/>
    <w:rsid w:val="007B6823"/>
    <w:rsid w:val="007B6866"/>
    <w:rsid w:val="007B68CA"/>
    <w:rsid w:val="007B69F0"/>
    <w:rsid w:val="007B6A4B"/>
    <w:rsid w:val="007B6B80"/>
    <w:rsid w:val="007B6BAA"/>
    <w:rsid w:val="007B6BD7"/>
    <w:rsid w:val="007B6D1C"/>
    <w:rsid w:val="007B6EA9"/>
    <w:rsid w:val="007B6EFE"/>
    <w:rsid w:val="007B6F01"/>
    <w:rsid w:val="007B6F07"/>
    <w:rsid w:val="007B6F68"/>
    <w:rsid w:val="007B6FAA"/>
    <w:rsid w:val="007B6FB5"/>
    <w:rsid w:val="007B70BB"/>
    <w:rsid w:val="007B70F4"/>
    <w:rsid w:val="007B71AA"/>
    <w:rsid w:val="007B71BE"/>
    <w:rsid w:val="007B71F2"/>
    <w:rsid w:val="007B7361"/>
    <w:rsid w:val="007B73B6"/>
    <w:rsid w:val="007B73E4"/>
    <w:rsid w:val="007B7457"/>
    <w:rsid w:val="007B751A"/>
    <w:rsid w:val="007B75A7"/>
    <w:rsid w:val="007B75DD"/>
    <w:rsid w:val="007B76E6"/>
    <w:rsid w:val="007B775E"/>
    <w:rsid w:val="007B77CB"/>
    <w:rsid w:val="007B7830"/>
    <w:rsid w:val="007B7971"/>
    <w:rsid w:val="007B7988"/>
    <w:rsid w:val="007B79C8"/>
    <w:rsid w:val="007B7A11"/>
    <w:rsid w:val="007B7A13"/>
    <w:rsid w:val="007B7A4A"/>
    <w:rsid w:val="007B7ED6"/>
    <w:rsid w:val="007C000C"/>
    <w:rsid w:val="007C0028"/>
    <w:rsid w:val="007C020F"/>
    <w:rsid w:val="007C0216"/>
    <w:rsid w:val="007C029C"/>
    <w:rsid w:val="007C02B0"/>
    <w:rsid w:val="007C02C7"/>
    <w:rsid w:val="007C039A"/>
    <w:rsid w:val="007C0435"/>
    <w:rsid w:val="007C04A0"/>
    <w:rsid w:val="007C04F1"/>
    <w:rsid w:val="007C0620"/>
    <w:rsid w:val="007C0681"/>
    <w:rsid w:val="007C07E5"/>
    <w:rsid w:val="007C081B"/>
    <w:rsid w:val="007C0825"/>
    <w:rsid w:val="007C0ABA"/>
    <w:rsid w:val="007C0B27"/>
    <w:rsid w:val="007C0C6F"/>
    <w:rsid w:val="007C0E55"/>
    <w:rsid w:val="007C0F16"/>
    <w:rsid w:val="007C1011"/>
    <w:rsid w:val="007C102A"/>
    <w:rsid w:val="007C111B"/>
    <w:rsid w:val="007C115F"/>
    <w:rsid w:val="007C1370"/>
    <w:rsid w:val="007C1429"/>
    <w:rsid w:val="007C1572"/>
    <w:rsid w:val="007C1573"/>
    <w:rsid w:val="007C1585"/>
    <w:rsid w:val="007C15B5"/>
    <w:rsid w:val="007C16BB"/>
    <w:rsid w:val="007C18C1"/>
    <w:rsid w:val="007C195E"/>
    <w:rsid w:val="007C19B7"/>
    <w:rsid w:val="007C1B9E"/>
    <w:rsid w:val="007C1BE7"/>
    <w:rsid w:val="007C1C1E"/>
    <w:rsid w:val="007C1C83"/>
    <w:rsid w:val="007C1D0C"/>
    <w:rsid w:val="007C1D69"/>
    <w:rsid w:val="007C1DDD"/>
    <w:rsid w:val="007C1E4B"/>
    <w:rsid w:val="007C2056"/>
    <w:rsid w:val="007C209B"/>
    <w:rsid w:val="007C20A2"/>
    <w:rsid w:val="007C2142"/>
    <w:rsid w:val="007C2216"/>
    <w:rsid w:val="007C226B"/>
    <w:rsid w:val="007C2280"/>
    <w:rsid w:val="007C2293"/>
    <w:rsid w:val="007C245A"/>
    <w:rsid w:val="007C249B"/>
    <w:rsid w:val="007C259E"/>
    <w:rsid w:val="007C2675"/>
    <w:rsid w:val="007C269B"/>
    <w:rsid w:val="007C276C"/>
    <w:rsid w:val="007C2844"/>
    <w:rsid w:val="007C2956"/>
    <w:rsid w:val="007C29C5"/>
    <w:rsid w:val="007C2A8E"/>
    <w:rsid w:val="007C2B1F"/>
    <w:rsid w:val="007C2BE9"/>
    <w:rsid w:val="007C2DA7"/>
    <w:rsid w:val="007C2E55"/>
    <w:rsid w:val="007C2EF1"/>
    <w:rsid w:val="007C2FA0"/>
    <w:rsid w:val="007C2FC5"/>
    <w:rsid w:val="007C30A1"/>
    <w:rsid w:val="007C3291"/>
    <w:rsid w:val="007C32D3"/>
    <w:rsid w:val="007C33C1"/>
    <w:rsid w:val="007C340E"/>
    <w:rsid w:val="007C346D"/>
    <w:rsid w:val="007C34F5"/>
    <w:rsid w:val="007C3599"/>
    <w:rsid w:val="007C373A"/>
    <w:rsid w:val="007C3819"/>
    <w:rsid w:val="007C393E"/>
    <w:rsid w:val="007C39AF"/>
    <w:rsid w:val="007C3A2A"/>
    <w:rsid w:val="007C3A7E"/>
    <w:rsid w:val="007C3AA7"/>
    <w:rsid w:val="007C3B1C"/>
    <w:rsid w:val="007C3DF0"/>
    <w:rsid w:val="007C3E43"/>
    <w:rsid w:val="007C3EFB"/>
    <w:rsid w:val="007C3F46"/>
    <w:rsid w:val="007C3FE7"/>
    <w:rsid w:val="007C4086"/>
    <w:rsid w:val="007C4148"/>
    <w:rsid w:val="007C4160"/>
    <w:rsid w:val="007C426B"/>
    <w:rsid w:val="007C42D6"/>
    <w:rsid w:val="007C42DD"/>
    <w:rsid w:val="007C454B"/>
    <w:rsid w:val="007C4623"/>
    <w:rsid w:val="007C46C8"/>
    <w:rsid w:val="007C4828"/>
    <w:rsid w:val="007C4842"/>
    <w:rsid w:val="007C4927"/>
    <w:rsid w:val="007C4A5C"/>
    <w:rsid w:val="007C4A6E"/>
    <w:rsid w:val="007C4A82"/>
    <w:rsid w:val="007C4BDB"/>
    <w:rsid w:val="007C4CF8"/>
    <w:rsid w:val="007C4D2B"/>
    <w:rsid w:val="007C4D6E"/>
    <w:rsid w:val="007C4DAB"/>
    <w:rsid w:val="007C4F67"/>
    <w:rsid w:val="007C5240"/>
    <w:rsid w:val="007C52E9"/>
    <w:rsid w:val="007C535D"/>
    <w:rsid w:val="007C5596"/>
    <w:rsid w:val="007C56CC"/>
    <w:rsid w:val="007C5747"/>
    <w:rsid w:val="007C57CB"/>
    <w:rsid w:val="007C5840"/>
    <w:rsid w:val="007C5855"/>
    <w:rsid w:val="007C5896"/>
    <w:rsid w:val="007C5905"/>
    <w:rsid w:val="007C5983"/>
    <w:rsid w:val="007C59CA"/>
    <w:rsid w:val="007C5B04"/>
    <w:rsid w:val="007C5B6F"/>
    <w:rsid w:val="007C5C03"/>
    <w:rsid w:val="007C5DDE"/>
    <w:rsid w:val="007C5E33"/>
    <w:rsid w:val="007C5EFF"/>
    <w:rsid w:val="007C5F34"/>
    <w:rsid w:val="007C6040"/>
    <w:rsid w:val="007C60DE"/>
    <w:rsid w:val="007C6217"/>
    <w:rsid w:val="007C6334"/>
    <w:rsid w:val="007C6593"/>
    <w:rsid w:val="007C6679"/>
    <w:rsid w:val="007C66DA"/>
    <w:rsid w:val="007C683A"/>
    <w:rsid w:val="007C68AC"/>
    <w:rsid w:val="007C68D4"/>
    <w:rsid w:val="007C6963"/>
    <w:rsid w:val="007C6A6B"/>
    <w:rsid w:val="007C6A84"/>
    <w:rsid w:val="007C6B2E"/>
    <w:rsid w:val="007C6B56"/>
    <w:rsid w:val="007C6B8C"/>
    <w:rsid w:val="007C6B97"/>
    <w:rsid w:val="007C6CD1"/>
    <w:rsid w:val="007C6DD1"/>
    <w:rsid w:val="007C6DE4"/>
    <w:rsid w:val="007C6EB6"/>
    <w:rsid w:val="007C7005"/>
    <w:rsid w:val="007C70C5"/>
    <w:rsid w:val="007C71DB"/>
    <w:rsid w:val="007C71FF"/>
    <w:rsid w:val="007C7274"/>
    <w:rsid w:val="007C7393"/>
    <w:rsid w:val="007C7425"/>
    <w:rsid w:val="007C7592"/>
    <w:rsid w:val="007C78B7"/>
    <w:rsid w:val="007C792B"/>
    <w:rsid w:val="007C7969"/>
    <w:rsid w:val="007C79A7"/>
    <w:rsid w:val="007C7EFB"/>
    <w:rsid w:val="007C7F30"/>
    <w:rsid w:val="007C7F74"/>
    <w:rsid w:val="007C7FBD"/>
    <w:rsid w:val="007D0020"/>
    <w:rsid w:val="007D00ED"/>
    <w:rsid w:val="007D0139"/>
    <w:rsid w:val="007D0144"/>
    <w:rsid w:val="007D02A7"/>
    <w:rsid w:val="007D0301"/>
    <w:rsid w:val="007D0308"/>
    <w:rsid w:val="007D043F"/>
    <w:rsid w:val="007D0447"/>
    <w:rsid w:val="007D0476"/>
    <w:rsid w:val="007D0481"/>
    <w:rsid w:val="007D07C3"/>
    <w:rsid w:val="007D0815"/>
    <w:rsid w:val="007D082F"/>
    <w:rsid w:val="007D084D"/>
    <w:rsid w:val="007D0852"/>
    <w:rsid w:val="007D0936"/>
    <w:rsid w:val="007D09AB"/>
    <w:rsid w:val="007D09EF"/>
    <w:rsid w:val="007D0B63"/>
    <w:rsid w:val="007D0B7F"/>
    <w:rsid w:val="007D0C7D"/>
    <w:rsid w:val="007D0CC5"/>
    <w:rsid w:val="007D0E84"/>
    <w:rsid w:val="007D0EFC"/>
    <w:rsid w:val="007D0F31"/>
    <w:rsid w:val="007D12D5"/>
    <w:rsid w:val="007D13EF"/>
    <w:rsid w:val="007D1576"/>
    <w:rsid w:val="007D1579"/>
    <w:rsid w:val="007D1604"/>
    <w:rsid w:val="007D16B4"/>
    <w:rsid w:val="007D1755"/>
    <w:rsid w:val="007D1949"/>
    <w:rsid w:val="007D1A93"/>
    <w:rsid w:val="007D1A97"/>
    <w:rsid w:val="007D1B6B"/>
    <w:rsid w:val="007D1CE2"/>
    <w:rsid w:val="007D1D5A"/>
    <w:rsid w:val="007D1D7D"/>
    <w:rsid w:val="007D1E64"/>
    <w:rsid w:val="007D1EA1"/>
    <w:rsid w:val="007D1EA9"/>
    <w:rsid w:val="007D1FAC"/>
    <w:rsid w:val="007D1FB3"/>
    <w:rsid w:val="007D2102"/>
    <w:rsid w:val="007D2163"/>
    <w:rsid w:val="007D2177"/>
    <w:rsid w:val="007D2366"/>
    <w:rsid w:val="007D2377"/>
    <w:rsid w:val="007D23D4"/>
    <w:rsid w:val="007D247B"/>
    <w:rsid w:val="007D2596"/>
    <w:rsid w:val="007D2616"/>
    <w:rsid w:val="007D2688"/>
    <w:rsid w:val="007D2693"/>
    <w:rsid w:val="007D271D"/>
    <w:rsid w:val="007D2751"/>
    <w:rsid w:val="007D291E"/>
    <w:rsid w:val="007D2961"/>
    <w:rsid w:val="007D2A7B"/>
    <w:rsid w:val="007D2B75"/>
    <w:rsid w:val="007D2BA2"/>
    <w:rsid w:val="007D2C10"/>
    <w:rsid w:val="007D2C38"/>
    <w:rsid w:val="007D2D46"/>
    <w:rsid w:val="007D2E42"/>
    <w:rsid w:val="007D2F3D"/>
    <w:rsid w:val="007D2F4E"/>
    <w:rsid w:val="007D2F72"/>
    <w:rsid w:val="007D30C3"/>
    <w:rsid w:val="007D3112"/>
    <w:rsid w:val="007D3188"/>
    <w:rsid w:val="007D33CB"/>
    <w:rsid w:val="007D34DB"/>
    <w:rsid w:val="007D356B"/>
    <w:rsid w:val="007D3668"/>
    <w:rsid w:val="007D36B4"/>
    <w:rsid w:val="007D373E"/>
    <w:rsid w:val="007D37F3"/>
    <w:rsid w:val="007D39A2"/>
    <w:rsid w:val="007D39CF"/>
    <w:rsid w:val="007D39E6"/>
    <w:rsid w:val="007D3A6A"/>
    <w:rsid w:val="007D3CBC"/>
    <w:rsid w:val="007D3D26"/>
    <w:rsid w:val="007D3D87"/>
    <w:rsid w:val="007D3FC9"/>
    <w:rsid w:val="007D4029"/>
    <w:rsid w:val="007D40FB"/>
    <w:rsid w:val="007D4112"/>
    <w:rsid w:val="007D418B"/>
    <w:rsid w:val="007D4212"/>
    <w:rsid w:val="007D4229"/>
    <w:rsid w:val="007D427E"/>
    <w:rsid w:val="007D42F5"/>
    <w:rsid w:val="007D42FA"/>
    <w:rsid w:val="007D4370"/>
    <w:rsid w:val="007D4382"/>
    <w:rsid w:val="007D44BD"/>
    <w:rsid w:val="007D458C"/>
    <w:rsid w:val="007D4669"/>
    <w:rsid w:val="007D478C"/>
    <w:rsid w:val="007D47E6"/>
    <w:rsid w:val="007D482E"/>
    <w:rsid w:val="007D48B7"/>
    <w:rsid w:val="007D4913"/>
    <w:rsid w:val="007D49AE"/>
    <w:rsid w:val="007D49B6"/>
    <w:rsid w:val="007D4A2B"/>
    <w:rsid w:val="007D4A6D"/>
    <w:rsid w:val="007D4C3C"/>
    <w:rsid w:val="007D4DCF"/>
    <w:rsid w:val="007D4DE0"/>
    <w:rsid w:val="007D4E3E"/>
    <w:rsid w:val="007D4E8C"/>
    <w:rsid w:val="007D4EB0"/>
    <w:rsid w:val="007D4EC0"/>
    <w:rsid w:val="007D4F8A"/>
    <w:rsid w:val="007D505E"/>
    <w:rsid w:val="007D5131"/>
    <w:rsid w:val="007D5149"/>
    <w:rsid w:val="007D534F"/>
    <w:rsid w:val="007D5587"/>
    <w:rsid w:val="007D5727"/>
    <w:rsid w:val="007D5739"/>
    <w:rsid w:val="007D588B"/>
    <w:rsid w:val="007D58C7"/>
    <w:rsid w:val="007D5BEB"/>
    <w:rsid w:val="007D5CCB"/>
    <w:rsid w:val="007D5EEE"/>
    <w:rsid w:val="007D5EFE"/>
    <w:rsid w:val="007D5F11"/>
    <w:rsid w:val="007D5F53"/>
    <w:rsid w:val="007D6029"/>
    <w:rsid w:val="007D6150"/>
    <w:rsid w:val="007D61DA"/>
    <w:rsid w:val="007D630F"/>
    <w:rsid w:val="007D63BC"/>
    <w:rsid w:val="007D640B"/>
    <w:rsid w:val="007D6586"/>
    <w:rsid w:val="007D6905"/>
    <w:rsid w:val="007D69DB"/>
    <w:rsid w:val="007D6A25"/>
    <w:rsid w:val="007D6AD7"/>
    <w:rsid w:val="007D6B56"/>
    <w:rsid w:val="007D6B80"/>
    <w:rsid w:val="007D6C52"/>
    <w:rsid w:val="007D6C84"/>
    <w:rsid w:val="007D6CE4"/>
    <w:rsid w:val="007D6D05"/>
    <w:rsid w:val="007D6DA6"/>
    <w:rsid w:val="007D6EC0"/>
    <w:rsid w:val="007D6F36"/>
    <w:rsid w:val="007D7125"/>
    <w:rsid w:val="007D72F9"/>
    <w:rsid w:val="007D7401"/>
    <w:rsid w:val="007D7446"/>
    <w:rsid w:val="007D7462"/>
    <w:rsid w:val="007D74F5"/>
    <w:rsid w:val="007D752C"/>
    <w:rsid w:val="007D754C"/>
    <w:rsid w:val="007D7576"/>
    <w:rsid w:val="007D7655"/>
    <w:rsid w:val="007D7697"/>
    <w:rsid w:val="007D798E"/>
    <w:rsid w:val="007D7B45"/>
    <w:rsid w:val="007D7BA7"/>
    <w:rsid w:val="007D7C51"/>
    <w:rsid w:val="007D7E75"/>
    <w:rsid w:val="007D7E8D"/>
    <w:rsid w:val="007D7FDF"/>
    <w:rsid w:val="007E00F2"/>
    <w:rsid w:val="007E0126"/>
    <w:rsid w:val="007E02D4"/>
    <w:rsid w:val="007E02DA"/>
    <w:rsid w:val="007E044E"/>
    <w:rsid w:val="007E04C3"/>
    <w:rsid w:val="007E0533"/>
    <w:rsid w:val="007E05AD"/>
    <w:rsid w:val="007E06A7"/>
    <w:rsid w:val="007E06C1"/>
    <w:rsid w:val="007E07DD"/>
    <w:rsid w:val="007E0924"/>
    <w:rsid w:val="007E0947"/>
    <w:rsid w:val="007E0AAF"/>
    <w:rsid w:val="007E0C12"/>
    <w:rsid w:val="007E0D04"/>
    <w:rsid w:val="007E0F23"/>
    <w:rsid w:val="007E0F74"/>
    <w:rsid w:val="007E1002"/>
    <w:rsid w:val="007E1066"/>
    <w:rsid w:val="007E10D4"/>
    <w:rsid w:val="007E1108"/>
    <w:rsid w:val="007E12C7"/>
    <w:rsid w:val="007E1333"/>
    <w:rsid w:val="007E142B"/>
    <w:rsid w:val="007E143A"/>
    <w:rsid w:val="007E149E"/>
    <w:rsid w:val="007E15C6"/>
    <w:rsid w:val="007E177F"/>
    <w:rsid w:val="007E1783"/>
    <w:rsid w:val="007E1803"/>
    <w:rsid w:val="007E18E9"/>
    <w:rsid w:val="007E1A82"/>
    <w:rsid w:val="007E1AC9"/>
    <w:rsid w:val="007E1B49"/>
    <w:rsid w:val="007E1C15"/>
    <w:rsid w:val="007E1C86"/>
    <w:rsid w:val="007E1CA0"/>
    <w:rsid w:val="007E1CB3"/>
    <w:rsid w:val="007E1CB9"/>
    <w:rsid w:val="007E1CE1"/>
    <w:rsid w:val="007E1D7D"/>
    <w:rsid w:val="007E1DE2"/>
    <w:rsid w:val="007E1E28"/>
    <w:rsid w:val="007E1E43"/>
    <w:rsid w:val="007E1E87"/>
    <w:rsid w:val="007E1EDB"/>
    <w:rsid w:val="007E1F1D"/>
    <w:rsid w:val="007E1FB4"/>
    <w:rsid w:val="007E20A6"/>
    <w:rsid w:val="007E20D4"/>
    <w:rsid w:val="007E20EB"/>
    <w:rsid w:val="007E22A6"/>
    <w:rsid w:val="007E22FA"/>
    <w:rsid w:val="007E244E"/>
    <w:rsid w:val="007E247F"/>
    <w:rsid w:val="007E2550"/>
    <w:rsid w:val="007E262A"/>
    <w:rsid w:val="007E2667"/>
    <w:rsid w:val="007E2687"/>
    <w:rsid w:val="007E2697"/>
    <w:rsid w:val="007E27F9"/>
    <w:rsid w:val="007E281B"/>
    <w:rsid w:val="007E283D"/>
    <w:rsid w:val="007E2925"/>
    <w:rsid w:val="007E2ACD"/>
    <w:rsid w:val="007E2AD2"/>
    <w:rsid w:val="007E2C98"/>
    <w:rsid w:val="007E2CD0"/>
    <w:rsid w:val="007E2D44"/>
    <w:rsid w:val="007E2DB3"/>
    <w:rsid w:val="007E2E07"/>
    <w:rsid w:val="007E2E92"/>
    <w:rsid w:val="007E2EDE"/>
    <w:rsid w:val="007E2F46"/>
    <w:rsid w:val="007E2FAD"/>
    <w:rsid w:val="007E316E"/>
    <w:rsid w:val="007E320A"/>
    <w:rsid w:val="007E3449"/>
    <w:rsid w:val="007E3499"/>
    <w:rsid w:val="007E3597"/>
    <w:rsid w:val="007E364C"/>
    <w:rsid w:val="007E36A1"/>
    <w:rsid w:val="007E36E8"/>
    <w:rsid w:val="007E3776"/>
    <w:rsid w:val="007E37D6"/>
    <w:rsid w:val="007E38CF"/>
    <w:rsid w:val="007E397E"/>
    <w:rsid w:val="007E39EA"/>
    <w:rsid w:val="007E3AF3"/>
    <w:rsid w:val="007E3B3F"/>
    <w:rsid w:val="007E3BD6"/>
    <w:rsid w:val="007E3C15"/>
    <w:rsid w:val="007E3CD8"/>
    <w:rsid w:val="007E3D2B"/>
    <w:rsid w:val="007E3E52"/>
    <w:rsid w:val="007E3FC2"/>
    <w:rsid w:val="007E4031"/>
    <w:rsid w:val="007E40B0"/>
    <w:rsid w:val="007E41C4"/>
    <w:rsid w:val="007E4222"/>
    <w:rsid w:val="007E4223"/>
    <w:rsid w:val="007E4234"/>
    <w:rsid w:val="007E4257"/>
    <w:rsid w:val="007E448D"/>
    <w:rsid w:val="007E45CA"/>
    <w:rsid w:val="007E46F3"/>
    <w:rsid w:val="007E46FE"/>
    <w:rsid w:val="007E481E"/>
    <w:rsid w:val="007E4858"/>
    <w:rsid w:val="007E488B"/>
    <w:rsid w:val="007E498C"/>
    <w:rsid w:val="007E4C4C"/>
    <w:rsid w:val="007E4C4F"/>
    <w:rsid w:val="007E4C69"/>
    <w:rsid w:val="007E4E72"/>
    <w:rsid w:val="007E4EB4"/>
    <w:rsid w:val="007E4F7A"/>
    <w:rsid w:val="007E5058"/>
    <w:rsid w:val="007E5146"/>
    <w:rsid w:val="007E51DE"/>
    <w:rsid w:val="007E531C"/>
    <w:rsid w:val="007E5580"/>
    <w:rsid w:val="007E55A9"/>
    <w:rsid w:val="007E567E"/>
    <w:rsid w:val="007E583E"/>
    <w:rsid w:val="007E58CB"/>
    <w:rsid w:val="007E5927"/>
    <w:rsid w:val="007E5952"/>
    <w:rsid w:val="007E59ED"/>
    <w:rsid w:val="007E5A43"/>
    <w:rsid w:val="007E5B4C"/>
    <w:rsid w:val="007E5B75"/>
    <w:rsid w:val="007E5C7D"/>
    <w:rsid w:val="007E5C9D"/>
    <w:rsid w:val="007E5DA4"/>
    <w:rsid w:val="007E5DC0"/>
    <w:rsid w:val="007E5FB9"/>
    <w:rsid w:val="007E61CF"/>
    <w:rsid w:val="007E63C8"/>
    <w:rsid w:val="007E6409"/>
    <w:rsid w:val="007E6454"/>
    <w:rsid w:val="007E6827"/>
    <w:rsid w:val="007E6884"/>
    <w:rsid w:val="007E689D"/>
    <w:rsid w:val="007E68A4"/>
    <w:rsid w:val="007E692B"/>
    <w:rsid w:val="007E6AC3"/>
    <w:rsid w:val="007E6B5B"/>
    <w:rsid w:val="007E6B8B"/>
    <w:rsid w:val="007E6BB1"/>
    <w:rsid w:val="007E6D2B"/>
    <w:rsid w:val="007E6D41"/>
    <w:rsid w:val="007E6FB9"/>
    <w:rsid w:val="007E6FDF"/>
    <w:rsid w:val="007E7060"/>
    <w:rsid w:val="007E707E"/>
    <w:rsid w:val="007E70AF"/>
    <w:rsid w:val="007E70D3"/>
    <w:rsid w:val="007E7142"/>
    <w:rsid w:val="007E7166"/>
    <w:rsid w:val="007E729D"/>
    <w:rsid w:val="007E72B0"/>
    <w:rsid w:val="007E73DA"/>
    <w:rsid w:val="007E74F7"/>
    <w:rsid w:val="007E756D"/>
    <w:rsid w:val="007E75BE"/>
    <w:rsid w:val="007E7613"/>
    <w:rsid w:val="007E773E"/>
    <w:rsid w:val="007E776F"/>
    <w:rsid w:val="007E77E4"/>
    <w:rsid w:val="007E796D"/>
    <w:rsid w:val="007E7A10"/>
    <w:rsid w:val="007E7A3D"/>
    <w:rsid w:val="007E7A7C"/>
    <w:rsid w:val="007E7A8C"/>
    <w:rsid w:val="007E7B0B"/>
    <w:rsid w:val="007E7B3D"/>
    <w:rsid w:val="007E7B56"/>
    <w:rsid w:val="007E7B90"/>
    <w:rsid w:val="007E7CF0"/>
    <w:rsid w:val="007E7D29"/>
    <w:rsid w:val="007E7D3E"/>
    <w:rsid w:val="007E7DFE"/>
    <w:rsid w:val="007E7F87"/>
    <w:rsid w:val="007E7FC5"/>
    <w:rsid w:val="007F0100"/>
    <w:rsid w:val="007F016A"/>
    <w:rsid w:val="007F025E"/>
    <w:rsid w:val="007F02CC"/>
    <w:rsid w:val="007F0311"/>
    <w:rsid w:val="007F047B"/>
    <w:rsid w:val="007F0501"/>
    <w:rsid w:val="007F060C"/>
    <w:rsid w:val="007F069C"/>
    <w:rsid w:val="007F0791"/>
    <w:rsid w:val="007F07CD"/>
    <w:rsid w:val="007F07EB"/>
    <w:rsid w:val="007F0817"/>
    <w:rsid w:val="007F08CE"/>
    <w:rsid w:val="007F0934"/>
    <w:rsid w:val="007F0954"/>
    <w:rsid w:val="007F0999"/>
    <w:rsid w:val="007F09BA"/>
    <w:rsid w:val="007F0A93"/>
    <w:rsid w:val="007F0BA4"/>
    <w:rsid w:val="007F0BF7"/>
    <w:rsid w:val="007F0C3E"/>
    <w:rsid w:val="007F0C6E"/>
    <w:rsid w:val="007F0CFD"/>
    <w:rsid w:val="007F0ED0"/>
    <w:rsid w:val="007F10B4"/>
    <w:rsid w:val="007F10F8"/>
    <w:rsid w:val="007F1106"/>
    <w:rsid w:val="007F1163"/>
    <w:rsid w:val="007F123A"/>
    <w:rsid w:val="007F1276"/>
    <w:rsid w:val="007F12C4"/>
    <w:rsid w:val="007F13AE"/>
    <w:rsid w:val="007F1451"/>
    <w:rsid w:val="007F15AA"/>
    <w:rsid w:val="007F1617"/>
    <w:rsid w:val="007F17E5"/>
    <w:rsid w:val="007F1800"/>
    <w:rsid w:val="007F1886"/>
    <w:rsid w:val="007F188F"/>
    <w:rsid w:val="007F18ED"/>
    <w:rsid w:val="007F18FA"/>
    <w:rsid w:val="007F1909"/>
    <w:rsid w:val="007F1B0C"/>
    <w:rsid w:val="007F1C58"/>
    <w:rsid w:val="007F1CA8"/>
    <w:rsid w:val="007F1DF1"/>
    <w:rsid w:val="007F1EB7"/>
    <w:rsid w:val="007F1ED5"/>
    <w:rsid w:val="007F1EEC"/>
    <w:rsid w:val="007F1F54"/>
    <w:rsid w:val="007F1FB2"/>
    <w:rsid w:val="007F21FE"/>
    <w:rsid w:val="007F2274"/>
    <w:rsid w:val="007F2491"/>
    <w:rsid w:val="007F2599"/>
    <w:rsid w:val="007F2626"/>
    <w:rsid w:val="007F26BA"/>
    <w:rsid w:val="007F26CD"/>
    <w:rsid w:val="007F26FF"/>
    <w:rsid w:val="007F27C0"/>
    <w:rsid w:val="007F27E9"/>
    <w:rsid w:val="007F27F5"/>
    <w:rsid w:val="007F29AF"/>
    <w:rsid w:val="007F29DA"/>
    <w:rsid w:val="007F2B03"/>
    <w:rsid w:val="007F2B48"/>
    <w:rsid w:val="007F2B60"/>
    <w:rsid w:val="007F2C03"/>
    <w:rsid w:val="007F2C4E"/>
    <w:rsid w:val="007F2D3F"/>
    <w:rsid w:val="007F2D60"/>
    <w:rsid w:val="007F2E4E"/>
    <w:rsid w:val="007F2E54"/>
    <w:rsid w:val="007F2EB6"/>
    <w:rsid w:val="007F2EEB"/>
    <w:rsid w:val="007F2F0A"/>
    <w:rsid w:val="007F2F8A"/>
    <w:rsid w:val="007F2FCA"/>
    <w:rsid w:val="007F2FD5"/>
    <w:rsid w:val="007F3005"/>
    <w:rsid w:val="007F3077"/>
    <w:rsid w:val="007F30F4"/>
    <w:rsid w:val="007F311E"/>
    <w:rsid w:val="007F3154"/>
    <w:rsid w:val="007F3242"/>
    <w:rsid w:val="007F329E"/>
    <w:rsid w:val="007F32CD"/>
    <w:rsid w:val="007F32D6"/>
    <w:rsid w:val="007F34F6"/>
    <w:rsid w:val="007F34FD"/>
    <w:rsid w:val="007F359E"/>
    <w:rsid w:val="007F35E3"/>
    <w:rsid w:val="007F3749"/>
    <w:rsid w:val="007F379F"/>
    <w:rsid w:val="007F37F0"/>
    <w:rsid w:val="007F3810"/>
    <w:rsid w:val="007F398F"/>
    <w:rsid w:val="007F3AC9"/>
    <w:rsid w:val="007F3B29"/>
    <w:rsid w:val="007F3C17"/>
    <w:rsid w:val="007F3CBB"/>
    <w:rsid w:val="007F3CFA"/>
    <w:rsid w:val="007F3DE9"/>
    <w:rsid w:val="007F3E3D"/>
    <w:rsid w:val="007F4007"/>
    <w:rsid w:val="007F40FE"/>
    <w:rsid w:val="007F414E"/>
    <w:rsid w:val="007F4322"/>
    <w:rsid w:val="007F4360"/>
    <w:rsid w:val="007F4406"/>
    <w:rsid w:val="007F45A9"/>
    <w:rsid w:val="007F45DC"/>
    <w:rsid w:val="007F45F4"/>
    <w:rsid w:val="007F460D"/>
    <w:rsid w:val="007F4648"/>
    <w:rsid w:val="007F4760"/>
    <w:rsid w:val="007F47DE"/>
    <w:rsid w:val="007F481A"/>
    <w:rsid w:val="007F4853"/>
    <w:rsid w:val="007F4874"/>
    <w:rsid w:val="007F4A55"/>
    <w:rsid w:val="007F4BBB"/>
    <w:rsid w:val="007F4C54"/>
    <w:rsid w:val="007F4D91"/>
    <w:rsid w:val="007F4F57"/>
    <w:rsid w:val="007F4F5D"/>
    <w:rsid w:val="007F5006"/>
    <w:rsid w:val="007F50A9"/>
    <w:rsid w:val="007F50E2"/>
    <w:rsid w:val="007F51B1"/>
    <w:rsid w:val="007F520A"/>
    <w:rsid w:val="007F5295"/>
    <w:rsid w:val="007F5393"/>
    <w:rsid w:val="007F53C2"/>
    <w:rsid w:val="007F5692"/>
    <w:rsid w:val="007F56CE"/>
    <w:rsid w:val="007F56E2"/>
    <w:rsid w:val="007F5707"/>
    <w:rsid w:val="007F5734"/>
    <w:rsid w:val="007F574A"/>
    <w:rsid w:val="007F58B5"/>
    <w:rsid w:val="007F5A73"/>
    <w:rsid w:val="007F5AC9"/>
    <w:rsid w:val="007F5B11"/>
    <w:rsid w:val="007F5B8A"/>
    <w:rsid w:val="007F5BE6"/>
    <w:rsid w:val="007F5C70"/>
    <w:rsid w:val="007F5C89"/>
    <w:rsid w:val="007F5C9B"/>
    <w:rsid w:val="007F5CE8"/>
    <w:rsid w:val="007F5D3A"/>
    <w:rsid w:val="007F5D42"/>
    <w:rsid w:val="007F5DA2"/>
    <w:rsid w:val="007F5DC5"/>
    <w:rsid w:val="007F5ECA"/>
    <w:rsid w:val="007F5F4A"/>
    <w:rsid w:val="007F5FD3"/>
    <w:rsid w:val="007F5FE1"/>
    <w:rsid w:val="007F6028"/>
    <w:rsid w:val="007F6173"/>
    <w:rsid w:val="007F61BC"/>
    <w:rsid w:val="007F61E1"/>
    <w:rsid w:val="007F6214"/>
    <w:rsid w:val="007F6224"/>
    <w:rsid w:val="007F62DE"/>
    <w:rsid w:val="007F62F7"/>
    <w:rsid w:val="007F6388"/>
    <w:rsid w:val="007F63E4"/>
    <w:rsid w:val="007F63F4"/>
    <w:rsid w:val="007F640E"/>
    <w:rsid w:val="007F6481"/>
    <w:rsid w:val="007F64BB"/>
    <w:rsid w:val="007F660A"/>
    <w:rsid w:val="007F673C"/>
    <w:rsid w:val="007F679A"/>
    <w:rsid w:val="007F6859"/>
    <w:rsid w:val="007F6885"/>
    <w:rsid w:val="007F7004"/>
    <w:rsid w:val="007F7270"/>
    <w:rsid w:val="007F7295"/>
    <w:rsid w:val="007F72BA"/>
    <w:rsid w:val="007F72CD"/>
    <w:rsid w:val="007F72F4"/>
    <w:rsid w:val="007F7321"/>
    <w:rsid w:val="007F73F2"/>
    <w:rsid w:val="007F73F6"/>
    <w:rsid w:val="007F7419"/>
    <w:rsid w:val="007F744E"/>
    <w:rsid w:val="007F74B0"/>
    <w:rsid w:val="007F7541"/>
    <w:rsid w:val="007F7597"/>
    <w:rsid w:val="007F76B7"/>
    <w:rsid w:val="007F76BC"/>
    <w:rsid w:val="007F785F"/>
    <w:rsid w:val="007F787A"/>
    <w:rsid w:val="007F791E"/>
    <w:rsid w:val="007F797C"/>
    <w:rsid w:val="007F79A0"/>
    <w:rsid w:val="007F7F59"/>
    <w:rsid w:val="007F7FB4"/>
    <w:rsid w:val="00800153"/>
    <w:rsid w:val="0080032A"/>
    <w:rsid w:val="008003E5"/>
    <w:rsid w:val="0080055F"/>
    <w:rsid w:val="008006A2"/>
    <w:rsid w:val="00800765"/>
    <w:rsid w:val="008007EC"/>
    <w:rsid w:val="00800823"/>
    <w:rsid w:val="00800869"/>
    <w:rsid w:val="00800AE2"/>
    <w:rsid w:val="00800AF6"/>
    <w:rsid w:val="00800B4B"/>
    <w:rsid w:val="00800BDE"/>
    <w:rsid w:val="00800CDB"/>
    <w:rsid w:val="00800E0B"/>
    <w:rsid w:val="00800E2B"/>
    <w:rsid w:val="00800E82"/>
    <w:rsid w:val="00800EC4"/>
    <w:rsid w:val="00800F28"/>
    <w:rsid w:val="00800FC9"/>
    <w:rsid w:val="008010A4"/>
    <w:rsid w:val="008010BB"/>
    <w:rsid w:val="008011E3"/>
    <w:rsid w:val="00801277"/>
    <w:rsid w:val="00801303"/>
    <w:rsid w:val="00801309"/>
    <w:rsid w:val="0080136C"/>
    <w:rsid w:val="00801373"/>
    <w:rsid w:val="00801417"/>
    <w:rsid w:val="008015F2"/>
    <w:rsid w:val="008016AD"/>
    <w:rsid w:val="0080189A"/>
    <w:rsid w:val="008018BC"/>
    <w:rsid w:val="0080194F"/>
    <w:rsid w:val="00801965"/>
    <w:rsid w:val="008019E1"/>
    <w:rsid w:val="00801B22"/>
    <w:rsid w:val="00801B89"/>
    <w:rsid w:val="00801B8F"/>
    <w:rsid w:val="00801BEA"/>
    <w:rsid w:val="00801CF7"/>
    <w:rsid w:val="00801D2F"/>
    <w:rsid w:val="00801D51"/>
    <w:rsid w:val="00801D64"/>
    <w:rsid w:val="00801DE4"/>
    <w:rsid w:val="00801E0E"/>
    <w:rsid w:val="00801E21"/>
    <w:rsid w:val="00801E26"/>
    <w:rsid w:val="00801EA8"/>
    <w:rsid w:val="00801EB1"/>
    <w:rsid w:val="00801F58"/>
    <w:rsid w:val="00801FF6"/>
    <w:rsid w:val="0080210E"/>
    <w:rsid w:val="008021A9"/>
    <w:rsid w:val="008021D9"/>
    <w:rsid w:val="00802251"/>
    <w:rsid w:val="00802351"/>
    <w:rsid w:val="00802491"/>
    <w:rsid w:val="008024F1"/>
    <w:rsid w:val="0080255A"/>
    <w:rsid w:val="008025EE"/>
    <w:rsid w:val="008027FB"/>
    <w:rsid w:val="0080287C"/>
    <w:rsid w:val="0080296F"/>
    <w:rsid w:val="008029DD"/>
    <w:rsid w:val="008029DF"/>
    <w:rsid w:val="00802B32"/>
    <w:rsid w:val="00802BD0"/>
    <w:rsid w:val="00802FBA"/>
    <w:rsid w:val="00803013"/>
    <w:rsid w:val="00803080"/>
    <w:rsid w:val="008030E9"/>
    <w:rsid w:val="00803176"/>
    <w:rsid w:val="008031DE"/>
    <w:rsid w:val="00803325"/>
    <w:rsid w:val="00803379"/>
    <w:rsid w:val="00803458"/>
    <w:rsid w:val="0080352C"/>
    <w:rsid w:val="00803530"/>
    <w:rsid w:val="008036CB"/>
    <w:rsid w:val="00803712"/>
    <w:rsid w:val="00803861"/>
    <w:rsid w:val="008039FB"/>
    <w:rsid w:val="00803B1F"/>
    <w:rsid w:val="00803B38"/>
    <w:rsid w:val="00803B5B"/>
    <w:rsid w:val="00803BB8"/>
    <w:rsid w:val="00803CC3"/>
    <w:rsid w:val="00803D76"/>
    <w:rsid w:val="00803EB6"/>
    <w:rsid w:val="008040A8"/>
    <w:rsid w:val="008040B2"/>
    <w:rsid w:val="0080414C"/>
    <w:rsid w:val="008041BF"/>
    <w:rsid w:val="00804204"/>
    <w:rsid w:val="00804374"/>
    <w:rsid w:val="00804565"/>
    <w:rsid w:val="008045A2"/>
    <w:rsid w:val="00804635"/>
    <w:rsid w:val="008047D1"/>
    <w:rsid w:val="008047EF"/>
    <w:rsid w:val="008049D5"/>
    <w:rsid w:val="00804CF0"/>
    <w:rsid w:val="0080518E"/>
    <w:rsid w:val="008051B0"/>
    <w:rsid w:val="008052C1"/>
    <w:rsid w:val="00805318"/>
    <w:rsid w:val="0080536A"/>
    <w:rsid w:val="00805398"/>
    <w:rsid w:val="0080552E"/>
    <w:rsid w:val="008055F7"/>
    <w:rsid w:val="0080562E"/>
    <w:rsid w:val="008058C4"/>
    <w:rsid w:val="00805AB1"/>
    <w:rsid w:val="00805AB6"/>
    <w:rsid w:val="00805B11"/>
    <w:rsid w:val="00805BDA"/>
    <w:rsid w:val="00805CF7"/>
    <w:rsid w:val="00805D47"/>
    <w:rsid w:val="00805D9C"/>
    <w:rsid w:val="00805E73"/>
    <w:rsid w:val="00805F06"/>
    <w:rsid w:val="00805F82"/>
    <w:rsid w:val="008060B8"/>
    <w:rsid w:val="00806193"/>
    <w:rsid w:val="00806199"/>
    <w:rsid w:val="008061B9"/>
    <w:rsid w:val="00806511"/>
    <w:rsid w:val="00806568"/>
    <w:rsid w:val="00806574"/>
    <w:rsid w:val="00806689"/>
    <w:rsid w:val="008066AA"/>
    <w:rsid w:val="00806815"/>
    <w:rsid w:val="00806821"/>
    <w:rsid w:val="00806831"/>
    <w:rsid w:val="00806C02"/>
    <w:rsid w:val="00806C99"/>
    <w:rsid w:val="00806C9B"/>
    <w:rsid w:val="00806DFA"/>
    <w:rsid w:val="00806E73"/>
    <w:rsid w:val="00806E74"/>
    <w:rsid w:val="00806ED5"/>
    <w:rsid w:val="00807012"/>
    <w:rsid w:val="0080703F"/>
    <w:rsid w:val="00807145"/>
    <w:rsid w:val="0080716D"/>
    <w:rsid w:val="00807235"/>
    <w:rsid w:val="008075DE"/>
    <w:rsid w:val="00807655"/>
    <w:rsid w:val="0080780A"/>
    <w:rsid w:val="00807939"/>
    <w:rsid w:val="008079B9"/>
    <w:rsid w:val="00807A6A"/>
    <w:rsid w:val="00807AF5"/>
    <w:rsid w:val="00807D23"/>
    <w:rsid w:val="00807E09"/>
    <w:rsid w:val="00807E1C"/>
    <w:rsid w:val="00807E5A"/>
    <w:rsid w:val="00807EAC"/>
    <w:rsid w:val="0081005D"/>
    <w:rsid w:val="00810199"/>
    <w:rsid w:val="00810242"/>
    <w:rsid w:val="00810320"/>
    <w:rsid w:val="008104DF"/>
    <w:rsid w:val="00810570"/>
    <w:rsid w:val="00810606"/>
    <w:rsid w:val="00810656"/>
    <w:rsid w:val="00810982"/>
    <w:rsid w:val="008109CC"/>
    <w:rsid w:val="008109EF"/>
    <w:rsid w:val="00810AAB"/>
    <w:rsid w:val="00810B5F"/>
    <w:rsid w:val="00810C5F"/>
    <w:rsid w:val="00810D68"/>
    <w:rsid w:val="00810E80"/>
    <w:rsid w:val="00810EB4"/>
    <w:rsid w:val="00810FF7"/>
    <w:rsid w:val="008110CE"/>
    <w:rsid w:val="008110FE"/>
    <w:rsid w:val="0081125C"/>
    <w:rsid w:val="0081139E"/>
    <w:rsid w:val="00811498"/>
    <w:rsid w:val="008116A2"/>
    <w:rsid w:val="0081176E"/>
    <w:rsid w:val="00811801"/>
    <w:rsid w:val="00811856"/>
    <w:rsid w:val="00811A49"/>
    <w:rsid w:val="00811A79"/>
    <w:rsid w:val="00811B45"/>
    <w:rsid w:val="00811B8D"/>
    <w:rsid w:val="00811CB0"/>
    <w:rsid w:val="00811CF7"/>
    <w:rsid w:val="00811E76"/>
    <w:rsid w:val="00811EE0"/>
    <w:rsid w:val="00811F9E"/>
    <w:rsid w:val="00811FC5"/>
    <w:rsid w:val="008120C0"/>
    <w:rsid w:val="008121DC"/>
    <w:rsid w:val="008121ED"/>
    <w:rsid w:val="0081226D"/>
    <w:rsid w:val="00812382"/>
    <w:rsid w:val="008123EA"/>
    <w:rsid w:val="008124AB"/>
    <w:rsid w:val="0081285A"/>
    <w:rsid w:val="00812874"/>
    <w:rsid w:val="00812917"/>
    <w:rsid w:val="00812942"/>
    <w:rsid w:val="00812CB0"/>
    <w:rsid w:val="00812CB3"/>
    <w:rsid w:val="00812E1E"/>
    <w:rsid w:val="00812E3C"/>
    <w:rsid w:val="00812E53"/>
    <w:rsid w:val="00812E82"/>
    <w:rsid w:val="00812EF9"/>
    <w:rsid w:val="00812F6B"/>
    <w:rsid w:val="0081305C"/>
    <w:rsid w:val="00813262"/>
    <w:rsid w:val="008133C9"/>
    <w:rsid w:val="00813457"/>
    <w:rsid w:val="0081345B"/>
    <w:rsid w:val="008134C1"/>
    <w:rsid w:val="008135C3"/>
    <w:rsid w:val="008135E1"/>
    <w:rsid w:val="008135F6"/>
    <w:rsid w:val="00813628"/>
    <w:rsid w:val="00813659"/>
    <w:rsid w:val="008137AE"/>
    <w:rsid w:val="00813874"/>
    <w:rsid w:val="008138E6"/>
    <w:rsid w:val="00813911"/>
    <w:rsid w:val="00813954"/>
    <w:rsid w:val="00813A51"/>
    <w:rsid w:val="00813A60"/>
    <w:rsid w:val="00813AE0"/>
    <w:rsid w:val="00813B84"/>
    <w:rsid w:val="00813CE5"/>
    <w:rsid w:val="00813E01"/>
    <w:rsid w:val="00813E33"/>
    <w:rsid w:val="00813E54"/>
    <w:rsid w:val="00813EB2"/>
    <w:rsid w:val="00813ECE"/>
    <w:rsid w:val="00813EF2"/>
    <w:rsid w:val="00813F34"/>
    <w:rsid w:val="00814011"/>
    <w:rsid w:val="008140BB"/>
    <w:rsid w:val="00814183"/>
    <w:rsid w:val="008142C8"/>
    <w:rsid w:val="00814475"/>
    <w:rsid w:val="008144F9"/>
    <w:rsid w:val="00814699"/>
    <w:rsid w:val="008146A1"/>
    <w:rsid w:val="00814769"/>
    <w:rsid w:val="008147A8"/>
    <w:rsid w:val="008147FA"/>
    <w:rsid w:val="00814825"/>
    <w:rsid w:val="008148B2"/>
    <w:rsid w:val="0081496B"/>
    <w:rsid w:val="00814B5C"/>
    <w:rsid w:val="00814B95"/>
    <w:rsid w:val="00814BBF"/>
    <w:rsid w:val="00814C91"/>
    <w:rsid w:val="00814DFF"/>
    <w:rsid w:val="00814E94"/>
    <w:rsid w:val="00814ED8"/>
    <w:rsid w:val="00814F4B"/>
    <w:rsid w:val="00815038"/>
    <w:rsid w:val="008150FA"/>
    <w:rsid w:val="0081518F"/>
    <w:rsid w:val="00815264"/>
    <w:rsid w:val="0081545F"/>
    <w:rsid w:val="008154D3"/>
    <w:rsid w:val="008154F2"/>
    <w:rsid w:val="0081579F"/>
    <w:rsid w:val="0081583D"/>
    <w:rsid w:val="0081598F"/>
    <w:rsid w:val="008159AD"/>
    <w:rsid w:val="008159FF"/>
    <w:rsid w:val="00815ADE"/>
    <w:rsid w:val="00815B27"/>
    <w:rsid w:val="00815B3B"/>
    <w:rsid w:val="00815B85"/>
    <w:rsid w:val="00815C11"/>
    <w:rsid w:val="00815C81"/>
    <w:rsid w:val="00815DB2"/>
    <w:rsid w:val="00815E87"/>
    <w:rsid w:val="00815EA3"/>
    <w:rsid w:val="00815FF0"/>
    <w:rsid w:val="00816102"/>
    <w:rsid w:val="00816149"/>
    <w:rsid w:val="00816293"/>
    <w:rsid w:val="008163C9"/>
    <w:rsid w:val="00816550"/>
    <w:rsid w:val="0081655D"/>
    <w:rsid w:val="00816639"/>
    <w:rsid w:val="008166C8"/>
    <w:rsid w:val="00816749"/>
    <w:rsid w:val="0081677C"/>
    <w:rsid w:val="0081690E"/>
    <w:rsid w:val="00816969"/>
    <w:rsid w:val="008169AD"/>
    <w:rsid w:val="008169C9"/>
    <w:rsid w:val="00816BFA"/>
    <w:rsid w:val="00816C50"/>
    <w:rsid w:val="00816D0E"/>
    <w:rsid w:val="00816D43"/>
    <w:rsid w:val="00816F3F"/>
    <w:rsid w:val="00817008"/>
    <w:rsid w:val="008170D6"/>
    <w:rsid w:val="00817242"/>
    <w:rsid w:val="008172D5"/>
    <w:rsid w:val="00817562"/>
    <w:rsid w:val="008176DC"/>
    <w:rsid w:val="00817723"/>
    <w:rsid w:val="00817791"/>
    <w:rsid w:val="00817811"/>
    <w:rsid w:val="008178AF"/>
    <w:rsid w:val="008178BE"/>
    <w:rsid w:val="0081798D"/>
    <w:rsid w:val="00817A94"/>
    <w:rsid w:val="00817A96"/>
    <w:rsid w:val="00817AAC"/>
    <w:rsid w:val="00817B7C"/>
    <w:rsid w:val="00817C65"/>
    <w:rsid w:val="00817DC4"/>
    <w:rsid w:val="00817FBE"/>
    <w:rsid w:val="00820024"/>
    <w:rsid w:val="008200D7"/>
    <w:rsid w:val="008200EE"/>
    <w:rsid w:val="008201FD"/>
    <w:rsid w:val="0082024E"/>
    <w:rsid w:val="00820476"/>
    <w:rsid w:val="00820831"/>
    <w:rsid w:val="00820864"/>
    <w:rsid w:val="008208A0"/>
    <w:rsid w:val="008208E3"/>
    <w:rsid w:val="00820992"/>
    <w:rsid w:val="00820B7B"/>
    <w:rsid w:val="00820CBA"/>
    <w:rsid w:val="00820E4C"/>
    <w:rsid w:val="00820E5B"/>
    <w:rsid w:val="00820E84"/>
    <w:rsid w:val="00820EA9"/>
    <w:rsid w:val="00820F15"/>
    <w:rsid w:val="00820F93"/>
    <w:rsid w:val="0082113C"/>
    <w:rsid w:val="008214D1"/>
    <w:rsid w:val="0082171D"/>
    <w:rsid w:val="008217EA"/>
    <w:rsid w:val="008218D5"/>
    <w:rsid w:val="00821951"/>
    <w:rsid w:val="00821ABE"/>
    <w:rsid w:val="00821AC7"/>
    <w:rsid w:val="00821AF9"/>
    <w:rsid w:val="00821C01"/>
    <w:rsid w:val="00821CD6"/>
    <w:rsid w:val="00821DCE"/>
    <w:rsid w:val="00822029"/>
    <w:rsid w:val="008220F7"/>
    <w:rsid w:val="00822109"/>
    <w:rsid w:val="0082222A"/>
    <w:rsid w:val="008224FE"/>
    <w:rsid w:val="00822593"/>
    <w:rsid w:val="0082266E"/>
    <w:rsid w:val="00822818"/>
    <w:rsid w:val="00822909"/>
    <w:rsid w:val="00822A47"/>
    <w:rsid w:val="00822AEA"/>
    <w:rsid w:val="00822BB8"/>
    <w:rsid w:val="00822BCE"/>
    <w:rsid w:val="00822C05"/>
    <w:rsid w:val="00822C9A"/>
    <w:rsid w:val="00822D20"/>
    <w:rsid w:val="00822E11"/>
    <w:rsid w:val="00822E80"/>
    <w:rsid w:val="00822FAE"/>
    <w:rsid w:val="00823015"/>
    <w:rsid w:val="00823068"/>
    <w:rsid w:val="008230B1"/>
    <w:rsid w:val="0082330C"/>
    <w:rsid w:val="00823394"/>
    <w:rsid w:val="00823397"/>
    <w:rsid w:val="0082360C"/>
    <w:rsid w:val="008236E6"/>
    <w:rsid w:val="008237B3"/>
    <w:rsid w:val="00823835"/>
    <w:rsid w:val="0082385C"/>
    <w:rsid w:val="0082386F"/>
    <w:rsid w:val="008239A6"/>
    <w:rsid w:val="008239FE"/>
    <w:rsid w:val="00823AD8"/>
    <w:rsid w:val="00823B76"/>
    <w:rsid w:val="00823BC9"/>
    <w:rsid w:val="00823C00"/>
    <w:rsid w:val="00823D82"/>
    <w:rsid w:val="00823E56"/>
    <w:rsid w:val="00823FEB"/>
    <w:rsid w:val="008240A7"/>
    <w:rsid w:val="00824209"/>
    <w:rsid w:val="0082422B"/>
    <w:rsid w:val="0082445E"/>
    <w:rsid w:val="00824467"/>
    <w:rsid w:val="00824509"/>
    <w:rsid w:val="00824525"/>
    <w:rsid w:val="00824570"/>
    <w:rsid w:val="008245F5"/>
    <w:rsid w:val="00824900"/>
    <w:rsid w:val="00824A25"/>
    <w:rsid w:val="00824A2B"/>
    <w:rsid w:val="00824A9A"/>
    <w:rsid w:val="00824AB3"/>
    <w:rsid w:val="00824C32"/>
    <w:rsid w:val="00824C3D"/>
    <w:rsid w:val="00824CEA"/>
    <w:rsid w:val="00824E40"/>
    <w:rsid w:val="00824EE3"/>
    <w:rsid w:val="00825090"/>
    <w:rsid w:val="00825162"/>
    <w:rsid w:val="008251B1"/>
    <w:rsid w:val="0082520D"/>
    <w:rsid w:val="00825275"/>
    <w:rsid w:val="0082542D"/>
    <w:rsid w:val="0082542F"/>
    <w:rsid w:val="00825438"/>
    <w:rsid w:val="00825512"/>
    <w:rsid w:val="00825517"/>
    <w:rsid w:val="008255F4"/>
    <w:rsid w:val="00825706"/>
    <w:rsid w:val="00825774"/>
    <w:rsid w:val="008257AC"/>
    <w:rsid w:val="00825889"/>
    <w:rsid w:val="008258BA"/>
    <w:rsid w:val="00825A74"/>
    <w:rsid w:val="00825B4E"/>
    <w:rsid w:val="00825B69"/>
    <w:rsid w:val="00825D0D"/>
    <w:rsid w:val="00825E3D"/>
    <w:rsid w:val="00825E43"/>
    <w:rsid w:val="0082619C"/>
    <w:rsid w:val="008261BD"/>
    <w:rsid w:val="0082629C"/>
    <w:rsid w:val="0082634C"/>
    <w:rsid w:val="008263BC"/>
    <w:rsid w:val="00826526"/>
    <w:rsid w:val="008265F0"/>
    <w:rsid w:val="00826641"/>
    <w:rsid w:val="008266F3"/>
    <w:rsid w:val="00826750"/>
    <w:rsid w:val="00826892"/>
    <w:rsid w:val="008268E8"/>
    <w:rsid w:val="00826940"/>
    <w:rsid w:val="00826971"/>
    <w:rsid w:val="00826A7A"/>
    <w:rsid w:val="00826A8A"/>
    <w:rsid w:val="00826B93"/>
    <w:rsid w:val="00826CFB"/>
    <w:rsid w:val="00826D18"/>
    <w:rsid w:val="00826D24"/>
    <w:rsid w:val="00826ECE"/>
    <w:rsid w:val="00826F13"/>
    <w:rsid w:val="00826F94"/>
    <w:rsid w:val="00826FFD"/>
    <w:rsid w:val="00827023"/>
    <w:rsid w:val="008270E4"/>
    <w:rsid w:val="00827193"/>
    <w:rsid w:val="0082728A"/>
    <w:rsid w:val="00827296"/>
    <w:rsid w:val="0082736F"/>
    <w:rsid w:val="00827470"/>
    <w:rsid w:val="00827499"/>
    <w:rsid w:val="008274D9"/>
    <w:rsid w:val="00827582"/>
    <w:rsid w:val="008275D2"/>
    <w:rsid w:val="0082766B"/>
    <w:rsid w:val="00827725"/>
    <w:rsid w:val="00827730"/>
    <w:rsid w:val="00827731"/>
    <w:rsid w:val="0082779A"/>
    <w:rsid w:val="008277C6"/>
    <w:rsid w:val="008279BF"/>
    <w:rsid w:val="00827A0D"/>
    <w:rsid w:val="00827A6F"/>
    <w:rsid w:val="00827B69"/>
    <w:rsid w:val="00827C93"/>
    <w:rsid w:val="00827C95"/>
    <w:rsid w:val="00827D92"/>
    <w:rsid w:val="00827DEE"/>
    <w:rsid w:val="00827EAA"/>
    <w:rsid w:val="00827F29"/>
    <w:rsid w:val="00827F8E"/>
    <w:rsid w:val="0083002B"/>
    <w:rsid w:val="0083002C"/>
    <w:rsid w:val="0083011F"/>
    <w:rsid w:val="0083014E"/>
    <w:rsid w:val="00830160"/>
    <w:rsid w:val="0083018B"/>
    <w:rsid w:val="0083034B"/>
    <w:rsid w:val="008306A6"/>
    <w:rsid w:val="008308DE"/>
    <w:rsid w:val="00830A7A"/>
    <w:rsid w:val="00830AA6"/>
    <w:rsid w:val="00830B32"/>
    <w:rsid w:val="00830B64"/>
    <w:rsid w:val="00830B82"/>
    <w:rsid w:val="00830BDE"/>
    <w:rsid w:val="00830C0D"/>
    <w:rsid w:val="00830C9E"/>
    <w:rsid w:val="00830D4F"/>
    <w:rsid w:val="00830D56"/>
    <w:rsid w:val="00830EE4"/>
    <w:rsid w:val="00830F15"/>
    <w:rsid w:val="00831196"/>
    <w:rsid w:val="00831317"/>
    <w:rsid w:val="0083131A"/>
    <w:rsid w:val="00831384"/>
    <w:rsid w:val="00831405"/>
    <w:rsid w:val="0083142C"/>
    <w:rsid w:val="00831508"/>
    <w:rsid w:val="00831749"/>
    <w:rsid w:val="00831791"/>
    <w:rsid w:val="00831821"/>
    <w:rsid w:val="0083184C"/>
    <w:rsid w:val="00831998"/>
    <w:rsid w:val="00831ACB"/>
    <w:rsid w:val="00831B06"/>
    <w:rsid w:val="00831B30"/>
    <w:rsid w:val="00831E2C"/>
    <w:rsid w:val="00831F8B"/>
    <w:rsid w:val="00831FCB"/>
    <w:rsid w:val="0083206B"/>
    <w:rsid w:val="00832214"/>
    <w:rsid w:val="008323AA"/>
    <w:rsid w:val="00832411"/>
    <w:rsid w:val="00832436"/>
    <w:rsid w:val="00832544"/>
    <w:rsid w:val="008325C1"/>
    <w:rsid w:val="0083261E"/>
    <w:rsid w:val="0083278E"/>
    <w:rsid w:val="00832796"/>
    <w:rsid w:val="0083279A"/>
    <w:rsid w:val="008327F7"/>
    <w:rsid w:val="0083283D"/>
    <w:rsid w:val="0083292B"/>
    <w:rsid w:val="00832A79"/>
    <w:rsid w:val="00832CB0"/>
    <w:rsid w:val="00832D38"/>
    <w:rsid w:val="00832D6E"/>
    <w:rsid w:val="00832D73"/>
    <w:rsid w:val="00832F13"/>
    <w:rsid w:val="00832F53"/>
    <w:rsid w:val="0083305D"/>
    <w:rsid w:val="008333B3"/>
    <w:rsid w:val="008334FA"/>
    <w:rsid w:val="00833532"/>
    <w:rsid w:val="00833601"/>
    <w:rsid w:val="00833607"/>
    <w:rsid w:val="00833621"/>
    <w:rsid w:val="00833742"/>
    <w:rsid w:val="0083375A"/>
    <w:rsid w:val="008337D2"/>
    <w:rsid w:val="008337D8"/>
    <w:rsid w:val="00833943"/>
    <w:rsid w:val="00833A6C"/>
    <w:rsid w:val="00833AA9"/>
    <w:rsid w:val="00833B43"/>
    <w:rsid w:val="008340B2"/>
    <w:rsid w:val="008340D0"/>
    <w:rsid w:val="0083415E"/>
    <w:rsid w:val="008341F7"/>
    <w:rsid w:val="008342B0"/>
    <w:rsid w:val="008342ED"/>
    <w:rsid w:val="008342F3"/>
    <w:rsid w:val="0083432B"/>
    <w:rsid w:val="0083436C"/>
    <w:rsid w:val="00834394"/>
    <w:rsid w:val="008343FC"/>
    <w:rsid w:val="00834470"/>
    <w:rsid w:val="00834529"/>
    <w:rsid w:val="0083453B"/>
    <w:rsid w:val="00834555"/>
    <w:rsid w:val="0083458B"/>
    <w:rsid w:val="00834746"/>
    <w:rsid w:val="00834824"/>
    <w:rsid w:val="00834894"/>
    <w:rsid w:val="00834954"/>
    <w:rsid w:val="00834B72"/>
    <w:rsid w:val="00834BD0"/>
    <w:rsid w:val="00834BD2"/>
    <w:rsid w:val="00834C11"/>
    <w:rsid w:val="00834C47"/>
    <w:rsid w:val="00834C91"/>
    <w:rsid w:val="00834CCC"/>
    <w:rsid w:val="00834CCE"/>
    <w:rsid w:val="00834D46"/>
    <w:rsid w:val="00834D6D"/>
    <w:rsid w:val="00834D78"/>
    <w:rsid w:val="00834DBE"/>
    <w:rsid w:val="00834E73"/>
    <w:rsid w:val="00834F3B"/>
    <w:rsid w:val="0083516B"/>
    <w:rsid w:val="008351D9"/>
    <w:rsid w:val="0083528C"/>
    <w:rsid w:val="00835292"/>
    <w:rsid w:val="0083555E"/>
    <w:rsid w:val="00835650"/>
    <w:rsid w:val="008356B8"/>
    <w:rsid w:val="0083570D"/>
    <w:rsid w:val="008357AF"/>
    <w:rsid w:val="0083590F"/>
    <w:rsid w:val="00835A6F"/>
    <w:rsid w:val="00835AD5"/>
    <w:rsid w:val="00835AE4"/>
    <w:rsid w:val="00835BA0"/>
    <w:rsid w:val="00835C09"/>
    <w:rsid w:val="00835D49"/>
    <w:rsid w:val="00835E23"/>
    <w:rsid w:val="00835E2B"/>
    <w:rsid w:val="00835FCC"/>
    <w:rsid w:val="00835FFD"/>
    <w:rsid w:val="008360B9"/>
    <w:rsid w:val="008360C0"/>
    <w:rsid w:val="00836193"/>
    <w:rsid w:val="008361EA"/>
    <w:rsid w:val="0083629F"/>
    <w:rsid w:val="00836313"/>
    <w:rsid w:val="00836357"/>
    <w:rsid w:val="008363A7"/>
    <w:rsid w:val="0083648F"/>
    <w:rsid w:val="0083654A"/>
    <w:rsid w:val="0083654B"/>
    <w:rsid w:val="00836850"/>
    <w:rsid w:val="0083696D"/>
    <w:rsid w:val="00836999"/>
    <w:rsid w:val="00836A3A"/>
    <w:rsid w:val="00836AE0"/>
    <w:rsid w:val="00836AE2"/>
    <w:rsid w:val="00836B09"/>
    <w:rsid w:val="00836FE4"/>
    <w:rsid w:val="0083723F"/>
    <w:rsid w:val="008372FA"/>
    <w:rsid w:val="00837339"/>
    <w:rsid w:val="008373C5"/>
    <w:rsid w:val="00837631"/>
    <w:rsid w:val="0083788F"/>
    <w:rsid w:val="008378F4"/>
    <w:rsid w:val="00837949"/>
    <w:rsid w:val="008379EE"/>
    <w:rsid w:val="00837AD1"/>
    <w:rsid w:val="00837BFE"/>
    <w:rsid w:val="00837D6F"/>
    <w:rsid w:val="00837DFF"/>
    <w:rsid w:val="00837FF7"/>
    <w:rsid w:val="00840006"/>
    <w:rsid w:val="008401D7"/>
    <w:rsid w:val="0084045C"/>
    <w:rsid w:val="00840553"/>
    <w:rsid w:val="0084065B"/>
    <w:rsid w:val="0084067A"/>
    <w:rsid w:val="00840778"/>
    <w:rsid w:val="008408E6"/>
    <w:rsid w:val="008409A9"/>
    <w:rsid w:val="008409C4"/>
    <w:rsid w:val="008409E6"/>
    <w:rsid w:val="00840DC3"/>
    <w:rsid w:val="00840DD1"/>
    <w:rsid w:val="00840F6D"/>
    <w:rsid w:val="0084104E"/>
    <w:rsid w:val="00841088"/>
    <w:rsid w:val="008411C7"/>
    <w:rsid w:val="00841220"/>
    <w:rsid w:val="00841297"/>
    <w:rsid w:val="00841471"/>
    <w:rsid w:val="0084154B"/>
    <w:rsid w:val="0084154C"/>
    <w:rsid w:val="00841559"/>
    <w:rsid w:val="008415C2"/>
    <w:rsid w:val="0084178C"/>
    <w:rsid w:val="0084182E"/>
    <w:rsid w:val="008418E8"/>
    <w:rsid w:val="00841958"/>
    <w:rsid w:val="00841AB9"/>
    <w:rsid w:val="00841AE9"/>
    <w:rsid w:val="00841B93"/>
    <w:rsid w:val="00841BD4"/>
    <w:rsid w:val="00841C2B"/>
    <w:rsid w:val="00841C54"/>
    <w:rsid w:val="00841DD0"/>
    <w:rsid w:val="00841E15"/>
    <w:rsid w:val="00841EED"/>
    <w:rsid w:val="00841EF0"/>
    <w:rsid w:val="00841F9E"/>
    <w:rsid w:val="00841FE6"/>
    <w:rsid w:val="00842006"/>
    <w:rsid w:val="0084202D"/>
    <w:rsid w:val="00842103"/>
    <w:rsid w:val="00842153"/>
    <w:rsid w:val="008422E2"/>
    <w:rsid w:val="0084235B"/>
    <w:rsid w:val="008424CB"/>
    <w:rsid w:val="008424DC"/>
    <w:rsid w:val="008425E6"/>
    <w:rsid w:val="0084264A"/>
    <w:rsid w:val="008426CE"/>
    <w:rsid w:val="00842949"/>
    <w:rsid w:val="00842A8B"/>
    <w:rsid w:val="00842A93"/>
    <w:rsid w:val="00842A97"/>
    <w:rsid w:val="00842B0D"/>
    <w:rsid w:val="00842BF4"/>
    <w:rsid w:val="00842C83"/>
    <w:rsid w:val="00842E1D"/>
    <w:rsid w:val="00842E56"/>
    <w:rsid w:val="00842F81"/>
    <w:rsid w:val="00842FDA"/>
    <w:rsid w:val="00843442"/>
    <w:rsid w:val="0084361A"/>
    <w:rsid w:val="008438CB"/>
    <w:rsid w:val="008438D7"/>
    <w:rsid w:val="0084390A"/>
    <w:rsid w:val="00843A1B"/>
    <w:rsid w:val="00843A28"/>
    <w:rsid w:val="00843A44"/>
    <w:rsid w:val="00843A5C"/>
    <w:rsid w:val="00843BDF"/>
    <w:rsid w:val="00843C3C"/>
    <w:rsid w:val="00843D0F"/>
    <w:rsid w:val="00843E1A"/>
    <w:rsid w:val="00843E69"/>
    <w:rsid w:val="00843EFF"/>
    <w:rsid w:val="0084402A"/>
    <w:rsid w:val="00844218"/>
    <w:rsid w:val="0084426D"/>
    <w:rsid w:val="0084439D"/>
    <w:rsid w:val="008446A0"/>
    <w:rsid w:val="00844804"/>
    <w:rsid w:val="008448B7"/>
    <w:rsid w:val="00844946"/>
    <w:rsid w:val="00844987"/>
    <w:rsid w:val="00844CCE"/>
    <w:rsid w:val="00844CE0"/>
    <w:rsid w:val="00844D0C"/>
    <w:rsid w:val="00844D1A"/>
    <w:rsid w:val="00844DBE"/>
    <w:rsid w:val="00844DD5"/>
    <w:rsid w:val="00844E2B"/>
    <w:rsid w:val="00845017"/>
    <w:rsid w:val="0084514D"/>
    <w:rsid w:val="00845192"/>
    <w:rsid w:val="008452B3"/>
    <w:rsid w:val="008454CE"/>
    <w:rsid w:val="008454EB"/>
    <w:rsid w:val="00845569"/>
    <w:rsid w:val="00845575"/>
    <w:rsid w:val="008455C9"/>
    <w:rsid w:val="00845602"/>
    <w:rsid w:val="00845786"/>
    <w:rsid w:val="008458DF"/>
    <w:rsid w:val="00845960"/>
    <w:rsid w:val="00845967"/>
    <w:rsid w:val="00845990"/>
    <w:rsid w:val="00845A1A"/>
    <w:rsid w:val="00845B58"/>
    <w:rsid w:val="00845BD0"/>
    <w:rsid w:val="00845D4B"/>
    <w:rsid w:val="00845D82"/>
    <w:rsid w:val="00845D83"/>
    <w:rsid w:val="00845E0D"/>
    <w:rsid w:val="00845EBC"/>
    <w:rsid w:val="00845F3A"/>
    <w:rsid w:val="00845FBE"/>
    <w:rsid w:val="0084614B"/>
    <w:rsid w:val="00846164"/>
    <w:rsid w:val="00846333"/>
    <w:rsid w:val="00846555"/>
    <w:rsid w:val="00846648"/>
    <w:rsid w:val="0084669C"/>
    <w:rsid w:val="00846795"/>
    <w:rsid w:val="0084690E"/>
    <w:rsid w:val="0084697B"/>
    <w:rsid w:val="008469B2"/>
    <w:rsid w:val="008469E3"/>
    <w:rsid w:val="008469FC"/>
    <w:rsid w:val="00846A00"/>
    <w:rsid w:val="00846AB2"/>
    <w:rsid w:val="00846AE6"/>
    <w:rsid w:val="00846BCB"/>
    <w:rsid w:val="00846C30"/>
    <w:rsid w:val="00846ECC"/>
    <w:rsid w:val="00846F10"/>
    <w:rsid w:val="00847028"/>
    <w:rsid w:val="00847073"/>
    <w:rsid w:val="00847156"/>
    <w:rsid w:val="00847256"/>
    <w:rsid w:val="008472CF"/>
    <w:rsid w:val="008472FE"/>
    <w:rsid w:val="008474B2"/>
    <w:rsid w:val="0084752F"/>
    <w:rsid w:val="00847552"/>
    <w:rsid w:val="00847692"/>
    <w:rsid w:val="008476D7"/>
    <w:rsid w:val="0084778C"/>
    <w:rsid w:val="00847922"/>
    <w:rsid w:val="00847A7B"/>
    <w:rsid w:val="00847AE9"/>
    <w:rsid w:val="00847B9F"/>
    <w:rsid w:val="00847BDB"/>
    <w:rsid w:val="00847BE8"/>
    <w:rsid w:val="00847C27"/>
    <w:rsid w:val="00847E70"/>
    <w:rsid w:val="00847FDF"/>
    <w:rsid w:val="0085011E"/>
    <w:rsid w:val="00850166"/>
    <w:rsid w:val="0085033A"/>
    <w:rsid w:val="0085057B"/>
    <w:rsid w:val="00850620"/>
    <w:rsid w:val="00850681"/>
    <w:rsid w:val="00850970"/>
    <w:rsid w:val="008509A8"/>
    <w:rsid w:val="00850B7C"/>
    <w:rsid w:val="00850BCF"/>
    <w:rsid w:val="00850C4F"/>
    <w:rsid w:val="00850DA8"/>
    <w:rsid w:val="00850EBB"/>
    <w:rsid w:val="00850F0A"/>
    <w:rsid w:val="00850F67"/>
    <w:rsid w:val="00850FC0"/>
    <w:rsid w:val="008510CA"/>
    <w:rsid w:val="00851291"/>
    <w:rsid w:val="008512C1"/>
    <w:rsid w:val="00851316"/>
    <w:rsid w:val="00851523"/>
    <w:rsid w:val="00851575"/>
    <w:rsid w:val="00851759"/>
    <w:rsid w:val="008517B0"/>
    <w:rsid w:val="008519D3"/>
    <w:rsid w:val="00851A09"/>
    <w:rsid w:val="00851A2B"/>
    <w:rsid w:val="00851CEA"/>
    <w:rsid w:val="00851D00"/>
    <w:rsid w:val="00851D17"/>
    <w:rsid w:val="00851D44"/>
    <w:rsid w:val="00851EAC"/>
    <w:rsid w:val="00852074"/>
    <w:rsid w:val="0085218F"/>
    <w:rsid w:val="008521AC"/>
    <w:rsid w:val="008521BF"/>
    <w:rsid w:val="00852285"/>
    <w:rsid w:val="008522CF"/>
    <w:rsid w:val="008524BC"/>
    <w:rsid w:val="008525D2"/>
    <w:rsid w:val="008526CD"/>
    <w:rsid w:val="00852719"/>
    <w:rsid w:val="0085281F"/>
    <w:rsid w:val="00852855"/>
    <w:rsid w:val="0085289D"/>
    <w:rsid w:val="0085291F"/>
    <w:rsid w:val="0085292B"/>
    <w:rsid w:val="00852958"/>
    <w:rsid w:val="008529F9"/>
    <w:rsid w:val="00852BDF"/>
    <w:rsid w:val="00852C2A"/>
    <w:rsid w:val="00852C3B"/>
    <w:rsid w:val="00852C57"/>
    <w:rsid w:val="00852C78"/>
    <w:rsid w:val="00852DD8"/>
    <w:rsid w:val="00852F61"/>
    <w:rsid w:val="00853283"/>
    <w:rsid w:val="00853360"/>
    <w:rsid w:val="0085337F"/>
    <w:rsid w:val="008534DB"/>
    <w:rsid w:val="00853504"/>
    <w:rsid w:val="00853515"/>
    <w:rsid w:val="00853531"/>
    <w:rsid w:val="00853552"/>
    <w:rsid w:val="008535F9"/>
    <w:rsid w:val="008536CB"/>
    <w:rsid w:val="008538D0"/>
    <w:rsid w:val="00853927"/>
    <w:rsid w:val="008539EF"/>
    <w:rsid w:val="00853A41"/>
    <w:rsid w:val="00853A6E"/>
    <w:rsid w:val="00853AD7"/>
    <w:rsid w:val="00853B94"/>
    <w:rsid w:val="00853C15"/>
    <w:rsid w:val="00853C86"/>
    <w:rsid w:val="00853E64"/>
    <w:rsid w:val="00853F37"/>
    <w:rsid w:val="00853F60"/>
    <w:rsid w:val="00853FB6"/>
    <w:rsid w:val="00854265"/>
    <w:rsid w:val="008542AB"/>
    <w:rsid w:val="008543B3"/>
    <w:rsid w:val="00854492"/>
    <w:rsid w:val="008544A9"/>
    <w:rsid w:val="008545CB"/>
    <w:rsid w:val="008546DC"/>
    <w:rsid w:val="0085474D"/>
    <w:rsid w:val="00854765"/>
    <w:rsid w:val="008547E0"/>
    <w:rsid w:val="008548B3"/>
    <w:rsid w:val="00854ABF"/>
    <w:rsid w:val="00854ACB"/>
    <w:rsid w:val="00854BCC"/>
    <w:rsid w:val="00854DC5"/>
    <w:rsid w:val="00854E20"/>
    <w:rsid w:val="00854EFC"/>
    <w:rsid w:val="00854FCC"/>
    <w:rsid w:val="00855035"/>
    <w:rsid w:val="0085508D"/>
    <w:rsid w:val="008550A9"/>
    <w:rsid w:val="0085514F"/>
    <w:rsid w:val="008551E1"/>
    <w:rsid w:val="00855311"/>
    <w:rsid w:val="008553B3"/>
    <w:rsid w:val="00855492"/>
    <w:rsid w:val="00855521"/>
    <w:rsid w:val="008555B3"/>
    <w:rsid w:val="00855642"/>
    <w:rsid w:val="0085567C"/>
    <w:rsid w:val="00855734"/>
    <w:rsid w:val="00855771"/>
    <w:rsid w:val="0085585A"/>
    <w:rsid w:val="00855898"/>
    <w:rsid w:val="008558E6"/>
    <w:rsid w:val="008558EA"/>
    <w:rsid w:val="008558FD"/>
    <w:rsid w:val="008559C2"/>
    <w:rsid w:val="008559FD"/>
    <w:rsid w:val="00855A34"/>
    <w:rsid w:val="00855B19"/>
    <w:rsid w:val="00855C38"/>
    <w:rsid w:val="00855DAA"/>
    <w:rsid w:val="00855E73"/>
    <w:rsid w:val="00856090"/>
    <w:rsid w:val="008561C9"/>
    <w:rsid w:val="00856204"/>
    <w:rsid w:val="008562DC"/>
    <w:rsid w:val="008563D9"/>
    <w:rsid w:val="00856404"/>
    <w:rsid w:val="0085649B"/>
    <w:rsid w:val="00856634"/>
    <w:rsid w:val="00856664"/>
    <w:rsid w:val="008566FD"/>
    <w:rsid w:val="008567DC"/>
    <w:rsid w:val="00856B02"/>
    <w:rsid w:val="00856CBA"/>
    <w:rsid w:val="00856D56"/>
    <w:rsid w:val="00856E91"/>
    <w:rsid w:val="00856E9D"/>
    <w:rsid w:val="0085710E"/>
    <w:rsid w:val="00857221"/>
    <w:rsid w:val="00857283"/>
    <w:rsid w:val="008572BC"/>
    <w:rsid w:val="0085735E"/>
    <w:rsid w:val="008573C9"/>
    <w:rsid w:val="0085742F"/>
    <w:rsid w:val="00857472"/>
    <w:rsid w:val="00857497"/>
    <w:rsid w:val="008574A7"/>
    <w:rsid w:val="008574E8"/>
    <w:rsid w:val="0085759B"/>
    <w:rsid w:val="0085767F"/>
    <w:rsid w:val="0085768F"/>
    <w:rsid w:val="008576C2"/>
    <w:rsid w:val="00857A36"/>
    <w:rsid w:val="00857C30"/>
    <w:rsid w:val="00857C4B"/>
    <w:rsid w:val="00857D3A"/>
    <w:rsid w:val="00857DA4"/>
    <w:rsid w:val="00857EDC"/>
    <w:rsid w:val="00857EE2"/>
    <w:rsid w:val="00857FA6"/>
    <w:rsid w:val="00857FBC"/>
    <w:rsid w:val="00860022"/>
    <w:rsid w:val="00860111"/>
    <w:rsid w:val="008601C6"/>
    <w:rsid w:val="008602C2"/>
    <w:rsid w:val="0086030E"/>
    <w:rsid w:val="00860345"/>
    <w:rsid w:val="00860416"/>
    <w:rsid w:val="00860449"/>
    <w:rsid w:val="00860466"/>
    <w:rsid w:val="008604CC"/>
    <w:rsid w:val="008604FE"/>
    <w:rsid w:val="00860506"/>
    <w:rsid w:val="008605AA"/>
    <w:rsid w:val="00860750"/>
    <w:rsid w:val="008608D6"/>
    <w:rsid w:val="0086095A"/>
    <w:rsid w:val="00860A06"/>
    <w:rsid w:val="00860A47"/>
    <w:rsid w:val="00860AF0"/>
    <w:rsid w:val="00860B0A"/>
    <w:rsid w:val="00860B86"/>
    <w:rsid w:val="00860D65"/>
    <w:rsid w:val="00860E07"/>
    <w:rsid w:val="00860E4B"/>
    <w:rsid w:val="00860F67"/>
    <w:rsid w:val="00860FD9"/>
    <w:rsid w:val="0086113F"/>
    <w:rsid w:val="0086133B"/>
    <w:rsid w:val="008614D1"/>
    <w:rsid w:val="00861584"/>
    <w:rsid w:val="008615BA"/>
    <w:rsid w:val="008615ED"/>
    <w:rsid w:val="008615F0"/>
    <w:rsid w:val="00861617"/>
    <w:rsid w:val="00861682"/>
    <w:rsid w:val="008616C5"/>
    <w:rsid w:val="008616F0"/>
    <w:rsid w:val="00861721"/>
    <w:rsid w:val="00861732"/>
    <w:rsid w:val="008617EC"/>
    <w:rsid w:val="00861806"/>
    <w:rsid w:val="00861A50"/>
    <w:rsid w:val="00861A9B"/>
    <w:rsid w:val="00861B89"/>
    <w:rsid w:val="00861BE1"/>
    <w:rsid w:val="00861BEA"/>
    <w:rsid w:val="00861D97"/>
    <w:rsid w:val="00861E25"/>
    <w:rsid w:val="00861F00"/>
    <w:rsid w:val="00862002"/>
    <w:rsid w:val="0086208C"/>
    <w:rsid w:val="0086213E"/>
    <w:rsid w:val="008621AD"/>
    <w:rsid w:val="008623E1"/>
    <w:rsid w:val="008624CF"/>
    <w:rsid w:val="008624D0"/>
    <w:rsid w:val="00862537"/>
    <w:rsid w:val="0086272A"/>
    <w:rsid w:val="00862746"/>
    <w:rsid w:val="008628B9"/>
    <w:rsid w:val="008628DA"/>
    <w:rsid w:val="0086295B"/>
    <w:rsid w:val="0086297C"/>
    <w:rsid w:val="0086299D"/>
    <w:rsid w:val="0086299F"/>
    <w:rsid w:val="008629A1"/>
    <w:rsid w:val="008629E7"/>
    <w:rsid w:val="00862A12"/>
    <w:rsid w:val="00862A15"/>
    <w:rsid w:val="00862A41"/>
    <w:rsid w:val="00862A86"/>
    <w:rsid w:val="00862B4E"/>
    <w:rsid w:val="00862C4E"/>
    <w:rsid w:val="00862CB0"/>
    <w:rsid w:val="00862DAE"/>
    <w:rsid w:val="00862FE5"/>
    <w:rsid w:val="0086330F"/>
    <w:rsid w:val="00863346"/>
    <w:rsid w:val="00863364"/>
    <w:rsid w:val="00863382"/>
    <w:rsid w:val="00863424"/>
    <w:rsid w:val="0086347E"/>
    <w:rsid w:val="00863528"/>
    <w:rsid w:val="00863615"/>
    <w:rsid w:val="008636E9"/>
    <w:rsid w:val="00863823"/>
    <w:rsid w:val="00863853"/>
    <w:rsid w:val="008639CB"/>
    <w:rsid w:val="00863A10"/>
    <w:rsid w:val="00863A5B"/>
    <w:rsid w:val="00863AE1"/>
    <w:rsid w:val="00863C20"/>
    <w:rsid w:val="00863CCF"/>
    <w:rsid w:val="00863CF2"/>
    <w:rsid w:val="00863DEF"/>
    <w:rsid w:val="00863E80"/>
    <w:rsid w:val="00864070"/>
    <w:rsid w:val="0086416A"/>
    <w:rsid w:val="0086427E"/>
    <w:rsid w:val="008642C1"/>
    <w:rsid w:val="008642F5"/>
    <w:rsid w:val="0086440C"/>
    <w:rsid w:val="0086467A"/>
    <w:rsid w:val="00864724"/>
    <w:rsid w:val="008647D6"/>
    <w:rsid w:val="0086496C"/>
    <w:rsid w:val="00864A53"/>
    <w:rsid w:val="00864C1D"/>
    <w:rsid w:val="00864D27"/>
    <w:rsid w:val="00864D89"/>
    <w:rsid w:val="00864EF2"/>
    <w:rsid w:val="00864F97"/>
    <w:rsid w:val="00864FF7"/>
    <w:rsid w:val="008650B7"/>
    <w:rsid w:val="00865169"/>
    <w:rsid w:val="0086516E"/>
    <w:rsid w:val="008651D8"/>
    <w:rsid w:val="0086520A"/>
    <w:rsid w:val="008652AC"/>
    <w:rsid w:val="00865318"/>
    <w:rsid w:val="00865399"/>
    <w:rsid w:val="008654AA"/>
    <w:rsid w:val="00865578"/>
    <w:rsid w:val="008655F3"/>
    <w:rsid w:val="00865630"/>
    <w:rsid w:val="0086572C"/>
    <w:rsid w:val="0086574D"/>
    <w:rsid w:val="00865783"/>
    <w:rsid w:val="008657EA"/>
    <w:rsid w:val="00865A63"/>
    <w:rsid w:val="00865D86"/>
    <w:rsid w:val="00865D8F"/>
    <w:rsid w:val="00865DA5"/>
    <w:rsid w:val="00865E48"/>
    <w:rsid w:val="00865F9C"/>
    <w:rsid w:val="0086602C"/>
    <w:rsid w:val="0086617D"/>
    <w:rsid w:val="008661A5"/>
    <w:rsid w:val="00866310"/>
    <w:rsid w:val="00866334"/>
    <w:rsid w:val="00866335"/>
    <w:rsid w:val="0086644F"/>
    <w:rsid w:val="00866481"/>
    <w:rsid w:val="008664EC"/>
    <w:rsid w:val="00866604"/>
    <w:rsid w:val="00866819"/>
    <w:rsid w:val="0086686F"/>
    <w:rsid w:val="008669C8"/>
    <w:rsid w:val="00866AB6"/>
    <w:rsid w:val="00866B90"/>
    <w:rsid w:val="00866BCD"/>
    <w:rsid w:val="00866BFF"/>
    <w:rsid w:val="00866C57"/>
    <w:rsid w:val="00866C7F"/>
    <w:rsid w:val="00866D59"/>
    <w:rsid w:val="00866DE8"/>
    <w:rsid w:val="00866E67"/>
    <w:rsid w:val="00866EA9"/>
    <w:rsid w:val="00866FB5"/>
    <w:rsid w:val="0086704C"/>
    <w:rsid w:val="008670B4"/>
    <w:rsid w:val="008671F6"/>
    <w:rsid w:val="00867346"/>
    <w:rsid w:val="00867483"/>
    <w:rsid w:val="008675DA"/>
    <w:rsid w:val="008677AD"/>
    <w:rsid w:val="008678E7"/>
    <w:rsid w:val="008679E9"/>
    <w:rsid w:val="00867AFE"/>
    <w:rsid w:val="00867BE2"/>
    <w:rsid w:val="00867BFC"/>
    <w:rsid w:val="00867C1A"/>
    <w:rsid w:val="00867C86"/>
    <w:rsid w:val="00867CB3"/>
    <w:rsid w:val="00867CEF"/>
    <w:rsid w:val="00867D74"/>
    <w:rsid w:val="00867DE0"/>
    <w:rsid w:val="00867E2B"/>
    <w:rsid w:val="00867E7C"/>
    <w:rsid w:val="00867E8E"/>
    <w:rsid w:val="00870023"/>
    <w:rsid w:val="0087002B"/>
    <w:rsid w:val="00870349"/>
    <w:rsid w:val="008703D4"/>
    <w:rsid w:val="0087040D"/>
    <w:rsid w:val="0087069C"/>
    <w:rsid w:val="008707F4"/>
    <w:rsid w:val="008707FD"/>
    <w:rsid w:val="008709B0"/>
    <w:rsid w:val="00870B33"/>
    <w:rsid w:val="00870B8D"/>
    <w:rsid w:val="00870D81"/>
    <w:rsid w:val="00870D85"/>
    <w:rsid w:val="00870EF5"/>
    <w:rsid w:val="00870F28"/>
    <w:rsid w:val="00870F34"/>
    <w:rsid w:val="00870F5C"/>
    <w:rsid w:val="00870F6A"/>
    <w:rsid w:val="00870FCE"/>
    <w:rsid w:val="00871068"/>
    <w:rsid w:val="00871079"/>
    <w:rsid w:val="0087117A"/>
    <w:rsid w:val="00871287"/>
    <w:rsid w:val="008712E9"/>
    <w:rsid w:val="00871391"/>
    <w:rsid w:val="00871403"/>
    <w:rsid w:val="00871487"/>
    <w:rsid w:val="00871491"/>
    <w:rsid w:val="00871560"/>
    <w:rsid w:val="008716CB"/>
    <w:rsid w:val="00871777"/>
    <w:rsid w:val="0087182C"/>
    <w:rsid w:val="00871861"/>
    <w:rsid w:val="0087192D"/>
    <w:rsid w:val="00871A0A"/>
    <w:rsid w:val="00871AB4"/>
    <w:rsid w:val="00871B19"/>
    <w:rsid w:val="00871B74"/>
    <w:rsid w:val="00871BC4"/>
    <w:rsid w:val="00871C00"/>
    <w:rsid w:val="00871E0A"/>
    <w:rsid w:val="00871E5B"/>
    <w:rsid w:val="00871E81"/>
    <w:rsid w:val="00871FE4"/>
    <w:rsid w:val="008720C4"/>
    <w:rsid w:val="008720C6"/>
    <w:rsid w:val="008722B6"/>
    <w:rsid w:val="008722EC"/>
    <w:rsid w:val="00872300"/>
    <w:rsid w:val="0087248A"/>
    <w:rsid w:val="008724FD"/>
    <w:rsid w:val="00872590"/>
    <w:rsid w:val="00872623"/>
    <w:rsid w:val="0087274E"/>
    <w:rsid w:val="0087288E"/>
    <w:rsid w:val="00872896"/>
    <w:rsid w:val="008728EF"/>
    <w:rsid w:val="0087292A"/>
    <w:rsid w:val="0087295C"/>
    <w:rsid w:val="0087298B"/>
    <w:rsid w:val="00872A57"/>
    <w:rsid w:val="00872A77"/>
    <w:rsid w:val="00872CBC"/>
    <w:rsid w:val="00872CD7"/>
    <w:rsid w:val="00872DB6"/>
    <w:rsid w:val="00872E15"/>
    <w:rsid w:val="00872E81"/>
    <w:rsid w:val="00872F8D"/>
    <w:rsid w:val="008730BB"/>
    <w:rsid w:val="00873159"/>
    <w:rsid w:val="0087315F"/>
    <w:rsid w:val="0087324D"/>
    <w:rsid w:val="008732DF"/>
    <w:rsid w:val="008733A5"/>
    <w:rsid w:val="0087343D"/>
    <w:rsid w:val="00873467"/>
    <w:rsid w:val="008734AD"/>
    <w:rsid w:val="0087357C"/>
    <w:rsid w:val="00873726"/>
    <w:rsid w:val="008737CB"/>
    <w:rsid w:val="008738E8"/>
    <w:rsid w:val="00873914"/>
    <w:rsid w:val="00873B0F"/>
    <w:rsid w:val="00873BE9"/>
    <w:rsid w:val="00873E5A"/>
    <w:rsid w:val="00873E82"/>
    <w:rsid w:val="00873ED1"/>
    <w:rsid w:val="00873F8E"/>
    <w:rsid w:val="00874011"/>
    <w:rsid w:val="00874016"/>
    <w:rsid w:val="0087406A"/>
    <w:rsid w:val="008740DF"/>
    <w:rsid w:val="008742B8"/>
    <w:rsid w:val="0087444D"/>
    <w:rsid w:val="00874478"/>
    <w:rsid w:val="008744C8"/>
    <w:rsid w:val="00874529"/>
    <w:rsid w:val="00874618"/>
    <w:rsid w:val="00874697"/>
    <w:rsid w:val="00874704"/>
    <w:rsid w:val="00874724"/>
    <w:rsid w:val="008747CD"/>
    <w:rsid w:val="00874834"/>
    <w:rsid w:val="00874874"/>
    <w:rsid w:val="008748CD"/>
    <w:rsid w:val="00874909"/>
    <w:rsid w:val="008749B9"/>
    <w:rsid w:val="00874AFF"/>
    <w:rsid w:val="00874C22"/>
    <w:rsid w:val="00874DE0"/>
    <w:rsid w:val="00874F84"/>
    <w:rsid w:val="008750B3"/>
    <w:rsid w:val="008751A7"/>
    <w:rsid w:val="0087532B"/>
    <w:rsid w:val="00875361"/>
    <w:rsid w:val="0087538A"/>
    <w:rsid w:val="00875484"/>
    <w:rsid w:val="0087564E"/>
    <w:rsid w:val="00875688"/>
    <w:rsid w:val="00875699"/>
    <w:rsid w:val="00875805"/>
    <w:rsid w:val="00875880"/>
    <w:rsid w:val="00875904"/>
    <w:rsid w:val="00875997"/>
    <w:rsid w:val="00875B36"/>
    <w:rsid w:val="00875D1F"/>
    <w:rsid w:val="00875D61"/>
    <w:rsid w:val="00875D99"/>
    <w:rsid w:val="00875DD5"/>
    <w:rsid w:val="00875DDE"/>
    <w:rsid w:val="00875E2E"/>
    <w:rsid w:val="00875E59"/>
    <w:rsid w:val="00875EE3"/>
    <w:rsid w:val="00875FEB"/>
    <w:rsid w:val="0087627C"/>
    <w:rsid w:val="00876286"/>
    <w:rsid w:val="008763BA"/>
    <w:rsid w:val="008763DA"/>
    <w:rsid w:val="0087653E"/>
    <w:rsid w:val="00876624"/>
    <w:rsid w:val="00876674"/>
    <w:rsid w:val="00876841"/>
    <w:rsid w:val="0087694E"/>
    <w:rsid w:val="0087699F"/>
    <w:rsid w:val="00876A12"/>
    <w:rsid w:val="00876AC2"/>
    <w:rsid w:val="00876B5C"/>
    <w:rsid w:val="00876C47"/>
    <w:rsid w:val="00876D15"/>
    <w:rsid w:val="00876EDE"/>
    <w:rsid w:val="00876FC7"/>
    <w:rsid w:val="00877026"/>
    <w:rsid w:val="00877041"/>
    <w:rsid w:val="008770F0"/>
    <w:rsid w:val="008770FB"/>
    <w:rsid w:val="008771BA"/>
    <w:rsid w:val="008771D8"/>
    <w:rsid w:val="00877231"/>
    <w:rsid w:val="00877251"/>
    <w:rsid w:val="0087727D"/>
    <w:rsid w:val="008772AA"/>
    <w:rsid w:val="008772F9"/>
    <w:rsid w:val="008774DD"/>
    <w:rsid w:val="0087750B"/>
    <w:rsid w:val="00877548"/>
    <w:rsid w:val="0087758C"/>
    <w:rsid w:val="00877624"/>
    <w:rsid w:val="008776D8"/>
    <w:rsid w:val="008777D4"/>
    <w:rsid w:val="00877A25"/>
    <w:rsid w:val="00877AA4"/>
    <w:rsid w:val="00877C35"/>
    <w:rsid w:val="00877C54"/>
    <w:rsid w:val="00877DCB"/>
    <w:rsid w:val="00877DCE"/>
    <w:rsid w:val="00877FBD"/>
    <w:rsid w:val="00880023"/>
    <w:rsid w:val="008800B1"/>
    <w:rsid w:val="0088013C"/>
    <w:rsid w:val="0088017B"/>
    <w:rsid w:val="0088030C"/>
    <w:rsid w:val="008803B3"/>
    <w:rsid w:val="00880618"/>
    <w:rsid w:val="0088068A"/>
    <w:rsid w:val="00880733"/>
    <w:rsid w:val="00880817"/>
    <w:rsid w:val="00880877"/>
    <w:rsid w:val="00880A35"/>
    <w:rsid w:val="00880A93"/>
    <w:rsid w:val="00880AB4"/>
    <w:rsid w:val="00880ABA"/>
    <w:rsid w:val="00880C30"/>
    <w:rsid w:val="00880C59"/>
    <w:rsid w:val="00880CF3"/>
    <w:rsid w:val="00880D2B"/>
    <w:rsid w:val="00880DA7"/>
    <w:rsid w:val="00880E53"/>
    <w:rsid w:val="00880E91"/>
    <w:rsid w:val="00880EAE"/>
    <w:rsid w:val="00880F52"/>
    <w:rsid w:val="00881014"/>
    <w:rsid w:val="00881063"/>
    <w:rsid w:val="00881182"/>
    <w:rsid w:val="0088145F"/>
    <w:rsid w:val="0088183B"/>
    <w:rsid w:val="0088193F"/>
    <w:rsid w:val="00881A95"/>
    <w:rsid w:val="00881AEB"/>
    <w:rsid w:val="00881B2D"/>
    <w:rsid w:val="00881C3A"/>
    <w:rsid w:val="00881C96"/>
    <w:rsid w:val="00881F12"/>
    <w:rsid w:val="00881FDB"/>
    <w:rsid w:val="008821F7"/>
    <w:rsid w:val="00882228"/>
    <w:rsid w:val="0088229C"/>
    <w:rsid w:val="00882398"/>
    <w:rsid w:val="008823EF"/>
    <w:rsid w:val="008824A7"/>
    <w:rsid w:val="00882502"/>
    <w:rsid w:val="008825B6"/>
    <w:rsid w:val="0088264B"/>
    <w:rsid w:val="0088264F"/>
    <w:rsid w:val="0088269C"/>
    <w:rsid w:val="00882709"/>
    <w:rsid w:val="00882792"/>
    <w:rsid w:val="00882ACD"/>
    <w:rsid w:val="00882B05"/>
    <w:rsid w:val="00882B25"/>
    <w:rsid w:val="00882CE2"/>
    <w:rsid w:val="00882D36"/>
    <w:rsid w:val="00882D5B"/>
    <w:rsid w:val="00882D9B"/>
    <w:rsid w:val="00882DCF"/>
    <w:rsid w:val="00882E58"/>
    <w:rsid w:val="00882E6E"/>
    <w:rsid w:val="00882FF5"/>
    <w:rsid w:val="00883393"/>
    <w:rsid w:val="00883423"/>
    <w:rsid w:val="0088345A"/>
    <w:rsid w:val="008834A1"/>
    <w:rsid w:val="0088350F"/>
    <w:rsid w:val="008835DC"/>
    <w:rsid w:val="0088381C"/>
    <w:rsid w:val="008838AA"/>
    <w:rsid w:val="00883900"/>
    <w:rsid w:val="0088391C"/>
    <w:rsid w:val="00883960"/>
    <w:rsid w:val="00883966"/>
    <w:rsid w:val="00883992"/>
    <w:rsid w:val="00883AC4"/>
    <w:rsid w:val="00883D42"/>
    <w:rsid w:val="00883D89"/>
    <w:rsid w:val="00883DA0"/>
    <w:rsid w:val="00883E82"/>
    <w:rsid w:val="00883E98"/>
    <w:rsid w:val="00883ECB"/>
    <w:rsid w:val="00883FBF"/>
    <w:rsid w:val="0088404A"/>
    <w:rsid w:val="008841F8"/>
    <w:rsid w:val="00884204"/>
    <w:rsid w:val="00884265"/>
    <w:rsid w:val="00884461"/>
    <w:rsid w:val="008845DF"/>
    <w:rsid w:val="008846ED"/>
    <w:rsid w:val="00884725"/>
    <w:rsid w:val="00884731"/>
    <w:rsid w:val="0088481E"/>
    <w:rsid w:val="00884848"/>
    <w:rsid w:val="00884865"/>
    <w:rsid w:val="008848A5"/>
    <w:rsid w:val="00884B58"/>
    <w:rsid w:val="00884C86"/>
    <w:rsid w:val="00884CAC"/>
    <w:rsid w:val="00884CCE"/>
    <w:rsid w:val="00884D5A"/>
    <w:rsid w:val="008851E8"/>
    <w:rsid w:val="0088521E"/>
    <w:rsid w:val="00885238"/>
    <w:rsid w:val="008852CA"/>
    <w:rsid w:val="00885312"/>
    <w:rsid w:val="0088540C"/>
    <w:rsid w:val="00885425"/>
    <w:rsid w:val="0088546D"/>
    <w:rsid w:val="0088554D"/>
    <w:rsid w:val="008856E3"/>
    <w:rsid w:val="0088577E"/>
    <w:rsid w:val="00885801"/>
    <w:rsid w:val="0088589C"/>
    <w:rsid w:val="0088592E"/>
    <w:rsid w:val="00885A3E"/>
    <w:rsid w:val="00885A96"/>
    <w:rsid w:val="00885AD0"/>
    <w:rsid w:val="00885B22"/>
    <w:rsid w:val="00885B6C"/>
    <w:rsid w:val="00885BB1"/>
    <w:rsid w:val="00885BC6"/>
    <w:rsid w:val="00885D84"/>
    <w:rsid w:val="00885DBF"/>
    <w:rsid w:val="00885E19"/>
    <w:rsid w:val="00885E1E"/>
    <w:rsid w:val="00885E41"/>
    <w:rsid w:val="00885EFE"/>
    <w:rsid w:val="00885F9E"/>
    <w:rsid w:val="008860C9"/>
    <w:rsid w:val="00886366"/>
    <w:rsid w:val="00886546"/>
    <w:rsid w:val="008866A7"/>
    <w:rsid w:val="0088677A"/>
    <w:rsid w:val="008867C9"/>
    <w:rsid w:val="0088686B"/>
    <w:rsid w:val="00886BF2"/>
    <w:rsid w:val="00886CE3"/>
    <w:rsid w:val="00886ED5"/>
    <w:rsid w:val="00886F00"/>
    <w:rsid w:val="00886F32"/>
    <w:rsid w:val="00886F86"/>
    <w:rsid w:val="008870F6"/>
    <w:rsid w:val="0088713B"/>
    <w:rsid w:val="00887207"/>
    <w:rsid w:val="008872E3"/>
    <w:rsid w:val="00887378"/>
    <w:rsid w:val="00887389"/>
    <w:rsid w:val="008873B6"/>
    <w:rsid w:val="0088742A"/>
    <w:rsid w:val="0088746E"/>
    <w:rsid w:val="0088759C"/>
    <w:rsid w:val="008875B5"/>
    <w:rsid w:val="008876AB"/>
    <w:rsid w:val="008877DB"/>
    <w:rsid w:val="008878A4"/>
    <w:rsid w:val="0088793B"/>
    <w:rsid w:val="00887994"/>
    <w:rsid w:val="008879EC"/>
    <w:rsid w:val="00887A5C"/>
    <w:rsid w:val="00887BF9"/>
    <w:rsid w:val="00887C04"/>
    <w:rsid w:val="00887C13"/>
    <w:rsid w:val="00887EA9"/>
    <w:rsid w:val="00887F3E"/>
    <w:rsid w:val="00890053"/>
    <w:rsid w:val="00890097"/>
    <w:rsid w:val="008900AC"/>
    <w:rsid w:val="00890170"/>
    <w:rsid w:val="0089052B"/>
    <w:rsid w:val="008906A6"/>
    <w:rsid w:val="008907F0"/>
    <w:rsid w:val="00890887"/>
    <w:rsid w:val="00890960"/>
    <w:rsid w:val="00890961"/>
    <w:rsid w:val="00890A16"/>
    <w:rsid w:val="00890AF3"/>
    <w:rsid w:val="00890AFC"/>
    <w:rsid w:val="00890B3D"/>
    <w:rsid w:val="00890CA4"/>
    <w:rsid w:val="00890D7A"/>
    <w:rsid w:val="00890E4E"/>
    <w:rsid w:val="00890E66"/>
    <w:rsid w:val="00891065"/>
    <w:rsid w:val="008910E8"/>
    <w:rsid w:val="008911C1"/>
    <w:rsid w:val="00891290"/>
    <w:rsid w:val="00891351"/>
    <w:rsid w:val="0089144F"/>
    <w:rsid w:val="008917B0"/>
    <w:rsid w:val="008917ED"/>
    <w:rsid w:val="00891A99"/>
    <w:rsid w:val="00891ABC"/>
    <w:rsid w:val="00891AEB"/>
    <w:rsid w:val="00891C0D"/>
    <w:rsid w:val="00891D7A"/>
    <w:rsid w:val="00891DA5"/>
    <w:rsid w:val="00891E19"/>
    <w:rsid w:val="00891E97"/>
    <w:rsid w:val="00891F20"/>
    <w:rsid w:val="00891FA9"/>
    <w:rsid w:val="00892006"/>
    <w:rsid w:val="008921B4"/>
    <w:rsid w:val="008921FB"/>
    <w:rsid w:val="00892231"/>
    <w:rsid w:val="0089242B"/>
    <w:rsid w:val="0089246C"/>
    <w:rsid w:val="008924DC"/>
    <w:rsid w:val="0089253F"/>
    <w:rsid w:val="008925C8"/>
    <w:rsid w:val="0089288B"/>
    <w:rsid w:val="008928B1"/>
    <w:rsid w:val="00892963"/>
    <w:rsid w:val="00892A0D"/>
    <w:rsid w:val="00892B28"/>
    <w:rsid w:val="00892C2D"/>
    <w:rsid w:val="00892D1B"/>
    <w:rsid w:val="00892D40"/>
    <w:rsid w:val="00892D71"/>
    <w:rsid w:val="00892D96"/>
    <w:rsid w:val="00892DA4"/>
    <w:rsid w:val="00892E2D"/>
    <w:rsid w:val="00892FCA"/>
    <w:rsid w:val="00893042"/>
    <w:rsid w:val="00893095"/>
    <w:rsid w:val="008930AF"/>
    <w:rsid w:val="008930C1"/>
    <w:rsid w:val="008930EE"/>
    <w:rsid w:val="008930EF"/>
    <w:rsid w:val="00893236"/>
    <w:rsid w:val="008934F5"/>
    <w:rsid w:val="008935A3"/>
    <w:rsid w:val="008936C3"/>
    <w:rsid w:val="00893784"/>
    <w:rsid w:val="008937D4"/>
    <w:rsid w:val="00893953"/>
    <w:rsid w:val="00893973"/>
    <w:rsid w:val="008939B0"/>
    <w:rsid w:val="00893A04"/>
    <w:rsid w:val="00893ADF"/>
    <w:rsid w:val="00893C36"/>
    <w:rsid w:val="00893D5F"/>
    <w:rsid w:val="00893E53"/>
    <w:rsid w:val="00893F0E"/>
    <w:rsid w:val="00893F7A"/>
    <w:rsid w:val="00893FAA"/>
    <w:rsid w:val="00894019"/>
    <w:rsid w:val="00894028"/>
    <w:rsid w:val="0089416E"/>
    <w:rsid w:val="00894236"/>
    <w:rsid w:val="00894491"/>
    <w:rsid w:val="008944AC"/>
    <w:rsid w:val="008944D1"/>
    <w:rsid w:val="008944EC"/>
    <w:rsid w:val="00894599"/>
    <w:rsid w:val="00894728"/>
    <w:rsid w:val="008947F2"/>
    <w:rsid w:val="00894889"/>
    <w:rsid w:val="008948B2"/>
    <w:rsid w:val="00894958"/>
    <w:rsid w:val="00894997"/>
    <w:rsid w:val="008949C2"/>
    <w:rsid w:val="00894AA6"/>
    <w:rsid w:val="00894B11"/>
    <w:rsid w:val="00894BDF"/>
    <w:rsid w:val="00894CC1"/>
    <w:rsid w:val="00894FCD"/>
    <w:rsid w:val="00895053"/>
    <w:rsid w:val="0089526E"/>
    <w:rsid w:val="0089545C"/>
    <w:rsid w:val="00895520"/>
    <w:rsid w:val="008955C1"/>
    <w:rsid w:val="008955F9"/>
    <w:rsid w:val="00895624"/>
    <w:rsid w:val="00895806"/>
    <w:rsid w:val="0089587F"/>
    <w:rsid w:val="008959E8"/>
    <w:rsid w:val="00895A70"/>
    <w:rsid w:val="00895E97"/>
    <w:rsid w:val="00895EF5"/>
    <w:rsid w:val="0089600F"/>
    <w:rsid w:val="00896225"/>
    <w:rsid w:val="0089628C"/>
    <w:rsid w:val="008962D8"/>
    <w:rsid w:val="008962E3"/>
    <w:rsid w:val="00896357"/>
    <w:rsid w:val="00896481"/>
    <w:rsid w:val="00896509"/>
    <w:rsid w:val="008965AD"/>
    <w:rsid w:val="008966E6"/>
    <w:rsid w:val="008966F5"/>
    <w:rsid w:val="0089679D"/>
    <w:rsid w:val="008967E1"/>
    <w:rsid w:val="00896888"/>
    <w:rsid w:val="00896AF7"/>
    <w:rsid w:val="00896BD6"/>
    <w:rsid w:val="00896C5C"/>
    <w:rsid w:val="00896CDC"/>
    <w:rsid w:val="00896E56"/>
    <w:rsid w:val="00896EFB"/>
    <w:rsid w:val="00896F28"/>
    <w:rsid w:val="00896F30"/>
    <w:rsid w:val="00896F39"/>
    <w:rsid w:val="00896F83"/>
    <w:rsid w:val="0089711E"/>
    <w:rsid w:val="00897150"/>
    <w:rsid w:val="00897162"/>
    <w:rsid w:val="00897277"/>
    <w:rsid w:val="0089727F"/>
    <w:rsid w:val="00897373"/>
    <w:rsid w:val="008973F3"/>
    <w:rsid w:val="00897401"/>
    <w:rsid w:val="0089740D"/>
    <w:rsid w:val="0089746B"/>
    <w:rsid w:val="00897544"/>
    <w:rsid w:val="008975D6"/>
    <w:rsid w:val="00897798"/>
    <w:rsid w:val="008977D4"/>
    <w:rsid w:val="0089781D"/>
    <w:rsid w:val="00897861"/>
    <w:rsid w:val="0089788F"/>
    <w:rsid w:val="00897BBC"/>
    <w:rsid w:val="00897C84"/>
    <w:rsid w:val="00897C96"/>
    <w:rsid w:val="00897E0B"/>
    <w:rsid w:val="00897F7D"/>
    <w:rsid w:val="008A00DC"/>
    <w:rsid w:val="008A0117"/>
    <w:rsid w:val="008A01E7"/>
    <w:rsid w:val="008A032B"/>
    <w:rsid w:val="008A0493"/>
    <w:rsid w:val="008A04BE"/>
    <w:rsid w:val="008A0519"/>
    <w:rsid w:val="008A06B4"/>
    <w:rsid w:val="008A0738"/>
    <w:rsid w:val="008A08FF"/>
    <w:rsid w:val="008A0AA0"/>
    <w:rsid w:val="008A0AA1"/>
    <w:rsid w:val="008A0AB3"/>
    <w:rsid w:val="008A0C2B"/>
    <w:rsid w:val="008A0E00"/>
    <w:rsid w:val="008A0EAF"/>
    <w:rsid w:val="008A1112"/>
    <w:rsid w:val="008A11A7"/>
    <w:rsid w:val="008A1341"/>
    <w:rsid w:val="008A13D8"/>
    <w:rsid w:val="008A1473"/>
    <w:rsid w:val="008A15F5"/>
    <w:rsid w:val="008A15FD"/>
    <w:rsid w:val="008A181A"/>
    <w:rsid w:val="008A184D"/>
    <w:rsid w:val="008A18AC"/>
    <w:rsid w:val="008A1A1D"/>
    <w:rsid w:val="008A1A26"/>
    <w:rsid w:val="008A1E45"/>
    <w:rsid w:val="008A1E67"/>
    <w:rsid w:val="008A1F4E"/>
    <w:rsid w:val="008A1F5B"/>
    <w:rsid w:val="008A1F5E"/>
    <w:rsid w:val="008A2051"/>
    <w:rsid w:val="008A2061"/>
    <w:rsid w:val="008A20C6"/>
    <w:rsid w:val="008A21DB"/>
    <w:rsid w:val="008A21ED"/>
    <w:rsid w:val="008A2226"/>
    <w:rsid w:val="008A2228"/>
    <w:rsid w:val="008A250A"/>
    <w:rsid w:val="008A2557"/>
    <w:rsid w:val="008A2682"/>
    <w:rsid w:val="008A26D8"/>
    <w:rsid w:val="008A273A"/>
    <w:rsid w:val="008A28A3"/>
    <w:rsid w:val="008A2907"/>
    <w:rsid w:val="008A29A8"/>
    <w:rsid w:val="008A2AC1"/>
    <w:rsid w:val="008A2BFE"/>
    <w:rsid w:val="008A2C33"/>
    <w:rsid w:val="008A2C67"/>
    <w:rsid w:val="008A2C83"/>
    <w:rsid w:val="008A2D4F"/>
    <w:rsid w:val="008A2D84"/>
    <w:rsid w:val="008A2E07"/>
    <w:rsid w:val="008A2E0E"/>
    <w:rsid w:val="008A2F73"/>
    <w:rsid w:val="008A306A"/>
    <w:rsid w:val="008A3134"/>
    <w:rsid w:val="008A31DD"/>
    <w:rsid w:val="008A32B1"/>
    <w:rsid w:val="008A331D"/>
    <w:rsid w:val="008A3337"/>
    <w:rsid w:val="008A339F"/>
    <w:rsid w:val="008A352E"/>
    <w:rsid w:val="008A36AF"/>
    <w:rsid w:val="008A3753"/>
    <w:rsid w:val="008A37EA"/>
    <w:rsid w:val="008A3814"/>
    <w:rsid w:val="008A3A49"/>
    <w:rsid w:val="008A3B05"/>
    <w:rsid w:val="008A3BE3"/>
    <w:rsid w:val="008A3CAE"/>
    <w:rsid w:val="008A3CE9"/>
    <w:rsid w:val="008A3D41"/>
    <w:rsid w:val="008A3DA1"/>
    <w:rsid w:val="008A3E23"/>
    <w:rsid w:val="008A3F0F"/>
    <w:rsid w:val="008A3F16"/>
    <w:rsid w:val="008A3F7A"/>
    <w:rsid w:val="008A3FB7"/>
    <w:rsid w:val="008A4016"/>
    <w:rsid w:val="008A43F6"/>
    <w:rsid w:val="008A4468"/>
    <w:rsid w:val="008A44BF"/>
    <w:rsid w:val="008A45EF"/>
    <w:rsid w:val="008A4642"/>
    <w:rsid w:val="008A472A"/>
    <w:rsid w:val="008A47ED"/>
    <w:rsid w:val="008A4A06"/>
    <w:rsid w:val="008A4A50"/>
    <w:rsid w:val="008A4A92"/>
    <w:rsid w:val="008A4ACD"/>
    <w:rsid w:val="008A4B8C"/>
    <w:rsid w:val="008A4BE0"/>
    <w:rsid w:val="008A4C1D"/>
    <w:rsid w:val="008A4E6B"/>
    <w:rsid w:val="008A4E73"/>
    <w:rsid w:val="008A4E9B"/>
    <w:rsid w:val="008A504D"/>
    <w:rsid w:val="008A51A9"/>
    <w:rsid w:val="008A5241"/>
    <w:rsid w:val="008A5484"/>
    <w:rsid w:val="008A5528"/>
    <w:rsid w:val="008A5559"/>
    <w:rsid w:val="008A5595"/>
    <w:rsid w:val="008A573E"/>
    <w:rsid w:val="008A5756"/>
    <w:rsid w:val="008A5895"/>
    <w:rsid w:val="008A5955"/>
    <w:rsid w:val="008A5964"/>
    <w:rsid w:val="008A5992"/>
    <w:rsid w:val="008A59DB"/>
    <w:rsid w:val="008A5ABA"/>
    <w:rsid w:val="008A5B78"/>
    <w:rsid w:val="008A5BD7"/>
    <w:rsid w:val="008A5BE8"/>
    <w:rsid w:val="008A5CCA"/>
    <w:rsid w:val="008A5D0E"/>
    <w:rsid w:val="008A5FB7"/>
    <w:rsid w:val="008A607D"/>
    <w:rsid w:val="008A616F"/>
    <w:rsid w:val="008A61AA"/>
    <w:rsid w:val="008A61B2"/>
    <w:rsid w:val="008A61BA"/>
    <w:rsid w:val="008A61D1"/>
    <w:rsid w:val="008A6204"/>
    <w:rsid w:val="008A628B"/>
    <w:rsid w:val="008A637D"/>
    <w:rsid w:val="008A64D7"/>
    <w:rsid w:val="008A6509"/>
    <w:rsid w:val="008A68E8"/>
    <w:rsid w:val="008A6931"/>
    <w:rsid w:val="008A6944"/>
    <w:rsid w:val="008A6B62"/>
    <w:rsid w:val="008A6BDE"/>
    <w:rsid w:val="008A6C72"/>
    <w:rsid w:val="008A6C77"/>
    <w:rsid w:val="008A6DDE"/>
    <w:rsid w:val="008A6DF9"/>
    <w:rsid w:val="008A6EE9"/>
    <w:rsid w:val="008A6F32"/>
    <w:rsid w:val="008A6F8C"/>
    <w:rsid w:val="008A6F91"/>
    <w:rsid w:val="008A703B"/>
    <w:rsid w:val="008A707A"/>
    <w:rsid w:val="008A70A4"/>
    <w:rsid w:val="008A714C"/>
    <w:rsid w:val="008A7255"/>
    <w:rsid w:val="008A7378"/>
    <w:rsid w:val="008A73C5"/>
    <w:rsid w:val="008A7591"/>
    <w:rsid w:val="008A75EC"/>
    <w:rsid w:val="008A7690"/>
    <w:rsid w:val="008A7A10"/>
    <w:rsid w:val="008A7A81"/>
    <w:rsid w:val="008A7A9F"/>
    <w:rsid w:val="008A7B57"/>
    <w:rsid w:val="008A7BD6"/>
    <w:rsid w:val="008A7C8B"/>
    <w:rsid w:val="008A7D2C"/>
    <w:rsid w:val="008A7D8B"/>
    <w:rsid w:val="008A7DAD"/>
    <w:rsid w:val="008A7DB4"/>
    <w:rsid w:val="008A7E1E"/>
    <w:rsid w:val="008A7E80"/>
    <w:rsid w:val="008A7F0F"/>
    <w:rsid w:val="008A7F13"/>
    <w:rsid w:val="008A7FD2"/>
    <w:rsid w:val="008B0070"/>
    <w:rsid w:val="008B00C1"/>
    <w:rsid w:val="008B01AB"/>
    <w:rsid w:val="008B01CB"/>
    <w:rsid w:val="008B0228"/>
    <w:rsid w:val="008B0288"/>
    <w:rsid w:val="008B0400"/>
    <w:rsid w:val="008B0570"/>
    <w:rsid w:val="008B0584"/>
    <w:rsid w:val="008B05F8"/>
    <w:rsid w:val="008B0708"/>
    <w:rsid w:val="008B0776"/>
    <w:rsid w:val="008B08BA"/>
    <w:rsid w:val="008B0949"/>
    <w:rsid w:val="008B09D7"/>
    <w:rsid w:val="008B0AFA"/>
    <w:rsid w:val="008B0BF9"/>
    <w:rsid w:val="008B0DBF"/>
    <w:rsid w:val="008B0DFB"/>
    <w:rsid w:val="008B0E41"/>
    <w:rsid w:val="008B0E46"/>
    <w:rsid w:val="008B0E9E"/>
    <w:rsid w:val="008B0EA2"/>
    <w:rsid w:val="008B0EAF"/>
    <w:rsid w:val="008B1089"/>
    <w:rsid w:val="008B111C"/>
    <w:rsid w:val="008B123E"/>
    <w:rsid w:val="008B123F"/>
    <w:rsid w:val="008B1279"/>
    <w:rsid w:val="008B1351"/>
    <w:rsid w:val="008B135E"/>
    <w:rsid w:val="008B1416"/>
    <w:rsid w:val="008B16E7"/>
    <w:rsid w:val="008B17AE"/>
    <w:rsid w:val="008B188B"/>
    <w:rsid w:val="008B1909"/>
    <w:rsid w:val="008B19E7"/>
    <w:rsid w:val="008B1A9E"/>
    <w:rsid w:val="008B1BC3"/>
    <w:rsid w:val="008B1C6F"/>
    <w:rsid w:val="008B1CB2"/>
    <w:rsid w:val="008B1E5E"/>
    <w:rsid w:val="008B1F2A"/>
    <w:rsid w:val="008B1F32"/>
    <w:rsid w:val="008B2089"/>
    <w:rsid w:val="008B2094"/>
    <w:rsid w:val="008B21F5"/>
    <w:rsid w:val="008B2290"/>
    <w:rsid w:val="008B23BF"/>
    <w:rsid w:val="008B2444"/>
    <w:rsid w:val="008B24A0"/>
    <w:rsid w:val="008B27BC"/>
    <w:rsid w:val="008B2819"/>
    <w:rsid w:val="008B2908"/>
    <w:rsid w:val="008B29B2"/>
    <w:rsid w:val="008B29CB"/>
    <w:rsid w:val="008B2B25"/>
    <w:rsid w:val="008B2C14"/>
    <w:rsid w:val="008B2D7A"/>
    <w:rsid w:val="008B2D8D"/>
    <w:rsid w:val="008B2DFE"/>
    <w:rsid w:val="008B2FCE"/>
    <w:rsid w:val="008B30A3"/>
    <w:rsid w:val="008B318C"/>
    <w:rsid w:val="008B343F"/>
    <w:rsid w:val="008B35A1"/>
    <w:rsid w:val="008B3674"/>
    <w:rsid w:val="008B3756"/>
    <w:rsid w:val="008B385E"/>
    <w:rsid w:val="008B38C7"/>
    <w:rsid w:val="008B392A"/>
    <w:rsid w:val="008B3958"/>
    <w:rsid w:val="008B39BB"/>
    <w:rsid w:val="008B39D0"/>
    <w:rsid w:val="008B3AC1"/>
    <w:rsid w:val="008B3BDD"/>
    <w:rsid w:val="008B3D2F"/>
    <w:rsid w:val="008B3D30"/>
    <w:rsid w:val="008B3D53"/>
    <w:rsid w:val="008B3D85"/>
    <w:rsid w:val="008B3EC8"/>
    <w:rsid w:val="008B3F99"/>
    <w:rsid w:val="008B4162"/>
    <w:rsid w:val="008B437D"/>
    <w:rsid w:val="008B440D"/>
    <w:rsid w:val="008B4423"/>
    <w:rsid w:val="008B4523"/>
    <w:rsid w:val="008B4739"/>
    <w:rsid w:val="008B477A"/>
    <w:rsid w:val="008B492C"/>
    <w:rsid w:val="008B49E1"/>
    <w:rsid w:val="008B4B59"/>
    <w:rsid w:val="008B4B90"/>
    <w:rsid w:val="008B4C29"/>
    <w:rsid w:val="008B4C44"/>
    <w:rsid w:val="008B4CA2"/>
    <w:rsid w:val="008B4CCD"/>
    <w:rsid w:val="008B4CFA"/>
    <w:rsid w:val="008B4D6E"/>
    <w:rsid w:val="008B4D78"/>
    <w:rsid w:val="008B4E4A"/>
    <w:rsid w:val="008B4F3B"/>
    <w:rsid w:val="008B4F3C"/>
    <w:rsid w:val="008B4F6D"/>
    <w:rsid w:val="008B4FEF"/>
    <w:rsid w:val="008B5202"/>
    <w:rsid w:val="008B522D"/>
    <w:rsid w:val="008B5282"/>
    <w:rsid w:val="008B53AE"/>
    <w:rsid w:val="008B542A"/>
    <w:rsid w:val="008B5460"/>
    <w:rsid w:val="008B54D0"/>
    <w:rsid w:val="008B5667"/>
    <w:rsid w:val="008B56BD"/>
    <w:rsid w:val="008B56C7"/>
    <w:rsid w:val="008B575B"/>
    <w:rsid w:val="008B57F3"/>
    <w:rsid w:val="008B5895"/>
    <w:rsid w:val="008B58E8"/>
    <w:rsid w:val="008B5982"/>
    <w:rsid w:val="008B5A03"/>
    <w:rsid w:val="008B5A0D"/>
    <w:rsid w:val="008B5A19"/>
    <w:rsid w:val="008B5AD2"/>
    <w:rsid w:val="008B5AF0"/>
    <w:rsid w:val="008B5D26"/>
    <w:rsid w:val="008B5D78"/>
    <w:rsid w:val="008B5F2B"/>
    <w:rsid w:val="008B5F31"/>
    <w:rsid w:val="008B5F7C"/>
    <w:rsid w:val="008B5F8B"/>
    <w:rsid w:val="008B5FE8"/>
    <w:rsid w:val="008B6017"/>
    <w:rsid w:val="008B6035"/>
    <w:rsid w:val="008B61DF"/>
    <w:rsid w:val="008B6273"/>
    <w:rsid w:val="008B62E1"/>
    <w:rsid w:val="008B6306"/>
    <w:rsid w:val="008B6318"/>
    <w:rsid w:val="008B6341"/>
    <w:rsid w:val="008B6359"/>
    <w:rsid w:val="008B647D"/>
    <w:rsid w:val="008B64BE"/>
    <w:rsid w:val="008B6574"/>
    <w:rsid w:val="008B6721"/>
    <w:rsid w:val="008B67EF"/>
    <w:rsid w:val="008B6889"/>
    <w:rsid w:val="008B6A33"/>
    <w:rsid w:val="008B6B3D"/>
    <w:rsid w:val="008B6B56"/>
    <w:rsid w:val="008B6D2A"/>
    <w:rsid w:val="008B6D83"/>
    <w:rsid w:val="008B6DE2"/>
    <w:rsid w:val="008B6E49"/>
    <w:rsid w:val="008B6E55"/>
    <w:rsid w:val="008B6E85"/>
    <w:rsid w:val="008B6F28"/>
    <w:rsid w:val="008B6F5B"/>
    <w:rsid w:val="008B7048"/>
    <w:rsid w:val="008B7207"/>
    <w:rsid w:val="008B72C7"/>
    <w:rsid w:val="008B7308"/>
    <w:rsid w:val="008B7373"/>
    <w:rsid w:val="008B7495"/>
    <w:rsid w:val="008B77F4"/>
    <w:rsid w:val="008B7861"/>
    <w:rsid w:val="008B79CA"/>
    <w:rsid w:val="008B7A9D"/>
    <w:rsid w:val="008B7AFF"/>
    <w:rsid w:val="008B7C47"/>
    <w:rsid w:val="008B7D2D"/>
    <w:rsid w:val="008B7D77"/>
    <w:rsid w:val="008B7ED3"/>
    <w:rsid w:val="008B7F47"/>
    <w:rsid w:val="008B7F9D"/>
    <w:rsid w:val="008B7FCB"/>
    <w:rsid w:val="008C000C"/>
    <w:rsid w:val="008C024E"/>
    <w:rsid w:val="008C0281"/>
    <w:rsid w:val="008C0348"/>
    <w:rsid w:val="008C0398"/>
    <w:rsid w:val="008C03A6"/>
    <w:rsid w:val="008C03C7"/>
    <w:rsid w:val="008C0401"/>
    <w:rsid w:val="008C0419"/>
    <w:rsid w:val="008C0433"/>
    <w:rsid w:val="008C049E"/>
    <w:rsid w:val="008C0503"/>
    <w:rsid w:val="008C0514"/>
    <w:rsid w:val="008C056D"/>
    <w:rsid w:val="008C0577"/>
    <w:rsid w:val="008C0656"/>
    <w:rsid w:val="008C0678"/>
    <w:rsid w:val="008C067B"/>
    <w:rsid w:val="008C06C7"/>
    <w:rsid w:val="008C072A"/>
    <w:rsid w:val="008C0740"/>
    <w:rsid w:val="008C08EA"/>
    <w:rsid w:val="008C0920"/>
    <w:rsid w:val="008C095C"/>
    <w:rsid w:val="008C0A42"/>
    <w:rsid w:val="008C0AED"/>
    <w:rsid w:val="008C0AF5"/>
    <w:rsid w:val="008C0B08"/>
    <w:rsid w:val="008C0BCA"/>
    <w:rsid w:val="008C0BF4"/>
    <w:rsid w:val="008C0CF5"/>
    <w:rsid w:val="008C0D31"/>
    <w:rsid w:val="008C0E0B"/>
    <w:rsid w:val="008C0EC3"/>
    <w:rsid w:val="008C11C3"/>
    <w:rsid w:val="008C1203"/>
    <w:rsid w:val="008C12AD"/>
    <w:rsid w:val="008C1343"/>
    <w:rsid w:val="008C151B"/>
    <w:rsid w:val="008C15E1"/>
    <w:rsid w:val="008C15E8"/>
    <w:rsid w:val="008C160A"/>
    <w:rsid w:val="008C1614"/>
    <w:rsid w:val="008C192B"/>
    <w:rsid w:val="008C1991"/>
    <w:rsid w:val="008C1A42"/>
    <w:rsid w:val="008C1A87"/>
    <w:rsid w:val="008C1AC6"/>
    <w:rsid w:val="008C1B17"/>
    <w:rsid w:val="008C1C55"/>
    <w:rsid w:val="008C1C73"/>
    <w:rsid w:val="008C1D1D"/>
    <w:rsid w:val="008C1E68"/>
    <w:rsid w:val="008C1EF0"/>
    <w:rsid w:val="008C1FD1"/>
    <w:rsid w:val="008C2023"/>
    <w:rsid w:val="008C2048"/>
    <w:rsid w:val="008C217F"/>
    <w:rsid w:val="008C21BE"/>
    <w:rsid w:val="008C221C"/>
    <w:rsid w:val="008C226D"/>
    <w:rsid w:val="008C22C6"/>
    <w:rsid w:val="008C22F2"/>
    <w:rsid w:val="008C22FE"/>
    <w:rsid w:val="008C2331"/>
    <w:rsid w:val="008C2342"/>
    <w:rsid w:val="008C24B7"/>
    <w:rsid w:val="008C24F0"/>
    <w:rsid w:val="008C2598"/>
    <w:rsid w:val="008C26FF"/>
    <w:rsid w:val="008C2816"/>
    <w:rsid w:val="008C291C"/>
    <w:rsid w:val="008C292C"/>
    <w:rsid w:val="008C2A49"/>
    <w:rsid w:val="008C2A62"/>
    <w:rsid w:val="008C2A67"/>
    <w:rsid w:val="008C2A91"/>
    <w:rsid w:val="008C2B20"/>
    <w:rsid w:val="008C2C98"/>
    <w:rsid w:val="008C2D26"/>
    <w:rsid w:val="008C2DFF"/>
    <w:rsid w:val="008C2EDB"/>
    <w:rsid w:val="008C2F7D"/>
    <w:rsid w:val="008C2FC8"/>
    <w:rsid w:val="008C306E"/>
    <w:rsid w:val="008C3106"/>
    <w:rsid w:val="008C3149"/>
    <w:rsid w:val="008C31A2"/>
    <w:rsid w:val="008C32A7"/>
    <w:rsid w:val="008C3344"/>
    <w:rsid w:val="008C336E"/>
    <w:rsid w:val="008C3386"/>
    <w:rsid w:val="008C348A"/>
    <w:rsid w:val="008C3545"/>
    <w:rsid w:val="008C3557"/>
    <w:rsid w:val="008C3583"/>
    <w:rsid w:val="008C3757"/>
    <w:rsid w:val="008C37D5"/>
    <w:rsid w:val="008C3838"/>
    <w:rsid w:val="008C3997"/>
    <w:rsid w:val="008C3AA6"/>
    <w:rsid w:val="008C3B26"/>
    <w:rsid w:val="008C3B76"/>
    <w:rsid w:val="008C3B96"/>
    <w:rsid w:val="008C3BA8"/>
    <w:rsid w:val="008C3C8C"/>
    <w:rsid w:val="008C3CE7"/>
    <w:rsid w:val="008C3D79"/>
    <w:rsid w:val="008C3E2F"/>
    <w:rsid w:val="008C3E79"/>
    <w:rsid w:val="008C3F32"/>
    <w:rsid w:val="008C3F5C"/>
    <w:rsid w:val="008C3F84"/>
    <w:rsid w:val="008C3FF2"/>
    <w:rsid w:val="008C40F8"/>
    <w:rsid w:val="008C415B"/>
    <w:rsid w:val="008C4273"/>
    <w:rsid w:val="008C42B9"/>
    <w:rsid w:val="008C42FD"/>
    <w:rsid w:val="008C4340"/>
    <w:rsid w:val="008C4461"/>
    <w:rsid w:val="008C44BA"/>
    <w:rsid w:val="008C4532"/>
    <w:rsid w:val="008C456F"/>
    <w:rsid w:val="008C465B"/>
    <w:rsid w:val="008C46B7"/>
    <w:rsid w:val="008C4712"/>
    <w:rsid w:val="008C474B"/>
    <w:rsid w:val="008C48DF"/>
    <w:rsid w:val="008C49C6"/>
    <w:rsid w:val="008C49D2"/>
    <w:rsid w:val="008C49E0"/>
    <w:rsid w:val="008C4A1C"/>
    <w:rsid w:val="008C4A22"/>
    <w:rsid w:val="008C4BFA"/>
    <w:rsid w:val="008C4E04"/>
    <w:rsid w:val="008C4E68"/>
    <w:rsid w:val="008C500B"/>
    <w:rsid w:val="008C5138"/>
    <w:rsid w:val="008C520C"/>
    <w:rsid w:val="008C5235"/>
    <w:rsid w:val="008C5280"/>
    <w:rsid w:val="008C544E"/>
    <w:rsid w:val="008C54D6"/>
    <w:rsid w:val="008C5586"/>
    <w:rsid w:val="008C562D"/>
    <w:rsid w:val="008C5690"/>
    <w:rsid w:val="008C573B"/>
    <w:rsid w:val="008C5819"/>
    <w:rsid w:val="008C58D8"/>
    <w:rsid w:val="008C58E9"/>
    <w:rsid w:val="008C5940"/>
    <w:rsid w:val="008C5AF5"/>
    <w:rsid w:val="008C5BE9"/>
    <w:rsid w:val="008C5EBD"/>
    <w:rsid w:val="008C5EDD"/>
    <w:rsid w:val="008C5EF9"/>
    <w:rsid w:val="008C5F06"/>
    <w:rsid w:val="008C6021"/>
    <w:rsid w:val="008C610D"/>
    <w:rsid w:val="008C61B2"/>
    <w:rsid w:val="008C639F"/>
    <w:rsid w:val="008C657C"/>
    <w:rsid w:val="008C67EF"/>
    <w:rsid w:val="008C696A"/>
    <w:rsid w:val="008C6A20"/>
    <w:rsid w:val="008C6B06"/>
    <w:rsid w:val="008C6B07"/>
    <w:rsid w:val="008C6B9C"/>
    <w:rsid w:val="008C6DF2"/>
    <w:rsid w:val="008C6E00"/>
    <w:rsid w:val="008C6E15"/>
    <w:rsid w:val="008C6F6C"/>
    <w:rsid w:val="008C702C"/>
    <w:rsid w:val="008C7042"/>
    <w:rsid w:val="008C7183"/>
    <w:rsid w:val="008C71C5"/>
    <w:rsid w:val="008C71D5"/>
    <w:rsid w:val="008C7236"/>
    <w:rsid w:val="008C7503"/>
    <w:rsid w:val="008C7549"/>
    <w:rsid w:val="008C7552"/>
    <w:rsid w:val="008C7570"/>
    <w:rsid w:val="008C7646"/>
    <w:rsid w:val="008C7742"/>
    <w:rsid w:val="008C776B"/>
    <w:rsid w:val="008C794D"/>
    <w:rsid w:val="008C7A9F"/>
    <w:rsid w:val="008C7B1A"/>
    <w:rsid w:val="008C7BEC"/>
    <w:rsid w:val="008C7C42"/>
    <w:rsid w:val="008C7D45"/>
    <w:rsid w:val="008C7D91"/>
    <w:rsid w:val="008C7DF7"/>
    <w:rsid w:val="008C7DFA"/>
    <w:rsid w:val="008C7E07"/>
    <w:rsid w:val="008C7EE0"/>
    <w:rsid w:val="008C7F00"/>
    <w:rsid w:val="008C7F56"/>
    <w:rsid w:val="008D008C"/>
    <w:rsid w:val="008D00E8"/>
    <w:rsid w:val="008D0118"/>
    <w:rsid w:val="008D01E1"/>
    <w:rsid w:val="008D01FE"/>
    <w:rsid w:val="008D02BE"/>
    <w:rsid w:val="008D0568"/>
    <w:rsid w:val="008D05DE"/>
    <w:rsid w:val="008D06DF"/>
    <w:rsid w:val="008D073A"/>
    <w:rsid w:val="008D080F"/>
    <w:rsid w:val="008D08C0"/>
    <w:rsid w:val="008D0913"/>
    <w:rsid w:val="008D0A4A"/>
    <w:rsid w:val="008D0A63"/>
    <w:rsid w:val="008D0AEC"/>
    <w:rsid w:val="008D0B5B"/>
    <w:rsid w:val="008D0B9E"/>
    <w:rsid w:val="008D0C73"/>
    <w:rsid w:val="008D0CF3"/>
    <w:rsid w:val="008D0D1C"/>
    <w:rsid w:val="008D0D27"/>
    <w:rsid w:val="008D0DBC"/>
    <w:rsid w:val="008D0E53"/>
    <w:rsid w:val="008D0E5A"/>
    <w:rsid w:val="008D0EF1"/>
    <w:rsid w:val="008D1030"/>
    <w:rsid w:val="008D1165"/>
    <w:rsid w:val="008D126F"/>
    <w:rsid w:val="008D12D4"/>
    <w:rsid w:val="008D12F0"/>
    <w:rsid w:val="008D1347"/>
    <w:rsid w:val="008D13DF"/>
    <w:rsid w:val="008D141B"/>
    <w:rsid w:val="008D14FA"/>
    <w:rsid w:val="008D154F"/>
    <w:rsid w:val="008D1557"/>
    <w:rsid w:val="008D15A3"/>
    <w:rsid w:val="008D15B6"/>
    <w:rsid w:val="008D15CA"/>
    <w:rsid w:val="008D16F8"/>
    <w:rsid w:val="008D17D2"/>
    <w:rsid w:val="008D181C"/>
    <w:rsid w:val="008D1922"/>
    <w:rsid w:val="008D1A1B"/>
    <w:rsid w:val="008D1AFC"/>
    <w:rsid w:val="008D1BC6"/>
    <w:rsid w:val="008D1D61"/>
    <w:rsid w:val="008D1DC6"/>
    <w:rsid w:val="008D1DC8"/>
    <w:rsid w:val="008D1E6E"/>
    <w:rsid w:val="008D2043"/>
    <w:rsid w:val="008D2061"/>
    <w:rsid w:val="008D20CD"/>
    <w:rsid w:val="008D20EC"/>
    <w:rsid w:val="008D21E1"/>
    <w:rsid w:val="008D226E"/>
    <w:rsid w:val="008D22C6"/>
    <w:rsid w:val="008D233F"/>
    <w:rsid w:val="008D23F8"/>
    <w:rsid w:val="008D253D"/>
    <w:rsid w:val="008D262D"/>
    <w:rsid w:val="008D2664"/>
    <w:rsid w:val="008D26C7"/>
    <w:rsid w:val="008D2790"/>
    <w:rsid w:val="008D28E0"/>
    <w:rsid w:val="008D28E3"/>
    <w:rsid w:val="008D2931"/>
    <w:rsid w:val="008D2A28"/>
    <w:rsid w:val="008D2C40"/>
    <w:rsid w:val="008D2D70"/>
    <w:rsid w:val="008D2DDB"/>
    <w:rsid w:val="008D2EE9"/>
    <w:rsid w:val="008D2FAE"/>
    <w:rsid w:val="008D305F"/>
    <w:rsid w:val="008D3151"/>
    <w:rsid w:val="008D3159"/>
    <w:rsid w:val="008D31CD"/>
    <w:rsid w:val="008D324C"/>
    <w:rsid w:val="008D3474"/>
    <w:rsid w:val="008D3524"/>
    <w:rsid w:val="008D3588"/>
    <w:rsid w:val="008D3647"/>
    <w:rsid w:val="008D36A5"/>
    <w:rsid w:val="008D36F7"/>
    <w:rsid w:val="008D370B"/>
    <w:rsid w:val="008D37CF"/>
    <w:rsid w:val="008D396E"/>
    <w:rsid w:val="008D3A74"/>
    <w:rsid w:val="008D3A84"/>
    <w:rsid w:val="008D3BE9"/>
    <w:rsid w:val="008D3C05"/>
    <w:rsid w:val="008D3F10"/>
    <w:rsid w:val="008D3FAC"/>
    <w:rsid w:val="008D4125"/>
    <w:rsid w:val="008D41B8"/>
    <w:rsid w:val="008D454A"/>
    <w:rsid w:val="008D461F"/>
    <w:rsid w:val="008D4693"/>
    <w:rsid w:val="008D469A"/>
    <w:rsid w:val="008D49A8"/>
    <w:rsid w:val="008D4A6A"/>
    <w:rsid w:val="008D4BA6"/>
    <w:rsid w:val="008D4BDD"/>
    <w:rsid w:val="008D4C9E"/>
    <w:rsid w:val="008D4E28"/>
    <w:rsid w:val="008D4E58"/>
    <w:rsid w:val="008D4E8B"/>
    <w:rsid w:val="008D4F7C"/>
    <w:rsid w:val="008D4FAE"/>
    <w:rsid w:val="008D4FC8"/>
    <w:rsid w:val="008D508C"/>
    <w:rsid w:val="008D5163"/>
    <w:rsid w:val="008D51FA"/>
    <w:rsid w:val="008D521F"/>
    <w:rsid w:val="008D5236"/>
    <w:rsid w:val="008D527F"/>
    <w:rsid w:val="008D52AC"/>
    <w:rsid w:val="008D52F1"/>
    <w:rsid w:val="008D5350"/>
    <w:rsid w:val="008D53F6"/>
    <w:rsid w:val="008D53FE"/>
    <w:rsid w:val="008D5421"/>
    <w:rsid w:val="008D54A0"/>
    <w:rsid w:val="008D54FE"/>
    <w:rsid w:val="008D55B3"/>
    <w:rsid w:val="008D565A"/>
    <w:rsid w:val="008D56CD"/>
    <w:rsid w:val="008D5734"/>
    <w:rsid w:val="008D587A"/>
    <w:rsid w:val="008D59E6"/>
    <w:rsid w:val="008D5A6A"/>
    <w:rsid w:val="008D5B22"/>
    <w:rsid w:val="008D5BF0"/>
    <w:rsid w:val="008D5D3D"/>
    <w:rsid w:val="008D5E55"/>
    <w:rsid w:val="008D5F4C"/>
    <w:rsid w:val="008D5F8E"/>
    <w:rsid w:val="008D5FBD"/>
    <w:rsid w:val="008D5FE1"/>
    <w:rsid w:val="008D60E8"/>
    <w:rsid w:val="008D617F"/>
    <w:rsid w:val="008D62E1"/>
    <w:rsid w:val="008D638A"/>
    <w:rsid w:val="008D65AB"/>
    <w:rsid w:val="008D668B"/>
    <w:rsid w:val="008D66A6"/>
    <w:rsid w:val="008D6728"/>
    <w:rsid w:val="008D6764"/>
    <w:rsid w:val="008D67B2"/>
    <w:rsid w:val="008D691E"/>
    <w:rsid w:val="008D6A2B"/>
    <w:rsid w:val="008D6B04"/>
    <w:rsid w:val="008D6B22"/>
    <w:rsid w:val="008D6B51"/>
    <w:rsid w:val="008D6B9B"/>
    <w:rsid w:val="008D6BF3"/>
    <w:rsid w:val="008D6CB1"/>
    <w:rsid w:val="008D6D85"/>
    <w:rsid w:val="008D6E6B"/>
    <w:rsid w:val="008D6E88"/>
    <w:rsid w:val="008D6F0F"/>
    <w:rsid w:val="008D6F2C"/>
    <w:rsid w:val="008D6F8B"/>
    <w:rsid w:val="008D6FF6"/>
    <w:rsid w:val="008D70A9"/>
    <w:rsid w:val="008D71F0"/>
    <w:rsid w:val="008D7212"/>
    <w:rsid w:val="008D73D9"/>
    <w:rsid w:val="008D7429"/>
    <w:rsid w:val="008D74A9"/>
    <w:rsid w:val="008D7530"/>
    <w:rsid w:val="008D7632"/>
    <w:rsid w:val="008D7668"/>
    <w:rsid w:val="008D7680"/>
    <w:rsid w:val="008D773A"/>
    <w:rsid w:val="008D7779"/>
    <w:rsid w:val="008D787F"/>
    <w:rsid w:val="008D78F4"/>
    <w:rsid w:val="008D795E"/>
    <w:rsid w:val="008D7A0D"/>
    <w:rsid w:val="008D7B2A"/>
    <w:rsid w:val="008D7B2D"/>
    <w:rsid w:val="008D7BF0"/>
    <w:rsid w:val="008D7C1A"/>
    <w:rsid w:val="008D7C62"/>
    <w:rsid w:val="008D7CDB"/>
    <w:rsid w:val="008D7D4C"/>
    <w:rsid w:val="008D7D66"/>
    <w:rsid w:val="008D7DE2"/>
    <w:rsid w:val="008D7EC6"/>
    <w:rsid w:val="008D7FAF"/>
    <w:rsid w:val="008E0035"/>
    <w:rsid w:val="008E0101"/>
    <w:rsid w:val="008E025C"/>
    <w:rsid w:val="008E031B"/>
    <w:rsid w:val="008E0327"/>
    <w:rsid w:val="008E048A"/>
    <w:rsid w:val="008E049B"/>
    <w:rsid w:val="008E04BF"/>
    <w:rsid w:val="008E06E4"/>
    <w:rsid w:val="008E0843"/>
    <w:rsid w:val="008E08A4"/>
    <w:rsid w:val="008E09B0"/>
    <w:rsid w:val="008E09C9"/>
    <w:rsid w:val="008E0C4C"/>
    <w:rsid w:val="008E0C72"/>
    <w:rsid w:val="008E0C9B"/>
    <w:rsid w:val="008E0CFA"/>
    <w:rsid w:val="008E0DD7"/>
    <w:rsid w:val="008E0E55"/>
    <w:rsid w:val="008E0EF4"/>
    <w:rsid w:val="008E0F50"/>
    <w:rsid w:val="008E0F63"/>
    <w:rsid w:val="008E0F9F"/>
    <w:rsid w:val="008E1024"/>
    <w:rsid w:val="008E11AF"/>
    <w:rsid w:val="008E120D"/>
    <w:rsid w:val="008E1262"/>
    <w:rsid w:val="008E13D9"/>
    <w:rsid w:val="008E1535"/>
    <w:rsid w:val="008E1753"/>
    <w:rsid w:val="008E18AB"/>
    <w:rsid w:val="008E19C0"/>
    <w:rsid w:val="008E19DB"/>
    <w:rsid w:val="008E19DE"/>
    <w:rsid w:val="008E1AAC"/>
    <w:rsid w:val="008E1C2E"/>
    <w:rsid w:val="008E1C6E"/>
    <w:rsid w:val="008E1CCF"/>
    <w:rsid w:val="008E1DD9"/>
    <w:rsid w:val="008E1E9D"/>
    <w:rsid w:val="008E1F13"/>
    <w:rsid w:val="008E219C"/>
    <w:rsid w:val="008E2260"/>
    <w:rsid w:val="008E2262"/>
    <w:rsid w:val="008E24A3"/>
    <w:rsid w:val="008E2582"/>
    <w:rsid w:val="008E2593"/>
    <w:rsid w:val="008E25FB"/>
    <w:rsid w:val="008E26E3"/>
    <w:rsid w:val="008E2765"/>
    <w:rsid w:val="008E2969"/>
    <w:rsid w:val="008E2987"/>
    <w:rsid w:val="008E2BA8"/>
    <w:rsid w:val="008E2BCD"/>
    <w:rsid w:val="008E2C02"/>
    <w:rsid w:val="008E2CD2"/>
    <w:rsid w:val="008E2EED"/>
    <w:rsid w:val="008E2F22"/>
    <w:rsid w:val="008E3162"/>
    <w:rsid w:val="008E3195"/>
    <w:rsid w:val="008E31C0"/>
    <w:rsid w:val="008E31E0"/>
    <w:rsid w:val="008E3277"/>
    <w:rsid w:val="008E3362"/>
    <w:rsid w:val="008E3436"/>
    <w:rsid w:val="008E3476"/>
    <w:rsid w:val="008E36C0"/>
    <w:rsid w:val="008E374D"/>
    <w:rsid w:val="008E37C4"/>
    <w:rsid w:val="008E38AC"/>
    <w:rsid w:val="008E38EB"/>
    <w:rsid w:val="008E39A7"/>
    <w:rsid w:val="008E3B07"/>
    <w:rsid w:val="008E3B26"/>
    <w:rsid w:val="008E3B47"/>
    <w:rsid w:val="008E3DAC"/>
    <w:rsid w:val="008E3DC8"/>
    <w:rsid w:val="008E3E20"/>
    <w:rsid w:val="008E4067"/>
    <w:rsid w:val="008E436B"/>
    <w:rsid w:val="008E449D"/>
    <w:rsid w:val="008E4567"/>
    <w:rsid w:val="008E4568"/>
    <w:rsid w:val="008E45AE"/>
    <w:rsid w:val="008E4650"/>
    <w:rsid w:val="008E46B5"/>
    <w:rsid w:val="008E48B2"/>
    <w:rsid w:val="008E4A69"/>
    <w:rsid w:val="008E4B2F"/>
    <w:rsid w:val="008E4BC1"/>
    <w:rsid w:val="008E4D75"/>
    <w:rsid w:val="008E4D88"/>
    <w:rsid w:val="008E4DA6"/>
    <w:rsid w:val="008E4E4D"/>
    <w:rsid w:val="008E4F3B"/>
    <w:rsid w:val="008E4F88"/>
    <w:rsid w:val="008E4FA5"/>
    <w:rsid w:val="008E511B"/>
    <w:rsid w:val="008E5138"/>
    <w:rsid w:val="008E51AE"/>
    <w:rsid w:val="008E52A1"/>
    <w:rsid w:val="008E52A4"/>
    <w:rsid w:val="008E52BE"/>
    <w:rsid w:val="008E52F8"/>
    <w:rsid w:val="008E5344"/>
    <w:rsid w:val="008E53B3"/>
    <w:rsid w:val="008E5469"/>
    <w:rsid w:val="008E547F"/>
    <w:rsid w:val="008E54E7"/>
    <w:rsid w:val="008E565B"/>
    <w:rsid w:val="008E56BE"/>
    <w:rsid w:val="008E5884"/>
    <w:rsid w:val="008E5927"/>
    <w:rsid w:val="008E592C"/>
    <w:rsid w:val="008E5B11"/>
    <w:rsid w:val="008E5CF9"/>
    <w:rsid w:val="008E5DAA"/>
    <w:rsid w:val="008E5E53"/>
    <w:rsid w:val="008E5E8B"/>
    <w:rsid w:val="008E5FB2"/>
    <w:rsid w:val="008E5FFD"/>
    <w:rsid w:val="008E609E"/>
    <w:rsid w:val="008E63D1"/>
    <w:rsid w:val="008E63FF"/>
    <w:rsid w:val="008E644A"/>
    <w:rsid w:val="008E648A"/>
    <w:rsid w:val="008E64D9"/>
    <w:rsid w:val="008E659D"/>
    <w:rsid w:val="008E67F5"/>
    <w:rsid w:val="008E6809"/>
    <w:rsid w:val="008E682E"/>
    <w:rsid w:val="008E6937"/>
    <w:rsid w:val="008E6A11"/>
    <w:rsid w:val="008E6A4E"/>
    <w:rsid w:val="008E6C64"/>
    <w:rsid w:val="008E6C8B"/>
    <w:rsid w:val="008E6D2F"/>
    <w:rsid w:val="008E6F6A"/>
    <w:rsid w:val="008E708F"/>
    <w:rsid w:val="008E70E2"/>
    <w:rsid w:val="008E71B5"/>
    <w:rsid w:val="008E7322"/>
    <w:rsid w:val="008E7435"/>
    <w:rsid w:val="008E7598"/>
    <w:rsid w:val="008E7614"/>
    <w:rsid w:val="008E7670"/>
    <w:rsid w:val="008E781B"/>
    <w:rsid w:val="008E782C"/>
    <w:rsid w:val="008E786F"/>
    <w:rsid w:val="008E78A4"/>
    <w:rsid w:val="008E7905"/>
    <w:rsid w:val="008E7A4C"/>
    <w:rsid w:val="008E7B23"/>
    <w:rsid w:val="008E7B96"/>
    <w:rsid w:val="008E7D05"/>
    <w:rsid w:val="008E7D11"/>
    <w:rsid w:val="008E7D1E"/>
    <w:rsid w:val="008E7E39"/>
    <w:rsid w:val="008E7E7D"/>
    <w:rsid w:val="008E7EF5"/>
    <w:rsid w:val="008F0062"/>
    <w:rsid w:val="008F00ED"/>
    <w:rsid w:val="008F02B7"/>
    <w:rsid w:val="008F030B"/>
    <w:rsid w:val="008F0388"/>
    <w:rsid w:val="008F03B8"/>
    <w:rsid w:val="008F05AA"/>
    <w:rsid w:val="008F05B5"/>
    <w:rsid w:val="008F0659"/>
    <w:rsid w:val="008F072B"/>
    <w:rsid w:val="008F0763"/>
    <w:rsid w:val="008F0786"/>
    <w:rsid w:val="008F0792"/>
    <w:rsid w:val="008F0795"/>
    <w:rsid w:val="008F09A0"/>
    <w:rsid w:val="008F0A65"/>
    <w:rsid w:val="008F0AE0"/>
    <w:rsid w:val="008F0B05"/>
    <w:rsid w:val="008F0BBA"/>
    <w:rsid w:val="008F0D07"/>
    <w:rsid w:val="008F0D8F"/>
    <w:rsid w:val="008F0DE7"/>
    <w:rsid w:val="008F0E43"/>
    <w:rsid w:val="008F0ECD"/>
    <w:rsid w:val="008F0F00"/>
    <w:rsid w:val="008F0FBF"/>
    <w:rsid w:val="008F117C"/>
    <w:rsid w:val="008F11A1"/>
    <w:rsid w:val="008F149A"/>
    <w:rsid w:val="008F14B3"/>
    <w:rsid w:val="008F1542"/>
    <w:rsid w:val="008F16FE"/>
    <w:rsid w:val="008F1714"/>
    <w:rsid w:val="008F18DB"/>
    <w:rsid w:val="008F18EA"/>
    <w:rsid w:val="008F1988"/>
    <w:rsid w:val="008F19B5"/>
    <w:rsid w:val="008F1B0D"/>
    <w:rsid w:val="008F1CD6"/>
    <w:rsid w:val="008F1D79"/>
    <w:rsid w:val="008F1EA4"/>
    <w:rsid w:val="008F2021"/>
    <w:rsid w:val="008F21D9"/>
    <w:rsid w:val="008F21FE"/>
    <w:rsid w:val="008F2398"/>
    <w:rsid w:val="008F23F9"/>
    <w:rsid w:val="008F24A2"/>
    <w:rsid w:val="008F27BC"/>
    <w:rsid w:val="008F2803"/>
    <w:rsid w:val="008F289D"/>
    <w:rsid w:val="008F29D0"/>
    <w:rsid w:val="008F29E1"/>
    <w:rsid w:val="008F2A14"/>
    <w:rsid w:val="008F2A28"/>
    <w:rsid w:val="008F2A43"/>
    <w:rsid w:val="008F2A8A"/>
    <w:rsid w:val="008F2C2B"/>
    <w:rsid w:val="008F2D06"/>
    <w:rsid w:val="008F2D61"/>
    <w:rsid w:val="008F305A"/>
    <w:rsid w:val="008F3176"/>
    <w:rsid w:val="008F32E2"/>
    <w:rsid w:val="008F34E1"/>
    <w:rsid w:val="008F34EF"/>
    <w:rsid w:val="008F350B"/>
    <w:rsid w:val="008F3582"/>
    <w:rsid w:val="008F358E"/>
    <w:rsid w:val="008F35FA"/>
    <w:rsid w:val="008F369E"/>
    <w:rsid w:val="008F369F"/>
    <w:rsid w:val="008F377B"/>
    <w:rsid w:val="008F37CF"/>
    <w:rsid w:val="008F37DB"/>
    <w:rsid w:val="008F3923"/>
    <w:rsid w:val="008F3B39"/>
    <w:rsid w:val="008F3B4C"/>
    <w:rsid w:val="008F3B70"/>
    <w:rsid w:val="008F3B85"/>
    <w:rsid w:val="008F3C8A"/>
    <w:rsid w:val="008F3CB8"/>
    <w:rsid w:val="008F3CD4"/>
    <w:rsid w:val="008F3DDD"/>
    <w:rsid w:val="008F3E0B"/>
    <w:rsid w:val="008F3F54"/>
    <w:rsid w:val="008F3F70"/>
    <w:rsid w:val="008F4059"/>
    <w:rsid w:val="008F4169"/>
    <w:rsid w:val="008F42F5"/>
    <w:rsid w:val="008F432E"/>
    <w:rsid w:val="008F433D"/>
    <w:rsid w:val="008F44D6"/>
    <w:rsid w:val="008F44FE"/>
    <w:rsid w:val="008F4545"/>
    <w:rsid w:val="008F46D9"/>
    <w:rsid w:val="008F477B"/>
    <w:rsid w:val="008F47DD"/>
    <w:rsid w:val="008F484A"/>
    <w:rsid w:val="008F4899"/>
    <w:rsid w:val="008F495E"/>
    <w:rsid w:val="008F496B"/>
    <w:rsid w:val="008F4ACB"/>
    <w:rsid w:val="008F4AD4"/>
    <w:rsid w:val="008F4AE3"/>
    <w:rsid w:val="008F4AF0"/>
    <w:rsid w:val="008F4B22"/>
    <w:rsid w:val="008F4B2D"/>
    <w:rsid w:val="008F4B38"/>
    <w:rsid w:val="008F4B8D"/>
    <w:rsid w:val="008F4CE1"/>
    <w:rsid w:val="008F4DC3"/>
    <w:rsid w:val="008F4DEF"/>
    <w:rsid w:val="008F4F8F"/>
    <w:rsid w:val="008F513A"/>
    <w:rsid w:val="008F5152"/>
    <w:rsid w:val="008F5157"/>
    <w:rsid w:val="008F515F"/>
    <w:rsid w:val="008F5212"/>
    <w:rsid w:val="008F539F"/>
    <w:rsid w:val="008F541B"/>
    <w:rsid w:val="008F5514"/>
    <w:rsid w:val="008F5529"/>
    <w:rsid w:val="008F553A"/>
    <w:rsid w:val="008F559F"/>
    <w:rsid w:val="008F55DB"/>
    <w:rsid w:val="008F5633"/>
    <w:rsid w:val="008F5657"/>
    <w:rsid w:val="008F57E6"/>
    <w:rsid w:val="008F58F8"/>
    <w:rsid w:val="008F5A79"/>
    <w:rsid w:val="008F5A86"/>
    <w:rsid w:val="008F5AA2"/>
    <w:rsid w:val="008F5C4E"/>
    <w:rsid w:val="008F5CBF"/>
    <w:rsid w:val="008F5D05"/>
    <w:rsid w:val="008F5DB0"/>
    <w:rsid w:val="008F5DC0"/>
    <w:rsid w:val="008F5EC9"/>
    <w:rsid w:val="008F5EE5"/>
    <w:rsid w:val="008F5F8E"/>
    <w:rsid w:val="008F6006"/>
    <w:rsid w:val="008F602C"/>
    <w:rsid w:val="008F6036"/>
    <w:rsid w:val="008F61A3"/>
    <w:rsid w:val="008F61FF"/>
    <w:rsid w:val="008F6206"/>
    <w:rsid w:val="008F621D"/>
    <w:rsid w:val="008F6254"/>
    <w:rsid w:val="008F63E9"/>
    <w:rsid w:val="008F63F8"/>
    <w:rsid w:val="008F6512"/>
    <w:rsid w:val="008F657B"/>
    <w:rsid w:val="008F6654"/>
    <w:rsid w:val="008F6723"/>
    <w:rsid w:val="008F6789"/>
    <w:rsid w:val="008F6964"/>
    <w:rsid w:val="008F69A3"/>
    <w:rsid w:val="008F6AB6"/>
    <w:rsid w:val="008F6C93"/>
    <w:rsid w:val="008F6CFE"/>
    <w:rsid w:val="008F6D0F"/>
    <w:rsid w:val="008F6D72"/>
    <w:rsid w:val="008F6DE9"/>
    <w:rsid w:val="008F6FFF"/>
    <w:rsid w:val="008F7358"/>
    <w:rsid w:val="008F7367"/>
    <w:rsid w:val="008F7450"/>
    <w:rsid w:val="008F74DB"/>
    <w:rsid w:val="008F751E"/>
    <w:rsid w:val="008F756B"/>
    <w:rsid w:val="008F7610"/>
    <w:rsid w:val="008F76BA"/>
    <w:rsid w:val="008F76C8"/>
    <w:rsid w:val="008F77C7"/>
    <w:rsid w:val="008F789B"/>
    <w:rsid w:val="008F7A25"/>
    <w:rsid w:val="008F7A6B"/>
    <w:rsid w:val="008F7AE9"/>
    <w:rsid w:val="008F7B1C"/>
    <w:rsid w:val="008F7B44"/>
    <w:rsid w:val="008F7BDC"/>
    <w:rsid w:val="008F7CC7"/>
    <w:rsid w:val="008F7D74"/>
    <w:rsid w:val="008F7E64"/>
    <w:rsid w:val="008F7F15"/>
    <w:rsid w:val="009000D6"/>
    <w:rsid w:val="0090012C"/>
    <w:rsid w:val="00900150"/>
    <w:rsid w:val="0090015F"/>
    <w:rsid w:val="0090019A"/>
    <w:rsid w:val="00900260"/>
    <w:rsid w:val="009002CC"/>
    <w:rsid w:val="0090030F"/>
    <w:rsid w:val="009003AB"/>
    <w:rsid w:val="00900431"/>
    <w:rsid w:val="009004E3"/>
    <w:rsid w:val="00900671"/>
    <w:rsid w:val="009006AE"/>
    <w:rsid w:val="00900700"/>
    <w:rsid w:val="00900817"/>
    <w:rsid w:val="009008A3"/>
    <w:rsid w:val="00900E02"/>
    <w:rsid w:val="00900EC1"/>
    <w:rsid w:val="00900F6B"/>
    <w:rsid w:val="00901038"/>
    <w:rsid w:val="0090103F"/>
    <w:rsid w:val="009011E1"/>
    <w:rsid w:val="00901243"/>
    <w:rsid w:val="00901285"/>
    <w:rsid w:val="0090132A"/>
    <w:rsid w:val="0090136A"/>
    <w:rsid w:val="009013A6"/>
    <w:rsid w:val="009013BC"/>
    <w:rsid w:val="0090144E"/>
    <w:rsid w:val="00901528"/>
    <w:rsid w:val="00901559"/>
    <w:rsid w:val="00901584"/>
    <w:rsid w:val="0090158B"/>
    <w:rsid w:val="00901733"/>
    <w:rsid w:val="0090173B"/>
    <w:rsid w:val="0090173C"/>
    <w:rsid w:val="009018C5"/>
    <w:rsid w:val="0090190A"/>
    <w:rsid w:val="009019E8"/>
    <w:rsid w:val="00901A3C"/>
    <w:rsid w:val="00901A63"/>
    <w:rsid w:val="00901A99"/>
    <w:rsid w:val="00901B77"/>
    <w:rsid w:val="00901C20"/>
    <w:rsid w:val="00901CAF"/>
    <w:rsid w:val="00901D85"/>
    <w:rsid w:val="00901E0D"/>
    <w:rsid w:val="00901E8B"/>
    <w:rsid w:val="00901F6A"/>
    <w:rsid w:val="00902057"/>
    <w:rsid w:val="00902276"/>
    <w:rsid w:val="009023C6"/>
    <w:rsid w:val="00902546"/>
    <w:rsid w:val="0090274B"/>
    <w:rsid w:val="00902772"/>
    <w:rsid w:val="009027CE"/>
    <w:rsid w:val="00902986"/>
    <w:rsid w:val="00902A49"/>
    <w:rsid w:val="00902CA6"/>
    <w:rsid w:val="00902DD0"/>
    <w:rsid w:val="00902DF7"/>
    <w:rsid w:val="00902E02"/>
    <w:rsid w:val="00902E19"/>
    <w:rsid w:val="00902E9B"/>
    <w:rsid w:val="00902F07"/>
    <w:rsid w:val="00902F96"/>
    <w:rsid w:val="009030B0"/>
    <w:rsid w:val="009031A7"/>
    <w:rsid w:val="00903470"/>
    <w:rsid w:val="009034BF"/>
    <w:rsid w:val="00903707"/>
    <w:rsid w:val="00903729"/>
    <w:rsid w:val="009037A4"/>
    <w:rsid w:val="00903858"/>
    <w:rsid w:val="0090387F"/>
    <w:rsid w:val="0090389F"/>
    <w:rsid w:val="00903B7C"/>
    <w:rsid w:val="00903C74"/>
    <w:rsid w:val="00903D01"/>
    <w:rsid w:val="00903D09"/>
    <w:rsid w:val="00903D4F"/>
    <w:rsid w:val="00903E9E"/>
    <w:rsid w:val="00903EEE"/>
    <w:rsid w:val="00903F5E"/>
    <w:rsid w:val="0090407C"/>
    <w:rsid w:val="009040A6"/>
    <w:rsid w:val="009041A2"/>
    <w:rsid w:val="00904583"/>
    <w:rsid w:val="009045E9"/>
    <w:rsid w:val="009046E4"/>
    <w:rsid w:val="00904896"/>
    <w:rsid w:val="009049F3"/>
    <w:rsid w:val="00904A33"/>
    <w:rsid w:val="00904BAB"/>
    <w:rsid w:val="00904C83"/>
    <w:rsid w:val="00904DDA"/>
    <w:rsid w:val="00904E5D"/>
    <w:rsid w:val="00904EF7"/>
    <w:rsid w:val="00904FE7"/>
    <w:rsid w:val="0090501B"/>
    <w:rsid w:val="00905285"/>
    <w:rsid w:val="0090540E"/>
    <w:rsid w:val="0090556B"/>
    <w:rsid w:val="009055AC"/>
    <w:rsid w:val="009055C3"/>
    <w:rsid w:val="00905723"/>
    <w:rsid w:val="0090581B"/>
    <w:rsid w:val="00905894"/>
    <w:rsid w:val="00905A2F"/>
    <w:rsid w:val="00905A66"/>
    <w:rsid w:val="00905B68"/>
    <w:rsid w:val="00905EEA"/>
    <w:rsid w:val="0090615F"/>
    <w:rsid w:val="009061CE"/>
    <w:rsid w:val="0090623F"/>
    <w:rsid w:val="009062FD"/>
    <w:rsid w:val="0090641F"/>
    <w:rsid w:val="00906643"/>
    <w:rsid w:val="00906696"/>
    <w:rsid w:val="00906702"/>
    <w:rsid w:val="009067B1"/>
    <w:rsid w:val="009067CB"/>
    <w:rsid w:val="0090685B"/>
    <w:rsid w:val="009068A3"/>
    <w:rsid w:val="00906964"/>
    <w:rsid w:val="00906973"/>
    <w:rsid w:val="00906A84"/>
    <w:rsid w:val="00906AA7"/>
    <w:rsid w:val="00906AFC"/>
    <w:rsid w:val="00906C67"/>
    <w:rsid w:val="00906C71"/>
    <w:rsid w:val="00906C95"/>
    <w:rsid w:val="00906D07"/>
    <w:rsid w:val="00906D8F"/>
    <w:rsid w:val="00906E09"/>
    <w:rsid w:val="00906E34"/>
    <w:rsid w:val="00906F3B"/>
    <w:rsid w:val="00907109"/>
    <w:rsid w:val="009071C7"/>
    <w:rsid w:val="009071D6"/>
    <w:rsid w:val="009075CE"/>
    <w:rsid w:val="0090765C"/>
    <w:rsid w:val="009076F1"/>
    <w:rsid w:val="009077EB"/>
    <w:rsid w:val="009078F7"/>
    <w:rsid w:val="00907929"/>
    <w:rsid w:val="009079AD"/>
    <w:rsid w:val="00907ADE"/>
    <w:rsid w:val="00907B46"/>
    <w:rsid w:val="00907C25"/>
    <w:rsid w:val="00907F95"/>
    <w:rsid w:val="009100BF"/>
    <w:rsid w:val="009100F5"/>
    <w:rsid w:val="009101CB"/>
    <w:rsid w:val="009101D2"/>
    <w:rsid w:val="009102CC"/>
    <w:rsid w:val="0091030C"/>
    <w:rsid w:val="009104D5"/>
    <w:rsid w:val="00910607"/>
    <w:rsid w:val="0091068A"/>
    <w:rsid w:val="00910723"/>
    <w:rsid w:val="00910848"/>
    <w:rsid w:val="00910886"/>
    <w:rsid w:val="00910A62"/>
    <w:rsid w:val="00910BED"/>
    <w:rsid w:val="00910D78"/>
    <w:rsid w:val="00910F30"/>
    <w:rsid w:val="00911066"/>
    <w:rsid w:val="0091112E"/>
    <w:rsid w:val="009111F1"/>
    <w:rsid w:val="00911274"/>
    <w:rsid w:val="00911308"/>
    <w:rsid w:val="00911332"/>
    <w:rsid w:val="00911423"/>
    <w:rsid w:val="009114B2"/>
    <w:rsid w:val="0091153B"/>
    <w:rsid w:val="00911650"/>
    <w:rsid w:val="00911659"/>
    <w:rsid w:val="00911704"/>
    <w:rsid w:val="00911768"/>
    <w:rsid w:val="009117AE"/>
    <w:rsid w:val="009117C3"/>
    <w:rsid w:val="0091195F"/>
    <w:rsid w:val="009119C7"/>
    <w:rsid w:val="00911A22"/>
    <w:rsid w:val="00911AC7"/>
    <w:rsid w:val="00911ACA"/>
    <w:rsid w:val="00911CEF"/>
    <w:rsid w:val="00911D33"/>
    <w:rsid w:val="00911DA7"/>
    <w:rsid w:val="00911F08"/>
    <w:rsid w:val="00911FC7"/>
    <w:rsid w:val="00911FF8"/>
    <w:rsid w:val="009120FA"/>
    <w:rsid w:val="009122B7"/>
    <w:rsid w:val="0091231C"/>
    <w:rsid w:val="00912335"/>
    <w:rsid w:val="00912395"/>
    <w:rsid w:val="009123C3"/>
    <w:rsid w:val="009123E8"/>
    <w:rsid w:val="009125B1"/>
    <w:rsid w:val="009125FF"/>
    <w:rsid w:val="00912650"/>
    <w:rsid w:val="00912682"/>
    <w:rsid w:val="009126C2"/>
    <w:rsid w:val="009126FE"/>
    <w:rsid w:val="00912806"/>
    <w:rsid w:val="00912974"/>
    <w:rsid w:val="009129DF"/>
    <w:rsid w:val="00912A88"/>
    <w:rsid w:val="00912C4E"/>
    <w:rsid w:val="00912CB0"/>
    <w:rsid w:val="00912D0B"/>
    <w:rsid w:val="00912DD8"/>
    <w:rsid w:val="00912E9D"/>
    <w:rsid w:val="00912EA2"/>
    <w:rsid w:val="00912EB0"/>
    <w:rsid w:val="00912F85"/>
    <w:rsid w:val="00913090"/>
    <w:rsid w:val="009130FA"/>
    <w:rsid w:val="009131D4"/>
    <w:rsid w:val="009132A4"/>
    <w:rsid w:val="00913445"/>
    <w:rsid w:val="0091348D"/>
    <w:rsid w:val="00913588"/>
    <w:rsid w:val="009137EC"/>
    <w:rsid w:val="009138A0"/>
    <w:rsid w:val="009138C4"/>
    <w:rsid w:val="0091391A"/>
    <w:rsid w:val="00913926"/>
    <w:rsid w:val="00913A71"/>
    <w:rsid w:val="00913A99"/>
    <w:rsid w:val="00913AC1"/>
    <w:rsid w:val="00913B0B"/>
    <w:rsid w:val="00913B0C"/>
    <w:rsid w:val="00913B25"/>
    <w:rsid w:val="00913B31"/>
    <w:rsid w:val="00913C43"/>
    <w:rsid w:val="00913D08"/>
    <w:rsid w:val="00913D13"/>
    <w:rsid w:val="00913D4E"/>
    <w:rsid w:val="00913ECE"/>
    <w:rsid w:val="00913F4E"/>
    <w:rsid w:val="00914330"/>
    <w:rsid w:val="009145A1"/>
    <w:rsid w:val="00914700"/>
    <w:rsid w:val="009147BD"/>
    <w:rsid w:val="00914844"/>
    <w:rsid w:val="00914886"/>
    <w:rsid w:val="009148D5"/>
    <w:rsid w:val="00914BC0"/>
    <w:rsid w:val="00914C54"/>
    <w:rsid w:val="00914CC5"/>
    <w:rsid w:val="00914E1F"/>
    <w:rsid w:val="00914F4A"/>
    <w:rsid w:val="00914F88"/>
    <w:rsid w:val="00915025"/>
    <w:rsid w:val="00915038"/>
    <w:rsid w:val="009150CC"/>
    <w:rsid w:val="00915113"/>
    <w:rsid w:val="0091517F"/>
    <w:rsid w:val="00915200"/>
    <w:rsid w:val="0091521F"/>
    <w:rsid w:val="00915230"/>
    <w:rsid w:val="009152C8"/>
    <w:rsid w:val="009152D4"/>
    <w:rsid w:val="009152E9"/>
    <w:rsid w:val="00915438"/>
    <w:rsid w:val="00915446"/>
    <w:rsid w:val="0091550B"/>
    <w:rsid w:val="00915552"/>
    <w:rsid w:val="009156AA"/>
    <w:rsid w:val="009156D3"/>
    <w:rsid w:val="00915776"/>
    <w:rsid w:val="009157DC"/>
    <w:rsid w:val="00915933"/>
    <w:rsid w:val="00915A75"/>
    <w:rsid w:val="00915AB1"/>
    <w:rsid w:val="00915ABD"/>
    <w:rsid w:val="00915AC2"/>
    <w:rsid w:val="00915B37"/>
    <w:rsid w:val="00915F77"/>
    <w:rsid w:val="00915F90"/>
    <w:rsid w:val="00915F94"/>
    <w:rsid w:val="00915FC7"/>
    <w:rsid w:val="00916051"/>
    <w:rsid w:val="009161BF"/>
    <w:rsid w:val="00916234"/>
    <w:rsid w:val="00916286"/>
    <w:rsid w:val="009163EF"/>
    <w:rsid w:val="009164C9"/>
    <w:rsid w:val="0091654C"/>
    <w:rsid w:val="009165C4"/>
    <w:rsid w:val="009166A6"/>
    <w:rsid w:val="00916735"/>
    <w:rsid w:val="0091681E"/>
    <w:rsid w:val="00916858"/>
    <w:rsid w:val="009169D3"/>
    <w:rsid w:val="00916B8F"/>
    <w:rsid w:val="00916BF6"/>
    <w:rsid w:val="00916CE2"/>
    <w:rsid w:val="00916DB8"/>
    <w:rsid w:val="0091700A"/>
    <w:rsid w:val="0091706F"/>
    <w:rsid w:val="009170FF"/>
    <w:rsid w:val="009173A8"/>
    <w:rsid w:val="009174C3"/>
    <w:rsid w:val="00917584"/>
    <w:rsid w:val="0091758E"/>
    <w:rsid w:val="0091762F"/>
    <w:rsid w:val="009176EA"/>
    <w:rsid w:val="009177C6"/>
    <w:rsid w:val="00917959"/>
    <w:rsid w:val="009179DC"/>
    <w:rsid w:val="00917B32"/>
    <w:rsid w:val="00917C7A"/>
    <w:rsid w:val="00917CAD"/>
    <w:rsid w:val="00917D1C"/>
    <w:rsid w:val="00917E6F"/>
    <w:rsid w:val="00917F07"/>
    <w:rsid w:val="00917F2D"/>
    <w:rsid w:val="0092002C"/>
    <w:rsid w:val="0092004D"/>
    <w:rsid w:val="00920210"/>
    <w:rsid w:val="0092028C"/>
    <w:rsid w:val="00920295"/>
    <w:rsid w:val="00920524"/>
    <w:rsid w:val="0092054F"/>
    <w:rsid w:val="00920575"/>
    <w:rsid w:val="009205DF"/>
    <w:rsid w:val="0092062F"/>
    <w:rsid w:val="00920674"/>
    <w:rsid w:val="0092073C"/>
    <w:rsid w:val="009207C0"/>
    <w:rsid w:val="009208C5"/>
    <w:rsid w:val="009208EF"/>
    <w:rsid w:val="0092090C"/>
    <w:rsid w:val="00920995"/>
    <w:rsid w:val="00920B00"/>
    <w:rsid w:val="00920B9E"/>
    <w:rsid w:val="00920C36"/>
    <w:rsid w:val="00920C48"/>
    <w:rsid w:val="00920DCC"/>
    <w:rsid w:val="00920DD2"/>
    <w:rsid w:val="00920EF8"/>
    <w:rsid w:val="00920F26"/>
    <w:rsid w:val="00920FB6"/>
    <w:rsid w:val="00921163"/>
    <w:rsid w:val="009211CC"/>
    <w:rsid w:val="0092123D"/>
    <w:rsid w:val="00921259"/>
    <w:rsid w:val="00921272"/>
    <w:rsid w:val="00921359"/>
    <w:rsid w:val="009213E8"/>
    <w:rsid w:val="00921558"/>
    <w:rsid w:val="00921733"/>
    <w:rsid w:val="00921734"/>
    <w:rsid w:val="009218E4"/>
    <w:rsid w:val="009219B1"/>
    <w:rsid w:val="00921A29"/>
    <w:rsid w:val="00921CBF"/>
    <w:rsid w:val="00921D05"/>
    <w:rsid w:val="00921E97"/>
    <w:rsid w:val="00921ED4"/>
    <w:rsid w:val="00921EFF"/>
    <w:rsid w:val="00921F27"/>
    <w:rsid w:val="00921FCB"/>
    <w:rsid w:val="0092220D"/>
    <w:rsid w:val="00922246"/>
    <w:rsid w:val="009223F9"/>
    <w:rsid w:val="009223FF"/>
    <w:rsid w:val="00922478"/>
    <w:rsid w:val="00922521"/>
    <w:rsid w:val="00922611"/>
    <w:rsid w:val="00922695"/>
    <w:rsid w:val="00922706"/>
    <w:rsid w:val="00922759"/>
    <w:rsid w:val="00922831"/>
    <w:rsid w:val="00922A7F"/>
    <w:rsid w:val="00922B76"/>
    <w:rsid w:val="00922D7D"/>
    <w:rsid w:val="00922D80"/>
    <w:rsid w:val="00922DA7"/>
    <w:rsid w:val="00922E2B"/>
    <w:rsid w:val="00922EE4"/>
    <w:rsid w:val="00922F50"/>
    <w:rsid w:val="00922F9B"/>
    <w:rsid w:val="00922FCA"/>
    <w:rsid w:val="00923000"/>
    <w:rsid w:val="00923024"/>
    <w:rsid w:val="00923123"/>
    <w:rsid w:val="009231C3"/>
    <w:rsid w:val="00923318"/>
    <w:rsid w:val="00923325"/>
    <w:rsid w:val="009233CF"/>
    <w:rsid w:val="009234C0"/>
    <w:rsid w:val="0092363D"/>
    <w:rsid w:val="009236C0"/>
    <w:rsid w:val="00923753"/>
    <w:rsid w:val="00923872"/>
    <w:rsid w:val="00923899"/>
    <w:rsid w:val="009238BC"/>
    <w:rsid w:val="00923A45"/>
    <w:rsid w:val="00923A91"/>
    <w:rsid w:val="00923AE2"/>
    <w:rsid w:val="00923B44"/>
    <w:rsid w:val="00923BCB"/>
    <w:rsid w:val="00923D85"/>
    <w:rsid w:val="00923DBE"/>
    <w:rsid w:val="00923E19"/>
    <w:rsid w:val="00923EB9"/>
    <w:rsid w:val="00923ED1"/>
    <w:rsid w:val="00923F39"/>
    <w:rsid w:val="00924142"/>
    <w:rsid w:val="00924256"/>
    <w:rsid w:val="00924469"/>
    <w:rsid w:val="0092451B"/>
    <w:rsid w:val="00924533"/>
    <w:rsid w:val="0092453A"/>
    <w:rsid w:val="00924616"/>
    <w:rsid w:val="0092462A"/>
    <w:rsid w:val="0092472B"/>
    <w:rsid w:val="009248F2"/>
    <w:rsid w:val="00924A06"/>
    <w:rsid w:val="00924A15"/>
    <w:rsid w:val="00924A18"/>
    <w:rsid w:val="00924C77"/>
    <w:rsid w:val="00924C92"/>
    <w:rsid w:val="00924D51"/>
    <w:rsid w:val="00924D84"/>
    <w:rsid w:val="00924DB6"/>
    <w:rsid w:val="00924DF7"/>
    <w:rsid w:val="00924E02"/>
    <w:rsid w:val="00924EB7"/>
    <w:rsid w:val="00924FA4"/>
    <w:rsid w:val="009250C4"/>
    <w:rsid w:val="00925293"/>
    <w:rsid w:val="009252C0"/>
    <w:rsid w:val="009252EF"/>
    <w:rsid w:val="00925376"/>
    <w:rsid w:val="00925438"/>
    <w:rsid w:val="0092543D"/>
    <w:rsid w:val="00925469"/>
    <w:rsid w:val="009254F2"/>
    <w:rsid w:val="0092554C"/>
    <w:rsid w:val="009255E6"/>
    <w:rsid w:val="00925654"/>
    <w:rsid w:val="00925802"/>
    <w:rsid w:val="00925844"/>
    <w:rsid w:val="0092585F"/>
    <w:rsid w:val="00925877"/>
    <w:rsid w:val="009258F3"/>
    <w:rsid w:val="0092592E"/>
    <w:rsid w:val="00925965"/>
    <w:rsid w:val="00925A2D"/>
    <w:rsid w:val="00925A31"/>
    <w:rsid w:val="00925A47"/>
    <w:rsid w:val="00925A49"/>
    <w:rsid w:val="00925A72"/>
    <w:rsid w:val="00925AF5"/>
    <w:rsid w:val="00925B5A"/>
    <w:rsid w:val="00925B5B"/>
    <w:rsid w:val="00925BDA"/>
    <w:rsid w:val="00925C7C"/>
    <w:rsid w:val="00925D19"/>
    <w:rsid w:val="00925D21"/>
    <w:rsid w:val="00925DCC"/>
    <w:rsid w:val="00925E6B"/>
    <w:rsid w:val="009260BF"/>
    <w:rsid w:val="009260D1"/>
    <w:rsid w:val="0092623D"/>
    <w:rsid w:val="00926278"/>
    <w:rsid w:val="009262C6"/>
    <w:rsid w:val="0092636A"/>
    <w:rsid w:val="009263D5"/>
    <w:rsid w:val="009263DF"/>
    <w:rsid w:val="009264AC"/>
    <w:rsid w:val="0092650B"/>
    <w:rsid w:val="00926565"/>
    <w:rsid w:val="009265C2"/>
    <w:rsid w:val="009266FA"/>
    <w:rsid w:val="009267EF"/>
    <w:rsid w:val="0092681F"/>
    <w:rsid w:val="00926A07"/>
    <w:rsid w:val="00926A42"/>
    <w:rsid w:val="00926AAA"/>
    <w:rsid w:val="00926BF1"/>
    <w:rsid w:val="00926C03"/>
    <w:rsid w:val="00926C79"/>
    <w:rsid w:val="00926C85"/>
    <w:rsid w:val="00926D08"/>
    <w:rsid w:val="00926D10"/>
    <w:rsid w:val="00926DAD"/>
    <w:rsid w:val="00926DC3"/>
    <w:rsid w:val="00926E2B"/>
    <w:rsid w:val="00926E53"/>
    <w:rsid w:val="00926F65"/>
    <w:rsid w:val="00926F77"/>
    <w:rsid w:val="00927091"/>
    <w:rsid w:val="009270AE"/>
    <w:rsid w:val="00927207"/>
    <w:rsid w:val="00927208"/>
    <w:rsid w:val="00927246"/>
    <w:rsid w:val="009272BF"/>
    <w:rsid w:val="00927355"/>
    <w:rsid w:val="009273AF"/>
    <w:rsid w:val="009274A0"/>
    <w:rsid w:val="0092754A"/>
    <w:rsid w:val="00927567"/>
    <w:rsid w:val="009276DE"/>
    <w:rsid w:val="009277FA"/>
    <w:rsid w:val="00927AC7"/>
    <w:rsid w:val="00927B62"/>
    <w:rsid w:val="00927BE8"/>
    <w:rsid w:val="00927C06"/>
    <w:rsid w:val="00927C54"/>
    <w:rsid w:val="00927CCD"/>
    <w:rsid w:val="00927F50"/>
    <w:rsid w:val="00927F5B"/>
    <w:rsid w:val="00927F69"/>
    <w:rsid w:val="00927FA8"/>
    <w:rsid w:val="0093003A"/>
    <w:rsid w:val="00930056"/>
    <w:rsid w:val="00930248"/>
    <w:rsid w:val="00930303"/>
    <w:rsid w:val="00930485"/>
    <w:rsid w:val="0093054C"/>
    <w:rsid w:val="009306E1"/>
    <w:rsid w:val="00930744"/>
    <w:rsid w:val="00930784"/>
    <w:rsid w:val="009308BD"/>
    <w:rsid w:val="0093090F"/>
    <w:rsid w:val="00930950"/>
    <w:rsid w:val="009309AC"/>
    <w:rsid w:val="00930DCB"/>
    <w:rsid w:val="00930DDC"/>
    <w:rsid w:val="00930E6E"/>
    <w:rsid w:val="00930EAA"/>
    <w:rsid w:val="00930FD3"/>
    <w:rsid w:val="0093105D"/>
    <w:rsid w:val="00931069"/>
    <w:rsid w:val="009310B8"/>
    <w:rsid w:val="009311EC"/>
    <w:rsid w:val="00931392"/>
    <w:rsid w:val="009314C2"/>
    <w:rsid w:val="00931506"/>
    <w:rsid w:val="00931544"/>
    <w:rsid w:val="00931568"/>
    <w:rsid w:val="009316C8"/>
    <w:rsid w:val="009317C4"/>
    <w:rsid w:val="0093183C"/>
    <w:rsid w:val="009318B5"/>
    <w:rsid w:val="009318C4"/>
    <w:rsid w:val="00931B01"/>
    <w:rsid w:val="00931B63"/>
    <w:rsid w:val="00931CC7"/>
    <w:rsid w:val="00931E34"/>
    <w:rsid w:val="00931FC3"/>
    <w:rsid w:val="00932053"/>
    <w:rsid w:val="009322A9"/>
    <w:rsid w:val="00932301"/>
    <w:rsid w:val="0093233A"/>
    <w:rsid w:val="00932489"/>
    <w:rsid w:val="00932698"/>
    <w:rsid w:val="009326E8"/>
    <w:rsid w:val="00932710"/>
    <w:rsid w:val="009329A1"/>
    <w:rsid w:val="009329ED"/>
    <w:rsid w:val="00932A8B"/>
    <w:rsid w:val="00932AF1"/>
    <w:rsid w:val="00932B55"/>
    <w:rsid w:val="00932C4C"/>
    <w:rsid w:val="00932CB3"/>
    <w:rsid w:val="00932CB9"/>
    <w:rsid w:val="00932CFF"/>
    <w:rsid w:val="00932D7B"/>
    <w:rsid w:val="00932ECB"/>
    <w:rsid w:val="0093303A"/>
    <w:rsid w:val="00933057"/>
    <w:rsid w:val="00933099"/>
    <w:rsid w:val="009331C9"/>
    <w:rsid w:val="0093328F"/>
    <w:rsid w:val="0093333D"/>
    <w:rsid w:val="0093338E"/>
    <w:rsid w:val="009334FB"/>
    <w:rsid w:val="0093351E"/>
    <w:rsid w:val="00933568"/>
    <w:rsid w:val="009335DE"/>
    <w:rsid w:val="00933797"/>
    <w:rsid w:val="0093380D"/>
    <w:rsid w:val="00933869"/>
    <w:rsid w:val="009339BB"/>
    <w:rsid w:val="00933AFF"/>
    <w:rsid w:val="00933B5D"/>
    <w:rsid w:val="00933B70"/>
    <w:rsid w:val="00933C04"/>
    <w:rsid w:val="00933C3A"/>
    <w:rsid w:val="00933D1D"/>
    <w:rsid w:val="00933ED6"/>
    <w:rsid w:val="00933EE2"/>
    <w:rsid w:val="00933F5C"/>
    <w:rsid w:val="00933F80"/>
    <w:rsid w:val="00933FC4"/>
    <w:rsid w:val="0093402E"/>
    <w:rsid w:val="0093412E"/>
    <w:rsid w:val="00934181"/>
    <w:rsid w:val="009343EF"/>
    <w:rsid w:val="009344F6"/>
    <w:rsid w:val="00934591"/>
    <w:rsid w:val="00934641"/>
    <w:rsid w:val="0093464D"/>
    <w:rsid w:val="00934702"/>
    <w:rsid w:val="0093475D"/>
    <w:rsid w:val="009347DC"/>
    <w:rsid w:val="009348C4"/>
    <w:rsid w:val="00934920"/>
    <w:rsid w:val="00934978"/>
    <w:rsid w:val="00934A7A"/>
    <w:rsid w:val="00934A98"/>
    <w:rsid w:val="00934AB5"/>
    <w:rsid w:val="00934AD0"/>
    <w:rsid w:val="00934AEB"/>
    <w:rsid w:val="00934B33"/>
    <w:rsid w:val="00934B4C"/>
    <w:rsid w:val="00934BF3"/>
    <w:rsid w:val="00934C09"/>
    <w:rsid w:val="00934CE7"/>
    <w:rsid w:val="00934DEB"/>
    <w:rsid w:val="00934EEB"/>
    <w:rsid w:val="00934F9E"/>
    <w:rsid w:val="00935016"/>
    <w:rsid w:val="009351F8"/>
    <w:rsid w:val="009352AD"/>
    <w:rsid w:val="00935462"/>
    <w:rsid w:val="0093551E"/>
    <w:rsid w:val="00935523"/>
    <w:rsid w:val="00935699"/>
    <w:rsid w:val="009356ED"/>
    <w:rsid w:val="009356EE"/>
    <w:rsid w:val="0093578F"/>
    <w:rsid w:val="009357A7"/>
    <w:rsid w:val="00935833"/>
    <w:rsid w:val="00935834"/>
    <w:rsid w:val="00935BC5"/>
    <w:rsid w:val="00935CE4"/>
    <w:rsid w:val="00935D4A"/>
    <w:rsid w:val="00935D6E"/>
    <w:rsid w:val="00935E9B"/>
    <w:rsid w:val="00935F2C"/>
    <w:rsid w:val="00935F97"/>
    <w:rsid w:val="00935FCA"/>
    <w:rsid w:val="00936106"/>
    <w:rsid w:val="009361A8"/>
    <w:rsid w:val="009361E5"/>
    <w:rsid w:val="0093624B"/>
    <w:rsid w:val="00936252"/>
    <w:rsid w:val="00936356"/>
    <w:rsid w:val="00936458"/>
    <w:rsid w:val="00936543"/>
    <w:rsid w:val="00936606"/>
    <w:rsid w:val="00936677"/>
    <w:rsid w:val="009366EC"/>
    <w:rsid w:val="00936751"/>
    <w:rsid w:val="00936815"/>
    <w:rsid w:val="0093698E"/>
    <w:rsid w:val="00936A81"/>
    <w:rsid w:val="00936B57"/>
    <w:rsid w:val="00936BAE"/>
    <w:rsid w:val="00936C29"/>
    <w:rsid w:val="00936C51"/>
    <w:rsid w:val="00936C65"/>
    <w:rsid w:val="00936D0A"/>
    <w:rsid w:val="00936E33"/>
    <w:rsid w:val="00936FC8"/>
    <w:rsid w:val="00936FE4"/>
    <w:rsid w:val="00937098"/>
    <w:rsid w:val="009373A8"/>
    <w:rsid w:val="009373D1"/>
    <w:rsid w:val="009374FC"/>
    <w:rsid w:val="00937517"/>
    <w:rsid w:val="00937519"/>
    <w:rsid w:val="00937562"/>
    <w:rsid w:val="009375B5"/>
    <w:rsid w:val="00937645"/>
    <w:rsid w:val="0093769B"/>
    <w:rsid w:val="009376F4"/>
    <w:rsid w:val="0093772C"/>
    <w:rsid w:val="009377A3"/>
    <w:rsid w:val="009377B8"/>
    <w:rsid w:val="00937B77"/>
    <w:rsid w:val="00937CAE"/>
    <w:rsid w:val="00937D0E"/>
    <w:rsid w:val="00937E06"/>
    <w:rsid w:val="00937FA4"/>
    <w:rsid w:val="00940005"/>
    <w:rsid w:val="0094037A"/>
    <w:rsid w:val="0094038E"/>
    <w:rsid w:val="0094049D"/>
    <w:rsid w:val="009404E5"/>
    <w:rsid w:val="00940590"/>
    <w:rsid w:val="009406A3"/>
    <w:rsid w:val="009406E8"/>
    <w:rsid w:val="00940724"/>
    <w:rsid w:val="00940780"/>
    <w:rsid w:val="00940959"/>
    <w:rsid w:val="00940BB5"/>
    <w:rsid w:val="00940CB3"/>
    <w:rsid w:val="00940CD2"/>
    <w:rsid w:val="00940CEF"/>
    <w:rsid w:val="00940D33"/>
    <w:rsid w:val="00940ED2"/>
    <w:rsid w:val="00940F1A"/>
    <w:rsid w:val="00941043"/>
    <w:rsid w:val="0094105A"/>
    <w:rsid w:val="0094113B"/>
    <w:rsid w:val="0094114A"/>
    <w:rsid w:val="009413FF"/>
    <w:rsid w:val="009415DD"/>
    <w:rsid w:val="009416CE"/>
    <w:rsid w:val="00941762"/>
    <w:rsid w:val="00941775"/>
    <w:rsid w:val="0094179D"/>
    <w:rsid w:val="009417E2"/>
    <w:rsid w:val="00941845"/>
    <w:rsid w:val="00941A7C"/>
    <w:rsid w:val="00941AF7"/>
    <w:rsid w:val="00941B25"/>
    <w:rsid w:val="00941B82"/>
    <w:rsid w:val="00941BAE"/>
    <w:rsid w:val="00941C21"/>
    <w:rsid w:val="0094224A"/>
    <w:rsid w:val="00942334"/>
    <w:rsid w:val="0094239C"/>
    <w:rsid w:val="00942535"/>
    <w:rsid w:val="00942632"/>
    <w:rsid w:val="00942714"/>
    <w:rsid w:val="00942749"/>
    <w:rsid w:val="0094274C"/>
    <w:rsid w:val="00942913"/>
    <w:rsid w:val="009429A3"/>
    <w:rsid w:val="009429D0"/>
    <w:rsid w:val="009429EB"/>
    <w:rsid w:val="00942B1B"/>
    <w:rsid w:val="00942B36"/>
    <w:rsid w:val="00942CBC"/>
    <w:rsid w:val="00942D21"/>
    <w:rsid w:val="00942D55"/>
    <w:rsid w:val="00942D74"/>
    <w:rsid w:val="00942E00"/>
    <w:rsid w:val="00942EA7"/>
    <w:rsid w:val="00942F4F"/>
    <w:rsid w:val="00942F57"/>
    <w:rsid w:val="0094304A"/>
    <w:rsid w:val="00943050"/>
    <w:rsid w:val="00943258"/>
    <w:rsid w:val="0094328F"/>
    <w:rsid w:val="009432CA"/>
    <w:rsid w:val="0094339F"/>
    <w:rsid w:val="0094340A"/>
    <w:rsid w:val="009434F5"/>
    <w:rsid w:val="0094350F"/>
    <w:rsid w:val="00943540"/>
    <w:rsid w:val="00943641"/>
    <w:rsid w:val="009437AF"/>
    <w:rsid w:val="00943B00"/>
    <w:rsid w:val="00943BAE"/>
    <w:rsid w:val="00943C13"/>
    <w:rsid w:val="00943C8A"/>
    <w:rsid w:val="00943E15"/>
    <w:rsid w:val="00943EAE"/>
    <w:rsid w:val="00943F02"/>
    <w:rsid w:val="00943FF7"/>
    <w:rsid w:val="00944085"/>
    <w:rsid w:val="009440CD"/>
    <w:rsid w:val="0094438C"/>
    <w:rsid w:val="00944524"/>
    <w:rsid w:val="00944531"/>
    <w:rsid w:val="00944832"/>
    <w:rsid w:val="00944930"/>
    <w:rsid w:val="00944986"/>
    <w:rsid w:val="00944A19"/>
    <w:rsid w:val="00944A93"/>
    <w:rsid w:val="00944A96"/>
    <w:rsid w:val="00944A98"/>
    <w:rsid w:val="00944B33"/>
    <w:rsid w:val="00944B34"/>
    <w:rsid w:val="00944BC0"/>
    <w:rsid w:val="00944C56"/>
    <w:rsid w:val="00944C5B"/>
    <w:rsid w:val="00944D10"/>
    <w:rsid w:val="00944D41"/>
    <w:rsid w:val="00944D4E"/>
    <w:rsid w:val="00944DFD"/>
    <w:rsid w:val="0094504A"/>
    <w:rsid w:val="009450D5"/>
    <w:rsid w:val="009450D7"/>
    <w:rsid w:val="00945170"/>
    <w:rsid w:val="0094532A"/>
    <w:rsid w:val="00945425"/>
    <w:rsid w:val="0094543C"/>
    <w:rsid w:val="009455E8"/>
    <w:rsid w:val="0094566E"/>
    <w:rsid w:val="0094570E"/>
    <w:rsid w:val="00945761"/>
    <w:rsid w:val="00945794"/>
    <w:rsid w:val="009458AC"/>
    <w:rsid w:val="00945A1D"/>
    <w:rsid w:val="00945A73"/>
    <w:rsid w:val="00945B05"/>
    <w:rsid w:val="00945B12"/>
    <w:rsid w:val="00945C60"/>
    <w:rsid w:val="00945DC2"/>
    <w:rsid w:val="00945F66"/>
    <w:rsid w:val="009460E9"/>
    <w:rsid w:val="00946277"/>
    <w:rsid w:val="009462D9"/>
    <w:rsid w:val="009467A8"/>
    <w:rsid w:val="009469DD"/>
    <w:rsid w:val="00946B5C"/>
    <w:rsid w:val="00946BE8"/>
    <w:rsid w:val="00946CAE"/>
    <w:rsid w:val="00946CC3"/>
    <w:rsid w:val="00946EF8"/>
    <w:rsid w:val="00947088"/>
    <w:rsid w:val="009470E4"/>
    <w:rsid w:val="00947191"/>
    <w:rsid w:val="0094731E"/>
    <w:rsid w:val="00947357"/>
    <w:rsid w:val="00947360"/>
    <w:rsid w:val="0094739C"/>
    <w:rsid w:val="0094740D"/>
    <w:rsid w:val="00947490"/>
    <w:rsid w:val="009474E4"/>
    <w:rsid w:val="009475D9"/>
    <w:rsid w:val="009475DF"/>
    <w:rsid w:val="009476CE"/>
    <w:rsid w:val="009476E0"/>
    <w:rsid w:val="009477C0"/>
    <w:rsid w:val="009478C7"/>
    <w:rsid w:val="0094798F"/>
    <w:rsid w:val="00947AC2"/>
    <w:rsid w:val="00947E26"/>
    <w:rsid w:val="00947E40"/>
    <w:rsid w:val="00947E7F"/>
    <w:rsid w:val="00947FB6"/>
    <w:rsid w:val="009500B6"/>
    <w:rsid w:val="009500CA"/>
    <w:rsid w:val="009501D9"/>
    <w:rsid w:val="009502CD"/>
    <w:rsid w:val="009503C8"/>
    <w:rsid w:val="0095044E"/>
    <w:rsid w:val="009506DB"/>
    <w:rsid w:val="0095087E"/>
    <w:rsid w:val="009508A9"/>
    <w:rsid w:val="00950950"/>
    <w:rsid w:val="00950BCE"/>
    <w:rsid w:val="00950D44"/>
    <w:rsid w:val="00950EF8"/>
    <w:rsid w:val="00951070"/>
    <w:rsid w:val="00951150"/>
    <w:rsid w:val="009511D4"/>
    <w:rsid w:val="00951267"/>
    <w:rsid w:val="00951309"/>
    <w:rsid w:val="009514BF"/>
    <w:rsid w:val="009514E4"/>
    <w:rsid w:val="00951599"/>
    <w:rsid w:val="00951773"/>
    <w:rsid w:val="009519D2"/>
    <w:rsid w:val="00951AB7"/>
    <w:rsid w:val="00951B28"/>
    <w:rsid w:val="00951BDA"/>
    <w:rsid w:val="00951C95"/>
    <w:rsid w:val="00951D54"/>
    <w:rsid w:val="00951D73"/>
    <w:rsid w:val="00951D9A"/>
    <w:rsid w:val="00951EA4"/>
    <w:rsid w:val="00951F1E"/>
    <w:rsid w:val="00951F37"/>
    <w:rsid w:val="00951F5D"/>
    <w:rsid w:val="00951F6B"/>
    <w:rsid w:val="00951FBE"/>
    <w:rsid w:val="00952064"/>
    <w:rsid w:val="0095212C"/>
    <w:rsid w:val="0095231C"/>
    <w:rsid w:val="00952464"/>
    <w:rsid w:val="009526E1"/>
    <w:rsid w:val="0095273A"/>
    <w:rsid w:val="009527BC"/>
    <w:rsid w:val="009527DC"/>
    <w:rsid w:val="009529ED"/>
    <w:rsid w:val="00952A38"/>
    <w:rsid w:val="00952AD6"/>
    <w:rsid w:val="00952B22"/>
    <w:rsid w:val="00952BE4"/>
    <w:rsid w:val="00952CDB"/>
    <w:rsid w:val="00952D36"/>
    <w:rsid w:val="00952EA9"/>
    <w:rsid w:val="00952ED2"/>
    <w:rsid w:val="00952EFA"/>
    <w:rsid w:val="00952F57"/>
    <w:rsid w:val="00952F8D"/>
    <w:rsid w:val="00952FB8"/>
    <w:rsid w:val="00952FFF"/>
    <w:rsid w:val="00953079"/>
    <w:rsid w:val="009530BA"/>
    <w:rsid w:val="00953251"/>
    <w:rsid w:val="00953306"/>
    <w:rsid w:val="00953340"/>
    <w:rsid w:val="009534DF"/>
    <w:rsid w:val="009534E0"/>
    <w:rsid w:val="00953803"/>
    <w:rsid w:val="00953E77"/>
    <w:rsid w:val="00953FB1"/>
    <w:rsid w:val="00954084"/>
    <w:rsid w:val="009540F8"/>
    <w:rsid w:val="009541EC"/>
    <w:rsid w:val="00954310"/>
    <w:rsid w:val="00954358"/>
    <w:rsid w:val="009543C5"/>
    <w:rsid w:val="009543F6"/>
    <w:rsid w:val="00954451"/>
    <w:rsid w:val="009544E3"/>
    <w:rsid w:val="009544F6"/>
    <w:rsid w:val="009545C5"/>
    <w:rsid w:val="009546C5"/>
    <w:rsid w:val="00954799"/>
    <w:rsid w:val="009547FD"/>
    <w:rsid w:val="00954836"/>
    <w:rsid w:val="009548DF"/>
    <w:rsid w:val="00954A3C"/>
    <w:rsid w:val="00954BF5"/>
    <w:rsid w:val="00954CC3"/>
    <w:rsid w:val="00954D57"/>
    <w:rsid w:val="00954DF7"/>
    <w:rsid w:val="00954F39"/>
    <w:rsid w:val="00954FB7"/>
    <w:rsid w:val="00955064"/>
    <w:rsid w:val="009550B9"/>
    <w:rsid w:val="009554ED"/>
    <w:rsid w:val="00955552"/>
    <w:rsid w:val="0095557D"/>
    <w:rsid w:val="009555A5"/>
    <w:rsid w:val="00955790"/>
    <w:rsid w:val="009558A8"/>
    <w:rsid w:val="009559D0"/>
    <w:rsid w:val="00955AB1"/>
    <w:rsid w:val="00955B82"/>
    <w:rsid w:val="00955BB6"/>
    <w:rsid w:val="00955CE2"/>
    <w:rsid w:val="00955CE3"/>
    <w:rsid w:val="00955DAD"/>
    <w:rsid w:val="00955DB7"/>
    <w:rsid w:val="00955E06"/>
    <w:rsid w:val="00955FAB"/>
    <w:rsid w:val="00956328"/>
    <w:rsid w:val="009565A5"/>
    <w:rsid w:val="0095674A"/>
    <w:rsid w:val="009568A3"/>
    <w:rsid w:val="00956920"/>
    <w:rsid w:val="009569F8"/>
    <w:rsid w:val="00956A94"/>
    <w:rsid w:val="00956A9C"/>
    <w:rsid w:val="00956BD9"/>
    <w:rsid w:val="00956C1B"/>
    <w:rsid w:val="00956DBC"/>
    <w:rsid w:val="0095700F"/>
    <w:rsid w:val="009570A6"/>
    <w:rsid w:val="009571E0"/>
    <w:rsid w:val="00957225"/>
    <w:rsid w:val="00957256"/>
    <w:rsid w:val="0095730B"/>
    <w:rsid w:val="00957321"/>
    <w:rsid w:val="009574A2"/>
    <w:rsid w:val="009574CA"/>
    <w:rsid w:val="009575DA"/>
    <w:rsid w:val="009576D2"/>
    <w:rsid w:val="009577E8"/>
    <w:rsid w:val="009578D4"/>
    <w:rsid w:val="009578E5"/>
    <w:rsid w:val="00957918"/>
    <w:rsid w:val="00957927"/>
    <w:rsid w:val="0095794C"/>
    <w:rsid w:val="00957979"/>
    <w:rsid w:val="00957A27"/>
    <w:rsid w:val="00957A3F"/>
    <w:rsid w:val="00957B30"/>
    <w:rsid w:val="00957C44"/>
    <w:rsid w:val="00957C9E"/>
    <w:rsid w:val="00957CCD"/>
    <w:rsid w:val="00957D7A"/>
    <w:rsid w:val="00957D99"/>
    <w:rsid w:val="00957E68"/>
    <w:rsid w:val="00957EF3"/>
    <w:rsid w:val="00957F40"/>
    <w:rsid w:val="00957FBC"/>
    <w:rsid w:val="00960326"/>
    <w:rsid w:val="00960362"/>
    <w:rsid w:val="009603DE"/>
    <w:rsid w:val="009603ED"/>
    <w:rsid w:val="0096040A"/>
    <w:rsid w:val="009604FA"/>
    <w:rsid w:val="0096053A"/>
    <w:rsid w:val="00960562"/>
    <w:rsid w:val="009605C0"/>
    <w:rsid w:val="00960685"/>
    <w:rsid w:val="00960699"/>
    <w:rsid w:val="009607D8"/>
    <w:rsid w:val="0096090A"/>
    <w:rsid w:val="00960A3A"/>
    <w:rsid w:val="00960B2D"/>
    <w:rsid w:val="00960D90"/>
    <w:rsid w:val="00960E39"/>
    <w:rsid w:val="00960E5B"/>
    <w:rsid w:val="00960E76"/>
    <w:rsid w:val="00960E9A"/>
    <w:rsid w:val="0096106D"/>
    <w:rsid w:val="00961087"/>
    <w:rsid w:val="0096124E"/>
    <w:rsid w:val="0096134E"/>
    <w:rsid w:val="0096141C"/>
    <w:rsid w:val="00961558"/>
    <w:rsid w:val="00961657"/>
    <w:rsid w:val="00961797"/>
    <w:rsid w:val="009617AF"/>
    <w:rsid w:val="009618B5"/>
    <w:rsid w:val="0096192C"/>
    <w:rsid w:val="00961964"/>
    <w:rsid w:val="00961A3B"/>
    <w:rsid w:val="00961BD2"/>
    <w:rsid w:val="00961CB2"/>
    <w:rsid w:val="00961D42"/>
    <w:rsid w:val="00961DF9"/>
    <w:rsid w:val="00961F4F"/>
    <w:rsid w:val="00961F9E"/>
    <w:rsid w:val="00962056"/>
    <w:rsid w:val="00962086"/>
    <w:rsid w:val="009620B2"/>
    <w:rsid w:val="009620B7"/>
    <w:rsid w:val="00962123"/>
    <w:rsid w:val="00962162"/>
    <w:rsid w:val="009622C0"/>
    <w:rsid w:val="009622CF"/>
    <w:rsid w:val="009623ED"/>
    <w:rsid w:val="009624C7"/>
    <w:rsid w:val="009626AB"/>
    <w:rsid w:val="00962786"/>
    <w:rsid w:val="009628C2"/>
    <w:rsid w:val="009629D2"/>
    <w:rsid w:val="00962A12"/>
    <w:rsid w:val="00962A17"/>
    <w:rsid w:val="00962C47"/>
    <w:rsid w:val="00962CAA"/>
    <w:rsid w:val="00962CB0"/>
    <w:rsid w:val="00962CFE"/>
    <w:rsid w:val="00962D81"/>
    <w:rsid w:val="00962F25"/>
    <w:rsid w:val="00962F49"/>
    <w:rsid w:val="00963011"/>
    <w:rsid w:val="0096301A"/>
    <w:rsid w:val="00963040"/>
    <w:rsid w:val="00963041"/>
    <w:rsid w:val="009630D5"/>
    <w:rsid w:val="00963127"/>
    <w:rsid w:val="00963366"/>
    <w:rsid w:val="009633AD"/>
    <w:rsid w:val="009635B6"/>
    <w:rsid w:val="009635F2"/>
    <w:rsid w:val="009636E9"/>
    <w:rsid w:val="0096370E"/>
    <w:rsid w:val="0096371E"/>
    <w:rsid w:val="00963751"/>
    <w:rsid w:val="00963840"/>
    <w:rsid w:val="009639B6"/>
    <w:rsid w:val="00963AA6"/>
    <w:rsid w:val="00963B28"/>
    <w:rsid w:val="00963D37"/>
    <w:rsid w:val="00963DFD"/>
    <w:rsid w:val="00963EBC"/>
    <w:rsid w:val="00963F9D"/>
    <w:rsid w:val="0096404E"/>
    <w:rsid w:val="0096409C"/>
    <w:rsid w:val="0096414E"/>
    <w:rsid w:val="009642B0"/>
    <w:rsid w:val="00964361"/>
    <w:rsid w:val="0096455E"/>
    <w:rsid w:val="009646D8"/>
    <w:rsid w:val="009646DA"/>
    <w:rsid w:val="009648D9"/>
    <w:rsid w:val="009649BA"/>
    <w:rsid w:val="00964D1A"/>
    <w:rsid w:val="009650B6"/>
    <w:rsid w:val="00965244"/>
    <w:rsid w:val="009652C0"/>
    <w:rsid w:val="00965429"/>
    <w:rsid w:val="00965434"/>
    <w:rsid w:val="0096545A"/>
    <w:rsid w:val="0096546D"/>
    <w:rsid w:val="0096547C"/>
    <w:rsid w:val="009654BC"/>
    <w:rsid w:val="009654F7"/>
    <w:rsid w:val="00965628"/>
    <w:rsid w:val="0096565F"/>
    <w:rsid w:val="009656ED"/>
    <w:rsid w:val="00965730"/>
    <w:rsid w:val="00965751"/>
    <w:rsid w:val="00965835"/>
    <w:rsid w:val="00965972"/>
    <w:rsid w:val="00965B41"/>
    <w:rsid w:val="00965BF4"/>
    <w:rsid w:val="00965D89"/>
    <w:rsid w:val="00965D9A"/>
    <w:rsid w:val="00965E97"/>
    <w:rsid w:val="00965ED4"/>
    <w:rsid w:val="00965F25"/>
    <w:rsid w:val="00965F9A"/>
    <w:rsid w:val="009660DF"/>
    <w:rsid w:val="009661E9"/>
    <w:rsid w:val="009661EA"/>
    <w:rsid w:val="0096627C"/>
    <w:rsid w:val="00966319"/>
    <w:rsid w:val="009663B1"/>
    <w:rsid w:val="009665F4"/>
    <w:rsid w:val="00966633"/>
    <w:rsid w:val="00966678"/>
    <w:rsid w:val="00966862"/>
    <w:rsid w:val="009668FD"/>
    <w:rsid w:val="00966D04"/>
    <w:rsid w:val="00966DCA"/>
    <w:rsid w:val="00966E4F"/>
    <w:rsid w:val="00966E74"/>
    <w:rsid w:val="00966ECB"/>
    <w:rsid w:val="00966F15"/>
    <w:rsid w:val="0096703E"/>
    <w:rsid w:val="00967165"/>
    <w:rsid w:val="009671FF"/>
    <w:rsid w:val="009673E0"/>
    <w:rsid w:val="009673FD"/>
    <w:rsid w:val="0096740D"/>
    <w:rsid w:val="009674C3"/>
    <w:rsid w:val="00967528"/>
    <w:rsid w:val="00967555"/>
    <w:rsid w:val="0096760B"/>
    <w:rsid w:val="009676E2"/>
    <w:rsid w:val="00967722"/>
    <w:rsid w:val="009677BB"/>
    <w:rsid w:val="009677E2"/>
    <w:rsid w:val="00967821"/>
    <w:rsid w:val="00967858"/>
    <w:rsid w:val="00967880"/>
    <w:rsid w:val="00967A07"/>
    <w:rsid w:val="00967BA1"/>
    <w:rsid w:val="00967E14"/>
    <w:rsid w:val="00967E5D"/>
    <w:rsid w:val="00967E83"/>
    <w:rsid w:val="00967FD7"/>
    <w:rsid w:val="009702FA"/>
    <w:rsid w:val="00970435"/>
    <w:rsid w:val="009704B9"/>
    <w:rsid w:val="009704D2"/>
    <w:rsid w:val="009704E4"/>
    <w:rsid w:val="009705B7"/>
    <w:rsid w:val="00970683"/>
    <w:rsid w:val="0097068A"/>
    <w:rsid w:val="00970697"/>
    <w:rsid w:val="009709A6"/>
    <w:rsid w:val="009709C4"/>
    <w:rsid w:val="00970C69"/>
    <w:rsid w:val="00970D16"/>
    <w:rsid w:val="00970DB6"/>
    <w:rsid w:val="00970EB4"/>
    <w:rsid w:val="0097105E"/>
    <w:rsid w:val="00971061"/>
    <w:rsid w:val="009710B8"/>
    <w:rsid w:val="00971129"/>
    <w:rsid w:val="00971234"/>
    <w:rsid w:val="009714A5"/>
    <w:rsid w:val="009714BC"/>
    <w:rsid w:val="009714C7"/>
    <w:rsid w:val="00971503"/>
    <w:rsid w:val="0097153E"/>
    <w:rsid w:val="00971563"/>
    <w:rsid w:val="00971652"/>
    <w:rsid w:val="00971718"/>
    <w:rsid w:val="009717B0"/>
    <w:rsid w:val="009718A7"/>
    <w:rsid w:val="00971953"/>
    <w:rsid w:val="0097195C"/>
    <w:rsid w:val="00971A2E"/>
    <w:rsid w:val="00971A47"/>
    <w:rsid w:val="00971B3E"/>
    <w:rsid w:val="00971B80"/>
    <w:rsid w:val="00971BB0"/>
    <w:rsid w:val="00971D26"/>
    <w:rsid w:val="00971D42"/>
    <w:rsid w:val="00971DC4"/>
    <w:rsid w:val="00971EFC"/>
    <w:rsid w:val="00971F75"/>
    <w:rsid w:val="00971F8C"/>
    <w:rsid w:val="0097214F"/>
    <w:rsid w:val="0097218F"/>
    <w:rsid w:val="009721FD"/>
    <w:rsid w:val="009722E0"/>
    <w:rsid w:val="0097230A"/>
    <w:rsid w:val="00972417"/>
    <w:rsid w:val="00972483"/>
    <w:rsid w:val="00972564"/>
    <w:rsid w:val="009726C8"/>
    <w:rsid w:val="009727B4"/>
    <w:rsid w:val="00972842"/>
    <w:rsid w:val="00972941"/>
    <w:rsid w:val="009729C5"/>
    <w:rsid w:val="00972A0C"/>
    <w:rsid w:val="00972A40"/>
    <w:rsid w:val="00972A93"/>
    <w:rsid w:val="00972B01"/>
    <w:rsid w:val="00972E2A"/>
    <w:rsid w:val="00972EED"/>
    <w:rsid w:val="009730AE"/>
    <w:rsid w:val="00973108"/>
    <w:rsid w:val="0097312F"/>
    <w:rsid w:val="0097329F"/>
    <w:rsid w:val="00973389"/>
    <w:rsid w:val="009734E0"/>
    <w:rsid w:val="0097359E"/>
    <w:rsid w:val="009735AC"/>
    <w:rsid w:val="0097365A"/>
    <w:rsid w:val="00973669"/>
    <w:rsid w:val="009736FB"/>
    <w:rsid w:val="009737C4"/>
    <w:rsid w:val="009737D3"/>
    <w:rsid w:val="009737DB"/>
    <w:rsid w:val="009738BE"/>
    <w:rsid w:val="009738E0"/>
    <w:rsid w:val="009738F7"/>
    <w:rsid w:val="0097394B"/>
    <w:rsid w:val="00973B31"/>
    <w:rsid w:val="00973C02"/>
    <w:rsid w:val="00973CE4"/>
    <w:rsid w:val="00973D09"/>
    <w:rsid w:val="00973D16"/>
    <w:rsid w:val="00973D6E"/>
    <w:rsid w:val="00973DDA"/>
    <w:rsid w:val="00973E04"/>
    <w:rsid w:val="00973E0D"/>
    <w:rsid w:val="00973EA9"/>
    <w:rsid w:val="00973ED5"/>
    <w:rsid w:val="00973ED8"/>
    <w:rsid w:val="00974001"/>
    <w:rsid w:val="009740CA"/>
    <w:rsid w:val="009740D7"/>
    <w:rsid w:val="009740F4"/>
    <w:rsid w:val="009740FB"/>
    <w:rsid w:val="009742F4"/>
    <w:rsid w:val="0097435F"/>
    <w:rsid w:val="009744D6"/>
    <w:rsid w:val="00974517"/>
    <w:rsid w:val="00974583"/>
    <w:rsid w:val="00974725"/>
    <w:rsid w:val="00974937"/>
    <w:rsid w:val="009749B9"/>
    <w:rsid w:val="00974AA8"/>
    <w:rsid w:val="00974AD8"/>
    <w:rsid w:val="00974B7C"/>
    <w:rsid w:val="00974CFC"/>
    <w:rsid w:val="00974D52"/>
    <w:rsid w:val="00974D94"/>
    <w:rsid w:val="00974FCB"/>
    <w:rsid w:val="00975319"/>
    <w:rsid w:val="00975356"/>
    <w:rsid w:val="009753AC"/>
    <w:rsid w:val="0097540D"/>
    <w:rsid w:val="00975562"/>
    <w:rsid w:val="00975572"/>
    <w:rsid w:val="00975686"/>
    <w:rsid w:val="00975792"/>
    <w:rsid w:val="009758A8"/>
    <w:rsid w:val="00975934"/>
    <w:rsid w:val="00975A66"/>
    <w:rsid w:val="00975B72"/>
    <w:rsid w:val="00975B98"/>
    <w:rsid w:val="00975BBC"/>
    <w:rsid w:val="00975C61"/>
    <w:rsid w:val="00975D8A"/>
    <w:rsid w:val="00975E6C"/>
    <w:rsid w:val="00975F62"/>
    <w:rsid w:val="00975F8B"/>
    <w:rsid w:val="00975FB4"/>
    <w:rsid w:val="00976080"/>
    <w:rsid w:val="009761A1"/>
    <w:rsid w:val="00976225"/>
    <w:rsid w:val="00976429"/>
    <w:rsid w:val="009764E2"/>
    <w:rsid w:val="00976558"/>
    <w:rsid w:val="00976715"/>
    <w:rsid w:val="00976780"/>
    <w:rsid w:val="00976831"/>
    <w:rsid w:val="009769C4"/>
    <w:rsid w:val="00976AAC"/>
    <w:rsid w:val="00976B44"/>
    <w:rsid w:val="00976B6B"/>
    <w:rsid w:val="00976BBB"/>
    <w:rsid w:val="00976EA4"/>
    <w:rsid w:val="00977030"/>
    <w:rsid w:val="00977036"/>
    <w:rsid w:val="00977156"/>
    <w:rsid w:val="0097717D"/>
    <w:rsid w:val="0097719A"/>
    <w:rsid w:val="009771A7"/>
    <w:rsid w:val="00977340"/>
    <w:rsid w:val="009775C5"/>
    <w:rsid w:val="0097768B"/>
    <w:rsid w:val="009777A5"/>
    <w:rsid w:val="00977932"/>
    <w:rsid w:val="00977A76"/>
    <w:rsid w:val="00977AD7"/>
    <w:rsid w:val="00977BA6"/>
    <w:rsid w:val="00977BBF"/>
    <w:rsid w:val="00977CC6"/>
    <w:rsid w:val="009801A5"/>
    <w:rsid w:val="00980322"/>
    <w:rsid w:val="00980408"/>
    <w:rsid w:val="00980504"/>
    <w:rsid w:val="0098055A"/>
    <w:rsid w:val="009806BC"/>
    <w:rsid w:val="00980717"/>
    <w:rsid w:val="00980765"/>
    <w:rsid w:val="00980A48"/>
    <w:rsid w:val="00980CA0"/>
    <w:rsid w:val="00980DDA"/>
    <w:rsid w:val="00980E43"/>
    <w:rsid w:val="00980E4A"/>
    <w:rsid w:val="00980ED2"/>
    <w:rsid w:val="00980FF8"/>
    <w:rsid w:val="0098106A"/>
    <w:rsid w:val="009810DE"/>
    <w:rsid w:val="009810EB"/>
    <w:rsid w:val="0098128D"/>
    <w:rsid w:val="009812A3"/>
    <w:rsid w:val="009812FA"/>
    <w:rsid w:val="00981441"/>
    <w:rsid w:val="0098144D"/>
    <w:rsid w:val="009814C6"/>
    <w:rsid w:val="009814F4"/>
    <w:rsid w:val="00981528"/>
    <w:rsid w:val="00981579"/>
    <w:rsid w:val="009815FF"/>
    <w:rsid w:val="00981673"/>
    <w:rsid w:val="00981678"/>
    <w:rsid w:val="0098167E"/>
    <w:rsid w:val="0098170D"/>
    <w:rsid w:val="00981796"/>
    <w:rsid w:val="00981911"/>
    <w:rsid w:val="0098192E"/>
    <w:rsid w:val="0098196C"/>
    <w:rsid w:val="00981A63"/>
    <w:rsid w:val="00981AB9"/>
    <w:rsid w:val="00981AC4"/>
    <w:rsid w:val="00981AD7"/>
    <w:rsid w:val="00981B44"/>
    <w:rsid w:val="00981B72"/>
    <w:rsid w:val="00981BE5"/>
    <w:rsid w:val="00981C6A"/>
    <w:rsid w:val="00981C79"/>
    <w:rsid w:val="00981E70"/>
    <w:rsid w:val="00981F5D"/>
    <w:rsid w:val="00982028"/>
    <w:rsid w:val="009820B5"/>
    <w:rsid w:val="009820BB"/>
    <w:rsid w:val="009820F9"/>
    <w:rsid w:val="0098250F"/>
    <w:rsid w:val="0098257D"/>
    <w:rsid w:val="0098283B"/>
    <w:rsid w:val="0098289E"/>
    <w:rsid w:val="009828A6"/>
    <w:rsid w:val="009829C4"/>
    <w:rsid w:val="00982A67"/>
    <w:rsid w:val="00982C1A"/>
    <w:rsid w:val="00982CBA"/>
    <w:rsid w:val="00982CC4"/>
    <w:rsid w:val="00982D8D"/>
    <w:rsid w:val="00982D9B"/>
    <w:rsid w:val="00982F7E"/>
    <w:rsid w:val="00982FE1"/>
    <w:rsid w:val="00983063"/>
    <w:rsid w:val="009831F6"/>
    <w:rsid w:val="00983292"/>
    <w:rsid w:val="009832F5"/>
    <w:rsid w:val="009832F9"/>
    <w:rsid w:val="00983347"/>
    <w:rsid w:val="0098351D"/>
    <w:rsid w:val="009835B8"/>
    <w:rsid w:val="009835F9"/>
    <w:rsid w:val="009836FA"/>
    <w:rsid w:val="0098370F"/>
    <w:rsid w:val="0098371B"/>
    <w:rsid w:val="00983765"/>
    <w:rsid w:val="00983876"/>
    <w:rsid w:val="0098388A"/>
    <w:rsid w:val="009839D0"/>
    <w:rsid w:val="009839F1"/>
    <w:rsid w:val="00983BB2"/>
    <w:rsid w:val="00983CF9"/>
    <w:rsid w:val="00983E13"/>
    <w:rsid w:val="00983E4F"/>
    <w:rsid w:val="00983F53"/>
    <w:rsid w:val="0098439A"/>
    <w:rsid w:val="009845C1"/>
    <w:rsid w:val="00984609"/>
    <w:rsid w:val="00984795"/>
    <w:rsid w:val="009847D2"/>
    <w:rsid w:val="0098486E"/>
    <w:rsid w:val="00984942"/>
    <w:rsid w:val="00984968"/>
    <w:rsid w:val="009849F9"/>
    <w:rsid w:val="00984A6F"/>
    <w:rsid w:val="00984B8B"/>
    <w:rsid w:val="00984C28"/>
    <w:rsid w:val="00984CFF"/>
    <w:rsid w:val="00984D9E"/>
    <w:rsid w:val="00984ECF"/>
    <w:rsid w:val="00984EEF"/>
    <w:rsid w:val="00984F6C"/>
    <w:rsid w:val="00985063"/>
    <w:rsid w:val="00985079"/>
    <w:rsid w:val="0098508B"/>
    <w:rsid w:val="0098509D"/>
    <w:rsid w:val="00985186"/>
    <w:rsid w:val="009851B3"/>
    <w:rsid w:val="009851EC"/>
    <w:rsid w:val="00985320"/>
    <w:rsid w:val="00985384"/>
    <w:rsid w:val="009854E7"/>
    <w:rsid w:val="00985557"/>
    <w:rsid w:val="00985670"/>
    <w:rsid w:val="009857A4"/>
    <w:rsid w:val="009857F8"/>
    <w:rsid w:val="009858FD"/>
    <w:rsid w:val="00985966"/>
    <w:rsid w:val="00985A8F"/>
    <w:rsid w:val="00985B19"/>
    <w:rsid w:val="00985B8F"/>
    <w:rsid w:val="00985C31"/>
    <w:rsid w:val="00985CAC"/>
    <w:rsid w:val="00985D8D"/>
    <w:rsid w:val="00985E44"/>
    <w:rsid w:val="00985EF3"/>
    <w:rsid w:val="00986072"/>
    <w:rsid w:val="00986441"/>
    <w:rsid w:val="0098659C"/>
    <w:rsid w:val="0098669A"/>
    <w:rsid w:val="00986788"/>
    <w:rsid w:val="009867B5"/>
    <w:rsid w:val="0098692B"/>
    <w:rsid w:val="009869C0"/>
    <w:rsid w:val="009869DC"/>
    <w:rsid w:val="00986A42"/>
    <w:rsid w:val="00986A6E"/>
    <w:rsid w:val="00986ACC"/>
    <w:rsid w:val="00986BA0"/>
    <w:rsid w:val="00986CA8"/>
    <w:rsid w:val="00986D14"/>
    <w:rsid w:val="00986DE3"/>
    <w:rsid w:val="00986E0A"/>
    <w:rsid w:val="00986EC8"/>
    <w:rsid w:val="00986F4D"/>
    <w:rsid w:val="00986FBC"/>
    <w:rsid w:val="00987022"/>
    <w:rsid w:val="00987058"/>
    <w:rsid w:val="00987118"/>
    <w:rsid w:val="0098714D"/>
    <w:rsid w:val="0098717D"/>
    <w:rsid w:val="00987203"/>
    <w:rsid w:val="0098730C"/>
    <w:rsid w:val="0098736F"/>
    <w:rsid w:val="009873A0"/>
    <w:rsid w:val="009875FA"/>
    <w:rsid w:val="009876D2"/>
    <w:rsid w:val="009877C9"/>
    <w:rsid w:val="0098788A"/>
    <w:rsid w:val="00987AFD"/>
    <w:rsid w:val="00987B72"/>
    <w:rsid w:val="00987BD3"/>
    <w:rsid w:val="00987D46"/>
    <w:rsid w:val="00987EAE"/>
    <w:rsid w:val="00987FD7"/>
    <w:rsid w:val="009900EC"/>
    <w:rsid w:val="00990107"/>
    <w:rsid w:val="00990234"/>
    <w:rsid w:val="00990235"/>
    <w:rsid w:val="0099028C"/>
    <w:rsid w:val="00990296"/>
    <w:rsid w:val="0099034C"/>
    <w:rsid w:val="0099039F"/>
    <w:rsid w:val="009903A0"/>
    <w:rsid w:val="009903C4"/>
    <w:rsid w:val="009903DD"/>
    <w:rsid w:val="00990417"/>
    <w:rsid w:val="00990451"/>
    <w:rsid w:val="00990456"/>
    <w:rsid w:val="0099054F"/>
    <w:rsid w:val="009905AB"/>
    <w:rsid w:val="009906A8"/>
    <w:rsid w:val="0099095B"/>
    <w:rsid w:val="00990A14"/>
    <w:rsid w:val="00990A5B"/>
    <w:rsid w:val="00990C28"/>
    <w:rsid w:val="00990CD8"/>
    <w:rsid w:val="00990D48"/>
    <w:rsid w:val="009910CE"/>
    <w:rsid w:val="009910D1"/>
    <w:rsid w:val="009910EC"/>
    <w:rsid w:val="009911A7"/>
    <w:rsid w:val="0099124F"/>
    <w:rsid w:val="00991397"/>
    <w:rsid w:val="0099149D"/>
    <w:rsid w:val="009914C0"/>
    <w:rsid w:val="00991527"/>
    <w:rsid w:val="009915A2"/>
    <w:rsid w:val="009915A6"/>
    <w:rsid w:val="009915C2"/>
    <w:rsid w:val="00991639"/>
    <w:rsid w:val="00991640"/>
    <w:rsid w:val="00991751"/>
    <w:rsid w:val="009918A5"/>
    <w:rsid w:val="00991982"/>
    <w:rsid w:val="00991B88"/>
    <w:rsid w:val="00991C34"/>
    <w:rsid w:val="00991E44"/>
    <w:rsid w:val="00992017"/>
    <w:rsid w:val="00992055"/>
    <w:rsid w:val="009920A9"/>
    <w:rsid w:val="009920DF"/>
    <w:rsid w:val="0099214E"/>
    <w:rsid w:val="009921AE"/>
    <w:rsid w:val="009921C4"/>
    <w:rsid w:val="009921E0"/>
    <w:rsid w:val="0099227D"/>
    <w:rsid w:val="00992364"/>
    <w:rsid w:val="00992420"/>
    <w:rsid w:val="009924CF"/>
    <w:rsid w:val="009924FF"/>
    <w:rsid w:val="0099264B"/>
    <w:rsid w:val="009926CA"/>
    <w:rsid w:val="00992719"/>
    <w:rsid w:val="00992722"/>
    <w:rsid w:val="0099276D"/>
    <w:rsid w:val="00992B8D"/>
    <w:rsid w:val="00992BC3"/>
    <w:rsid w:val="00992C2E"/>
    <w:rsid w:val="00992E75"/>
    <w:rsid w:val="00992EFD"/>
    <w:rsid w:val="00992FB5"/>
    <w:rsid w:val="00993047"/>
    <w:rsid w:val="00993051"/>
    <w:rsid w:val="00993122"/>
    <w:rsid w:val="00993266"/>
    <w:rsid w:val="009934B3"/>
    <w:rsid w:val="009934D8"/>
    <w:rsid w:val="00993598"/>
    <w:rsid w:val="009935C8"/>
    <w:rsid w:val="0099362B"/>
    <w:rsid w:val="009936DB"/>
    <w:rsid w:val="009936F1"/>
    <w:rsid w:val="0099371A"/>
    <w:rsid w:val="0099375C"/>
    <w:rsid w:val="00993804"/>
    <w:rsid w:val="009938F8"/>
    <w:rsid w:val="009939BD"/>
    <w:rsid w:val="00993A9C"/>
    <w:rsid w:val="00993B25"/>
    <w:rsid w:val="00993B55"/>
    <w:rsid w:val="00993BA5"/>
    <w:rsid w:val="00993BDD"/>
    <w:rsid w:val="00993C30"/>
    <w:rsid w:val="00993C3B"/>
    <w:rsid w:val="00993DE3"/>
    <w:rsid w:val="00993EF4"/>
    <w:rsid w:val="00993FE3"/>
    <w:rsid w:val="00993FE6"/>
    <w:rsid w:val="00994366"/>
    <w:rsid w:val="00994421"/>
    <w:rsid w:val="00994426"/>
    <w:rsid w:val="009944F9"/>
    <w:rsid w:val="00994503"/>
    <w:rsid w:val="00994688"/>
    <w:rsid w:val="009949AC"/>
    <w:rsid w:val="009949FA"/>
    <w:rsid w:val="00994A22"/>
    <w:rsid w:val="00994A90"/>
    <w:rsid w:val="00994B17"/>
    <w:rsid w:val="00994B38"/>
    <w:rsid w:val="00994B73"/>
    <w:rsid w:val="00994B7C"/>
    <w:rsid w:val="00994B80"/>
    <w:rsid w:val="00994C43"/>
    <w:rsid w:val="00994D6C"/>
    <w:rsid w:val="00995293"/>
    <w:rsid w:val="00995366"/>
    <w:rsid w:val="009953DD"/>
    <w:rsid w:val="009954BF"/>
    <w:rsid w:val="00995557"/>
    <w:rsid w:val="00995563"/>
    <w:rsid w:val="00995608"/>
    <w:rsid w:val="00995665"/>
    <w:rsid w:val="0099566E"/>
    <w:rsid w:val="00995679"/>
    <w:rsid w:val="00995733"/>
    <w:rsid w:val="00995836"/>
    <w:rsid w:val="00995895"/>
    <w:rsid w:val="00995922"/>
    <w:rsid w:val="0099592D"/>
    <w:rsid w:val="00995A01"/>
    <w:rsid w:val="00995A14"/>
    <w:rsid w:val="00995A6C"/>
    <w:rsid w:val="00995AD8"/>
    <w:rsid w:val="00995BF1"/>
    <w:rsid w:val="00995C4E"/>
    <w:rsid w:val="00995C78"/>
    <w:rsid w:val="00995CBD"/>
    <w:rsid w:val="00995CBF"/>
    <w:rsid w:val="00995CEE"/>
    <w:rsid w:val="00995DA3"/>
    <w:rsid w:val="00995F3B"/>
    <w:rsid w:val="00995F50"/>
    <w:rsid w:val="00995F71"/>
    <w:rsid w:val="0099603D"/>
    <w:rsid w:val="009960A9"/>
    <w:rsid w:val="0099628E"/>
    <w:rsid w:val="00996316"/>
    <w:rsid w:val="00996358"/>
    <w:rsid w:val="009963D6"/>
    <w:rsid w:val="00996568"/>
    <w:rsid w:val="009965B2"/>
    <w:rsid w:val="009965D0"/>
    <w:rsid w:val="009966BB"/>
    <w:rsid w:val="009966EB"/>
    <w:rsid w:val="0099675A"/>
    <w:rsid w:val="0099680F"/>
    <w:rsid w:val="0099690F"/>
    <w:rsid w:val="009969B1"/>
    <w:rsid w:val="009969B4"/>
    <w:rsid w:val="00996A15"/>
    <w:rsid w:val="00996B14"/>
    <w:rsid w:val="00996B80"/>
    <w:rsid w:val="00996C31"/>
    <w:rsid w:val="00996C33"/>
    <w:rsid w:val="00996CB5"/>
    <w:rsid w:val="00996D92"/>
    <w:rsid w:val="00996E05"/>
    <w:rsid w:val="00996FA0"/>
    <w:rsid w:val="0099704F"/>
    <w:rsid w:val="00997139"/>
    <w:rsid w:val="0099714A"/>
    <w:rsid w:val="0099718E"/>
    <w:rsid w:val="009971DA"/>
    <w:rsid w:val="0099721D"/>
    <w:rsid w:val="009972B6"/>
    <w:rsid w:val="0099737E"/>
    <w:rsid w:val="009974BD"/>
    <w:rsid w:val="009974BF"/>
    <w:rsid w:val="00997537"/>
    <w:rsid w:val="00997551"/>
    <w:rsid w:val="00997686"/>
    <w:rsid w:val="009976DC"/>
    <w:rsid w:val="009976EB"/>
    <w:rsid w:val="009977C3"/>
    <w:rsid w:val="009978BF"/>
    <w:rsid w:val="00997956"/>
    <w:rsid w:val="00997A8B"/>
    <w:rsid w:val="00997BB4"/>
    <w:rsid w:val="00997C8A"/>
    <w:rsid w:val="00997C8F"/>
    <w:rsid w:val="00997CA2"/>
    <w:rsid w:val="00997D37"/>
    <w:rsid w:val="00997F2F"/>
    <w:rsid w:val="00997FE4"/>
    <w:rsid w:val="009A00E0"/>
    <w:rsid w:val="009A0184"/>
    <w:rsid w:val="009A0198"/>
    <w:rsid w:val="009A028C"/>
    <w:rsid w:val="009A02A4"/>
    <w:rsid w:val="009A02B0"/>
    <w:rsid w:val="009A046F"/>
    <w:rsid w:val="009A0502"/>
    <w:rsid w:val="009A0589"/>
    <w:rsid w:val="009A07A2"/>
    <w:rsid w:val="009A07DE"/>
    <w:rsid w:val="009A08D4"/>
    <w:rsid w:val="009A0A59"/>
    <w:rsid w:val="009A0AC3"/>
    <w:rsid w:val="009A0B9F"/>
    <w:rsid w:val="009A0CC2"/>
    <w:rsid w:val="009A0D8C"/>
    <w:rsid w:val="009A0DE6"/>
    <w:rsid w:val="009A0ECC"/>
    <w:rsid w:val="009A0FDC"/>
    <w:rsid w:val="009A12A7"/>
    <w:rsid w:val="009A148B"/>
    <w:rsid w:val="009A153F"/>
    <w:rsid w:val="009A16B7"/>
    <w:rsid w:val="009A16F5"/>
    <w:rsid w:val="009A17A1"/>
    <w:rsid w:val="009A182D"/>
    <w:rsid w:val="009A18E9"/>
    <w:rsid w:val="009A1A33"/>
    <w:rsid w:val="009A1AEB"/>
    <w:rsid w:val="009A1D0D"/>
    <w:rsid w:val="009A1EDD"/>
    <w:rsid w:val="009A208A"/>
    <w:rsid w:val="009A2092"/>
    <w:rsid w:val="009A212B"/>
    <w:rsid w:val="009A2152"/>
    <w:rsid w:val="009A2184"/>
    <w:rsid w:val="009A21B7"/>
    <w:rsid w:val="009A220F"/>
    <w:rsid w:val="009A230C"/>
    <w:rsid w:val="009A2311"/>
    <w:rsid w:val="009A2333"/>
    <w:rsid w:val="009A2342"/>
    <w:rsid w:val="009A23EF"/>
    <w:rsid w:val="009A2477"/>
    <w:rsid w:val="009A24BA"/>
    <w:rsid w:val="009A255A"/>
    <w:rsid w:val="009A256F"/>
    <w:rsid w:val="009A26BF"/>
    <w:rsid w:val="009A291F"/>
    <w:rsid w:val="009A2925"/>
    <w:rsid w:val="009A2942"/>
    <w:rsid w:val="009A2ACA"/>
    <w:rsid w:val="009A2B11"/>
    <w:rsid w:val="009A2BF3"/>
    <w:rsid w:val="009A2C7F"/>
    <w:rsid w:val="009A2E23"/>
    <w:rsid w:val="009A3117"/>
    <w:rsid w:val="009A3274"/>
    <w:rsid w:val="009A32FC"/>
    <w:rsid w:val="009A3358"/>
    <w:rsid w:val="009A335E"/>
    <w:rsid w:val="009A34ED"/>
    <w:rsid w:val="009A35A4"/>
    <w:rsid w:val="009A35C3"/>
    <w:rsid w:val="009A363F"/>
    <w:rsid w:val="009A364D"/>
    <w:rsid w:val="009A3731"/>
    <w:rsid w:val="009A37D6"/>
    <w:rsid w:val="009A3867"/>
    <w:rsid w:val="009A3949"/>
    <w:rsid w:val="009A3A2F"/>
    <w:rsid w:val="009A3B2D"/>
    <w:rsid w:val="009A3B35"/>
    <w:rsid w:val="009A3C2C"/>
    <w:rsid w:val="009A3C59"/>
    <w:rsid w:val="009A3D24"/>
    <w:rsid w:val="009A3D85"/>
    <w:rsid w:val="009A3DF6"/>
    <w:rsid w:val="009A3E94"/>
    <w:rsid w:val="009A3EC9"/>
    <w:rsid w:val="009A3EDA"/>
    <w:rsid w:val="009A3FF5"/>
    <w:rsid w:val="009A40D8"/>
    <w:rsid w:val="009A412F"/>
    <w:rsid w:val="009A4228"/>
    <w:rsid w:val="009A42C6"/>
    <w:rsid w:val="009A44CF"/>
    <w:rsid w:val="009A44DD"/>
    <w:rsid w:val="009A45A7"/>
    <w:rsid w:val="009A4747"/>
    <w:rsid w:val="009A47D5"/>
    <w:rsid w:val="009A482D"/>
    <w:rsid w:val="009A48F2"/>
    <w:rsid w:val="009A4915"/>
    <w:rsid w:val="009A49AF"/>
    <w:rsid w:val="009A49D3"/>
    <w:rsid w:val="009A49DF"/>
    <w:rsid w:val="009A4A21"/>
    <w:rsid w:val="009A4AF6"/>
    <w:rsid w:val="009A4B8B"/>
    <w:rsid w:val="009A4BC4"/>
    <w:rsid w:val="009A4D35"/>
    <w:rsid w:val="009A4D37"/>
    <w:rsid w:val="009A4DA3"/>
    <w:rsid w:val="009A4DA4"/>
    <w:rsid w:val="009A4F07"/>
    <w:rsid w:val="009A4F6C"/>
    <w:rsid w:val="009A4F9B"/>
    <w:rsid w:val="009A5050"/>
    <w:rsid w:val="009A5097"/>
    <w:rsid w:val="009A518B"/>
    <w:rsid w:val="009A51BD"/>
    <w:rsid w:val="009A5233"/>
    <w:rsid w:val="009A53BE"/>
    <w:rsid w:val="009A5416"/>
    <w:rsid w:val="009A54A7"/>
    <w:rsid w:val="009A56C9"/>
    <w:rsid w:val="009A56E5"/>
    <w:rsid w:val="009A5728"/>
    <w:rsid w:val="009A573C"/>
    <w:rsid w:val="009A576C"/>
    <w:rsid w:val="009A579C"/>
    <w:rsid w:val="009A57F2"/>
    <w:rsid w:val="009A581D"/>
    <w:rsid w:val="009A58C8"/>
    <w:rsid w:val="009A58E7"/>
    <w:rsid w:val="009A597C"/>
    <w:rsid w:val="009A5A25"/>
    <w:rsid w:val="009A5C43"/>
    <w:rsid w:val="009A5C61"/>
    <w:rsid w:val="009A5CAB"/>
    <w:rsid w:val="009A5D40"/>
    <w:rsid w:val="009A5D47"/>
    <w:rsid w:val="009A5E41"/>
    <w:rsid w:val="009A5E62"/>
    <w:rsid w:val="009A5EEF"/>
    <w:rsid w:val="009A5F7B"/>
    <w:rsid w:val="009A5FF6"/>
    <w:rsid w:val="009A5FFC"/>
    <w:rsid w:val="009A6001"/>
    <w:rsid w:val="009A6262"/>
    <w:rsid w:val="009A6339"/>
    <w:rsid w:val="009A652F"/>
    <w:rsid w:val="009A6777"/>
    <w:rsid w:val="009A677C"/>
    <w:rsid w:val="009A6801"/>
    <w:rsid w:val="009A68FB"/>
    <w:rsid w:val="009A6902"/>
    <w:rsid w:val="009A698E"/>
    <w:rsid w:val="009A69AF"/>
    <w:rsid w:val="009A69B3"/>
    <w:rsid w:val="009A69BA"/>
    <w:rsid w:val="009A6BA2"/>
    <w:rsid w:val="009A6C61"/>
    <w:rsid w:val="009A6CA5"/>
    <w:rsid w:val="009A6CD5"/>
    <w:rsid w:val="009A6D2A"/>
    <w:rsid w:val="009A6E2C"/>
    <w:rsid w:val="009A6FFE"/>
    <w:rsid w:val="009A70DE"/>
    <w:rsid w:val="009A7126"/>
    <w:rsid w:val="009A7166"/>
    <w:rsid w:val="009A7194"/>
    <w:rsid w:val="009A725A"/>
    <w:rsid w:val="009A72B4"/>
    <w:rsid w:val="009A72DC"/>
    <w:rsid w:val="009A7333"/>
    <w:rsid w:val="009A7343"/>
    <w:rsid w:val="009A736C"/>
    <w:rsid w:val="009A73C2"/>
    <w:rsid w:val="009A73E8"/>
    <w:rsid w:val="009A768E"/>
    <w:rsid w:val="009A76D3"/>
    <w:rsid w:val="009A7747"/>
    <w:rsid w:val="009A789F"/>
    <w:rsid w:val="009A791C"/>
    <w:rsid w:val="009A7A6F"/>
    <w:rsid w:val="009A7B20"/>
    <w:rsid w:val="009A7C3C"/>
    <w:rsid w:val="009A7C42"/>
    <w:rsid w:val="009A7D17"/>
    <w:rsid w:val="009A7D25"/>
    <w:rsid w:val="009A7D4F"/>
    <w:rsid w:val="009A7DEC"/>
    <w:rsid w:val="009A7E43"/>
    <w:rsid w:val="009A7F8D"/>
    <w:rsid w:val="009A7FCC"/>
    <w:rsid w:val="009B0014"/>
    <w:rsid w:val="009B00F3"/>
    <w:rsid w:val="009B0156"/>
    <w:rsid w:val="009B01BF"/>
    <w:rsid w:val="009B01E1"/>
    <w:rsid w:val="009B0261"/>
    <w:rsid w:val="009B0303"/>
    <w:rsid w:val="009B0317"/>
    <w:rsid w:val="009B0425"/>
    <w:rsid w:val="009B0428"/>
    <w:rsid w:val="009B04B7"/>
    <w:rsid w:val="009B0676"/>
    <w:rsid w:val="009B06E8"/>
    <w:rsid w:val="009B0807"/>
    <w:rsid w:val="009B085F"/>
    <w:rsid w:val="009B08B4"/>
    <w:rsid w:val="009B08CF"/>
    <w:rsid w:val="009B0B66"/>
    <w:rsid w:val="009B0B89"/>
    <w:rsid w:val="009B0BAC"/>
    <w:rsid w:val="009B0BF4"/>
    <w:rsid w:val="009B0C94"/>
    <w:rsid w:val="009B0CA6"/>
    <w:rsid w:val="009B0CF4"/>
    <w:rsid w:val="009B0D38"/>
    <w:rsid w:val="009B0D74"/>
    <w:rsid w:val="009B0DCC"/>
    <w:rsid w:val="009B0ECE"/>
    <w:rsid w:val="009B0F82"/>
    <w:rsid w:val="009B0FE8"/>
    <w:rsid w:val="009B101D"/>
    <w:rsid w:val="009B1199"/>
    <w:rsid w:val="009B11F3"/>
    <w:rsid w:val="009B121E"/>
    <w:rsid w:val="009B124F"/>
    <w:rsid w:val="009B129F"/>
    <w:rsid w:val="009B13D5"/>
    <w:rsid w:val="009B159E"/>
    <w:rsid w:val="009B15DA"/>
    <w:rsid w:val="009B1661"/>
    <w:rsid w:val="009B1668"/>
    <w:rsid w:val="009B1793"/>
    <w:rsid w:val="009B1880"/>
    <w:rsid w:val="009B18FD"/>
    <w:rsid w:val="009B1913"/>
    <w:rsid w:val="009B1CB8"/>
    <w:rsid w:val="009B1DC7"/>
    <w:rsid w:val="009B1E71"/>
    <w:rsid w:val="009B1E7F"/>
    <w:rsid w:val="009B1EB9"/>
    <w:rsid w:val="009B1F7A"/>
    <w:rsid w:val="009B2027"/>
    <w:rsid w:val="009B20FC"/>
    <w:rsid w:val="009B2173"/>
    <w:rsid w:val="009B21AB"/>
    <w:rsid w:val="009B2203"/>
    <w:rsid w:val="009B229B"/>
    <w:rsid w:val="009B22F7"/>
    <w:rsid w:val="009B2362"/>
    <w:rsid w:val="009B23C8"/>
    <w:rsid w:val="009B2410"/>
    <w:rsid w:val="009B2471"/>
    <w:rsid w:val="009B2788"/>
    <w:rsid w:val="009B2884"/>
    <w:rsid w:val="009B28DE"/>
    <w:rsid w:val="009B2954"/>
    <w:rsid w:val="009B29AA"/>
    <w:rsid w:val="009B29E8"/>
    <w:rsid w:val="009B2A07"/>
    <w:rsid w:val="009B2C19"/>
    <w:rsid w:val="009B2DC7"/>
    <w:rsid w:val="009B2EC5"/>
    <w:rsid w:val="009B2F9E"/>
    <w:rsid w:val="009B304A"/>
    <w:rsid w:val="009B30C3"/>
    <w:rsid w:val="009B30ED"/>
    <w:rsid w:val="009B3107"/>
    <w:rsid w:val="009B3214"/>
    <w:rsid w:val="009B3330"/>
    <w:rsid w:val="009B34A9"/>
    <w:rsid w:val="009B34BD"/>
    <w:rsid w:val="009B350E"/>
    <w:rsid w:val="009B359E"/>
    <w:rsid w:val="009B368D"/>
    <w:rsid w:val="009B36B0"/>
    <w:rsid w:val="009B36FB"/>
    <w:rsid w:val="009B391A"/>
    <w:rsid w:val="009B3A07"/>
    <w:rsid w:val="009B3A08"/>
    <w:rsid w:val="009B3B65"/>
    <w:rsid w:val="009B3B8B"/>
    <w:rsid w:val="009B3BA9"/>
    <w:rsid w:val="009B3D20"/>
    <w:rsid w:val="009B3D26"/>
    <w:rsid w:val="009B3DB9"/>
    <w:rsid w:val="009B3E3E"/>
    <w:rsid w:val="009B3E4D"/>
    <w:rsid w:val="009B3EC5"/>
    <w:rsid w:val="009B3F1B"/>
    <w:rsid w:val="009B3F48"/>
    <w:rsid w:val="009B3F7A"/>
    <w:rsid w:val="009B4060"/>
    <w:rsid w:val="009B40A4"/>
    <w:rsid w:val="009B40B5"/>
    <w:rsid w:val="009B4256"/>
    <w:rsid w:val="009B42F5"/>
    <w:rsid w:val="009B44E5"/>
    <w:rsid w:val="009B4574"/>
    <w:rsid w:val="009B4653"/>
    <w:rsid w:val="009B4667"/>
    <w:rsid w:val="009B47CE"/>
    <w:rsid w:val="009B48FB"/>
    <w:rsid w:val="009B4998"/>
    <w:rsid w:val="009B49AE"/>
    <w:rsid w:val="009B4A9B"/>
    <w:rsid w:val="009B4C2B"/>
    <w:rsid w:val="009B4C83"/>
    <w:rsid w:val="009B4DB4"/>
    <w:rsid w:val="009B4EF1"/>
    <w:rsid w:val="009B4F27"/>
    <w:rsid w:val="009B4FAA"/>
    <w:rsid w:val="009B5245"/>
    <w:rsid w:val="009B5262"/>
    <w:rsid w:val="009B5514"/>
    <w:rsid w:val="009B55AE"/>
    <w:rsid w:val="009B55BC"/>
    <w:rsid w:val="009B5643"/>
    <w:rsid w:val="009B5657"/>
    <w:rsid w:val="009B56F8"/>
    <w:rsid w:val="009B58CA"/>
    <w:rsid w:val="009B5904"/>
    <w:rsid w:val="009B594C"/>
    <w:rsid w:val="009B5A76"/>
    <w:rsid w:val="009B5B21"/>
    <w:rsid w:val="009B5B80"/>
    <w:rsid w:val="009B5BAF"/>
    <w:rsid w:val="009B5C32"/>
    <w:rsid w:val="009B5C62"/>
    <w:rsid w:val="009B5D9F"/>
    <w:rsid w:val="009B5F8B"/>
    <w:rsid w:val="009B601A"/>
    <w:rsid w:val="009B60AC"/>
    <w:rsid w:val="009B61DE"/>
    <w:rsid w:val="009B6222"/>
    <w:rsid w:val="009B6270"/>
    <w:rsid w:val="009B6449"/>
    <w:rsid w:val="009B6594"/>
    <w:rsid w:val="009B6599"/>
    <w:rsid w:val="009B67F3"/>
    <w:rsid w:val="009B6823"/>
    <w:rsid w:val="009B69BC"/>
    <w:rsid w:val="009B6BF5"/>
    <w:rsid w:val="009B6C67"/>
    <w:rsid w:val="009B6CB7"/>
    <w:rsid w:val="009B6D28"/>
    <w:rsid w:val="009B6D77"/>
    <w:rsid w:val="009B6E57"/>
    <w:rsid w:val="009B6EDE"/>
    <w:rsid w:val="009B6F4A"/>
    <w:rsid w:val="009B7178"/>
    <w:rsid w:val="009B72C3"/>
    <w:rsid w:val="009B72DC"/>
    <w:rsid w:val="009B72EF"/>
    <w:rsid w:val="009B72F6"/>
    <w:rsid w:val="009B7400"/>
    <w:rsid w:val="009B7490"/>
    <w:rsid w:val="009B7527"/>
    <w:rsid w:val="009B7540"/>
    <w:rsid w:val="009B777C"/>
    <w:rsid w:val="009B7782"/>
    <w:rsid w:val="009B77AE"/>
    <w:rsid w:val="009B7AE7"/>
    <w:rsid w:val="009B7B90"/>
    <w:rsid w:val="009B7BA0"/>
    <w:rsid w:val="009B7BB8"/>
    <w:rsid w:val="009B7BD2"/>
    <w:rsid w:val="009B7D8B"/>
    <w:rsid w:val="009B7E36"/>
    <w:rsid w:val="009B7E97"/>
    <w:rsid w:val="009B7EA2"/>
    <w:rsid w:val="009B7FE3"/>
    <w:rsid w:val="009C0008"/>
    <w:rsid w:val="009C002F"/>
    <w:rsid w:val="009C00BB"/>
    <w:rsid w:val="009C00D2"/>
    <w:rsid w:val="009C01A4"/>
    <w:rsid w:val="009C027D"/>
    <w:rsid w:val="009C05C3"/>
    <w:rsid w:val="009C06A1"/>
    <w:rsid w:val="009C08AB"/>
    <w:rsid w:val="009C0952"/>
    <w:rsid w:val="009C099A"/>
    <w:rsid w:val="009C0A00"/>
    <w:rsid w:val="009C0A98"/>
    <w:rsid w:val="009C0AD3"/>
    <w:rsid w:val="009C0B19"/>
    <w:rsid w:val="009C0BDF"/>
    <w:rsid w:val="009C0DBC"/>
    <w:rsid w:val="009C0DFC"/>
    <w:rsid w:val="009C0EEA"/>
    <w:rsid w:val="009C0F79"/>
    <w:rsid w:val="009C100D"/>
    <w:rsid w:val="009C10F9"/>
    <w:rsid w:val="009C1109"/>
    <w:rsid w:val="009C1175"/>
    <w:rsid w:val="009C1181"/>
    <w:rsid w:val="009C123E"/>
    <w:rsid w:val="009C13B0"/>
    <w:rsid w:val="009C15DD"/>
    <w:rsid w:val="009C16DC"/>
    <w:rsid w:val="009C1712"/>
    <w:rsid w:val="009C1787"/>
    <w:rsid w:val="009C1832"/>
    <w:rsid w:val="009C198C"/>
    <w:rsid w:val="009C1A67"/>
    <w:rsid w:val="009C1B31"/>
    <w:rsid w:val="009C1B67"/>
    <w:rsid w:val="009C1F32"/>
    <w:rsid w:val="009C1F65"/>
    <w:rsid w:val="009C1FD9"/>
    <w:rsid w:val="009C2024"/>
    <w:rsid w:val="009C20D4"/>
    <w:rsid w:val="009C225D"/>
    <w:rsid w:val="009C2398"/>
    <w:rsid w:val="009C23E1"/>
    <w:rsid w:val="009C2425"/>
    <w:rsid w:val="009C2482"/>
    <w:rsid w:val="009C24C6"/>
    <w:rsid w:val="009C24CB"/>
    <w:rsid w:val="009C2547"/>
    <w:rsid w:val="009C2772"/>
    <w:rsid w:val="009C27C8"/>
    <w:rsid w:val="009C282F"/>
    <w:rsid w:val="009C2865"/>
    <w:rsid w:val="009C287F"/>
    <w:rsid w:val="009C2986"/>
    <w:rsid w:val="009C2A22"/>
    <w:rsid w:val="009C2A2D"/>
    <w:rsid w:val="009C2AF3"/>
    <w:rsid w:val="009C2BA2"/>
    <w:rsid w:val="009C2CD6"/>
    <w:rsid w:val="009C2D4B"/>
    <w:rsid w:val="009C2EB4"/>
    <w:rsid w:val="009C2ED6"/>
    <w:rsid w:val="009C315E"/>
    <w:rsid w:val="009C31E0"/>
    <w:rsid w:val="009C3276"/>
    <w:rsid w:val="009C32B0"/>
    <w:rsid w:val="009C330B"/>
    <w:rsid w:val="009C33D5"/>
    <w:rsid w:val="009C34A8"/>
    <w:rsid w:val="009C371B"/>
    <w:rsid w:val="009C3730"/>
    <w:rsid w:val="009C388D"/>
    <w:rsid w:val="009C389F"/>
    <w:rsid w:val="009C38DD"/>
    <w:rsid w:val="009C3997"/>
    <w:rsid w:val="009C39C9"/>
    <w:rsid w:val="009C3A4A"/>
    <w:rsid w:val="009C3B86"/>
    <w:rsid w:val="009C3C3D"/>
    <w:rsid w:val="009C3C5F"/>
    <w:rsid w:val="009C3C8A"/>
    <w:rsid w:val="009C3D43"/>
    <w:rsid w:val="009C3E5D"/>
    <w:rsid w:val="009C3ED2"/>
    <w:rsid w:val="009C3FCA"/>
    <w:rsid w:val="009C3FE4"/>
    <w:rsid w:val="009C3FEE"/>
    <w:rsid w:val="009C400D"/>
    <w:rsid w:val="009C4049"/>
    <w:rsid w:val="009C4110"/>
    <w:rsid w:val="009C418D"/>
    <w:rsid w:val="009C425B"/>
    <w:rsid w:val="009C447D"/>
    <w:rsid w:val="009C459D"/>
    <w:rsid w:val="009C4608"/>
    <w:rsid w:val="009C465C"/>
    <w:rsid w:val="009C488A"/>
    <w:rsid w:val="009C4A23"/>
    <w:rsid w:val="009C4B85"/>
    <w:rsid w:val="009C4B8C"/>
    <w:rsid w:val="009C4DAD"/>
    <w:rsid w:val="009C4DF8"/>
    <w:rsid w:val="009C4E51"/>
    <w:rsid w:val="009C4E54"/>
    <w:rsid w:val="009C4F93"/>
    <w:rsid w:val="009C503A"/>
    <w:rsid w:val="009C510F"/>
    <w:rsid w:val="009C5145"/>
    <w:rsid w:val="009C5187"/>
    <w:rsid w:val="009C5318"/>
    <w:rsid w:val="009C536D"/>
    <w:rsid w:val="009C53B2"/>
    <w:rsid w:val="009C54F5"/>
    <w:rsid w:val="009C5565"/>
    <w:rsid w:val="009C5610"/>
    <w:rsid w:val="009C57FF"/>
    <w:rsid w:val="009C58CE"/>
    <w:rsid w:val="009C58FC"/>
    <w:rsid w:val="009C599C"/>
    <w:rsid w:val="009C5ABF"/>
    <w:rsid w:val="009C5AEA"/>
    <w:rsid w:val="009C5AF0"/>
    <w:rsid w:val="009C5B57"/>
    <w:rsid w:val="009C5C49"/>
    <w:rsid w:val="009C5D18"/>
    <w:rsid w:val="009C5DD8"/>
    <w:rsid w:val="009C5DFC"/>
    <w:rsid w:val="009C5F67"/>
    <w:rsid w:val="009C5F7E"/>
    <w:rsid w:val="009C603B"/>
    <w:rsid w:val="009C6329"/>
    <w:rsid w:val="009C6400"/>
    <w:rsid w:val="009C64A7"/>
    <w:rsid w:val="009C64D6"/>
    <w:rsid w:val="009C677B"/>
    <w:rsid w:val="009C67E4"/>
    <w:rsid w:val="009C6911"/>
    <w:rsid w:val="009C6912"/>
    <w:rsid w:val="009C6979"/>
    <w:rsid w:val="009C6A2E"/>
    <w:rsid w:val="009C6BEC"/>
    <w:rsid w:val="009C6C4A"/>
    <w:rsid w:val="009C6C9F"/>
    <w:rsid w:val="009C6CC4"/>
    <w:rsid w:val="009C6CCA"/>
    <w:rsid w:val="009C6E1A"/>
    <w:rsid w:val="009C6E23"/>
    <w:rsid w:val="009C6F59"/>
    <w:rsid w:val="009C7059"/>
    <w:rsid w:val="009C7077"/>
    <w:rsid w:val="009C70B2"/>
    <w:rsid w:val="009C71CA"/>
    <w:rsid w:val="009C71D7"/>
    <w:rsid w:val="009C71FC"/>
    <w:rsid w:val="009C7223"/>
    <w:rsid w:val="009C7320"/>
    <w:rsid w:val="009C7340"/>
    <w:rsid w:val="009C7349"/>
    <w:rsid w:val="009C740E"/>
    <w:rsid w:val="009C743F"/>
    <w:rsid w:val="009C7449"/>
    <w:rsid w:val="009C747F"/>
    <w:rsid w:val="009C74A7"/>
    <w:rsid w:val="009C752E"/>
    <w:rsid w:val="009C7595"/>
    <w:rsid w:val="009C761A"/>
    <w:rsid w:val="009C76E0"/>
    <w:rsid w:val="009C772C"/>
    <w:rsid w:val="009C773E"/>
    <w:rsid w:val="009C78B9"/>
    <w:rsid w:val="009C7903"/>
    <w:rsid w:val="009C7956"/>
    <w:rsid w:val="009C79B4"/>
    <w:rsid w:val="009C79DE"/>
    <w:rsid w:val="009C7AC0"/>
    <w:rsid w:val="009C7B34"/>
    <w:rsid w:val="009C7B3F"/>
    <w:rsid w:val="009C7B48"/>
    <w:rsid w:val="009C7B90"/>
    <w:rsid w:val="009C7BAD"/>
    <w:rsid w:val="009C7CFF"/>
    <w:rsid w:val="009C7DA5"/>
    <w:rsid w:val="009C7DAB"/>
    <w:rsid w:val="009C7F38"/>
    <w:rsid w:val="009C7F64"/>
    <w:rsid w:val="009D0072"/>
    <w:rsid w:val="009D014C"/>
    <w:rsid w:val="009D015C"/>
    <w:rsid w:val="009D0166"/>
    <w:rsid w:val="009D01C0"/>
    <w:rsid w:val="009D0241"/>
    <w:rsid w:val="009D035F"/>
    <w:rsid w:val="009D03DD"/>
    <w:rsid w:val="009D0475"/>
    <w:rsid w:val="009D05CC"/>
    <w:rsid w:val="009D07FC"/>
    <w:rsid w:val="009D09E0"/>
    <w:rsid w:val="009D0A86"/>
    <w:rsid w:val="009D0A99"/>
    <w:rsid w:val="009D0AA6"/>
    <w:rsid w:val="009D0AAB"/>
    <w:rsid w:val="009D0AD5"/>
    <w:rsid w:val="009D0ADF"/>
    <w:rsid w:val="009D0B6E"/>
    <w:rsid w:val="009D0BD4"/>
    <w:rsid w:val="009D0CA6"/>
    <w:rsid w:val="009D0D43"/>
    <w:rsid w:val="009D0E73"/>
    <w:rsid w:val="009D0F2C"/>
    <w:rsid w:val="009D0F36"/>
    <w:rsid w:val="009D0F86"/>
    <w:rsid w:val="009D1057"/>
    <w:rsid w:val="009D10EB"/>
    <w:rsid w:val="009D1152"/>
    <w:rsid w:val="009D12E0"/>
    <w:rsid w:val="009D1352"/>
    <w:rsid w:val="009D13B2"/>
    <w:rsid w:val="009D14B2"/>
    <w:rsid w:val="009D1599"/>
    <w:rsid w:val="009D15F9"/>
    <w:rsid w:val="009D1760"/>
    <w:rsid w:val="009D17B5"/>
    <w:rsid w:val="009D183A"/>
    <w:rsid w:val="009D1856"/>
    <w:rsid w:val="009D191D"/>
    <w:rsid w:val="009D193B"/>
    <w:rsid w:val="009D196E"/>
    <w:rsid w:val="009D19BF"/>
    <w:rsid w:val="009D1A03"/>
    <w:rsid w:val="009D1A32"/>
    <w:rsid w:val="009D1A9E"/>
    <w:rsid w:val="009D1C3D"/>
    <w:rsid w:val="009D1C5E"/>
    <w:rsid w:val="009D1E14"/>
    <w:rsid w:val="009D1F16"/>
    <w:rsid w:val="009D1F3D"/>
    <w:rsid w:val="009D1F82"/>
    <w:rsid w:val="009D2068"/>
    <w:rsid w:val="009D2119"/>
    <w:rsid w:val="009D2191"/>
    <w:rsid w:val="009D2214"/>
    <w:rsid w:val="009D22E4"/>
    <w:rsid w:val="009D24E0"/>
    <w:rsid w:val="009D253D"/>
    <w:rsid w:val="009D25C2"/>
    <w:rsid w:val="009D25F8"/>
    <w:rsid w:val="009D287F"/>
    <w:rsid w:val="009D296D"/>
    <w:rsid w:val="009D2985"/>
    <w:rsid w:val="009D2987"/>
    <w:rsid w:val="009D2B1D"/>
    <w:rsid w:val="009D2BF1"/>
    <w:rsid w:val="009D2BFC"/>
    <w:rsid w:val="009D2D8A"/>
    <w:rsid w:val="009D2E69"/>
    <w:rsid w:val="009D2F96"/>
    <w:rsid w:val="009D31FD"/>
    <w:rsid w:val="009D3636"/>
    <w:rsid w:val="009D365D"/>
    <w:rsid w:val="009D36CA"/>
    <w:rsid w:val="009D36E9"/>
    <w:rsid w:val="009D372D"/>
    <w:rsid w:val="009D37DD"/>
    <w:rsid w:val="009D37DE"/>
    <w:rsid w:val="009D3833"/>
    <w:rsid w:val="009D38BB"/>
    <w:rsid w:val="009D39E8"/>
    <w:rsid w:val="009D39F3"/>
    <w:rsid w:val="009D3B65"/>
    <w:rsid w:val="009D3B91"/>
    <w:rsid w:val="009D3CCA"/>
    <w:rsid w:val="009D3DA4"/>
    <w:rsid w:val="009D3E7B"/>
    <w:rsid w:val="009D3F18"/>
    <w:rsid w:val="009D3F36"/>
    <w:rsid w:val="009D3FEC"/>
    <w:rsid w:val="009D4012"/>
    <w:rsid w:val="009D40C9"/>
    <w:rsid w:val="009D40D6"/>
    <w:rsid w:val="009D40FF"/>
    <w:rsid w:val="009D4184"/>
    <w:rsid w:val="009D4191"/>
    <w:rsid w:val="009D42F9"/>
    <w:rsid w:val="009D431C"/>
    <w:rsid w:val="009D437B"/>
    <w:rsid w:val="009D4565"/>
    <w:rsid w:val="009D45A1"/>
    <w:rsid w:val="009D45AC"/>
    <w:rsid w:val="009D46B5"/>
    <w:rsid w:val="009D47BC"/>
    <w:rsid w:val="009D48D6"/>
    <w:rsid w:val="009D49E1"/>
    <w:rsid w:val="009D4BF1"/>
    <w:rsid w:val="009D4CC6"/>
    <w:rsid w:val="009D4D06"/>
    <w:rsid w:val="009D4D8B"/>
    <w:rsid w:val="009D4E12"/>
    <w:rsid w:val="009D4E71"/>
    <w:rsid w:val="009D4EC3"/>
    <w:rsid w:val="009D4ED5"/>
    <w:rsid w:val="009D50B3"/>
    <w:rsid w:val="009D50D5"/>
    <w:rsid w:val="009D50F4"/>
    <w:rsid w:val="009D511C"/>
    <w:rsid w:val="009D5275"/>
    <w:rsid w:val="009D5360"/>
    <w:rsid w:val="009D5421"/>
    <w:rsid w:val="009D5566"/>
    <w:rsid w:val="009D57C9"/>
    <w:rsid w:val="009D57DD"/>
    <w:rsid w:val="009D59BD"/>
    <w:rsid w:val="009D5A64"/>
    <w:rsid w:val="009D5AF1"/>
    <w:rsid w:val="009D5BEA"/>
    <w:rsid w:val="009D5DA3"/>
    <w:rsid w:val="009D6031"/>
    <w:rsid w:val="009D6047"/>
    <w:rsid w:val="009D617A"/>
    <w:rsid w:val="009D6204"/>
    <w:rsid w:val="009D62F7"/>
    <w:rsid w:val="009D6723"/>
    <w:rsid w:val="009D6797"/>
    <w:rsid w:val="009D68BE"/>
    <w:rsid w:val="009D68DF"/>
    <w:rsid w:val="009D6908"/>
    <w:rsid w:val="009D6932"/>
    <w:rsid w:val="009D6A10"/>
    <w:rsid w:val="009D6A2B"/>
    <w:rsid w:val="009D6A7E"/>
    <w:rsid w:val="009D6BE6"/>
    <w:rsid w:val="009D6EE9"/>
    <w:rsid w:val="009D6EF4"/>
    <w:rsid w:val="009D7060"/>
    <w:rsid w:val="009D7216"/>
    <w:rsid w:val="009D7254"/>
    <w:rsid w:val="009D72CD"/>
    <w:rsid w:val="009D72E4"/>
    <w:rsid w:val="009D73B7"/>
    <w:rsid w:val="009D751F"/>
    <w:rsid w:val="009D754E"/>
    <w:rsid w:val="009D76A7"/>
    <w:rsid w:val="009D76E5"/>
    <w:rsid w:val="009D773A"/>
    <w:rsid w:val="009D79D3"/>
    <w:rsid w:val="009D79F9"/>
    <w:rsid w:val="009D7A5F"/>
    <w:rsid w:val="009D7AB3"/>
    <w:rsid w:val="009D7B3F"/>
    <w:rsid w:val="009D7C0B"/>
    <w:rsid w:val="009D7C16"/>
    <w:rsid w:val="009D7DE4"/>
    <w:rsid w:val="009D7DFC"/>
    <w:rsid w:val="009D7E4E"/>
    <w:rsid w:val="009D7FAB"/>
    <w:rsid w:val="009D7FD6"/>
    <w:rsid w:val="009E0045"/>
    <w:rsid w:val="009E00F7"/>
    <w:rsid w:val="009E0117"/>
    <w:rsid w:val="009E03F1"/>
    <w:rsid w:val="009E0487"/>
    <w:rsid w:val="009E0593"/>
    <w:rsid w:val="009E05B9"/>
    <w:rsid w:val="009E05F1"/>
    <w:rsid w:val="009E06F7"/>
    <w:rsid w:val="009E06FF"/>
    <w:rsid w:val="009E076B"/>
    <w:rsid w:val="009E07B8"/>
    <w:rsid w:val="009E0878"/>
    <w:rsid w:val="009E08D1"/>
    <w:rsid w:val="009E0AFA"/>
    <w:rsid w:val="009E0C02"/>
    <w:rsid w:val="009E0C61"/>
    <w:rsid w:val="009E0DAD"/>
    <w:rsid w:val="009E0E71"/>
    <w:rsid w:val="009E0EB1"/>
    <w:rsid w:val="009E0EF6"/>
    <w:rsid w:val="009E0F5D"/>
    <w:rsid w:val="009E0F9C"/>
    <w:rsid w:val="009E1250"/>
    <w:rsid w:val="009E1272"/>
    <w:rsid w:val="009E12CE"/>
    <w:rsid w:val="009E12E5"/>
    <w:rsid w:val="009E1458"/>
    <w:rsid w:val="009E14E4"/>
    <w:rsid w:val="009E14F8"/>
    <w:rsid w:val="009E15D8"/>
    <w:rsid w:val="009E167B"/>
    <w:rsid w:val="009E1794"/>
    <w:rsid w:val="009E17F0"/>
    <w:rsid w:val="009E18B4"/>
    <w:rsid w:val="009E1A13"/>
    <w:rsid w:val="009E1A28"/>
    <w:rsid w:val="009E1AB7"/>
    <w:rsid w:val="009E1CC4"/>
    <w:rsid w:val="009E1D7D"/>
    <w:rsid w:val="009E1D8C"/>
    <w:rsid w:val="009E1DDC"/>
    <w:rsid w:val="009E1E0D"/>
    <w:rsid w:val="009E1EE2"/>
    <w:rsid w:val="009E1F3A"/>
    <w:rsid w:val="009E2136"/>
    <w:rsid w:val="009E215D"/>
    <w:rsid w:val="009E21A4"/>
    <w:rsid w:val="009E21ED"/>
    <w:rsid w:val="009E2204"/>
    <w:rsid w:val="009E2228"/>
    <w:rsid w:val="009E223D"/>
    <w:rsid w:val="009E224F"/>
    <w:rsid w:val="009E22F4"/>
    <w:rsid w:val="009E23CB"/>
    <w:rsid w:val="009E23CD"/>
    <w:rsid w:val="009E2458"/>
    <w:rsid w:val="009E25AF"/>
    <w:rsid w:val="009E25F1"/>
    <w:rsid w:val="009E2708"/>
    <w:rsid w:val="009E274B"/>
    <w:rsid w:val="009E2758"/>
    <w:rsid w:val="009E27DB"/>
    <w:rsid w:val="009E2801"/>
    <w:rsid w:val="009E2868"/>
    <w:rsid w:val="009E2953"/>
    <w:rsid w:val="009E2D24"/>
    <w:rsid w:val="009E2E4F"/>
    <w:rsid w:val="009E2E62"/>
    <w:rsid w:val="009E2E88"/>
    <w:rsid w:val="009E2F49"/>
    <w:rsid w:val="009E2FB6"/>
    <w:rsid w:val="009E3040"/>
    <w:rsid w:val="009E312F"/>
    <w:rsid w:val="009E3296"/>
    <w:rsid w:val="009E32E9"/>
    <w:rsid w:val="009E33BF"/>
    <w:rsid w:val="009E33E6"/>
    <w:rsid w:val="009E3457"/>
    <w:rsid w:val="009E3493"/>
    <w:rsid w:val="009E3539"/>
    <w:rsid w:val="009E354D"/>
    <w:rsid w:val="009E35F9"/>
    <w:rsid w:val="009E3629"/>
    <w:rsid w:val="009E36D4"/>
    <w:rsid w:val="009E371D"/>
    <w:rsid w:val="009E3888"/>
    <w:rsid w:val="009E38C4"/>
    <w:rsid w:val="009E3989"/>
    <w:rsid w:val="009E39F2"/>
    <w:rsid w:val="009E3B88"/>
    <w:rsid w:val="009E3C9C"/>
    <w:rsid w:val="009E3CA5"/>
    <w:rsid w:val="009E3E0E"/>
    <w:rsid w:val="009E3FEF"/>
    <w:rsid w:val="009E4009"/>
    <w:rsid w:val="009E4214"/>
    <w:rsid w:val="009E42C3"/>
    <w:rsid w:val="009E431F"/>
    <w:rsid w:val="009E4354"/>
    <w:rsid w:val="009E43F4"/>
    <w:rsid w:val="009E441D"/>
    <w:rsid w:val="009E4448"/>
    <w:rsid w:val="009E44D5"/>
    <w:rsid w:val="009E4523"/>
    <w:rsid w:val="009E45FE"/>
    <w:rsid w:val="009E46A8"/>
    <w:rsid w:val="009E46F6"/>
    <w:rsid w:val="009E4737"/>
    <w:rsid w:val="009E4747"/>
    <w:rsid w:val="009E4915"/>
    <w:rsid w:val="009E495C"/>
    <w:rsid w:val="009E49A2"/>
    <w:rsid w:val="009E4AE9"/>
    <w:rsid w:val="009E4CAD"/>
    <w:rsid w:val="009E4CC8"/>
    <w:rsid w:val="009E4D14"/>
    <w:rsid w:val="009E4DD9"/>
    <w:rsid w:val="009E4FA7"/>
    <w:rsid w:val="009E4FDF"/>
    <w:rsid w:val="009E502C"/>
    <w:rsid w:val="009E502E"/>
    <w:rsid w:val="009E51C9"/>
    <w:rsid w:val="009E5370"/>
    <w:rsid w:val="009E53D4"/>
    <w:rsid w:val="009E5424"/>
    <w:rsid w:val="009E54BC"/>
    <w:rsid w:val="009E55CC"/>
    <w:rsid w:val="009E5646"/>
    <w:rsid w:val="009E5667"/>
    <w:rsid w:val="009E5792"/>
    <w:rsid w:val="009E5AB5"/>
    <w:rsid w:val="009E5C69"/>
    <w:rsid w:val="009E5C96"/>
    <w:rsid w:val="009E5D5E"/>
    <w:rsid w:val="009E5D62"/>
    <w:rsid w:val="009E5E4A"/>
    <w:rsid w:val="009E5FC5"/>
    <w:rsid w:val="009E608D"/>
    <w:rsid w:val="009E608E"/>
    <w:rsid w:val="009E613C"/>
    <w:rsid w:val="009E61C2"/>
    <w:rsid w:val="009E61DB"/>
    <w:rsid w:val="009E61F3"/>
    <w:rsid w:val="009E62DF"/>
    <w:rsid w:val="009E63C2"/>
    <w:rsid w:val="009E63C8"/>
    <w:rsid w:val="009E642C"/>
    <w:rsid w:val="009E6435"/>
    <w:rsid w:val="009E6448"/>
    <w:rsid w:val="009E65C1"/>
    <w:rsid w:val="009E6630"/>
    <w:rsid w:val="009E67C6"/>
    <w:rsid w:val="009E6829"/>
    <w:rsid w:val="009E6842"/>
    <w:rsid w:val="009E697D"/>
    <w:rsid w:val="009E6B2B"/>
    <w:rsid w:val="009E6B91"/>
    <w:rsid w:val="009E6D2F"/>
    <w:rsid w:val="009E6DBF"/>
    <w:rsid w:val="009E6EDC"/>
    <w:rsid w:val="009E6EDE"/>
    <w:rsid w:val="009E6F2B"/>
    <w:rsid w:val="009E70CC"/>
    <w:rsid w:val="009E7200"/>
    <w:rsid w:val="009E722A"/>
    <w:rsid w:val="009E72BC"/>
    <w:rsid w:val="009E73BD"/>
    <w:rsid w:val="009E7668"/>
    <w:rsid w:val="009E76C6"/>
    <w:rsid w:val="009E7805"/>
    <w:rsid w:val="009E78C7"/>
    <w:rsid w:val="009E78EB"/>
    <w:rsid w:val="009E7A2D"/>
    <w:rsid w:val="009E7B77"/>
    <w:rsid w:val="009E7B93"/>
    <w:rsid w:val="009E7C9D"/>
    <w:rsid w:val="009E7D35"/>
    <w:rsid w:val="009E7E65"/>
    <w:rsid w:val="009E7E77"/>
    <w:rsid w:val="009F0192"/>
    <w:rsid w:val="009F0320"/>
    <w:rsid w:val="009F04F1"/>
    <w:rsid w:val="009F0687"/>
    <w:rsid w:val="009F06A1"/>
    <w:rsid w:val="009F07C7"/>
    <w:rsid w:val="009F086E"/>
    <w:rsid w:val="009F0932"/>
    <w:rsid w:val="009F09A4"/>
    <w:rsid w:val="009F0A0E"/>
    <w:rsid w:val="009F0AB8"/>
    <w:rsid w:val="009F0CB3"/>
    <w:rsid w:val="009F0DF3"/>
    <w:rsid w:val="009F0E23"/>
    <w:rsid w:val="009F112B"/>
    <w:rsid w:val="009F13DF"/>
    <w:rsid w:val="009F13EE"/>
    <w:rsid w:val="009F1418"/>
    <w:rsid w:val="009F14F5"/>
    <w:rsid w:val="009F1581"/>
    <w:rsid w:val="009F1608"/>
    <w:rsid w:val="009F17B6"/>
    <w:rsid w:val="009F187D"/>
    <w:rsid w:val="009F18AC"/>
    <w:rsid w:val="009F19A7"/>
    <w:rsid w:val="009F19C7"/>
    <w:rsid w:val="009F1ABB"/>
    <w:rsid w:val="009F1DB3"/>
    <w:rsid w:val="009F1DB9"/>
    <w:rsid w:val="009F1E21"/>
    <w:rsid w:val="009F1E64"/>
    <w:rsid w:val="009F1E6A"/>
    <w:rsid w:val="009F1EC2"/>
    <w:rsid w:val="009F1EF8"/>
    <w:rsid w:val="009F1F64"/>
    <w:rsid w:val="009F211E"/>
    <w:rsid w:val="009F2176"/>
    <w:rsid w:val="009F21E5"/>
    <w:rsid w:val="009F2211"/>
    <w:rsid w:val="009F22ED"/>
    <w:rsid w:val="009F230F"/>
    <w:rsid w:val="009F2452"/>
    <w:rsid w:val="009F24DE"/>
    <w:rsid w:val="009F25A8"/>
    <w:rsid w:val="009F2666"/>
    <w:rsid w:val="009F2668"/>
    <w:rsid w:val="009F2879"/>
    <w:rsid w:val="009F29C7"/>
    <w:rsid w:val="009F2A36"/>
    <w:rsid w:val="009F2AF0"/>
    <w:rsid w:val="009F2BD1"/>
    <w:rsid w:val="009F2BF6"/>
    <w:rsid w:val="009F2C97"/>
    <w:rsid w:val="009F2D47"/>
    <w:rsid w:val="009F2E59"/>
    <w:rsid w:val="009F2E64"/>
    <w:rsid w:val="009F2F77"/>
    <w:rsid w:val="009F30A4"/>
    <w:rsid w:val="009F30BC"/>
    <w:rsid w:val="009F31FA"/>
    <w:rsid w:val="009F321B"/>
    <w:rsid w:val="009F3247"/>
    <w:rsid w:val="009F32E6"/>
    <w:rsid w:val="009F333C"/>
    <w:rsid w:val="009F339F"/>
    <w:rsid w:val="009F35D9"/>
    <w:rsid w:val="009F3604"/>
    <w:rsid w:val="009F3613"/>
    <w:rsid w:val="009F3984"/>
    <w:rsid w:val="009F3A3F"/>
    <w:rsid w:val="009F3AB2"/>
    <w:rsid w:val="009F3C09"/>
    <w:rsid w:val="009F3D0F"/>
    <w:rsid w:val="009F3DD4"/>
    <w:rsid w:val="009F3E9C"/>
    <w:rsid w:val="009F3F8F"/>
    <w:rsid w:val="009F4134"/>
    <w:rsid w:val="009F419B"/>
    <w:rsid w:val="009F41D4"/>
    <w:rsid w:val="009F4215"/>
    <w:rsid w:val="009F42C2"/>
    <w:rsid w:val="009F4323"/>
    <w:rsid w:val="009F434F"/>
    <w:rsid w:val="009F44AD"/>
    <w:rsid w:val="009F4681"/>
    <w:rsid w:val="009F4690"/>
    <w:rsid w:val="009F4748"/>
    <w:rsid w:val="009F483D"/>
    <w:rsid w:val="009F4967"/>
    <w:rsid w:val="009F4A29"/>
    <w:rsid w:val="009F4B5D"/>
    <w:rsid w:val="009F4BB9"/>
    <w:rsid w:val="009F4D98"/>
    <w:rsid w:val="009F4D9C"/>
    <w:rsid w:val="009F4E94"/>
    <w:rsid w:val="009F4F13"/>
    <w:rsid w:val="009F4F94"/>
    <w:rsid w:val="009F5024"/>
    <w:rsid w:val="009F5058"/>
    <w:rsid w:val="009F512C"/>
    <w:rsid w:val="009F51BA"/>
    <w:rsid w:val="009F51FB"/>
    <w:rsid w:val="009F5269"/>
    <w:rsid w:val="009F52A7"/>
    <w:rsid w:val="009F540F"/>
    <w:rsid w:val="009F5499"/>
    <w:rsid w:val="009F5579"/>
    <w:rsid w:val="009F5599"/>
    <w:rsid w:val="009F560A"/>
    <w:rsid w:val="009F57C0"/>
    <w:rsid w:val="009F584D"/>
    <w:rsid w:val="009F585B"/>
    <w:rsid w:val="009F5A21"/>
    <w:rsid w:val="009F5ADA"/>
    <w:rsid w:val="009F5D1D"/>
    <w:rsid w:val="009F5D2F"/>
    <w:rsid w:val="009F5FD3"/>
    <w:rsid w:val="009F609A"/>
    <w:rsid w:val="009F6189"/>
    <w:rsid w:val="009F62F1"/>
    <w:rsid w:val="009F6348"/>
    <w:rsid w:val="009F63D0"/>
    <w:rsid w:val="009F64FC"/>
    <w:rsid w:val="009F6521"/>
    <w:rsid w:val="009F6522"/>
    <w:rsid w:val="009F6626"/>
    <w:rsid w:val="009F68CA"/>
    <w:rsid w:val="009F6989"/>
    <w:rsid w:val="009F6A38"/>
    <w:rsid w:val="009F6A56"/>
    <w:rsid w:val="009F6AD3"/>
    <w:rsid w:val="009F6B49"/>
    <w:rsid w:val="009F6B99"/>
    <w:rsid w:val="009F6C00"/>
    <w:rsid w:val="009F6C40"/>
    <w:rsid w:val="009F6CF5"/>
    <w:rsid w:val="009F6DBD"/>
    <w:rsid w:val="009F6E08"/>
    <w:rsid w:val="009F6EFE"/>
    <w:rsid w:val="009F6FF4"/>
    <w:rsid w:val="009F7004"/>
    <w:rsid w:val="009F7036"/>
    <w:rsid w:val="009F70D2"/>
    <w:rsid w:val="009F70ED"/>
    <w:rsid w:val="009F712D"/>
    <w:rsid w:val="009F7432"/>
    <w:rsid w:val="009F747B"/>
    <w:rsid w:val="009F7634"/>
    <w:rsid w:val="009F770A"/>
    <w:rsid w:val="009F78E5"/>
    <w:rsid w:val="009F7903"/>
    <w:rsid w:val="009F7C75"/>
    <w:rsid w:val="009F7D7C"/>
    <w:rsid w:val="009F7DAA"/>
    <w:rsid w:val="009F7E34"/>
    <w:rsid w:val="009F7E74"/>
    <w:rsid w:val="009F7F7E"/>
    <w:rsid w:val="00A000B1"/>
    <w:rsid w:val="00A000DA"/>
    <w:rsid w:val="00A00333"/>
    <w:rsid w:val="00A0038C"/>
    <w:rsid w:val="00A0040D"/>
    <w:rsid w:val="00A00431"/>
    <w:rsid w:val="00A0051E"/>
    <w:rsid w:val="00A005A5"/>
    <w:rsid w:val="00A00661"/>
    <w:rsid w:val="00A00686"/>
    <w:rsid w:val="00A0080B"/>
    <w:rsid w:val="00A00838"/>
    <w:rsid w:val="00A008BC"/>
    <w:rsid w:val="00A00917"/>
    <w:rsid w:val="00A0094D"/>
    <w:rsid w:val="00A00A20"/>
    <w:rsid w:val="00A00AA4"/>
    <w:rsid w:val="00A00D26"/>
    <w:rsid w:val="00A00D2F"/>
    <w:rsid w:val="00A00F9F"/>
    <w:rsid w:val="00A00FCF"/>
    <w:rsid w:val="00A010AA"/>
    <w:rsid w:val="00A010D6"/>
    <w:rsid w:val="00A010E1"/>
    <w:rsid w:val="00A010FF"/>
    <w:rsid w:val="00A0110C"/>
    <w:rsid w:val="00A011F3"/>
    <w:rsid w:val="00A01237"/>
    <w:rsid w:val="00A012F7"/>
    <w:rsid w:val="00A013BC"/>
    <w:rsid w:val="00A01555"/>
    <w:rsid w:val="00A016AE"/>
    <w:rsid w:val="00A016DE"/>
    <w:rsid w:val="00A017A9"/>
    <w:rsid w:val="00A0187B"/>
    <w:rsid w:val="00A018B2"/>
    <w:rsid w:val="00A01941"/>
    <w:rsid w:val="00A019C5"/>
    <w:rsid w:val="00A01A49"/>
    <w:rsid w:val="00A01AB0"/>
    <w:rsid w:val="00A01B40"/>
    <w:rsid w:val="00A01BF9"/>
    <w:rsid w:val="00A01C0A"/>
    <w:rsid w:val="00A01C29"/>
    <w:rsid w:val="00A01C90"/>
    <w:rsid w:val="00A01CE6"/>
    <w:rsid w:val="00A01D61"/>
    <w:rsid w:val="00A01D71"/>
    <w:rsid w:val="00A01E81"/>
    <w:rsid w:val="00A01EFE"/>
    <w:rsid w:val="00A01F82"/>
    <w:rsid w:val="00A02017"/>
    <w:rsid w:val="00A02022"/>
    <w:rsid w:val="00A0203D"/>
    <w:rsid w:val="00A02069"/>
    <w:rsid w:val="00A0224F"/>
    <w:rsid w:val="00A022FD"/>
    <w:rsid w:val="00A0239D"/>
    <w:rsid w:val="00A023DD"/>
    <w:rsid w:val="00A023F2"/>
    <w:rsid w:val="00A025E4"/>
    <w:rsid w:val="00A0268F"/>
    <w:rsid w:val="00A0269A"/>
    <w:rsid w:val="00A026A1"/>
    <w:rsid w:val="00A026E9"/>
    <w:rsid w:val="00A02704"/>
    <w:rsid w:val="00A027C3"/>
    <w:rsid w:val="00A02802"/>
    <w:rsid w:val="00A02898"/>
    <w:rsid w:val="00A0297E"/>
    <w:rsid w:val="00A029E8"/>
    <w:rsid w:val="00A02B10"/>
    <w:rsid w:val="00A02B13"/>
    <w:rsid w:val="00A02B53"/>
    <w:rsid w:val="00A02B88"/>
    <w:rsid w:val="00A02DC6"/>
    <w:rsid w:val="00A02FAE"/>
    <w:rsid w:val="00A0302A"/>
    <w:rsid w:val="00A030D5"/>
    <w:rsid w:val="00A031DA"/>
    <w:rsid w:val="00A0326E"/>
    <w:rsid w:val="00A032BB"/>
    <w:rsid w:val="00A0356E"/>
    <w:rsid w:val="00A035D0"/>
    <w:rsid w:val="00A03654"/>
    <w:rsid w:val="00A03767"/>
    <w:rsid w:val="00A037D1"/>
    <w:rsid w:val="00A03884"/>
    <w:rsid w:val="00A038F8"/>
    <w:rsid w:val="00A0398D"/>
    <w:rsid w:val="00A03A23"/>
    <w:rsid w:val="00A03AFD"/>
    <w:rsid w:val="00A03D65"/>
    <w:rsid w:val="00A03D9A"/>
    <w:rsid w:val="00A03E50"/>
    <w:rsid w:val="00A041C9"/>
    <w:rsid w:val="00A04289"/>
    <w:rsid w:val="00A04352"/>
    <w:rsid w:val="00A043B6"/>
    <w:rsid w:val="00A043F8"/>
    <w:rsid w:val="00A04402"/>
    <w:rsid w:val="00A04584"/>
    <w:rsid w:val="00A045E4"/>
    <w:rsid w:val="00A04653"/>
    <w:rsid w:val="00A047F6"/>
    <w:rsid w:val="00A0481B"/>
    <w:rsid w:val="00A04854"/>
    <w:rsid w:val="00A04974"/>
    <w:rsid w:val="00A04A66"/>
    <w:rsid w:val="00A04BB6"/>
    <w:rsid w:val="00A04C62"/>
    <w:rsid w:val="00A04C91"/>
    <w:rsid w:val="00A04CE2"/>
    <w:rsid w:val="00A04CF3"/>
    <w:rsid w:val="00A04F04"/>
    <w:rsid w:val="00A04FEC"/>
    <w:rsid w:val="00A050B9"/>
    <w:rsid w:val="00A050E5"/>
    <w:rsid w:val="00A053AF"/>
    <w:rsid w:val="00A05430"/>
    <w:rsid w:val="00A055CA"/>
    <w:rsid w:val="00A0565D"/>
    <w:rsid w:val="00A056E8"/>
    <w:rsid w:val="00A0593E"/>
    <w:rsid w:val="00A05AB1"/>
    <w:rsid w:val="00A05B28"/>
    <w:rsid w:val="00A05B6D"/>
    <w:rsid w:val="00A05C91"/>
    <w:rsid w:val="00A05FED"/>
    <w:rsid w:val="00A05FF9"/>
    <w:rsid w:val="00A063D6"/>
    <w:rsid w:val="00A06412"/>
    <w:rsid w:val="00A06502"/>
    <w:rsid w:val="00A067A0"/>
    <w:rsid w:val="00A06838"/>
    <w:rsid w:val="00A06A85"/>
    <w:rsid w:val="00A06D10"/>
    <w:rsid w:val="00A06D36"/>
    <w:rsid w:val="00A06D60"/>
    <w:rsid w:val="00A06DDA"/>
    <w:rsid w:val="00A06EF0"/>
    <w:rsid w:val="00A06FFB"/>
    <w:rsid w:val="00A07050"/>
    <w:rsid w:val="00A0712B"/>
    <w:rsid w:val="00A072D0"/>
    <w:rsid w:val="00A0736A"/>
    <w:rsid w:val="00A073CB"/>
    <w:rsid w:val="00A074AB"/>
    <w:rsid w:val="00A0765E"/>
    <w:rsid w:val="00A07789"/>
    <w:rsid w:val="00A077C5"/>
    <w:rsid w:val="00A0796D"/>
    <w:rsid w:val="00A07987"/>
    <w:rsid w:val="00A079A1"/>
    <w:rsid w:val="00A07AF9"/>
    <w:rsid w:val="00A07BD1"/>
    <w:rsid w:val="00A07C3C"/>
    <w:rsid w:val="00A07CB6"/>
    <w:rsid w:val="00A07CFB"/>
    <w:rsid w:val="00A07D87"/>
    <w:rsid w:val="00A07F1C"/>
    <w:rsid w:val="00A07FBC"/>
    <w:rsid w:val="00A10097"/>
    <w:rsid w:val="00A100ED"/>
    <w:rsid w:val="00A101AA"/>
    <w:rsid w:val="00A1020F"/>
    <w:rsid w:val="00A1033F"/>
    <w:rsid w:val="00A10386"/>
    <w:rsid w:val="00A10387"/>
    <w:rsid w:val="00A1052B"/>
    <w:rsid w:val="00A10541"/>
    <w:rsid w:val="00A105D7"/>
    <w:rsid w:val="00A10624"/>
    <w:rsid w:val="00A10636"/>
    <w:rsid w:val="00A106A0"/>
    <w:rsid w:val="00A1071A"/>
    <w:rsid w:val="00A1075F"/>
    <w:rsid w:val="00A1082E"/>
    <w:rsid w:val="00A10833"/>
    <w:rsid w:val="00A10943"/>
    <w:rsid w:val="00A109DE"/>
    <w:rsid w:val="00A10BF9"/>
    <w:rsid w:val="00A10CB0"/>
    <w:rsid w:val="00A10CBC"/>
    <w:rsid w:val="00A10DFE"/>
    <w:rsid w:val="00A10F92"/>
    <w:rsid w:val="00A10FBC"/>
    <w:rsid w:val="00A10FE7"/>
    <w:rsid w:val="00A1111B"/>
    <w:rsid w:val="00A11151"/>
    <w:rsid w:val="00A1130B"/>
    <w:rsid w:val="00A113F9"/>
    <w:rsid w:val="00A11547"/>
    <w:rsid w:val="00A115AC"/>
    <w:rsid w:val="00A11626"/>
    <w:rsid w:val="00A11730"/>
    <w:rsid w:val="00A11746"/>
    <w:rsid w:val="00A1185C"/>
    <w:rsid w:val="00A118D9"/>
    <w:rsid w:val="00A11946"/>
    <w:rsid w:val="00A11B14"/>
    <w:rsid w:val="00A11C71"/>
    <w:rsid w:val="00A11C7C"/>
    <w:rsid w:val="00A11D30"/>
    <w:rsid w:val="00A11F3A"/>
    <w:rsid w:val="00A11F44"/>
    <w:rsid w:val="00A11FA3"/>
    <w:rsid w:val="00A120AD"/>
    <w:rsid w:val="00A12188"/>
    <w:rsid w:val="00A121BB"/>
    <w:rsid w:val="00A123EC"/>
    <w:rsid w:val="00A1240A"/>
    <w:rsid w:val="00A12550"/>
    <w:rsid w:val="00A1255E"/>
    <w:rsid w:val="00A12595"/>
    <w:rsid w:val="00A125DE"/>
    <w:rsid w:val="00A12630"/>
    <w:rsid w:val="00A1276E"/>
    <w:rsid w:val="00A128C3"/>
    <w:rsid w:val="00A128D7"/>
    <w:rsid w:val="00A128E2"/>
    <w:rsid w:val="00A1292E"/>
    <w:rsid w:val="00A12A02"/>
    <w:rsid w:val="00A12A24"/>
    <w:rsid w:val="00A12A2D"/>
    <w:rsid w:val="00A12A8E"/>
    <w:rsid w:val="00A12AAF"/>
    <w:rsid w:val="00A12AFA"/>
    <w:rsid w:val="00A12B01"/>
    <w:rsid w:val="00A12B05"/>
    <w:rsid w:val="00A12B3E"/>
    <w:rsid w:val="00A12CCF"/>
    <w:rsid w:val="00A12D43"/>
    <w:rsid w:val="00A12DE5"/>
    <w:rsid w:val="00A12E7C"/>
    <w:rsid w:val="00A12EE2"/>
    <w:rsid w:val="00A1304A"/>
    <w:rsid w:val="00A1319E"/>
    <w:rsid w:val="00A13235"/>
    <w:rsid w:val="00A1328B"/>
    <w:rsid w:val="00A13297"/>
    <w:rsid w:val="00A13314"/>
    <w:rsid w:val="00A13361"/>
    <w:rsid w:val="00A1336E"/>
    <w:rsid w:val="00A13473"/>
    <w:rsid w:val="00A134AC"/>
    <w:rsid w:val="00A134AE"/>
    <w:rsid w:val="00A134B0"/>
    <w:rsid w:val="00A13514"/>
    <w:rsid w:val="00A13616"/>
    <w:rsid w:val="00A137C5"/>
    <w:rsid w:val="00A137D1"/>
    <w:rsid w:val="00A13914"/>
    <w:rsid w:val="00A13946"/>
    <w:rsid w:val="00A13997"/>
    <w:rsid w:val="00A13A1A"/>
    <w:rsid w:val="00A13C14"/>
    <w:rsid w:val="00A13CE8"/>
    <w:rsid w:val="00A13DD6"/>
    <w:rsid w:val="00A13E6C"/>
    <w:rsid w:val="00A13EF9"/>
    <w:rsid w:val="00A13F18"/>
    <w:rsid w:val="00A13FED"/>
    <w:rsid w:val="00A13FF7"/>
    <w:rsid w:val="00A14015"/>
    <w:rsid w:val="00A1425D"/>
    <w:rsid w:val="00A1435D"/>
    <w:rsid w:val="00A143E9"/>
    <w:rsid w:val="00A1444C"/>
    <w:rsid w:val="00A144E5"/>
    <w:rsid w:val="00A14546"/>
    <w:rsid w:val="00A1454A"/>
    <w:rsid w:val="00A14562"/>
    <w:rsid w:val="00A1465D"/>
    <w:rsid w:val="00A146F8"/>
    <w:rsid w:val="00A14790"/>
    <w:rsid w:val="00A147C5"/>
    <w:rsid w:val="00A14963"/>
    <w:rsid w:val="00A1499B"/>
    <w:rsid w:val="00A1499E"/>
    <w:rsid w:val="00A14C2E"/>
    <w:rsid w:val="00A14DB0"/>
    <w:rsid w:val="00A14E4D"/>
    <w:rsid w:val="00A14E9B"/>
    <w:rsid w:val="00A14F61"/>
    <w:rsid w:val="00A14FF5"/>
    <w:rsid w:val="00A1503E"/>
    <w:rsid w:val="00A15042"/>
    <w:rsid w:val="00A15140"/>
    <w:rsid w:val="00A15177"/>
    <w:rsid w:val="00A15194"/>
    <w:rsid w:val="00A151C0"/>
    <w:rsid w:val="00A15357"/>
    <w:rsid w:val="00A154F3"/>
    <w:rsid w:val="00A15578"/>
    <w:rsid w:val="00A15721"/>
    <w:rsid w:val="00A15804"/>
    <w:rsid w:val="00A158B4"/>
    <w:rsid w:val="00A158FA"/>
    <w:rsid w:val="00A15972"/>
    <w:rsid w:val="00A15BB4"/>
    <w:rsid w:val="00A15C4C"/>
    <w:rsid w:val="00A15C95"/>
    <w:rsid w:val="00A15E3D"/>
    <w:rsid w:val="00A15ED1"/>
    <w:rsid w:val="00A1601E"/>
    <w:rsid w:val="00A16462"/>
    <w:rsid w:val="00A16479"/>
    <w:rsid w:val="00A164A3"/>
    <w:rsid w:val="00A16523"/>
    <w:rsid w:val="00A16545"/>
    <w:rsid w:val="00A16561"/>
    <w:rsid w:val="00A16643"/>
    <w:rsid w:val="00A16647"/>
    <w:rsid w:val="00A166DD"/>
    <w:rsid w:val="00A16895"/>
    <w:rsid w:val="00A16896"/>
    <w:rsid w:val="00A16A06"/>
    <w:rsid w:val="00A16A48"/>
    <w:rsid w:val="00A16A56"/>
    <w:rsid w:val="00A16B3A"/>
    <w:rsid w:val="00A16BA2"/>
    <w:rsid w:val="00A16C1D"/>
    <w:rsid w:val="00A16C3D"/>
    <w:rsid w:val="00A16CD7"/>
    <w:rsid w:val="00A16F02"/>
    <w:rsid w:val="00A16F5C"/>
    <w:rsid w:val="00A16F69"/>
    <w:rsid w:val="00A17179"/>
    <w:rsid w:val="00A17209"/>
    <w:rsid w:val="00A1723A"/>
    <w:rsid w:val="00A17275"/>
    <w:rsid w:val="00A1731C"/>
    <w:rsid w:val="00A17409"/>
    <w:rsid w:val="00A1750E"/>
    <w:rsid w:val="00A175C3"/>
    <w:rsid w:val="00A175CD"/>
    <w:rsid w:val="00A17654"/>
    <w:rsid w:val="00A176A0"/>
    <w:rsid w:val="00A176FC"/>
    <w:rsid w:val="00A1770B"/>
    <w:rsid w:val="00A177C6"/>
    <w:rsid w:val="00A177D5"/>
    <w:rsid w:val="00A179C1"/>
    <w:rsid w:val="00A17A03"/>
    <w:rsid w:val="00A17C6C"/>
    <w:rsid w:val="00A17DF2"/>
    <w:rsid w:val="00A20047"/>
    <w:rsid w:val="00A20292"/>
    <w:rsid w:val="00A20350"/>
    <w:rsid w:val="00A20435"/>
    <w:rsid w:val="00A2048B"/>
    <w:rsid w:val="00A205D7"/>
    <w:rsid w:val="00A206DA"/>
    <w:rsid w:val="00A20748"/>
    <w:rsid w:val="00A20CC2"/>
    <w:rsid w:val="00A20CFF"/>
    <w:rsid w:val="00A21078"/>
    <w:rsid w:val="00A210B2"/>
    <w:rsid w:val="00A2114B"/>
    <w:rsid w:val="00A21161"/>
    <w:rsid w:val="00A21252"/>
    <w:rsid w:val="00A21417"/>
    <w:rsid w:val="00A2151B"/>
    <w:rsid w:val="00A21717"/>
    <w:rsid w:val="00A21781"/>
    <w:rsid w:val="00A21791"/>
    <w:rsid w:val="00A218E7"/>
    <w:rsid w:val="00A21908"/>
    <w:rsid w:val="00A21ABC"/>
    <w:rsid w:val="00A21AC7"/>
    <w:rsid w:val="00A21AC8"/>
    <w:rsid w:val="00A21ADB"/>
    <w:rsid w:val="00A21B50"/>
    <w:rsid w:val="00A21B74"/>
    <w:rsid w:val="00A21C18"/>
    <w:rsid w:val="00A21C2B"/>
    <w:rsid w:val="00A21C36"/>
    <w:rsid w:val="00A21D8C"/>
    <w:rsid w:val="00A220D6"/>
    <w:rsid w:val="00A22281"/>
    <w:rsid w:val="00A222D4"/>
    <w:rsid w:val="00A22338"/>
    <w:rsid w:val="00A2234A"/>
    <w:rsid w:val="00A22380"/>
    <w:rsid w:val="00A223AA"/>
    <w:rsid w:val="00A2240E"/>
    <w:rsid w:val="00A224D1"/>
    <w:rsid w:val="00A225B3"/>
    <w:rsid w:val="00A22618"/>
    <w:rsid w:val="00A22662"/>
    <w:rsid w:val="00A227B2"/>
    <w:rsid w:val="00A227F9"/>
    <w:rsid w:val="00A228B6"/>
    <w:rsid w:val="00A228E9"/>
    <w:rsid w:val="00A229ED"/>
    <w:rsid w:val="00A229F6"/>
    <w:rsid w:val="00A22A53"/>
    <w:rsid w:val="00A22B20"/>
    <w:rsid w:val="00A22B65"/>
    <w:rsid w:val="00A22C71"/>
    <w:rsid w:val="00A22DF0"/>
    <w:rsid w:val="00A22E4E"/>
    <w:rsid w:val="00A22ED5"/>
    <w:rsid w:val="00A22FD3"/>
    <w:rsid w:val="00A231A4"/>
    <w:rsid w:val="00A2322D"/>
    <w:rsid w:val="00A233CB"/>
    <w:rsid w:val="00A234A8"/>
    <w:rsid w:val="00A235F6"/>
    <w:rsid w:val="00A23723"/>
    <w:rsid w:val="00A2382C"/>
    <w:rsid w:val="00A23A5F"/>
    <w:rsid w:val="00A23B09"/>
    <w:rsid w:val="00A23EBB"/>
    <w:rsid w:val="00A2403E"/>
    <w:rsid w:val="00A240D4"/>
    <w:rsid w:val="00A244BD"/>
    <w:rsid w:val="00A24537"/>
    <w:rsid w:val="00A24550"/>
    <w:rsid w:val="00A246F5"/>
    <w:rsid w:val="00A247B5"/>
    <w:rsid w:val="00A2489F"/>
    <w:rsid w:val="00A248E0"/>
    <w:rsid w:val="00A24932"/>
    <w:rsid w:val="00A2499A"/>
    <w:rsid w:val="00A249D3"/>
    <w:rsid w:val="00A24A79"/>
    <w:rsid w:val="00A24A82"/>
    <w:rsid w:val="00A24B6E"/>
    <w:rsid w:val="00A24C64"/>
    <w:rsid w:val="00A24C74"/>
    <w:rsid w:val="00A24E0C"/>
    <w:rsid w:val="00A24E79"/>
    <w:rsid w:val="00A24EFA"/>
    <w:rsid w:val="00A24F3B"/>
    <w:rsid w:val="00A24FAD"/>
    <w:rsid w:val="00A24FF3"/>
    <w:rsid w:val="00A25034"/>
    <w:rsid w:val="00A2503C"/>
    <w:rsid w:val="00A25081"/>
    <w:rsid w:val="00A250AA"/>
    <w:rsid w:val="00A250CD"/>
    <w:rsid w:val="00A2510D"/>
    <w:rsid w:val="00A25206"/>
    <w:rsid w:val="00A2521A"/>
    <w:rsid w:val="00A252A6"/>
    <w:rsid w:val="00A25442"/>
    <w:rsid w:val="00A254C9"/>
    <w:rsid w:val="00A2551A"/>
    <w:rsid w:val="00A2551D"/>
    <w:rsid w:val="00A25541"/>
    <w:rsid w:val="00A25568"/>
    <w:rsid w:val="00A2556B"/>
    <w:rsid w:val="00A25676"/>
    <w:rsid w:val="00A2577A"/>
    <w:rsid w:val="00A258E1"/>
    <w:rsid w:val="00A258FC"/>
    <w:rsid w:val="00A25D67"/>
    <w:rsid w:val="00A25E5D"/>
    <w:rsid w:val="00A25E75"/>
    <w:rsid w:val="00A25E9A"/>
    <w:rsid w:val="00A25FA3"/>
    <w:rsid w:val="00A2608F"/>
    <w:rsid w:val="00A26091"/>
    <w:rsid w:val="00A260D0"/>
    <w:rsid w:val="00A26357"/>
    <w:rsid w:val="00A26379"/>
    <w:rsid w:val="00A264D7"/>
    <w:rsid w:val="00A2654B"/>
    <w:rsid w:val="00A2663C"/>
    <w:rsid w:val="00A2666D"/>
    <w:rsid w:val="00A267BE"/>
    <w:rsid w:val="00A2680F"/>
    <w:rsid w:val="00A26B5D"/>
    <w:rsid w:val="00A26B65"/>
    <w:rsid w:val="00A26C38"/>
    <w:rsid w:val="00A26C74"/>
    <w:rsid w:val="00A26E7C"/>
    <w:rsid w:val="00A26F56"/>
    <w:rsid w:val="00A26FA3"/>
    <w:rsid w:val="00A270B1"/>
    <w:rsid w:val="00A27154"/>
    <w:rsid w:val="00A271AC"/>
    <w:rsid w:val="00A271F6"/>
    <w:rsid w:val="00A27252"/>
    <w:rsid w:val="00A2736B"/>
    <w:rsid w:val="00A27460"/>
    <w:rsid w:val="00A2756E"/>
    <w:rsid w:val="00A2764E"/>
    <w:rsid w:val="00A278B4"/>
    <w:rsid w:val="00A2791E"/>
    <w:rsid w:val="00A27AA9"/>
    <w:rsid w:val="00A27AAB"/>
    <w:rsid w:val="00A27AAC"/>
    <w:rsid w:val="00A27B89"/>
    <w:rsid w:val="00A27B96"/>
    <w:rsid w:val="00A27BE8"/>
    <w:rsid w:val="00A27C5D"/>
    <w:rsid w:val="00A27CEE"/>
    <w:rsid w:val="00A27D63"/>
    <w:rsid w:val="00A27D67"/>
    <w:rsid w:val="00A27DC5"/>
    <w:rsid w:val="00A27EA0"/>
    <w:rsid w:val="00A27F24"/>
    <w:rsid w:val="00A3048F"/>
    <w:rsid w:val="00A305A7"/>
    <w:rsid w:val="00A30650"/>
    <w:rsid w:val="00A309AB"/>
    <w:rsid w:val="00A309B6"/>
    <w:rsid w:val="00A30A4A"/>
    <w:rsid w:val="00A30B69"/>
    <w:rsid w:val="00A30B82"/>
    <w:rsid w:val="00A30BAB"/>
    <w:rsid w:val="00A30C26"/>
    <w:rsid w:val="00A30C9B"/>
    <w:rsid w:val="00A30CC9"/>
    <w:rsid w:val="00A30D2F"/>
    <w:rsid w:val="00A30ECE"/>
    <w:rsid w:val="00A30F07"/>
    <w:rsid w:val="00A30F1A"/>
    <w:rsid w:val="00A310F9"/>
    <w:rsid w:val="00A310FD"/>
    <w:rsid w:val="00A31109"/>
    <w:rsid w:val="00A3120A"/>
    <w:rsid w:val="00A31214"/>
    <w:rsid w:val="00A31374"/>
    <w:rsid w:val="00A313CD"/>
    <w:rsid w:val="00A31484"/>
    <w:rsid w:val="00A314D7"/>
    <w:rsid w:val="00A314FC"/>
    <w:rsid w:val="00A31546"/>
    <w:rsid w:val="00A31575"/>
    <w:rsid w:val="00A31756"/>
    <w:rsid w:val="00A3177E"/>
    <w:rsid w:val="00A318EA"/>
    <w:rsid w:val="00A319CA"/>
    <w:rsid w:val="00A319CC"/>
    <w:rsid w:val="00A31A97"/>
    <w:rsid w:val="00A31AD0"/>
    <w:rsid w:val="00A31B09"/>
    <w:rsid w:val="00A31B4C"/>
    <w:rsid w:val="00A31C6F"/>
    <w:rsid w:val="00A31C87"/>
    <w:rsid w:val="00A31CAF"/>
    <w:rsid w:val="00A31CF5"/>
    <w:rsid w:val="00A31D09"/>
    <w:rsid w:val="00A31DFF"/>
    <w:rsid w:val="00A31E69"/>
    <w:rsid w:val="00A31EDB"/>
    <w:rsid w:val="00A31FA6"/>
    <w:rsid w:val="00A31FC7"/>
    <w:rsid w:val="00A31FF1"/>
    <w:rsid w:val="00A320B6"/>
    <w:rsid w:val="00A320B8"/>
    <w:rsid w:val="00A320DA"/>
    <w:rsid w:val="00A32106"/>
    <w:rsid w:val="00A32153"/>
    <w:rsid w:val="00A321DC"/>
    <w:rsid w:val="00A322AD"/>
    <w:rsid w:val="00A32347"/>
    <w:rsid w:val="00A324D9"/>
    <w:rsid w:val="00A32519"/>
    <w:rsid w:val="00A3265C"/>
    <w:rsid w:val="00A32678"/>
    <w:rsid w:val="00A326F3"/>
    <w:rsid w:val="00A32705"/>
    <w:rsid w:val="00A32757"/>
    <w:rsid w:val="00A32869"/>
    <w:rsid w:val="00A32879"/>
    <w:rsid w:val="00A3293C"/>
    <w:rsid w:val="00A329F9"/>
    <w:rsid w:val="00A32AF3"/>
    <w:rsid w:val="00A32AFC"/>
    <w:rsid w:val="00A32B37"/>
    <w:rsid w:val="00A32BCD"/>
    <w:rsid w:val="00A32C2B"/>
    <w:rsid w:val="00A32CA4"/>
    <w:rsid w:val="00A32CE7"/>
    <w:rsid w:val="00A32EEB"/>
    <w:rsid w:val="00A32F51"/>
    <w:rsid w:val="00A32FCF"/>
    <w:rsid w:val="00A32FD5"/>
    <w:rsid w:val="00A330DD"/>
    <w:rsid w:val="00A331A3"/>
    <w:rsid w:val="00A33268"/>
    <w:rsid w:val="00A33391"/>
    <w:rsid w:val="00A3342A"/>
    <w:rsid w:val="00A33733"/>
    <w:rsid w:val="00A337FF"/>
    <w:rsid w:val="00A3384B"/>
    <w:rsid w:val="00A33946"/>
    <w:rsid w:val="00A33961"/>
    <w:rsid w:val="00A3398C"/>
    <w:rsid w:val="00A33A1C"/>
    <w:rsid w:val="00A33A47"/>
    <w:rsid w:val="00A33BAF"/>
    <w:rsid w:val="00A33BFC"/>
    <w:rsid w:val="00A33C1B"/>
    <w:rsid w:val="00A33D32"/>
    <w:rsid w:val="00A33D57"/>
    <w:rsid w:val="00A33D60"/>
    <w:rsid w:val="00A33F1C"/>
    <w:rsid w:val="00A33F89"/>
    <w:rsid w:val="00A33F8D"/>
    <w:rsid w:val="00A33FC6"/>
    <w:rsid w:val="00A3400C"/>
    <w:rsid w:val="00A346F9"/>
    <w:rsid w:val="00A3474D"/>
    <w:rsid w:val="00A3477C"/>
    <w:rsid w:val="00A34780"/>
    <w:rsid w:val="00A34882"/>
    <w:rsid w:val="00A3489E"/>
    <w:rsid w:val="00A348A1"/>
    <w:rsid w:val="00A34B95"/>
    <w:rsid w:val="00A34BA6"/>
    <w:rsid w:val="00A34CBA"/>
    <w:rsid w:val="00A34D4C"/>
    <w:rsid w:val="00A34DA6"/>
    <w:rsid w:val="00A34E67"/>
    <w:rsid w:val="00A34EA4"/>
    <w:rsid w:val="00A34ED0"/>
    <w:rsid w:val="00A35080"/>
    <w:rsid w:val="00A352D9"/>
    <w:rsid w:val="00A35308"/>
    <w:rsid w:val="00A35542"/>
    <w:rsid w:val="00A35656"/>
    <w:rsid w:val="00A3566D"/>
    <w:rsid w:val="00A35705"/>
    <w:rsid w:val="00A357B6"/>
    <w:rsid w:val="00A357E3"/>
    <w:rsid w:val="00A3585F"/>
    <w:rsid w:val="00A358F3"/>
    <w:rsid w:val="00A35B49"/>
    <w:rsid w:val="00A35C63"/>
    <w:rsid w:val="00A35C7F"/>
    <w:rsid w:val="00A35CA0"/>
    <w:rsid w:val="00A35D8A"/>
    <w:rsid w:val="00A35DFE"/>
    <w:rsid w:val="00A35E47"/>
    <w:rsid w:val="00A35F86"/>
    <w:rsid w:val="00A35F99"/>
    <w:rsid w:val="00A361D7"/>
    <w:rsid w:val="00A36211"/>
    <w:rsid w:val="00A36255"/>
    <w:rsid w:val="00A3630B"/>
    <w:rsid w:val="00A36328"/>
    <w:rsid w:val="00A36342"/>
    <w:rsid w:val="00A364A6"/>
    <w:rsid w:val="00A36563"/>
    <w:rsid w:val="00A365D9"/>
    <w:rsid w:val="00A3670B"/>
    <w:rsid w:val="00A3673F"/>
    <w:rsid w:val="00A3681A"/>
    <w:rsid w:val="00A36A0F"/>
    <w:rsid w:val="00A36A74"/>
    <w:rsid w:val="00A36ABD"/>
    <w:rsid w:val="00A36B09"/>
    <w:rsid w:val="00A36C6E"/>
    <w:rsid w:val="00A36D0D"/>
    <w:rsid w:val="00A36D17"/>
    <w:rsid w:val="00A36D5D"/>
    <w:rsid w:val="00A36D75"/>
    <w:rsid w:val="00A36DF8"/>
    <w:rsid w:val="00A36F0F"/>
    <w:rsid w:val="00A36F8B"/>
    <w:rsid w:val="00A36FA6"/>
    <w:rsid w:val="00A37030"/>
    <w:rsid w:val="00A37204"/>
    <w:rsid w:val="00A3724B"/>
    <w:rsid w:val="00A372C8"/>
    <w:rsid w:val="00A372C9"/>
    <w:rsid w:val="00A37357"/>
    <w:rsid w:val="00A373F4"/>
    <w:rsid w:val="00A37400"/>
    <w:rsid w:val="00A3749E"/>
    <w:rsid w:val="00A374B4"/>
    <w:rsid w:val="00A3755F"/>
    <w:rsid w:val="00A375B8"/>
    <w:rsid w:val="00A375FF"/>
    <w:rsid w:val="00A3762E"/>
    <w:rsid w:val="00A37682"/>
    <w:rsid w:val="00A37A5F"/>
    <w:rsid w:val="00A37AD4"/>
    <w:rsid w:val="00A37E0C"/>
    <w:rsid w:val="00A37E7B"/>
    <w:rsid w:val="00A37EEF"/>
    <w:rsid w:val="00A37F19"/>
    <w:rsid w:val="00A37F42"/>
    <w:rsid w:val="00A37FE7"/>
    <w:rsid w:val="00A40068"/>
    <w:rsid w:val="00A401E3"/>
    <w:rsid w:val="00A401FB"/>
    <w:rsid w:val="00A40223"/>
    <w:rsid w:val="00A40322"/>
    <w:rsid w:val="00A4034A"/>
    <w:rsid w:val="00A4035A"/>
    <w:rsid w:val="00A406AF"/>
    <w:rsid w:val="00A406D4"/>
    <w:rsid w:val="00A407CB"/>
    <w:rsid w:val="00A40817"/>
    <w:rsid w:val="00A40C55"/>
    <w:rsid w:val="00A40CBD"/>
    <w:rsid w:val="00A40D13"/>
    <w:rsid w:val="00A40D2E"/>
    <w:rsid w:val="00A40E6C"/>
    <w:rsid w:val="00A40EA3"/>
    <w:rsid w:val="00A40EA5"/>
    <w:rsid w:val="00A40EA7"/>
    <w:rsid w:val="00A40EB3"/>
    <w:rsid w:val="00A40ED1"/>
    <w:rsid w:val="00A40EEC"/>
    <w:rsid w:val="00A40F44"/>
    <w:rsid w:val="00A4112A"/>
    <w:rsid w:val="00A41144"/>
    <w:rsid w:val="00A41177"/>
    <w:rsid w:val="00A412AE"/>
    <w:rsid w:val="00A4134D"/>
    <w:rsid w:val="00A41367"/>
    <w:rsid w:val="00A413CF"/>
    <w:rsid w:val="00A41403"/>
    <w:rsid w:val="00A4145C"/>
    <w:rsid w:val="00A4147E"/>
    <w:rsid w:val="00A41571"/>
    <w:rsid w:val="00A415BA"/>
    <w:rsid w:val="00A415C0"/>
    <w:rsid w:val="00A41624"/>
    <w:rsid w:val="00A416AA"/>
    <w:rsid w:val="00A41768"/>
    <w:rsid w:val="00A417A9"/>
    <w:rsid w:val="00A417CF"/>
    <w:rsid w:val="00A418B3"/>
    <w:rsid w:val="00A41911"/>
    <w:rsid w:val="00A41912"/>
    <w:rsid w:val="00A419B5"/>
    <w:rsid w:val="00A419E6"/>
    <w:rsid w:val="00A41A9C"/>
    <w:rsid w:val="00A41B6A"/>
    <w:rsid w:val="00A41CA5"/>
    <w:rsid w:val="00A41E07"/>
    <w:rsid w:val="00A41F69"/>
    <w:rsid w:val="00A42351"/>
    <w:rsid w:val="00A4242E"/>
    <w:rsid w:val="00A4262C"/>
    <w:rsid w:val="00A426AA"/>
    <w:rsid w:val="00A426F2"/>
    <w:rsid w:val="00A427CF"/>
    <w:rsid w:val="00A42841"/>
    <w:rsid w:val="00A42927"/>
    <w:rsid w:val="00A42A7B"/>
    <w:rsid w:val="00A42B9B"/>
    <w:rsid w:val="00A42D62"/>
    <w:rsid w:val="00A42E0E"/>
    <w:rsid w:val="00A42EB4"/>
    <w:rsid w:val="00A42EF6"/>
    <w:rsid w:val="00A4309D"/>
    <w:rsid w:val="00A431D6"/>
    <w:rsid w:val="00A43240"/>
    <w:rsid w:val="00A432DE"/>
    <w:rsid w:val="00A43382"/>
    <w:rsid w:val="00A434CE"/>
    <w:rsid w:val="00A43561"/>
    <w:rsid w:val="00A437B4"/>
    <w:rsid w:val="00A437F7"/>
    <w:rsid w:val="00A43B63"/>
    <w:rsid w:val="00A43DC5"/>
    <w:rsid w:val="00A43E21"/>
    <w:rsid w:val="00A4409D"/>
    <w:rsid w:val="00A44223"/>
    <w:rsid w:val="00A44224"/>
    <w:rsid w:val="00A4426E"/>
    <w:rsid w:val="00A442C6"/>
    <w:rsid w:val="00A443D8"/>
    <w:rsid w:val="00A444A3"/>
    <w:rsid w:val="00A44594"/>
    <w:rsid w:val="00A44749"/>
    <w:rsid w:val="00A4482D"/>
    <w:rsid w:val="00A44921"/>
    <w:rsid w:val="00A449AA"/>
    <w:rsid w:val="00A449FC"/>
    <w:rsid w:val="00A44A09"/>
    <w:rsid w:val="00A44A2E"/>
    <w:rsid w:val="00A44AC7"/>
    <w:rsid w:val="00A44B0A"/>
    <w:rsid w:val="00A44B18"/>
    <w:rsid w:val="00A44B75"/>
    <w:rsid w:val="00A44BAF"/>
    <w:rsid w:val="00A44C77"/>
    <w:rsid w:val="00A44E90"/>
    <w:rsid w:val="00A44ED2"/>
    <w:rsid w:val="00A44F50"/>
    <w:rsid w:val="00A450AF"/>
    <w:rsid w:val="00A450D8"/>
    <w:rsid w:val="00A45266"/>
    <w:rsid w:val="00A4527E"/>
    <w:rsid w:val="00A452FD"/>
    <w:rsid w:val="00A453D5"/>
    <w:rsid w:val="00A454A3"/>
    <w:rsid w:val="00A454FF"/>
    <w:rsid w:val="00A4552A"/>
    <w:rsid w:val="00A4553A"/>
    <w:rsid w:val="00A45569"/>
    <w:rsid w:val="00A45655"/>
    <w:rsid w:val="00A456E8"/>
    <w:rsid w:val="00A4579E"/>
    <w:rsid w:val="00A4586B"/>
    <w:rsid w:val="00A458AB"/>
    <w:rsid w:val="00A459E7"/>
    <w:rsid w:val="00A45B6F"/>
    <w:rsid w:val="00A45BFD"/>
    <w:rsid w:val="00A45C55"/>
    <w:rsid w:val="00A45C58"/>
    <w:rsid w:val="00A45CFC"/>
    <w:rsid w:val="00A45D84"/>
    <w:rsid w:val="00A45ED0"/>
    <w:rsid w:val="00A45EF7"/>
    <w:rsid w:val="00A4609C"/>
    <w:rsid w:val="00A460B7"/>
    <w:rsid w:val="00A46187"/>
    <w:rsid w:val="00A461A3"/>
    <w:rsid w:val="00A46211"/>
    <w:rsid w:val="00A46288"/>
    <w:rsid w:val="00A46308"/>
    <w:rsid w:val="00A4646B"/>
    <w:rsid w:val="00A46696"/>
    <w:rsid w:val="00A466C0"/>
    <w:rsid w:val="00A46759"/>
    <w:rsid w:val="00A4679F"/>
    <w:rsid w:val="00A467B1"/>
    <w:rsid w:val="00A467E3"/>
    <w:rsid w:val="00A4681E"/>
    <w:rsid w:val="00A46842"/>
    <w:rsid w:val="00A4697E"/>
    <w:rsid w:val="00A46AD2"/>
    <w:rsid w:val="00A46B16"/>
    <w:rsid w:val="00A46B38"/>
    <w:rsid w:val="00A46BE6"/>
    <w:rsid w:val="00A46D69"/>
    <w:rsid w:val="00A46E4C"/>
    <w:rsid w:val="00A46ECE"/>
    <w:rsid w:val="00A46EFF"/>
    <w:rsid w:val="00A46F0C"/>
    <w:rsid w:val="00A46FB3"/>
    <w:rsid w:val="00A46FE7"/>
    <w:rsid w:val="00A47025"/>
    <w:rsid w:val="00A47083"/>
    <w:rsid w:val="00A47120"/>
    <w:rsid w:val="00A47171"/>
    <w:rsid w:val="00A47197"/>
    <w:rsid w:val="00A471DA"/>
    <w:rsid w:val="00A471FD"/>
    <w:rsid w:val="00A47220"/>
    <w:rsid w:val="00A47266"/>
    <w:rsid w:val="00A4735C"/>
    <w:rsid w:val="00A47429"/>
    <w:rsid w:val="00A47453"/>
    <w:rsid w:val="00A474CF"/>
    <w:rsid w:val="00A47507"/>
    <w:rsid w:val="00A475B3"/>
    <w:rsid w:val="00A475B4"/>
    <w:rsid w:val="00A475FC"/>
    <w:rsid w:val="00A475FD"/>
    <w:rsid w:val="00A47687"/>
    <w:rsid w:val="00A47691"/>
    <w:rsid w:val="00A47706"/>
    <w:rsid w:val="00A4771A"/>
    <w:rsid w:val="00A478DF"/>
    <w:rsid w:val="00A478E3"/>
    <w:rsid w:val="00A47968"/>
    <w:rsid w:val="00A479FA"/>
    <w:rsid w:val="00A47A8A"/>
    <w:rsid w:val="00A47BA1"/>
    <w:rsid w:val="00A47BFE"/>
    <w:rsid w:val="00A47D35"/>
    <w:rsid w:val="00A47D9C"/>
    <w:rsid w:val="00A47DCF"/>
    <w:rsid w:val="00A47EC5"/>
    <w:rsid w:val="00A500A6"/>
    <w:rsid w:val="00A50251"/>
    <w:rsid w:val="00A5025A"/>
    <w:rsid w:val="00A50266"/>
    <w:rsid w:val="00A502A8"/>
    <w:rsid w:val="00A503DE"/>
    <w:rsid w:val="00A50403"/>
    <w:rsid w:val="00A5042E"/>
    <w:rsid w:val="00A5048D"/>
    <w:rsid w:val="00A5055A"/>
    <w:rsid w:val="00A50596"/>
    <w:rsid w:val="00A50706"/>
    <w:rsid w:val="00A5074D"/>
    <w:rsid w:val="00A507BA"/>
    <w:rsid w:val="00A508E3"/>
    <w:rsid w:val="00A5090E"/>
    <w:rsid w:val="00A509E0"/>
    <w:rsid w:val="00A50B3E"/>
    <w:rsid w:val="00A50B4F"/>
    <w:rsid w:val="00A50BF9"/>
    <w:rsid w:val="00A50D96"/>
    <w:rsid w:val="00A50EDC"/>
    <w:rsid w:val="00A51012"/>
    <w:rsid w:val="00A5114B"/>
    <w:rsid w:val="00A51263"/>
    <w:rsid w:val="00A5130E"/>
    <w:rsid w:val="00A51327"/>
    <w:rsid w:val="00A513D8"/>
    <w:rsid w:val="00A514D4"/>
    <w:rsid w:val="00A51591"/>
    <w:rsid w:val="00A51654"/>
    <w:rsid w:val="00A5165C"/>
    <w:rsid w:val="00A516DA"/>
    <w:rsid w:val="00A51765"/>
    <w:rsid w:val="00A51983"/>
    <w:rsid w:val="00A519B6"/>
    <w:rsid w:val="00A51AA1"/>
    <w:rsid w:val="00A51DD1"/>
    <w:rsid w:val="00A51E74"/>
    <w:rsid w:val="00A51EC4"/>
    <w:rsid w:val="00A51F33"/>
    <w:rsid w:val="00A51FF2"/>
    <w:rsid w:val="00A5201B"/>
    <w:rsid w:val="00A5214A"/>
    <w:rsid w:val="00A52160"/>
    <w:rsid w:val="00A5220A"/>
    <w:rsid w:val="00A52256"/>
    <w:rsid w:val="00A522A7"/>
    <w:rsid w:val="00A5244D"/>
    <w:rsid w:val="00A52464"/>
    <w:rsid w:val="00A52585"/>
    <w:rsid w:val="00A5262F"/>
    <w:rsid w:val="00A52880"/>
    <w:rsid w:val="00A528BC"/>
    <w:rsid w:val="00A52930"/>
    <w:rsid w:val="00A52B8D"/>
    <w:rsid w:val="00A52BAA"/>
    <w:rsid w:val="00A52BE1"/>
    <w:rsid w:val="00A52CFF"/>
    <w:rsid w:val="00A52D13"/>
    <w:rsid w:val="00A52DCD"/>
    <w:rsid w:val="00A52DD7"/>
    <w:rsid w:val="00A52FA2"/>
    <w:rsid w:val="00A530BC"/>
    <w:rsid w:val="00A5310C"/>
    <w:rsid w:val="00A531A7"/>
    <w:rsid w:val="00A5322C"/>
    <w:rsid w:val="00A532CD"/>
    <w:rsid w:val="00A53309"/>
    <w:rsid w:val="00A53319"/>
    <w:rsid w:val="00A53368"/>
    <w:rsid w:val="00A533F2"/>
    <w:rsid w:val="00A5341C"/>
    <w:rsid w:val="00A536B2"/>
    <w:rsid w:val="00A536D3"/>
    <w:rsid w:val="00A53733"/>
    <w:rsid w:val="00A53767"/>
    <w:rsid w:val="00A5384D"/>
    <w:rsid w:val="00A538A1"/>
    <w:rsid w:val="00A538E3"/>
    <w:rsid w:val="00A53A9B"/>
    <w:rsid w:val="00A53ACB"/>
    <w:rsid w:val="00A53B37"/>
    <w:rsid w:val="00A53C10"/>
    <w:rsid w:val="00A53DA4"/>
    <w:rsid w:val="00A53DB8"/>
    <w:rsid w:val="00A53FA4"/>
    <w:rsid w:val="00A53FD7"/>
    <w:rsid w:val="00A53FE7"/>
    <w:rsid w:val="00A53FF0"/>
    <w:rsid w:val="00A54125"/>
    <w:rsid w:val="00A542C0"/>
    <w:rsid w:val="00A542F4"/>
    <w:rsid w:val="00A542FD"/>
    <w:rsid w:val="00A5432A"/>
    <w:rsid w:val="00A54501"/>
    <w:rsid w:val="00A54633"/>
    <w:rsid w:val="00A54739"/>
    <w:rsid w:val="00A54781"/>
    <w:rsid w:val="00A54783"/>
    <w:rsid w:val="00A54820"/>
    <w:rsid w:val="00A54875"/>
    <w:rsid w:val="00A548A5"/>
    <w:rsid w:val="00A54A07"/>
    <w:rsid w:val="00A54AE6"/>
    <w:rsid w:val="00A54BA2"/>
    <w:rsid w:val="00A54D02"/>
    <w:rsid w:val="00A54D48"/>
    <w:rsid w:val="00A54E07"/>
    <w:rsid w:val="00A54E87"/>
    <w:rsid w:val="00A54EE2"/>
    <w:rsid w:val="00A54F1B"/>
    <w:rsid w:val="00A54F34"/>
    <w:rsid w:val="00A550B6"/>
    <w:rsid w:val="00A550D5"/>
    <w:rsid w:val="00A551E2"/>
    <w:rsid w:val="00A5535F"/>
    <w:rsid w:val="00A55486"/>
    <w:rsid w:val="00A5549F"/>
    <w:rsid w:val="00A55501"/>
    <w:rsid w:val="00A555CC"/>
    <w:rsid w:val="00A5591B"/>
    <w:rsid w:val="00A55924"/>
    <w:rsid w:val="00A5594C"/>
    <w:rsid w:val="00A559EB"/>
    <w:rsid w:val="00A55A28"/>
    <w:rsid w:val="00A55BA4"/>
    <w:rsid w:val="00A55BEB"/>
    <w:rsid w:val="00A55DAF"/>
    <w:rsid w:val="00A55E1A"/>
    <w:rsid w:val="00A55E29"/>
    <w:rsid w:val="00A55E7C"/>
    <w:rsid w:val="00A55EB5"/>
    <w:rsid w:val="00A55EFF"/>
    <w:rsid w:val="00A5608D"/>
    <w:rsid w:val="00A5612B"/>
    <w:rsid w:val="00A561D9"/>
    <w:rsid w:val="00A56278"/>
    <w:rsid w:val="00A56291"/>
    <w:rsid w:val="00A5629F"/>
    <w:rsid w:val="00A56358"/>
    <w:rsid w:val="00A563DE"/>
    <w:rsid w:val="00A56518"/>
    <w:rsid w:val="00A56519"/>
    <w:rsid w:val="00A565C0"/>
    <w:rsid w:val="00A56738"/>
    <w:rsid w:val="00A569BD"/>
    <w:rsid w:val="00A56B03"/>
    <w:rsid w:val="00A56C65"/>
    <w:rsid w:val="00A56D71"/>
    <w:rsid w:val="00A56EC2"/>
    <w:rsid w:val="00A56EE5"/>
    <w:rsid w:val="00A56FAC"/>
    <w:rsid w:val="00A57051"/>
    <w:rsid w:val="00A57056"/>
    <w:rsid w:val="00A570BC"/>
    <w:rsid w:val="00A571E5"/>
    <w:rsid w:val="00A572F1"/>
    <w:rsid w:val="00A57302"/>
    <w:rsid w:val="00A574DC"/>
    <w:rsid w:val="00A574DF"/>
    <w:rsid w:val="00A57532"/>
    <w:rsid w:val="00A5770C"/>
    <w:rsid w:val="00A57812"/>
    <w:rsid w:val="00A5799A"/>
    <w:rsid w:val="00A57A6D"/>
    <w:rsid w:val="00A57CED"/>
    <w:rsid w:val="00A57D3A"/>
    <w:rsid w:val="00A57D3E"/>
    <w:rsid w:val="00A57D69"/>
    <w:rsid w:val="00A57DFC"/>
    <w:rsid w:val="00A57E7A"/>
    <w:rsid w:val="00A57EA7"/>
    <w:rsid w:val="00A57FE0"/>
    <w:rsid w:val="00A6000A"/>
    <w:rsid w:val="00A60219"/>
    <w:rsid w:val="00A60340"/>
    <w:rsid w:val="00A6045A"/>
    <w:rsid w:val="00A6052E"/>
    <w:rsid w:val="00A605BB"/>
    <w:rsid w:val="00A60737"/>
    <w:rsid w:val="00A60796"/>
    <w:rsid w:val="00A6080E"/>
    <w:rsid w:val="00A608B5"/>
    <w:rsid w:val="00A609AE"/>
    <w:rsid w:val="00A60B93"/>
    <w:rsid w:val="00A60BB7"/>
    <w:rsid w:val="00A60D23"/>
    <w:rsid w:val="00A60EB1"/>
    <w:rsid w:val="00A60F94"/>
    <w:rsid w:val="00A6101E"/>
    <w:rsid w:val="00A6105D"/>
    <w:rsid w:val="00A612D3"/>
    <w:rsid w:val="00A61327"/>
    <w:rsid w:val="00A613A6"/>
    <w:rsid w:val="00A6141D"/>
    <w:rsid w:val="00A6142E"/>
    <w:rsid w:val="00A61460"/>
    <w:rsid w:val="00A616A0"/>
    <w:rsid w:val="00A616C4"/>
    <w:rsid w:val="00A61729"/>
    <w:rsid w:val="00A61739"/>
    <w:rsid w:val="00A617C2"/>
    <w:rsid w:val="00A61928"/>
    <w:rsid w:val="00A61972"/>
    <w:rsid w:val="00A61981"/>
    <w:rsid w:val="00A6199D"/>
    <w:rsid w:val="00A61A1B"/>
    <w:rsid w:val="00A61A5A"/>
    <w:rsid w:val="00A61B02"/>
    <w:rsid w:val="00A61B1D"/>
    <w:rsid w:val="00A61B52"/>
    <w:rsid w:val="00A61DD4"/>
    <w:rsid w:val="00A61E2D"/>
    <w:rsid w:val="00A61E5C"/>
    <w:rsid w:val="00A61E8D"/>
    <w:rsid w:val="00A61F2C"/>
    <w:rsid w:val="00A61FCD"/>
    <w:rsid w:val="00A61FDA"/>
    <w:rsid w:val="00A62012"/>
    <w:rsid w:val="00A62016"/>
    <w:rsid w:val="00A6245A"/>
    <w:rsid w:val="00A62914"/>
    <w:rsid w:val="00A62954"/>
    <w:rsid w:val="00A6295F"/>
    <w:rsid w:val="00A629A2"/>
    <w:rsid w:val="00A629CF"/>
    <w:rsid w:val="00A62A75"/>
    <w:rsid w:val="00A62AD0"/>
    <w:rsid w:val="00A62CFF"/>
    <w:rsid w:val="00A62D58"/>
    <w:rsid w:val="00A62DAA"/>
    <w:rsid w:val="00A62E38"/>
    <w:rsid w:val="00A62F1B"/>
    <w:rsid w:val="00A62F35"/>
    <w:rsid w:val="00A62F7D"/>
    <w:rsid w:val="00A630D4"/>
    <w:rsid w:val="00A631BE"/>
    <w:rsid w:val="00A63242"/>
    <w:rsid w:val="00A632AE"/>
    <w:rsid w:val="00A633CF"/>
    <w:rsid w:val="00A63452"/>
    <w:rsid w:val="00A635CF"/>
    <w:rsid w:val="00A635D4"/>
    <w:rsid w:val="00A63742"/>
    <w:rsid w:val="00A637F7"/>
    <w:rsid w:val="00A63A68"/>
    <w:rsid w:val="00A63B94"/>
    <w:rsid w:val="00A63BA8"/>
    <w:rsid w:val="00A63BBB"/>
    <w:rsid w:val="00A63CA8"/>
    <w:rsid w:val="00A63D02"/>
    <w:rsid w:val="00A63D3A"/>
    <w:rsid w:val="00A63D53"/>
    <w:rsid w:val="00A63D91"/>
    <w:rsid w:val="00A63DAB"/>
    <w:rsid w:val="00A63DD9"/>
    <w:rsid w:val="00A63E55"/>
    <w:rsid w:val="00A63E7C"/>
    <w:rsid w:val="00A63F4C"/>
    <w:rsid w:val="00A63FAF"/>
    <w:rsid w:val="00A64093"/>
    <w:rsid w:val="00A641CA"/>
    <w:rsid w:val="00A641CF"/>
    <w:rsid w:val="00A6424A"/>
    <w:rsid w:val="00A642FD"/>
    <w:rsid w:val="00A6438E"/>
    <w:rsid w:val="00A64639"/>
    <w:rsid w:val="00A6466B"/>
    <w:rsid w:val="00A6472B"/>
    <w:rsid w:val="00A64748"/>
    <w:rsid w:val="00A64788"/>
    <w:rsid w:val="00A64912"/>
    <w:rsid w:val="00A64A68"/>
    <w:rsid w:val="00A64B7F"/>
    <w:rsid w:val="00A64C1A"/>
    <w:rsid w:val="00A64C1D"/>
    <w:rsid w:val="00A64EE5"/>
    <w:rsid w:val="00A65055"/>
    <w:rsid w:val="00A6509F"/>
    <w:rsid w:val="00A650AF"/>
    <w:rsid w:val="00A651BE"/>
    <w:rsid w:val="00A651C9"/>
    <w:rsid w:val="00A6522E"/>
    <w:rsid w:val="00A652B0"/>
    <w:rsid w:val="00A65331"/>
    <w:rsid w:val="00A653A3"/>
    <w:rsid w:val="00A653E6"/>
    <w:rsid w:val="00A6543B"/>
    <w:rsid w:val="00A65691"/>
    <w:rsid w:val="00A656B5"/>
    <w:rsid w:val="00A6574F"/>
    <w:rsid w:val="00A658BB"/>
    <w:rsid w:val="00A6597A"/>
    <w:rsid w:val="00A65B04"/>
    <w:rsid w:val="00A65B3C"/>
    <w:rsid w:val="00A65C48"/>
    <w:rsid w:val="00A65C8A"/>
    <w:rsid w:val="00A65D6D"/>
    <w:rsid w:val="00A65E16"/>
    <w:rsid w:val="00A65E46"/>
    <w:rsid w:val="00A65EC5"/>
    <w:rsid w:val="00A65ECF"/>
    <w:rsid w:val="00A65FDC"/>
    <w:rsid w:val="00A6606D"/>
    <w:rsid w:val="00A66198"/>
    <w:rsid w:val="00A661E1"/>
    <w:rsid w:val="00A661FA"/>
    <w:rsid w:val="00A66247"/>
    <w:rsid w:val="00A66464"/>
    <w:rsid w:val="00A66492"/>
    <w:rsid w:val="00A664B1"/>
    <w:rsid w:val="00A665E0"/>
    <w:rsid w:val="00A66740"/>
    <w:rsid w:val="00A6674E"/>
    <w:rsid w:val="00A667A4"/>
    <w:rsid w:val="00A667D1"/>
    <w:rsid w:val="00A668C4"/>
    <w:rsid w:val="00A66924"/>
    <w:rsid w:val="00A66994"/>
    <w:rsid w:val="00A66996"/>
    <w:rsid w:val="00A66A25"/>
    <w:rsid w:val="00A66A41"/>
    <w:rsid w:val="00A66A95"/>
    <w:rsid w:val="00A66AE1"/>
    <w:rsid w:val="00A66B73"/>
    <w:rsid w:val="00A66C72"/>
    <w:rsid w:val="00A66C92"/>
    <w:rsid w:val="00A66D7B"/>
    <w:rsid w:val="00A66DF8"/>
    <w:rsid w:val="00A66E4A"/>
    <w:rsid w:val="00A67186"/>
    <w:rsid w:val="00A672A4"/>
    <w:rsid w:val="00A672FE"/>
    <w:rsid w:val="00A67394"/>
    <w:rsid w:val="00A673FC"/>
    <w:rsid w:val="00A67754"/>
    <w:rsid w:val="00A678BB"/>
    <w:rsid w:val="00A67A33"/>
    <w:rsid w:val="00A67A85"/>
    <w:rsid w:val="00A67BC4"/>
    <w:rsid w:val="00A67BDA"/>
    <w:rsid w:val="00A67C84"/>
    <w:rsid w:val="00A67DF7"/>
    <w:rsid w:val="00A67E1F"/>
    <w:rsid w:val="00A67F32"/>
    <w:rsid w:val="00A70027"/>
    <w:rsid w:val="00A7016D"/>
    <w:rsid w:val="00A701A1"/>
    <w:rsid w:val="00A701C0"/>
    <w:rsid w:val="00A701FD"/>
    <w:rsid w:val="00A70324"/>
    <w:rsid w:val="00A70499"/>
    <w:rsid w:val="00A704DD"/>
    <w:rsid w:val="00A70595"/>
    <w:rsid w:val="00A705AE"/>
    <w:rsid w:val="00A70607"/>
    <w:rsid w:val="00A706D6"/>
    <w:rsid w:val="00A70744"/>
    <w:rsid w:val="00A70757"/>
    <w:rsid w:val="00A707CA"/>
    <w:rsid w:val="00A70972"/>
    <w:rsid w:val="00A70975"/>
    <w:rsid w:val="00A70A0D"/>
    <w:rsid w:val="00A70AA1"/>
    <w:rsid w:val="00A70AB6"/>
    <w:rsid w:val="00A70AD5"/>
    <w:rsid w:val="00A70B7D"/>
    <w:rsid w:val="00A70C25"/>
    <w:rsid w:val="00A70C9A"/>
    <w:rsid w:val="00A70CF8"/>
    <w:rsid w:val="00A70E38"/>
    <w:rsid w:val="00A70E9B"/>
    <w:rsid w:val="00A70ECF"/>
    <w:rsid w:val="00A70F2A"/>
    <w:rsid w:val="00A710EA"/>
    <w:rsid w:val="00A71176"/>
    <w:rsid w:val="00A7119F"/>
    <w:rsid w:val="00A7122B"/>
    <w:rsid w:val="00A71238"/>
    <w:rsid w:val="00A71378"/>
    <w:rsid w:val="00A714C1"/>
    <w:rsid w:val="00A714D0"/>
    <w:rsid w:val="00A715D0"/>
    <w:rsid w:val="00A7162A"/>
    <w:rsid w:val="00A716EB"/>
    <w:rsid w:val="00A71976"/>
    <w:rsid w:val="00A7199B"/>
    <w:rsid w:val="00A719CD"/>
    <w:rsid w:val="00A71C49"/>
    <w:rsid w:val="00A71C80"/>
    <w:rsid w:val="00A71C90"/>
    <w:rsid w:val="00A71DCA"/>
    <w:rsid w:val="00A71F3E"/>
    <w:rsid w:val="00A71FB8"/>
    <w:rsid w:val="00A71FE5"/>
    <w:rsid w:val="00A72066"/>
    <w:rsid w:val="00A720D7"/>
    <w:rsid w:val="00A72138"/>
    <w:rsid w:val="00A721B4"/>
    <w:rsid w:val="00A72225"/>
    <w:rsid w:val="00A7224C"/>
    <w:rsid w:val="00A72292"/>
    <w:rsid w:val="00A722CC"/>
    <w:rsid w:val="00A72336"/>
    <w:rsid w:val="00A7241A"/>
    <w:rsid w:val="00A7249B"/>
    <w:rsid w:val="00A724B8"/>
    <w:rsid w:val="00A724D0"/>
    <w:rsid w:val="00A7255C"/>
    <w:rsid w:val="00A727AD"/>
    <w:rsid w:val="00A7298E"/>
    <w:rsid w:val="00A729E6"/>
    <w:rsid w:val="00A729F5"/>
    <w:rsid w:val="00A72ABE"/>
    <w:rsid w:val="00A72B10"/>
    <w:rsid w:val="00A72C17"/>
    <w:rsid w:val="00A72C6B"/>
    <w:rsid w:val="00A72C87"/>
    <w:rsid w:val="00A72CE4"/>
    <w:rsid w:val="00A72D59"/>
    <w:rsid w:val="00A72D72"/>
    <w:rsid w:val="00A72EA4"/>
    <w:rsid w:val="00A72EED"/>
    <w:rsid w:val="00A73000"/>
    <w:rsid w:val="00A730E0"/>
    <w:rsid w:val="00A731B7"/>
    <w:rsid w:val="00A73256"/>
    <w:rsid w:val="00A7326F"/>
    <w:rsid w:val="00A733FA"/>
    <w:rsid w:val="00A73493"/>
    <w:rsid w:val="00A735EC"/>
    <w:rsid w:val="00A736DA"/>
    <w:rsid w:val="00A7377B"/>
    <w:rsid w:val="00A7379D"/>
    <w:rsid w:val="00A73834"/>
    <w:rsid w:val="00A73889"/>
    <w:rsid w:val="00A738F7"/>
    <w:rsid w:val="00A739E9"/>
    <w:rsid w:val="00A73A88"/>
    <w:rsid w:val="00A73AF1"/>
    <w:rsid w:val="00A73C75"/>
    <w:rsid w:val="00A73D3F"/>
    <w:rsid w:val="00A73D53"/>
    <w:rsid w:val="00A73EAF"/>
    <w:rsid w:val="00A73F1D"/>
    <w:rsid w:val="00A73FBE"/>
    <w:rsid w:val="00A7402C"/>
    <w:rsid w:val="00A742ED"/>
    <w:rsid w:val="00A743F9"/>
    <w:rsid w:val="00A74468"/>
    <w:rsid w:val="00A744D2"/>
    <w:rsid w:val="00A74635"/>
    <w:rsid w:val="00A7467D"/>
    <w:rsid w:val="00A74784"/>
    <w:rsid w:val="00A74BD4"/>
    <w:rsid w:val="00A74D72"/>
    <w:rsid w:val="00A74DEF"/>
    <w:rsid w:val="00A74DFF"/>
    <w:rsid w:val="00A74E30"/>
    <w:rsid w:val="00A74EAF"/>
    <w:rsid w:val="00A74EC2"/>
    <w:rsid w:val="00A7502E"/>
    <w:rsid w:val="00A750B8"/>
    <w:rsid w:val="00A75112"/>
    <w:rsid w:val="00A75262"/>
    <w:rsid w:val="00A75378"/>
    <w:rsid w:val="00A754EC"/>
    <w:rsid w:val="00A7571D"/>
    <w:rsid w:val="00A7583D"/>
    <w:rsid w:val="00A75A12"/>
    <w:rsid w:val="00A75AB7"/>
    <w:rsid w:val="00A75B76"/>
    <w:rsid w:val="00A75D43"/>
    <w:rsid w:val="00A75D83"/>
    <w:rsid w:val="00A75E03"/>
    <w:rsid w:val="00A75F89"/>
    <w:rsid w:val="00A760F3"/>
    <w:rsid w:val="00A76183"/>
    <w:rsid w:val="00A763F3"/>
    <w:rsid w:val="00A763FB"/>
    <w:rsid w:val="00A764A3"/>
    <w:rsid w:val="00A76578"/>
    <w:rsid w:val="00A76808"/>
    <w:rsid w:val="00A7681D"/>
    <w:rsid w:val="00A7684F"/>
    <w:rsid w:val="00A76884"/>
    <w:rsid w:val="00A76A7B"/>
    <w:rsid w:val="00A76B55"/>
    <w:rsid w:val="00A76C06"/>
    <w:rsid w:val="00A76C55"/>
    <w:rsid w:val="00A76C6B"/>
    <w:rsid w:val="00A76C8E"/>
    <w:rsid w:val="00A76D9D"/>
    <w:rsid w:val="00A76E02"/>
    <w:rsid w:val="00A76EA1"/>
    <w:rsid w:val="00A7714B"/>
    <w:rsid w:val="00A7715A"/>
    <w:rsid w:val="00A77185"/>
    <w:rsid w:val="00A7726C"/>
    <w:rsid w:val="00A772DB"/>
    <w:rsid w:val="00A77311"/>
    <w:rsid w:val="00A774F4"/>
    <w:rsid w:val="00A774FE"/>
    <w:rsid w:val="00A77517"/>
    <w:rsid w:val="00A775C8"/>
    <w:rsid w:val="00A7760D"/>
    <w:rsid w:val="00A776D9"/>
    <w:rsid w:val="00A776EC"/>
    <w:rsid w:val="00A776F4"/>
    <w:rsid w:val="00A77734"/>
    <w:rsid w:val="00A7781C"/>
    <w:rsid w:val="00A7783D"/>
    <w:rsid w:val="00A77900"/>
    <w:rsid w:val="00A77B5F"/>
    <w:rsid w:val="00A77C7C"/>
    <w:rsid w:val="00A77CC1"/>
    <w:rsid w:val="00A77D5E"/>
    <w:rsid w:val="00A801F6"/>
    <w:rsid w:val="00A8022D"/>
    <w:rsid w:val="00A80560"/>
    <w:rsid w:val="00A805B2"/>
    <w:rsid w:val="00A80602"/>
    <w:rsid w:val="00A8066D"/>
    <w:rsid w:val="00A80685"/>
    <w:rsid w:val="00A807F4"/>
    <w:rsid w:val="00A8083D"/>
    <w:rsid w:val="00A8087A"/>
    <w:rsid w:val="00A809C7"/>
    <w:rsid w:val="00A80A31"/>
    <w:rsid w:val="00A80A40"/>
    <w:rsid w:val="00A80BE1"/>
    <w:rsid w:val="00A80DB6"/>
    <w:rsid w:val="00A810D1"/>
    <w:rsid w:val="00A81163"/>
    <w:rsid w:val="00A81193"/>
    <w:rsid w:val="00A811B2"/>
    <w:rsid w:val="00A8123F"/>
    <w:rsid w:val="00A81307"/>
    <w:rsid w:val="00A81375"/>
    <w:rsid w:val="00A81392"/>
    <w:rsid w:val="00A81425"/>
    <w:rsid w:val="00A81512"/>
    <w:rsid w:val="00A8160B"/>
    <w:rsid w:val="00A8164E"/>
    <w:rsid w:val="00A8175A"/>
    <w:rsid w:val="00A817CF"/>
    <w:rsid w:val="00A8185E"/>
    <w:rsid w:val="00A81874"/>
    <w:rsid w:val="00A818DB"/>
    <w:rsid w:val="00A8197B"/>
    <w:rsid w:val="00A819D3"/>
    <w:rsid w:val="00A819F7"/>
    <w:rsid w:val="00A81A10"/>
    <w:rsid w:val="00A81BCE"/>
    <w:rsid w:val="00A81BEB"/>
    <w:rsid w:val="00A81C19"/>
    <w:rsid w:val="00A81CC7"/>
    <w:rsid w:val="00A81D55"/>
    <w:rsid w:val="00A81DDF"/>
    <w:rsid w:val="00A81DF7"/>
    <w:rsid w:val="00A81E89"/>
    <w:rsid w:val="00A81FC4"/>
    <w:rsid w:val="00A81FCD"/>
    <w:rsid w:val="00A820B9"/>
    <w:rsid w:val="00A820D9"/>
    <w:rsid w:val="00A8213D"/>
    <w:rsid w:val="00A82294"/>
    <w:rsid w:val="00A82312"/>
    <w:rsid w:val="00A8236B"/>
    <w:rsid w:val="00A824C1"/>
    <w:rsid w:val="00A8263E"/>
    <w:rsid w:val="00A82699"/>
    <w:rsid w:val="00A828BC"/>
    <w:rsid w:val="00A828FE"/>
    <w:rsid w:val="00A8298A"/>
    <w:rsid w:val="00A82990"/>
    <w:rsid w:val="00A82995"/>
    <w:rsid w:val="00A82A98"/>
    <w:rsid w:val="00A82B27"/>
    <w:rsid w:val="00A82CC2"/>
    <w:rsid w:val="00A82DD3"/>
    <w:rsid w:val="00A82E2E"/>
    <w:rsid w:val="00A82E44"/>
    <w:rsid w:val="00A82F10"/>
    <w:rsid w:val="00A831BE"/>
    <w:rsid w:val="00A83259"/>
    <w:rsid w:val="00A832AE"/>
    <w:rsid w:val="00A83332"/>
    <w:rsid w:val="00A83352"/>
    <w:rsid w:val="00A8340A"/>
    <w:rsid w:val="00A83446"/>
    <w:rsid w:val="00A834C5"/>
    <w:rsid w:val="00A835FD"/>
    <w:rsid w:val="00A83696"/>
    <w:rsid w:val="00A836AF"/>
    <w:rsid w:val="00A836E3"/>
    <w:rsid w:val="00A838CF"/>
    <w:rsid w:val="00A83A24"/>
    <w:rsid w:val="00A83A84"/>
    <w:rsid w:val="00A83A9C"/>
    <w:rsid w:val="00A83C88"/>
    <w:rsid w:val="00A83CEE"/>
    <w:rsid w:val="00A83D47"/>
    <w:rsid w:val="00A83DB0"/>
    <w:rsid w:val="00A84006"/>
    <w:rsid w:val="00A84049"/>
    <w:rsid w:val="00A84154"/>
    <w:rsid w:val="00A8426C"/>
    <w:rsid w:val="00A8436E"/>
    <w:rsid w:val="00A844E6"/>
    <w:rsid w:val="00A84544"/>
    <w:rsid w:val="00A845A4"/>
    <w:rsid w:val="00A84619"/>
    <w:rsid w:val="00A8475B"/>
    <w:rsid w:val="00A8479A"/>
    <w:rsid w:val="00A847DC"/>
    <w:rsid w:val="00A848A8"/>
    <w:rsid w:val="00A848E9"/>
    <w:rsid w:val="00A849A8"/>
    <w:rsid w:val="00A84A65"/>
    <w:rsid w:val="00A84BE1"/>
    <w:rsid w:val="00A84D94"/>
    <w:rsid w:val="00A84F03"/>
    <w:rsid w:val="00A84FE4"/>
    <w:rsid w:val="00A85017"/>
    <w:rsid w:val="00A8518B"/>
    <w:rsid w:val="00A851FB"/>
    <w:rsid w:val="00A85241"/>
    <w:rsid w:val="00A85245"/>
    <w:rsid w:val="00A852B7"/>
    <w:rsid w:val="00A852C1"/>
    <w:rsid w:val="00A85345"/>
    <w:rsid w:val="00A8541A"/>
    <w:rsid w:val="00A8556D"/>
    <w:rsid w:val="00A8557B"/>
    <w:rsid w:val="00A8559B"/>
    <w:rsid w:val="00A8569D"/>
    <w:rsid w:val="00A857B1"/>
    <w:rsid w:val="00A858B4"/>
    <w:rsid w:val="00A85AAD"/>
    <w:rsid w:val="00A85D39"/>
    <w:rsid w:val="00A85D41"/>
    <w:rsid w:val="00A85D47"/>
    <w:rsid w:val="00A85D70"/>
    <w:rsid w:val="00A85FBF"/>
    <w:rsid w:val="00A862AC"/>
    <w:rsid w:val="00A862D0"/>
    <w:rsid w:val="00A863CF"/>
    <w:rsid w:val="00A863DE"/>
    <w:rsid w:val="00A86721"/>
    <w:rsid w:val="00A8684C"/>
    <w:rsid w:val="00A869A8"/>
    <w:rsid w:val="00A86AD4"/>
    <w:rsid w:val="00A86C76"/>
    <w:rsid w:val="00A86E4D"/>
    <w:rsid w:val="00A86F17"/>
    <w:rsid w:val="00A86FEB"/>
    <w:rsid w:val="00A87161"/>
    <w:rsid w:val="00A87260"/>
    <w:rsid w:val="00A872D9"/>
    <w:rsid w:val="00A873CD"/>
    <w:rsid w:val="00A873F4"/>
    <w:rsid w:val="00A874D0"/>
    <w:rsid w:val="00A874D9"/>
    <w:rsid w:val="00A8755F"/>
    <w:rsid w:val="00A875B8"/>
    <w:rsid w:val="00A876DA"/>
    <w:rsid w:val="00A87A07"/>
    <w:rsid w:val="00A87B0D"/>
    <w:rsid w:val="00A87B92"/>
    <w:rsid w:val="00A87C3A"/>
    <w:rsid w:val="00A87C79"/>
    <w:rsid w:val="00A87D47"/>
    <w:rsid w:val="00A87D94"/>
    <w:rsid w:val="00A87DDE"/>
    <w:rsid w:val="00A87EEE"/>
    <w:rsid w:val="00A87F2B"/>
    <w:rsid w:val="00A87FC5"/>
    <w:rsid w:val="00A901B4"/>
    <w:rsid w:val="00A90306"/>
    <w:rsid w:val="00A90333"/>
    <w:rsid w:val="00A90378"/>
    <w:rsid w:val="00A9043C"/>
    <w:rsid w:val="00A90465"/>
    <w:rsid w:val="00A904B6"/>
    <w:rsid w:val="00A904F0"/>
    <w:rsid w:val="00A90526"/>
    <w:rsid w:val="00A90698"/>
    <w:rsid w:val="00A90858"/>
    <w:rsid w:val="00A9095F"/>
    <w:rsid w:val="00A9096C"/>
    <w:rsid w:val="00A909EA"/>
    <w:rsid w:val="00A90A4C"/>
    <w:rsid w:val="00A90B07"/>
    <w:rsid w:val="00A90BAF"/>
    <w:rsid w:val="00A90C1C"/>
    <w:rsid w:val="00A90C23"/>
    <w:rsid w:val="00A90C28"/>
    <w:rsid w:val="00A90D5E"/>
    <w:rsid w:val="00A90EB4"/>
    <w:rsid w:val="00A90F5D"/>
    <w:rsid w:val="00A910E8"/>
    <w:rsid w:val="00A9122B"/>
    <w:rsid w:val="00A9128D"/>
    <w:rsid w:val="00A913F1"/>
    <w:rsid w:val="00A91431"/>
    <w:rsid w:val="00A91477"/>
    <w:rsid w:val="00A91565"/>
    <w:rsid w:val="00A9157E"/>
    <w:rsid w:val="00A916E0"/>
    <w:rsid w:val="00A91868"/>
    <w:rsid w:val="00A91893"/>
    <w:rsid w:val="00A91EF2"/>
    <w:rsid w:val="00A91F16"/>
    <w:rsid w:val="00A91F3E"/>
    <w:rsid w:val="00A91FF1"/>
    <w:rsid w:val="00A92038"/>
    <w:rsid w:val="00A9209D"/>
    <w:rsid w:val="00A920A5"/>
    <w:rsid w:val="00A920E9"/>
    <w:rsid w:val="00A920EC"/>
    <w:rsid w:val="00A92265"/>
    <w:rsid w:val="00A922BD"/>
    <w:rsid w:val="00A92435"/>
    <w:rsid w:val="00A92654"/>
    <w:rsid w:val="00A9266D"/>
    <w:rsid w:val="00A9269B"/>
    <w:rsid w:val="00A92748"/>
    <w:rsid w:val="00A928A5"/>
    <w:rsid w:val="00A928F9"/>
    <w:rsid w:val="00A92905"/>
    <w:rsid w:val="00A92A85"/>
    <w:rsid w:val="00A92A87"/>
    <w:rsid w:val="00A92ACB"/>
    <w:rsid w:val="00A92B1D"/>
    <w:rsid w:val="00A92B7E"/>
    <w:rsid w:val="00A92CB4"/>
    <w:rsid w:val="00A92CFA"/>
    <w:rsid w:val="00A92FDA"/>
    <w:rsid w:val="00A9301A"/>
    <w:rsid w:val="00A9310C"/>
    <w:rsid w:val="00A9314D"/>
    <w:rsid w:val="00A933C8"/>
    <w:rsid w:val="00A933F0"/>
    <w:rsid w:val="00A934FD"/>
    <w:rsid w:val="00A93631"/>
    <w:rsid w:val="00A9377A"/>
    <w:rsid w:val="00A938EC"/>
    <w:rsid w:val="00A93AF8"/>
    <w:rsid w:val="00A93B3E"/>
    <w:rsid w:val="00A93C52"/>
    <w:rsid w:val="00A93F06"/>
    <w:rsid w:val="00A93F0E"/>
    <w:rsid w:val="00A940F5"/>
    <w:rsid w:val="00A9415C"/>
    <w:rsid w:val="00A9416E"/>
    <w:rsid w:val="00A94251"/>
    <w:rsid w:val="00A942FB"/>
    <w:rsid w:val="00A94431"/>
    <w:rsid w:val="00A944B2"/>
    <w:rsid w:val="00A944C0"/>
    <w:rsid w:val="00A94560"/>
    <w:rsid w:val="00A94637"/>
    <w:rsid w:val="00A946A6"/>
    <w:rsid w:val="00A94735"/>
    <w:rsid w:val="00A947D4"/>
    <w:rsid w:val="00A94805"/>
    <w:rsid w:val="00A948A9"/>
    <w:rsid w:val="00A949FB"/>
    <w:rsid w:val="00A94ABB"/>
    <w:rsid w:val="00A94AFD"/>
    <w:rsid w:val="00A94B45"/>
    <w:rsid w:val="00A94B5B"/>
    <w:rsid w:val="00A94BD0"/>
    <w:rsid w:val="00A94BDB"/>
    <w:rsid w:val="00A94CA8"/>
    <w:rsid w:val="00A94CBB"/>
    <w:rsid w:val="00A94CF2"/>
    <w:rsid w:val="00A94DE5"/>
    <w:rsid w:val="00A94F12"/>
    <w:rsid w:val="00A94F5C"/>
    <w:rsid w:val="00A94F9E"/>
    <w:rsid w:val="00A94FBC"/>
    <w:rsid w:val="00A9500E"/>
    <w:rsid w:val="00A950CE"/>
    <w:rsid w:val="00A950D5"/>
    <w:rsid w:val="00A951E1"/>
    <w:rsid w:val="00A9540E"/>
    <w:rsid w:val="00A9553A"/>
    <w:rsid w:val="00A95645"/>
    <w:rsid w:val="00A95707"/>
    <w:rsid w:val="00A95723"/>
    <w:rsid w:val="00A9586E"/>
    <w:rsid w:val="00A958AF"/>
    <w:rsid w:val="00A95925"/>
    <w:rsid w:val="00A95978"/>
    <w:rsid w:val="00A9598F"/>
    <w:rsid w:val="00A959D2"/>
    <w:rsid w:val="00A959DD"/>
    <w:rsid w:val="00A95AD1"/>
    <w:rsid w:val="00A95BBF"/>
    <w:rsid w:val="00A95C98"/>
    <w:rsid w:val="00A95F8C"/>
    <w:rsid w:val="00A96032"/>
    <w:rsid w:val="00A960C7"/>
    <w:rsid w:val="00A960E5"/>
    <w:rsid w:val="00A9612A"/>
    <w:rsid w:val="00A9618D"/>
    <w:rsid w:val="00A9625D"/>
    <w:rsid w:val="00A963A5"/>
    <w:rsid w:val="00A96572"/>
    <w:rsid w:val="00A96584"/>
    <w:rsid w:val="00A965A5"/>
    <w:rsid w:val="00A965DC"/>
    <w:rsid w:val="00A96670"/>
    <w:rsid w:val="00A9689A"/>
    <w:rsid w:val="00A969A8"/>
    <w:rsid w:val="00A969D0"/>
    <w:rsid w:val="00A969D1"/>
    <w:rsid w:val="00A96A24"/>
    <w:rsid w:val="00A96CE6"/>
    <w:rsid w:val="00A96E38"/>
    <w:rsid w:val="00A96E93"/>
    <w:rsid w:val="00A97034"/>
    <w:rsid w:val="00A9705A"/>
    <w:rsid w:val="00A97093"/>
    <w:rsid w:val="00A97145"/>
    <w:rsid w:val="00A971BF"/>
    <w:rsid w:val="00A971D2"/>
    <w:rsid w:val="00A97339"/>
    <w:rsid w:val="00A97385"/>
    <w:rsid w:val="00A9749E"/>
    <w:rsid w:val="00A974E7"/>
    <w:rsid w:val="00A975D8"/>
    <w:rsid w:val="00A97739"/>
    <w:rsid w:val="00A97816"/>
    <w:rsid w:val="00A9784E"/>
    <w:rsid w:val="00A97A94"/>
    <w:rsid w:val="00A97B71"/>
    <w:rsid w:val="00A97C41"/>
    <w:rsid w:val="00A97CC6"/>
    <w:rsid w:val="00A97D1F"/>
    <w:rsid w:val="00A97D3F"/>
    <w:rsid w:val="00A97EDF"/>
    <w:rsid w:val="00A97EEA"/>
    <w:rsid w:val="00A97FA6"/>
    <w:rsid w:val="00AA00A8"/>
    <w:rsid w:val="00AA01A2"/>
    <w:rsid w:val="00AA024C"/>
    <w:rsid w:val="00AA029F"/>
    <w:rsid w:val="00AA035C"/>
    <w:rsid w:val="00AA03B3"/>
    <w:rsid w:val="00AA03E4"/>
    <w:rsid w:val="00AA0451"/>
    <w:rsid w:val="00AA055D"/>
    <w:rsid w:val="00AA0634"/>
    <w:rsid w:val="00AA074B"/>
    <w:rsid w:val="00AA0952"/>
    <w:rsid w:val="00AA09C3"/>
    <w:rsid w:val="00AA0A19"/>
    <w:rsid w:val="00AA0A25"/>
    <w:rsid w:val="00AA0A8F"/>
    <w:rsid w:val="00AA0AB4"/>
    <w:rsid w:val="00AA0B5E"/>
    <w:rsid w:val="00AA0B97"/>
    <w:rsid w:val="00AA0BC1"/>
    <w:rsid w:val="00AA0D01"/>
    <w:rsid w:val="00AA0D75"/>
    <w:rsid w:val="00AA0DAF"/>
    <w:rsid w:val="00AA0F29"/>
    <w:rsid w:val="00AA0FE4"/>
    <w:rsid w:val="00AA107A"/>
    <w:rsid w:val="00AA10A9"/>
    <w:rsid w:val="00AA111D"/>
    <w:rsid w:val="00AA115F"/>
    <w:rsid w:val="00AA120B"/>
    <w:rsid w:val="00AA13D4"/>
    <w:rsid w:val="00AA14F6"/>
    <w:rsid w:val="00AA14F7"/>
    <w:rsid w:val="00AA16D8"/>
    <w:rsid w:val="00AA16F1"/>
    <w:rsid w:val="00AA176E"/>
    <w:rsid w:val="00AA1973"/>
    <w:rsid w:val="00AA1985"/>
    <w:rsid w:val="00AA1999"/>
    <w:rsid w:val="00AA1AD9"/>
    <w:rsid w:val="00AA1AFC"/>
    <w:rsid w:val="00AA1B87"/>
    <w:rsid w:val="00AA1C47"/>
    <w:rsid w:val="00AA1E71"/>
    <w:rsid w:val="00AA1E95"/>
    <w:rsid w:val="00AA1F17"/>
    <w:rsid w:val="00AA2019"/>
    <w:rsid w:val="00AA2035"/>
    <w:rsid w:val="00AA207A"/>
    <w:rsid w:val="00AA2152"/>
    <w:rsid w:val="00AA2283"/>
    <w:rsid w:val="00AA2388"/>
    <w:rsid w:val="00AA2487"/>
    <w:rsid w:val="00AA2528"/>
    <w:rsid w:val="00AA25D0"/>
    <w:rsid w:val="00AA2605"/>
    <w:rsid w:val="00AA261F"/>
    <w:rsid w:val="00AA2624"/>
    <w:rsid w:val="00AA2633"/>
    <w:rsid w:val="00AA26C8"/>
    <w:rsid w:val="00AA27A4"/>
    <w:rsid w:val="00AA27B4"/>
    <w:rsid w:val="00AA27BE"/>
    <w:rsid w:val="00AA27C7"/>
    <w:rsid w:val="00AA286E"/>
    <w:rsid w:val="00AA2887"/>
    <w:rsid w:val="00AA2897"/>
    <w:rsid w:val="00AA28C3"/>
    <w:rsid w:val="00AA28D4"/>
    <w:rsid w:val="00AA28F5"/>
    <w:rsid w:val="00AA290E"/>
    <w:rsid w:val="00AA2A7B"/>
    <w:rsid w:val="00AA2B9E"/>
    <w:rsid w:val="00AA2D9B"/>
    <w:rsid w:val="00AA2F7F"/>
    <w:rsid w:val="00AA2FBD"/>
    <w:rsid w:val="00AA3031"/>
    <w:rsid w:val="00AA30B8"/>
    <w:rsid w:val="00AA310E"/>
    <w:rsid w:val="00AA3191"/>
    <w:rsid w:val="00AA3236"/>
    <w:rsid w:val="00AA3280"/>
    <w:rsid w:val="00AA3421"/>
    <w:rsid w:val="00AA344F"/>
    <w:rsid w:val="00AA348F"/>
    <w:rsid w:val="00AA34A0"/>
    <w:rsid w:val="00AA3563"/>
    <w:rsid w:val="00AA3667"/>
    <w:rsid w:val="00AA36BD"/>
    <w:rsid w:val="00AA3771"/>
    <w:rsid w:val="00AA37B3"/>
    <w:rsid w:val="00AA37E8"/>
    <w:rsid w:val="00AA3818"/>
    <w:rsid w:val="00AA3868"/>
    <w:rsid w:val="00AA38A1"/>
    <w:rsid w:val="00AA39D0"/>
    <w:rsid w:val="00AA3D9E"/>
    <w:rsid w:val="00AA3DAF"/>
    <w:rsid w:val="00AA3DB6"/>
    <w:rsid w:val="00AA3F2F"/>
    <w:rsid w:val="00AA3F35"/>
    <w:rsid w:val="00AA3F9D"/>
    <w:rsid w:val="00AA3FAC"/>
    <w:rsid w:val="00AA4126"/>
    <w:rsid w:val="00AA4265"/>
    <w:rsid w:val="00AA4270"/>
    <w:rsid w:val="00AA437F"/>
    <w:rsid w:val="00AA440D"/>
    <w:rsid w:val="00AA44A2"/>
    <w:rsid w:val="00AA44AB"/>
    <w:rsid w:val="00AA4568"/>
    <w:rsid w:val="00AA45DE"/>
    <w:rsid w:val="00AA467D"/>
    <w:rsid w:val="00AA47F4"/>
    <w:rsid w:val="00AA480A"/>
    <w:rsid w:val="00AA4982"/>
    <w:rsid w:val="00AA4A50"/>
    <w:rsid w:val="00AA4AA2"/>
    <w:rsid w:val="00AA4D69"/>
    <w:rsid w:val="00AA4D91"/>
    <w:rsid w:val="00AA4F74"/>
    <w:rsid w:val="00AA4FBE"/>
    <w:rsid w:val="00AA501E"/>
    <w:rsid w:val="00AA5032"/>
    <w:rsid w:val="00AA50D9"/>
    <w:rsid w:val="00AA5217"/>
    <w:rsid w:val="00AA54C9"/>
    <w:rsid w:val="00AA54CE"/>
    <w:rsid w:val="00AA5549"/>
    <w:rsid w:val="00AA554E"/>
    <w:rsid w:val="00AA560B"/>
    <w:rsid w:val="00AA56D8"/>
    <w:rsid w:val="00AA571E"/>
    <w:rsid w:val="00AA5752"/>
    <w:rsid w:val="00AA5783"/>
    <w:rsid w:val="00AA5832"/>
    <w:rsid w:val="00AA58BC"/>
    <w:rsid w:val="00AA58E7"/>
    <w:rsid w:val="00AA5914"/>
    <w:rsid w:val="00AA59F7"/>
    <w:rsid w:val="00AA5A67"/>
    <w:rsid w:val="00AA5A72"/>
    <w:rsid w:val="00AA5A7C"/>
    <w:rsid w:val="00AA5B21"/>
    <w:rsid w:val="00AA5CD4"/>
    <w:rsid w:val="00AA5D87"/>
    <w:rsid w:val="00AA5E55"/>
    <w:rsid w:val="00AA6153"/>
    <w:rsid w:val="00AA61EB"/>
    <w:rsid w:val="00AA6589"/>
    <w:rsid w:val="00AA6912"/>
    <w:rsid w:val="00AA69B7"/>
    <w:rsid w:val="00AA6BCA"/>
    <w:rsid w:val="00AA6BFD"/>
    <w:rsid w:val="00AA6C3B"/>
    <w:rsid w:val="00AA6D5E"/>
    <w:rsid w:val="00AA6F88"/>
    <w:rsid w:val="00AA70D5"/>
    <w:rsid w:val="00AA70FF"/>
    <w:rsid w:val="00AA7120"/>
    <w:rsid w:val="00AA7121"/>
    <w:rsid w:val="00AA72D1"/>
    <w:rsid w:val="00AA7329"/>
    <w:rsid w:val="00AA7551"/>
    <w:rsid w:val="00AA757D"/>
    <w:rsid w:val="00AA76C6"/>
    <w:rsid w:val="00AA771A"/>
    <w:rsid w:val="00AA7788"/>
    <w:rsid w:val="00AA77E3"/>
    <w:rsid w:val="00AA7916"/>
    <w:rsid w:val="00AA7930"/>
    <w:rsid w:val="00AA7940"/>
    <w:rsid w:val="00AA7A07"/>
    <w:rsid w:val="00AA7B5C"/>
    <w:rsid w:val="00AA7B8E"/>
    <w:rsid w:val="00AA7BAC"/>
    <w:rsid w:val="00AA7C87"/>
    <w:rsid w:val="00AA7C9A"/>
    <w:rsid w:val="00AA7D71"/>
    <w:rsid w:val="00AA7E64"/>
    <w:rsid w:val="00AA7EDF"/>
    <w:rsid w:val="00AA7F3F"/>
    <w:rsid w:val="00AA7F4C"/>
    <w:rsid w:val="00AA7F5C"/>
    <w:rsid w:val="00AB003D"/>
    <w:rsid w:val="00AB004F"/>
    <w:rsid w:val="00AB006C"/>
    <w:rsid w:val="00AB007C"/>
    <w:rsid w:val="00AB0086"/>
    <w:rsid w:val="00AB00A4"/>
    <w:rsid w:val="00AB02D9"/>
    <w:rsid w:val="00AB0312"/>
    <w:rsid w:val="00AB036A"/>
    <w:rsid w:val="00AB06B7"/>
    <w:rsid w:val="00AB0967"/>
    <w:rsid w:val="00AB0A0F"/>
    <w:rsid w:val="00AB0A10"/>
    <w:rsid w:val="00AB0A82"/>
    <w:rsid w:val="00AB0AC5"/>
    <w:rsid w:val="00AB0B03"/>
    <w:rsid w:val="00AB0B08"/>
    <w:rsid w:val="00AB0BEC"/>
    <w:rsid w:val="00AB0C5F"/>
    <w:rsid w:val="00AB0E95"/>
    <w:rsid w:val="00AB0EB3"/>
    <w:rsid w:val="00AB0FA9"/>
    <w:rsid w:val="00AB0FBC"/>
    <w:rsid w:val="00AB1143"/>
    <w:rsid w:val="00AB16CE"/>
    <w:rsid w:val="00AB17C8"/>
    <w:rsid w:val="00AB17FC"/>
    <w:rsid w:val="00AB1863"/>
    <w:rsid w:val="00AB1872"/>
    <w:rsid w:val="00AB1919"/>
    <w:rsid w:val="00AB193B"/>
    <w:rsid w:val="00AB1941"/>
    <w:rsid w:val="00AB1959"/>
    <w:rsid w:val="00AB1A85"/>
    <w:rsid w:val="00AB1B08"/>
    <w:rsid w:val="00AB1B56"/>
    <w:rsid w:val="00AB1BD6"/>
    <w:rsid w:val="00AB1D56"/>
    <w:rsid w:val="00AB1DA5"/>
    <w:rsid w:val="00AB1EB5"/>
    <w:rsid w:val="00AB1F3A"/>
    <w:rsid w:val="00AB1FA4"/>
    <w:rsid w:val="00AB206F"/>
    <w:rsid w:val="00AB2161"/>
    <w:rsid w:val="00AB2173"/>
    <w:rsid w:val="00AB21B7"/>
    <w:rsid w:val="00AB23F5"/>
    <w:rsid w:val="00AB23F8"/>
    <w:rsid w:val="00AB251A"/>
    <w:rsid w:val="00AB2687"/>
    <w:rsid w:val="00AB282E"/>
    <w:rsid w:val="00AB285F"/>
    <w:rsid w:val="00AB2900"/>
    <w:rsid w:val="00AB2965"/>
    <w:rsid w:val="00AB2A04"/>
    <w:rsid w:val="00AB2ADF"/>
    <w:rsid w:val="00AB2B86"/>
    <w:rsid w:val="00AB2B95"/>
    <w:rsid w:val="00AB2C91"/>
    <w:rsid w:val="00AB2E1B"/>
    <w:rsid w:val="00AB3023"/>
    <w:rsid w:val="00AB3047"/>
    <w:rsid w:val="00AB31F7"/>
    <w:rsid w:val="00AB32A4"/>
    <w:rsid w:val="00AB32D8"/>
    <w:rsid w:val="00AB3388"/>
    <w:rsid w:val="00AB34D5"/>
    <w:rsid w:val="00AB34D9"/>
    <w:rsid w:val="00AB356A"/>
    <w:rsid w:val="00AB36C8"/>
    <w:rsid w:val="00AB36F1"/>
    <w:rsid w:val="00AB37B1"/>
    <w:rsid w:val="00AB3B08"/>
    <w:rsid w:val="00AB3BDA"/>
    <w:rsid w:val="00AB3CD1"/>
    <w:rsid w:val="00AB3CF4"/>
    <w:rsid w:val="00AB3D12"/>
    <w:rsid w:val="00AB3D49"/>
    <w:rsid w:val="00AB3D8D"/>
    <w:rsid w:val="00AB3E1E"/>
    <w:rsid w:val="00AB3ED9"/>
    <w:rsid w:val="00AB3F49"/>
    <w:rsid w:val="00AB40E1"/>
    <w:rsid w:val="00AB434C"/>
    <w:rsid w:val="00AB4369"/>
    <w:rsid w:val="00AB4491"/>
    <w:rsid w:val="00AB4495"/>
    <w:rsid w:val="00AB449B"/>
    <w:rsid w:val="00AB452F"/>
    <w:rsid w:val="00AB46AE"/>
    <w:rsid w:val="00AB46B7"/>
    <w:rsid w:val="00AB46F7"/>
    <w:rsid w:val="00AB470E"/>
    <w:rsid w:val="00AB471E"/>
    <w:rsid w:val="00AB4782"/>
    <w:rsid w:val="00AB47D0"/>
    <w:rsid w:val="00AB4944"/>
    <w:rsid w:val="00AB4972"/>
    <w:rsid w:val="00AB4A25"/>
    <w:rsid w:val="00AB4B14"/>
    <w:rsid w:val="00AB4B32"/>
    <w:rsid w:val="00AB4C47"/>
    <w:rsid w:val="00AB4C6D"/>
    <w:rsid w:val="00AB4C94"/>
    <w:rsid w:val="00AB4CC5"/>
    <w:rsid w:val="00AB4DCA"/>
    <w:rsid w:val="00AB4DE9"/>
    <w:rsid w:val="00AB4F34"/>
    <w:rsid w:val="00AB4FD6"/>
    <w:rsid w:val="00AB502D"/>
    <w:rsid w:val="00AB506F"/>
    <w:rsid w:val="00AB50EE"/>
    <w:rsid w:val="00AB512B"/>
    <w:rsid w:val="00AB51E2"/>
    <w:rsid w:val="00AB5248"/>
    <w:rsid w:val="00AB526C"/>
    <w:rsid w:val="00AB52B6"/>
    <w:rsid w:val="00AB5416"/>
    <w:rsid w:val="00AB547C"/>
    <w:rsid w:val="00AB54EB"/>
    <w:rsid w:val="00AB559D"/>
    <w:rsid w:val="00AB57B0"/>
    <w:rsid w:val="00AB57FC"/>
    <w:rsid w:val="00AB581E"/>
    <w:rsid w:val="00AB5904"/>
    <w:rsid w:val="00AB592D"/>
    <w:rsid w:val="00AB5A39"/>
    <w:rsid w:val="00AB5A4D"/>
    <w:rsid w:val="00AB5B8C"/>
    <w:rsid w:val="00AB5EA5"/>
    <w:rsid w:val="00AB5F43"/>
    <w:rsid w:val="00AB601A"/>
    <w:rsid w:val="00AB60A3"/>
    <w:rsid w:val="00AB60AA"/>
    <w:rsid w:val="00AB6186"/>
    <w:rsid w:val="00AB6208"/>
    <w:rsid w:val="00AB6271"/>
    <w:rsid w:val="00AB62C3"/>
    <w:rsid w:val="00AB63EE"/>
    <w:rsid w:val="00AB646B"/>
    <w:rsid w:val="00AB6472"/>
    <w:rsid w:val="00AB6481"/>
    <w:rsid w:val="00AB6634"/>
    <w:rsid w:val="00AB66C6"/>
    <w:rsid w:val="00AB6888"/>
    <w:rsid w:val="00AB68EE"/>
    <w:rsid w:val="00AB694A"/>
    <w:rsid w:val="00AB6B84"/>
    <w:rsid w:val="00AB6B8F"/>
    <w:rsid w:val="00AB6C29"/>
    <w:rsid w:val="00AB6C9B"/>
    <w:rsid w:val="00AB6D0D"/>
    <w:rsid w:val="00AB6D4F"/>
    <w:rsid w:val="00AB6E4B"/>
    <w:rsid w:val="00AB70DD"/>
    <w:rsid w:val="00AB7465"/>
    <w:rsid w:val="00AB749A"/>
    <w:rsid w:val="00AB74A1"/>
    <w:rsid w:val="00AB77B8"/>
    <w:rsid w:val="00AB782F"/>
    <w:rsid w:val="00AB797F"/>
    <w:rsid w:val="00AB7B0B"/>
    <w:rsid w:val="00AB7BC1"/>
    <w:rsid w:val="00AB7BD0"/>
    <w:rsid w:val="00AB7CB2"/>
    <w:rsid w:val="00AB7CD3"/>
    <w:rsid w:val="00AB7D0D"/>
    <w:rsid w:val="00AB7D54"/>
    <w:rsid w:val="00AB7DDB"/>
    <w:rsid w:val="00AB7EAF"/>
    <w:rsid w:val="00AB7F0B"/>
    <w:rsid w:val="00AB7FD6"/>
    <w:rsid w:val="00AC008C"/>
    <w:rsid w:val="00AC00B8"/>
    <w:rsid w:val="00AC01AB"/>
    <w:rsid w:val="00AC026D"/>
    <w:rsid w:val="00AC0285"/>
    <w:rsid w:val="00AC02D0"/>
    <w:rsid w:val="00AC0320"/>
    <w:rsid w:val="00AC033F"/>
    <w:rsid w:val="00AC03CF"/>
    <w:rsid w:val="00AC0401"/>
    <w:rsid w:val="00AC0495"/>
    <w:rsid w:val="00AC055D"/>
    <w:rsid w:val="00AC0586"/>
    <w:rsid w:val="00AC0590"/>
    <w:rsid w:val="00AC06B8"/>
    <w:rsid w:val="00AC0706"/>
    <w:rsid w:val="00AC07DA"/>
    <w:rsid w:val="00AC0816"/>
    <w:rsid w:val="00AC08F5"/>
    <w:rsid w:val="00AC096A"/>
    <w:rsid w:val="00AC0CFE"/>
    <w:rsid w:val="00AC0D7D"/>
    <w:rsid w:val="00AC0E43"/>
    <w:rsid w:val="00AC0FED"/>
    <w:rsid w:val="00AC12B4"/>
    <w:rsid w:val="00AC12EA"/>
    <w:rsid w:val="00AC13DC"/>
    <w:rsid w:val="00AC13F2"/>
    <w:rsid w:val="00AC1489"/>
    <w:rsid w:val="00AC14AB"/>
    <w:rsid w:val="00AC159C"/>
    <w:rsid w:val="00AC1604"/>
    <w:rsid w:val="00AC1655"/>
    <w:rsid w:val="00AC172F"/>
    <w:rsid w:val="00AC17A7"/>
    <w:rsid w:val="00AC18A3"/>
    <w:rsid w:val="00AC1A41"/>
    <w:rsid w:val="00AC1A52"/>
    <w:rsid w:val="00AC1C85"/>
    <w:rsid w:val="00AC1D8C"/>
    <w:rsid w:val="00AC1E11"/>
    <w:rsid w:val="00AC1E9C"/>
    <w:rsid w:val="00AC1EC8"/>
    <w:rsid w:val="00AC1F0F"/>
    <w:rsid w:val="00AC1F5D"/>
    <w:rsid w:val="00AC1F68"/>
    <w:rsid w:val="00AC206E"/>
    <w:rsid w:val="00AC209F"/>
    <w:rsid w:val="00AC22CC"/>
    <w:rsid w:val="00AC22EF"/>
    <w:rsid w:val="00AC2436"/>
    <w:rsid w:val="00AC255D"/>
    <w:rsid w:val="00AC25E6"/>
    <w:rsid w:val="00AC279D"/>
    <w:rsid w:val="00AC27AD"/>
    <w:rsid w:val="00AC27E6"/>
    <w:rsid w:val="00AC2A52"/>
    <w:rsid w:val="00AC2B67"/>
    <w:rsid w:val="00AC2B7B"/>
    <w:rsid w:val="00AC2CB2"/>
    <w:rsid w:val="00AC2D32"/>
    <w:rsid w:val="00AC2D50"/>
    <w:rsid w:val="00AC2E06"/>
    <w:rsid w:val="00AC2F1A"/>
    <w:rsid w:val="00AC2F8D"/>
    <w:rsid w:val="00AC306D"/>
    <w:rsid w:val="00AC30AF"/>
    <w:rsid w:val="00AC3111"/>
    <w:rsid w:val="00AC312B"/>
    <w:rsid w:val="00AC3265"/>
    <w:rsid w:val="00AC33DC"/>
    <w:rsid w:val="00AC340B"/>
    <w:rsid w:val="00AC34F7"/>
    <w:rsid w:val="00AC35A0"/>
    <w:rsid w:val="00AC35D2"/>
    <w:rsid w:val="00AC36CF"/>
    <w:rsid w:val="00AC37EE"/>
    <w:rsid w:val="00AC382C"/>
    <w:rsid w:val="00AC3923"/>
    <w:rsid w:val="00AC3A7D"/>
    <w:rsid w:val="00AC3C69"/>
    <w:rsid w:val="00AC3D1E"/>
    <w:rsid w:val="00AC3DAB"/>
    <w:rsid w:val="00AC3EE0"/>
    <w:rsid w:val="00AC418F"/>
    <w:rsid w:val="00AC41D3"/>
    <w:rsid w:val="00AC431D"/>
    <w:rsid w:val="00AC454E"/>
    <w:rsid w:val="00AC456E"/>
    <w:rsid w:val="00AC46A7"/>
    <w:rsid w:val="00AC46BB"/>
    <w:rsid w:val="00AC47BC"/>
    <w:rsid w:val="00AC47D0"/>
    <w:rsid w:val="00AC4803"/>
    <w:rsid w:val="00AC4868"/>
    <w:rsid w:val="00AC490C"/>
    <w:rsid w:val="00AC4988"/>
    <w:rsid w:val="00AC49AF"/>
    <w:rsid w:val="00AC49B0"/>
    <w:rsid w:val="00AC49F4"/>
    <w:rsid w:val="00AC4A38"/>
    <w:rsid w:val="00AC4A77"/>
    <w:rsid w:val="00AC4A79"/>
    <w:rsid w:val="00AC4AEA"/>
    <w:rsid w:val="00AC4B74"/>
    <w:rsid w:val="00AC4CA8"/>
    <w:rsid w:val="00AC4CD9"/>
    <w:rsid w:val="00AC4D2E"/>
    <w:rsid w:val="00AC4DD4"/>
    <w:rsid w:val="00AC4E14"/>
    <w:rsid w:val="00AC4E36"/>
    <w:rsid w:val="00AC4E8E"/>
    <w:rsid w:val="00AC4F56"/>
    <w:rsid w:val="00AC4F9E"/>
    <w:rsid w:val="00AC5017"/>
    <w:rsid w:val="00AC50C7"/>
    <w:rsid w:val="00AC50C9"/>
    <w:rsid w:val="00AC50D0"/>
    <w:rsid w:val="00AC526B"/>
    <w:rsid w:val="00AC5308"/>
    <w:rsid w:val="00AC5395"/>
    <w:rsid w:val="00AC550F"/>
    <w:rsid w:val="00AC55B6"/>
    <w:rsid w:val="00AC5676"/>
    <w:rsid w:val="00AC5821"/>
    <w:rsid w:val="00AC5864"/>
    <w:rsid w:val="00AC5921"/>
    <w:rsid w:val="00AC595F"/>
    <w:rsid w:val="00AC5A04"/>
    <w:rsid w:val="00AC5AE4"/>
    <w:rsid w:val="00AC5B7D"/>
    <w:rsid w:val="00AC5BFE"/>
    <w:rsid w:val="00AC5CA6"/>
    <w:rsid w:val="00AC5D83"/>
    <w:rsid w:val="00AC5E3E"/>
    <w:rsid w:val="00AC5F66"/>
    <w:rsid w:val="00AC60FD"/>
    <w:rsid w:val="00AC6160"/>
    <w:rsid w:val="00AC65DE"/>
    <w:rsid w:val="00AC6650"/>
    <w:rsid w:val="00AC667A"/>
    <w:rsid w:val="00AC67DB"/>
    <w:rsid w:val="00AC685E"/>
    <w:rsid w:val="00AC68F5"/>
    <w:rsid w:val="00AC6902"/>
    <w:rsid w:val="00AC6984"/>
    <w:rsid w:val="00AC698E"/>
    <w:rsid w:val="00AC699A"/>
    <w:rsid w:val="00AC69AC"/>
    <w:rsid w:val="00AC6B3E"/>
    <w:rsid w:val="00AC6BA3"/>
    <w:rsid w:val="00AC6C5E"/>
    <w:rsid w:val="00AC6C75"/>
    <w:rsid w:val="00AC6D2F"/>
    <w:rsid w:val="00AC6D60"/>
    <w:rsid w:val="00AC6D99"/>
    <w:rsid w:val="00AC6DA3"/>
    <w:rsid w:val="00AC6E77"/>
    <w:rsid w:val="00AC6F9B"/>
    <w:rsid w:val="00AC6FEA"/>
    <w:rsid w:val="00AC7025"/>
    <w:rsid w:val="00AC7090"/>
    <w:rsid w:val="00AC711F"/>
    <w:rsid w:val="00AC7128"/>
    <w:rsid w:val="00AC71E7"/>
    <w:rsid w:val="00AC72D1"/>
    <w:rsid w:val="00AC73DC"/>
    <w:rsid w:val="00AC76E1"/>
    <w:rsid w:val="00AC7704"/>
    <w:rsid w:val="00AC7741"/>
    <w:rsid w:val="00AC77F3"/>
    <w:rsid w:val="00AC7862"/>
    <w:rsid w:val="00AC7866"/>
    <w:rsid w:val="00AC7909"/>
    <w:rsid w:val="00AC799A"/>
    <w:rsid w:val="00AC79BC"/>
    <w:rsid w:val="00AC7AD5"/>
    <w:rsid w:val="00AC7B4E"/>
    <w:rsid w:val="00AC7B80"/>
    <w:rsid w:val="00AC7C37"/>
    <w:rsid w:val="00AC7CB6"/>
    <w:rsid w:val="00AC7CD9"/>
    <w:rsid w:val="00AC7D56"/>
    <w:rsid w:val="00AC7D98"/>
    <w:rsid w:val="00AC7EB7"/>
    <w:rsid w:val="00AC7EDD"/>
    <w:rsid w:val="00AC7EE1"/>
    <w:rsid w:val="00AC7F6E"/>
    <w:rsid w:val="00AD0145"/>
    <w:rsid w:val="00AD0153"/>
    <w:rsid w:val="00AD0166"/>
    <w:rsid w:val="00AD01D0"/>
    <w:rsid w:val="00AD01FC"/>
    <w:rsid w:val="00AD0200"/>
    <w:rsid w:val="00AD0420"/>
    <w:rsid w:val="00AD042C"/>
    <w:rsid w:val="00AD0457"/>
    <w:rsid w:val="00AD0485"/>
    <w:rsid w:val="00AD04C9"/>
    <w:rsid w:val="00AD04E9"/>
    <w:rsid w:val="00AD0598"/>
    <w:rsid w:val="00AD076D"/>
    <w:rsid w:val="00AD0834"/>
    <w:rsid w:val="00AD0837"/>
    <w:rsid w:val="00AD085E"/>
    <w:rsid w:val="00AD087B"/>
    <w:rsid w:val="00AD08B0"/>
    <w:rsid w:val="00AD0921"/>
    <w:rsid w:val="00AD0A2A"/>
    <w:rsid w:val="00AD0AB2"/>
    <w:rsid w:val="00AD0AE6"/>
    <w:rsid w:val="00AD0B82"/>
    <w:rsid w:val="00AD0C85"/>
    <w:rsid w:val="00AD0CA7"/>
    <w:rsid w:val="00AD0D8E"/>
    <w:rsid w:val="00AD0DE6"/>
    <w:rsid w:val="00AD0EE2"/>
    <w:rsid w:val="00AD0F70"/>
    <w:rsid w:val="00AD0F8B"/>
    <w:rsid w:val="00AD10AE"/>
    <w:rsid w:val="00AD10E9"/>
    <w:rsid w:val="00AD11C3"/>
    <w:rsid w:val="00AD128B"/>
    <w:rsid w:val="00AD15B3"/>
    <w:rsid w:val="00AD15BC"/>
    <w:rsid w:val="00AD17B1"/>
    <w:rsid w:val="00AD184B"/>
    <w:rsid w:val="00AD1850"/>
    <w:rsid w:val="00AD1AC0"/>
    <w:rsid w:val="00AD1B3A"/>
    <w:rsid w:val="00AD1C57"/>
    <w:rsid w:val="00AD1DD2"/>
    <w:rsid w:val="00AD1E10"/>
    <w:rsid w:val="00AD1E1F"/>
    <w:rsid w:val="00AD1FCA"/>
    <w:rsid w:val="00AD20BF"/>
    <w:rsid w:val="00AD2191"/>
    <w:rsid w:val="00AD21BD"/>
    <w:rsid w:val="00AD22FA"/>
    <w:rsid w:val="00AD231E"/>
    <w:rsid w:val="00AD24C5"/>
    <w:rsid w:val="00AD2570"/>
    <w:rsid w:val="00AD25A9"/>
    <w:rsid w:val="00AD2749"/>
    <w:rsid w:val="00AD2774"/>
    <w:rsid w:val="00AD278A"/>
    <w:rsid w:val="00AD28DF"/>
    <w:rsid w:val="00AD29BC"/>
    <w:rsid w:val="00AD2A09"/>
    <w:rsid w:val="00AD2BC5"/>
    <w:rsid w:val="00AD2C3E"/>
    <w:rsid w:val="00AD2CE2"/>
    <w:rsid w:val="00AD2D72"/>
    <w:rsid w:val="00AD2E34"/>
    <w:rsid w:val="00AD2E38"/>
    <w:rsid w:val="00AD2ED9"/>
    <w:rsid w:val="00AD2EE4"/>
    <w:rsid w:val="00AD2F3D"/>
    <w:rsid w:val="00AD2F7C"/>
    <w:rsid w:val="00AD3014"/>
    <w:rsid w:val="00AD3227"/>
    <w:rsid w:val="00AD327C"/>
    <w:rsid w:val="00AD32FF"/>
    <w:rsid w:val="00AD33A3"/>
    <w:rsid w:val="00AD33D4"/>
    <w:rsid w:val="00AD3545"/>
    <w:rsid w:val="00AD36A8"/>
    <w:rsid w:val="00AD3722"/>
    <w:rsid w:val="00AD374C"/>
    <w:rsid w:val="00AD389D"/>
    <w:rsid w:val="00AD3939"/>
    <w:rsid w:val="00AD394E"/>
    <w:rsid w:val="00AD3A9F"/>
    <w:rsid w:val="00AD3AC6"/>
    <w:rsid w:val="00AD3BA8"/>
    <w:rsid w:val="00AD3BAC"/>
    <w:rsid w:val="00AD3C93"/>
    <w:rsid w:val="00AD3C9D"/>
    <w:rsid w:val="00AD3CC5"/>
    <w:rsid w:val="00AD3DBA"/>
    <w:rsid w:val="00AD3DBB"/>
    <w:rsid w:val="00AD3E6D"/>
    <w:rsid w:val="00AD3E70"/>
    <w:rsid w:val="00AD3F79"/>
    <w:rsid w:val="00AD3FB9"/>
    <w:rsid w:val="00AD40AB"/>
    <w:rsid w:val="00AD40D1"/>
    <w:rsid w:val="00AD41C8"/>
    <w:rsid w:val="00AD42D1"/>
    <w:rsid w:val="00AD4425"/>
    <w:rsid w:val="00AD4451"/>
    <w:rsid w:val="00AD44A7"/>
    <w:rsid w:val="00AD4699"/>
    <w:rsid w:val="00AD47C6"/>
    <w:rsid w:val="00AD493F"/>
    <w:rsid w:val="00AD4964"/>
    <w:rsid w:val="00AD4A46"/>
    <w:rsid w:val="00AD4B69"/>
    <w:rsid w:val="00AD4C39"/>
    <w:rsid w:val="00AD4C60"/>
    <w:rsid w:val="00AD4CFB"/>
    <w:rsid w:val="00AD4DFC"/>
    <w:rsid w:val="00AD4DFF"/>
    <w:rsid w:val="00AD4FB4"/>
    <w:rsid w:val="00AD5169"/>
    <w:rsid w:val="00AD5221"/>
    <w:rsid w:val="00AD5279"/>
    <w:rsid w:val="00AD5285"/>
    <w:rsid w:val="00AD544B"/>
    <w:rsid w:val="00AD5533"/>
    <w:rsid w:val="00AD55CA"/>
    <w:rsid w:val="00AD5649"/>
    <w:rsid w:val="00AD574B"/>
    <w:rsid w:val="00AD5781"/>
    <w:rsid w:val="00AD58AF"/>
    <w:rsid w:val="00AD5993"/>
    <w:rsid w:val="00AD59B1"/>
    <w:rsid w:val="00AD59FA"/>
    <w:rsid w:val="00AD5AB9"/>
    <w:rsid w:val="00AD5ADA"/>
    <w:rsid w:val="00AD5B19"/>
    <w:rsid w:val="00AD5B63"/>
    <w:rsid w:val="00AD5BCA"/>
    <w:rsid w:val="00AD5C32"/>
    <w:rsid w:val="00AD5C36"/>
    <w:rsid w:val="00AD5E13"/>
    <w:rsid w:val="00AD5E17"/>
    <w:rsid w:val="00AD5F2E"/>
    <w:rsid w:val="00AD607F"/>
    <w:rsid w:val="00AD60E7"/>
    <w:rsid w:val="00AD6123"/>
    <w:rsid w:val="00AD637E"/>
    <w:rsid w:val="00AD647C"/>
    <w:rsid w:val="00AD64A5"/>
    <w:rsid w:val="00AD64AB"/>
    <w:rsid w:val="00AD64B1"/>
    <w:rsid w:val="00AD652E"/>
    <w:rsid w:val="00AD65D3"/>
    <w:rsid w:val="00AD6616"/>
    <w:rsid w:val="00AD66B0"/>
    <w:rsid w:val="00AD674C"/>
    <w:rsid w:val="00AD68BB"/>
    <w:rsid w:val="00AD6906"/>
    <w:rsid w:val="00AD69BC"/>
    <w:rsid w:val="00AD6A17"/>
    <w:rsid w:val="00AD6A5E"/>
    <w:rsid w:val="00AD6A7E"/>
    <w:rsid w:val="00AD6A90"/>
    <w:rsid w:val="00AD6B52"/>
    <w:rsid w:val="00AD6BCE"/>
    <w:rsid w:val="00AD6D7C"/>
    <w:rsid w:val="00AD6E1F"/>
    <w:rsid w:val="00AD7032"/>
    <w:rsid w:val="00AD710B"/>
    <w:rsid w:val="00AD7116"/>
    <w:rsid w:val="00AD7117"/>
    <w:rsid w:val="00AD712E"/>
    <w:rsid w:val="00AD71E0"/>
    <w:rsid w:val="00AD7246"/>
    <w:rsid w:val="00AD727D"/>
    <w:rsid w:val="00AD73F9"/>
    <w:rsid w:val="00AD7423"/>
    <w:rsid w:val="00AD742D"/>
    <w:rsid w:val="00AD7448"/>
    <w:rsid w:val="00AD749E"/>
    <w:rsid w:val="00AD7508"/>
    <w:rsid w:val="00AD7565"/>
    <w:rsid w:val="00AD75A4"/>
    <w:rsid w:val="00AD7692"/>
    <w:rsid w:val="00AD76D1"/>
    <w:rsid w:val="00AD787A"/>
    <w:rsid w:val="00AD7934"/>
    <w:rsid w:val="00AD793E"/>
    <w:rsid w:val="00AD7A45"/>
    <w:rsid w:val="00AD7A78"/>
    <w:rsid w:val="00AD7B68"/>
    <w:rsid w:val="00AD7D8B"/>
    <w:rsid w:val="00AD7EBD"/>
    <w:rsid w:val="00AD7FE0"/>
    <w:rsid w:val="00AE00E1"/>
    <w:rsid w:val="00AE0117"/>
    <w:rsid w:val="00AE01BC"/>
    <w:rsid w:val="00AE022F"/>
    <w:rsid w:val="00AE0401"/>
    <w:rsid w:val="00AE0689"/>
    <w:rsid w:val="00AE08A9"/>
    <w:rsid w:val="00AE0954"/>
    <w:rsid w:val="00AE0B5E"/>
    <w:rsid w:val="00AE0BA7"/>
    <w:rsid w:val="00AE0BAE"/>
    <w:rsid w:val="00AE0BD9"/>
    <w:rsid w:val="00AE0D17"/>
    <w:rsid w:val="00AE0D61"/>
    <w:rsid w:val="00AE0D94"/>
    <w:rsid w:val="00AE0E0C"/>
    <w:rsid w:val="00AE0F5E"/>
    <w:rsid w:val="00AE0FD1"/>
    <w:rsid w:val="00AE1035"/>
    <w:rsid w:val="00AE124D"/>
    <w:rsid w:val="00AE12A1"/>
    <w:rsid w:val="00AE14A2"/>
    <w:rsid w:val="00AE1606"/>
    <w:rsid w:val="00AE1755"/>
    <w:rsid w:val="00AE1922"/>
    <w:rsid w:val="00AE19FB"/>
    <w:rsid w:val="00AE1A37"/>
    <w:rsid w:val="00AE1C07"/>
    <w:rsid w:val="00AE1C11"/>
    <w:rsid w:val="00AE1C56"/>
    <w:rsid w:val="00AE1CA2"/>
    <w:rsid w:val="00AE1CFE"/>
    <w:rsid w:val="00AE1D2D"/>
    <w:rsid w:val="00AE1DA2"/>
    <w:rsid w:val="00AE1DC2"/>
    <w:rsid w:val="00AE1DC3"/>
    <w:rsid w:val="00AE1E95"/>
    <w:rsid w:val="00AE1F66"/>
    <w:rsid w:val="00AE204C"/>
    <w:rsid w:val="00AE20A7"/>
    <w:rsid w:val="00AE2137"/>
    <w:rsid w:val="00AE2234"/>
    <w:rsid w:val="00AE2235"/>
    <w:rsid w:val="00AE2240"/>
    <w:rsid w:val="00AE233C"/>
    <w:rsid w:val="00AE248D"/>
    <w:rsid w:val="00AE24BD"/>
    <w:rsid w:val="00AE2500"/>
    <w:rsid w:val="00AE2536"/>
    <w:rsid w:val="00AE2681"/>
    <w:rsid w:val="00AE2724"/>
    <w:rsid w:val="00AE273C"/>
    <w:rsid w:val="00AE287E"/>
    <w:rsid w:val="00AE289B"/>
    <w:rsid w:val="00AE297F"/>
    <w:rsid w:val="00AE2A30"/>
    <w:rsid w:val="00AE2AD3"/>
    <w:rsid w:val="00AE2ADD"/>
    <w:rsid w:val="00AE2B23"/>
    <w:rsid w:val="00AE2B55"/>
    <w:rsid w:val="00AE2B59"/>
    <w:rsid w:val="00AE2BD7"/>
    <w:rsid w:val="00AE2C3B"/>
    <w:rsid w:val="00AE2C93"/>
    <w:rsid w:val="00AE2D20"/>
    <w:rsid w:val="00AE2D8A"/>
    <w:rsid w:val="00AE2ED2"/>
    <w:rsid w:val="00AE3019"/>
    <w:rsid w:val="00AE3073"/>
    <w:rsid w:val="00AE3164"/>
    <w:rsid w:val="00AE3170"/>
    <w:rsid w:val="00AE325C"/>
    <w:rsid w:val="00AE3282"/>
    <w:rsid w:val="00AE330C"/>
    <w:rsid w:val="00AE338D"/>
    <w:rsid w:val="00AE3528"/>
    <w:rsid w:val="00AE3783"/>
    <w:rsid w:val="00AE37F3"/>
    <w:rsid w:val="00AE382F"/>
    <w:rsid w:val="00AE38B8"/>
    <w:rsid w:val="00AE3A5F"/>
    <w:rsid w:val="00AE3ADF"/>
    <w:rsid w:val="00AE3C83"/>
    <w:rsid w:val="00AE3E71"/>
    <w:rsid w:val="00AE3E7E"/>
    <w:rsid w:val="00AE3E9A"/>
    <w:rsid w:val="00AE3F52"/>
    <w:rsid w:val="00AE3F5D"/>
    <w:rsid w:val="00AE40F9"/>
    <w:rsid w:val="00AE4107"/>
    <w:rsid w:val="00AE4286"/>
    <w:rsid w:val="00AE4306"/>
    <w:rsid w:val="00AE43D1"/>
    <w:rsid w:val="00AE44DF"/>
    <w:rsid w:val="00AE4697"/>
    <w:rsid w:val="00AE46A8"/>
    <w:rsid w:val="00AE4706"/>
    <w:rsid w:val="00AE48D1"/>
    <w:rsid w:val="00AE4A09"/>
    <w:rsid w:val="00AE4A6A"/>
    <w:rsid w:val="00AE4B40"/>
    <w:rsid w:val="00AE4C84"/>
    <w:rsid w:val="00AE4F3C"/>
    <w:rsid w:val="00AE4F8C"/>
    <w:rsid w:val="00AE5113"/>
    <w:rsid w:val="00AE5277"/>
    <w:rsid w:val="00AE5326"/>
    <w:rsid w:val="00AE5359"/>
    <w:rsid w:val="00AE5437"/>
    <w:rsid w:val="00AE5468"/>
    <w:rsid w:val="00AE550D"/>
    <w:rsid w:val="00AE56A0"/>
    <w:rsid w:val="00AE580B"/>
    <w:rsid w:val="00AE58CA"/>
    <w:rsid w:val="00AE5AA5"/>
    <w:rsid w:val="00AE5AD6"/>
    <w:rsid w:val="00AE5AEB"/>
    <w:rsid w:val="00AE5B8F"/>
    <w:rsid w:val="00AE5BED"/>
    <w:rsid w:val="00AE5CC9"/>
    <w:rsid w:val="00AE5D30"/>
    <w:rsid w:val="00AE5F7F"/>
    <w:rsid w:val="00AE5FA7"/>
    <w:rsid w:val="00AE6083"/>
    <w:rsid w:val="00AE60A9"/>
    <w:rsid w:val="00AE6181"/>
    <w:rsid w:val="00AE6199"/>
    <w:rsid w:val="00AE625E"/>
    <w:rsid w:val="00AE62D8"/>
    <w:rsid w:val="00AE6370"/>
    <w:rsid w:val="00AE645C"/>
    <w:rsid w:val="00AE64AD"/>
    <w:rsid w:val="00AE6592"/>
    <w:rsid w:val="00AE678E"/>
    <w:rsid w:val="00AE67BC"/>
    <w:rsid w:val="00AE67F3"/>
    <w:rsid w:val="00AE690B"/>
    <w:rsid w:val="00AE6987"/>
    <w:rsid w:val="00AE69F1"/>
    <w:rsid w:val="00AE6A10"/>
    <w:rsid w:val="00AE6A8C"/>
    <w:rsid w:val="00AE6AAC"/>
    <w:rsid w:val="00AE6AF3"/>
    <w:rsid w:val="00AE6BEB"/>
    <w:rsid w:val="00AE6C78"/>
    <w:rsid w:val="00AE6C8A"/>
    <w:rsid w:val="00AE6D96"/>
    <w:rsid w:val="00AE6DC7"/>
    <w:rsid w:val="00AE6E6F"/>
    <w:rsid w:val="00AE6E81"/>
    <w:rsid w:val="00AE6F47"/>
    <w:rsid w:val="00AE7005"/>
    <w:rsid w:val="00AE70FA"/>
    <w:rsid w:val="00AE7161"/>
    <w:rsid w:val="00AE7327"/>
    <w:rsid w:val="00AE7347"/>
    <w:rsid w:val="00AE738B"/>
    <w:rsid w:val="00AE7555"/>
    <w:rsid w:val="00AE756A"/>
    <w:rsid w:val="00AE75B8"/>
    <w:rsid w:val="00AE766A"/>
    <w:rsid w:val="00AE770F"/>
    <w:rsid w:val="00AE77C2"/>
    <w:rsid w:val="00AE77C7"/>
    <w:rsid w:val="00AE77CF"/>
    <w:rsid w:val="00AE7897"/>
    <w:rsid w:val="00AE7A3E"/>
    <w:rsid w:val="00AE7ABD"/>
    <w:rsid w:val="00AE7ABF"/>
    <w:rsid w:val="00AE7C4F"/>
    <w:rsid w:val="00AE7C89"/>
    <w:rsid w:val="00AE7C90"/>
    <w:rsid w:val="00AE7CE8"/>
    <w:rsid w:val="00AE7DF4"/>
    <w:rsid w:val="00AE7E11"/>
    <w:rsid w:val="00AF0106"/>
    <w:rsid w:val="00AF0388"/>
    <w:rsid w:val="00AF0407"/>
    <w:rsid w:val="00AF054E"/>
    <w:rsid w:val="00AF0579"/>
    <w:rsid w:val="00AF069D"/>
    <w:rsid w:val="00AF06F6"/>
    <w:rsid w:val="00AF0876"/>
    <w:rsid w:val="00AF0878"/>
    <w:rsid w:val="00AF0A8B"/>
    <w:rsid w:val="00AF0B77"/>
    <w:rsid w:val="00AF0B90"/>
    <w:rsid w:val="00AF0D92"/>
    <w:rsid w:val="00AF0E65"/>
    <w:rsid w:val="00AF0FD5"/>
    <w:rsid w:val="00AF103F"/>
    <w:rsid w:val="00AF10F1"/>
    <w:rsid w:val="00AF10FE"/>
    <w:rsid w:val="00AF1154"/>
    <w:rsid w:val="00AF133C"/>
    <w:rsid w:val="00AF1417"/>
    <w:rsid w:val="00AF146A"/>
    <w:rsid w:val="00AF17BA"/>
    <w:rsid w:val="00AF183C"/>
    <w:rsid w:val="00AF18BE"/>
    <w:rsid w:val="00AF18C1"/>
    <w:rsid w:val="00AF1935"/>
    <w:rsid w:val="00AF1AE4"/>
    <w:rsid w:val="00AF1DEA"/>
    <w:rsid w:val="00AF1DF2"/>
    <w:rsid w:val="00AF1FCA"/>
    <w:rsid w:val="00AF208B"/>
    <w:rsid w:val="00AF22C1"/>
    <w:rsid w:val="00AF2345"/>
    <w:rsid w:val="00AF2391"/>
    <w:rsid w:val="00AF2418"/>
    <w:rsid w:val="00AF244B"/>
    <w:rsid w:val="00AF2492"/>
    <w:rsid w:val="00AF25C5"/>
    <w:rsid w:val="00AF2641"/>
    <w:rsid w:val="00AF2678"/>
    <w:rsid w:val="00AF2811"/>
    <w:rsid w:val="00AF28AF"/>
    <w:rsid w:val="00AF28E7"/>
    <w:rsid w:val="00AF28F7"/>
    <w:rsid w:val="00AF29EC"/>
    <w:rsid w:val="00AF2A82"/>
    <w:rsid w:val="00AF2C83"/>
    <w:rsid w:val="00AF2D25"/>
    <w:rsid w:val="00AF2E2C"/>
    <w:rsid w:val="00AF2E3E"/>
    <w:rsid w:val="00AF2EFB"/>
    <w:rsid w:val="00AF2F7C"/>
    <w:rsid w:val="00AF2F96"/>
    <w:rsid w:val="00AF30F8"/>
    <w:rsid w:val="00AF31E5"/>
    <w:rsid w:val="00AF36A6"/>
    <w:rsid w:val="00AF36CC"/>
    <w:rsid w:val="00AF371A"/>
    <w:rsid w:val="00AF3774"/>
    <w:rsid w:val="00AF37B5"/>
    <w:rsid w:val="00AF3885"/>
    <w:rsid w:val="00AF3986"/>
    <w:rsid w:val="00AF39ED"/>
    <w:rsid w:val="00AF3ADD"/>
    <w:rsid w:val="00AF3B16"/>
    <w:rsid w:val="00AF3B58"/>
    <w:rsid w:val="00AF3BB7"/>
    <w:rsid w:val="00AF3C37"/>
    <w:rsid w:val="00AF3CBD"/>
    <w:rsid w:val="00AF3D64"/>
    <w:rsid w:val="00AF3DF9"/>
    <w:rsid w:val="00AF406F"/>
    <w:rsid w:val="00AF4182"/>
    <w:rsid w:val="00AF41DB"/>
    <w:rsid w:val="00AF4271"/>
    <w:rsid w:val="00AF4288"/>
    <w:rsid w:val="00AF44D9"/>
    <w:rsid w:val="00AF4587"/>
    <w:rsid w:val="00AF45B3"/>
    <w:rsid w:val="00AF45FF"/>
    <w:rsid w:val="00AF479B"/>
    <w:rsid w:val="00AF479E"/>
    <w:rsid w:val="00AF47C1"/>
    <w:rsid w:val="00AF4824"/>
    <w:rsid w:val="00AF4989"/>
    <w:rsid w:val="00AF4A4B"/>
    <w:rsid w:val="00AF4A86"/>
    <w:rsid w:val="00AF4ADA"/>
    <w:rsid w:val="00AF4B75"/>
    <w:rsid w:val="00AF4BC9"/>
    <w:rsid w:val="00AF4D74"/>
    <w:rsid w:val="00AF4D76"/>
    <w:rsid w:val="00AF4D8B"/>
    <w:rsid w:val="00AF4D8C"/>
    <w:rsid w:val="00AF4D90"/>
    <w:rsid w:val="00AF4DD5"/>
    <w:rsid w:val="00AF4EB3"/>
    <w:rsid w:val="00AF4ED5"/>
    <w:rsid w:val="00AF4ED9"/>
    <w:rsid w:val="00AF4F2F"/>
    <w:rsid w:val="00AF50EB"/>
    <w:rsid w:val="00AF519D"/>
    <w:rsid w:val="00AF539F"/>
    <w:rsid w:val="00AF53E1"/>
    <w:rsid w:val="00AF54E7"/>
    <w:rsid w:val="00AF55FD"/>
    <w:rsid w:val="00AF5722"/>
    <w:rsid w:val="00AF57D0"/>
    <w:rsid w:val="00AF580D"/>
    <w:rsid w:val="00AF5870"/>
    <w:rsid w:val="00AF5962"/>
    <w:rsid w:val="00AF5AC7"/>
    <w:rsid w:val="00AF5AFC"/>
    <w:rsid w:val="00AF5B08"/>
    <w:rsid w:val="00AF5BA2"/>
    <w:rsid w:val="00AF5BCD"/>
    <w:rsid w:val="00AF5BE0"/>
    <w:rsid w:val="00AF5D08"/>
    <w:rsid w:val="00AF5DD2"/>
    <w:rsid w:val="00AF5E90"/>
    <w:rsid w:val="00AF5F03"/>
    <w:rsid w:val="00AF6061"/>
    <w:rsid w:val="00AF609C"/>
    <w:rsid w:val="00AF60AF"/>
    <w:rsid w:val="00AF615F"/>
    <w:rsid w:val="00AF6289"/>
    <w:rsid w:val="00AF628F"/>
    <w:rsid w:val="00AF62D1"/>
    <w:rsid w:val="00AF6342"/>
    <w:rsid w:val="00AF64AB"/>
    <w:rsid w:val="00AF6538"/>
    <w:rsid w:val="00AF6557"/>
    <w:rsid w:val="00AF6571"/>
    <w:rsid w:val="00AF676A"/>
    <w:rsid w:val="00AF6851"/>
    <w:rsid w:val="00AF6995"/>
    <w:rsid w:val="00AF69F9"/>
    <w:rsid w:val="00AF6A0A"/>
    <w:rsid w:val="00AF6A35"/>
    <w:rsid w:val="00AF6B69"/>
    <w:rsid w:val="00AF6BA6"/>
    <w:rsid w:val="00AF6C97"/>
    <w:rsid w:val="00AF6E39"/>
    <w:rsid w:val="00AF6F46"/>
    <w:rsid w:val="00AF6FA1"/>
    <w:rsid w:val="00AF70D0"/>
    <w:rsid w:val="00AF718D"/>
    <w:rsid w:val="00AF7235"/>
    <w:rsid w:val="00AF733A"/>
    <w:rsid w:val="00AF7362"/>
    <w:rsid w:val="00AF75B7"/>
    <w:rsid w:val="00AF7607"/>
    <w:rsid w:val="00AF7642"/>
    <w:rsid w:val="00AF7658"/>
    <w:rsid w:val="00AF77D7"/>
    <w:rsid w:val="00AF7972"/>
    <w:rsid w:val="00AF797E"/>
    <w:rsid w:val="00AF79F4"/>
    <w:rsid w:val="00AF7A5C"/>
    <w:rsid w:val="00AF7A89"/>
    <w:rsid w:val="00AF7AB7"/>
    <w:rsid w:val="00AF7C0A"/>
    <w:rsid w:val="00AF7C86"/>
    <w:rsid w:val="00AF7D2A"/>
    <w:rsid w:val="00AF7E67"/>
    <w:rsid w:val="00AF7FD3"/>
    <w:rsid w:val="00B00064"/>
    <w:rsid w:val="00B0009B"/>
    <w:rsid w:val="00B00151"/>
    <w:rsid w:val="00B0016D"/>
    <w:rsid w:val="00B002C5"/>
    <w:rsid w:val="00B0031E"/>
    <w:rsid w:val="00B003BE"/>
    <w:rsid w:val="00B003CF"/>
    <w:rsid w:val="00B00437"/>
    <w:rsid w:val="00B0056B"/>
    <w:rsid w:val="00B005CF"/>
    <w:rsid w:val="00B00610"/>
    <w:rsid w:val="00B0068C"/>
    <w:rsid w:val="00B00699"/>
    <w:rsid w:val="00B006AE"/>
    <w:rsid w:val="00B009BA"/>
    <w:rsid w:val="00B00B86"/>
    <w:rsid w:val="00B00CE3"/>
    <w:rsid w:val="00B00CF8"/>
    <w:rsid w:val="00B00D81"/>
    <w:rsid w:val="00B00E36"/>
    <w:rsid w:val="00B01048"/>
    <w:rsid w:val="00B01072"/>
    <w:rsid w:val="00B0109B"/>
    <w:rsid w:val="00B010AC"/>
    <w:rsid w:val="00B0115A"/>
    <w:rsid w:val="00B0116E"/>
    <w:rsid w:val="00B011FE"/>
    <w:rsid w:val="00B01208"/>
    <w:rsid w:val="00B0146B"/>
    <w:rsid w:val="00B016F6"/>
    <w:rsid w:val="00B01701"/>
    <w:rsid w:val="00B0177F"/>
    <w:rsid w:val="00B01793"/>
    <w:rsid w:val="00B017C1"/>
    <w:rsid w:val="00B01927"/>
    <w:rsid w:val="00B019C1"/>
    <w:rsid w:val="00B01AA8"/>
    <w:rsid w:val="00B01AC4"/>
    <w:rsid w:val="00B01B28"/>
    <w:rsid w:val="00B01BFE"/>
    <w:rsid w:val="00B01C4A"/>
    <w:rsid w:val="00B01C9C"/>
    <w:rsid w:val="00B01CBE"/>
    <w:rsid w:val="00B01D0D"/>
    <w:rsid w:val="00B01D99"/>
    <w:rsid w:val="00B01DC2"/>
    <w:rsid w:val="00B01E80"/>
    <w:rsid w:val="00B02140"/>
    <w:rsid w:val="00B0216D"/>
    <w:rsid w:val="00B021B7"/>
    <w:rsid w:val="00B02242"/>
    <w:rsid w:val="00B02264"/>
    <w:rsid w:val="00B024B7"/>
    <w:rsid w:val="00B027E6"/>
    <w:rsid w:val="00B02869"/>
    <w:rsid w:val="00B028BD"/>
    <w:rsid w:val="00B02907"/>
    <w:rsid w:val="00B029E1"/>
    <w:rsid w:val="00B029EE"/>
    <w:rsid w:val="00B02B11"/>
    <w:rsid w:val="00B02B1A"/>
    <w:rsid w:val="00B02B28"/>
    <w:rsid w:val="00B02D60"/>
    <w:rsid w:val="00B02D7A"/>
    <w:rsid w:val="00B02E6D"/>
    <w:rsid w:val="00B02E74"/>
    <w:rsid w:val="00B02FA5"/>
    <w:rsid w:val="00B0329B"/>
    <w:rsid w:val="00B0335F"/>
    <w:rsid w:val="00B03414"/>
    <w:rsid w:val="00B0349F"/>
    <w:rsid w:val="00B03500"/>
    <w:rsid w:val="00B035AE"/>
    <w:rsid w:val="00B0363F"/>
    <w:rsid w:val="00B03657"/>
    <w:rsid w:val="00B0367C"/>
    <w:rsid w:val="00B036E8"/>
    <w:rsid w:val="00B03910"/>
    <w:rsid w:val="00B039DF"/>
    <w:rsid w:val="00B03A7C"/>
    <w:rsid w:val="00B03B1D"/>
    <w:rsid w:val="00B03C02"/>
    <w:rsid w:val="00B03C1D"/>
    <w:rsid w:val="00B03D6F"/>
    <w:rsid w:val="00B03E56"/>
    <w:rsid w:val="00B03E66"/>
    <w:rsid w:val="00B03E7C"/>
    <w:rsid w:val="00B03EFA"/>
    <w:rsid w:val="00B03FC9"/>
    <w:rsid w:val="00B03FCA"/>
    <w:rsid w:val="00B04001"/>
    <w:rsid w:val="00B04050"/>
    <w:rsid w:val="00B040D7"/>
    <w:rsid w:val="00B0418D"/>
    <w:rsid w:val="00B0434D"/>
    <w:rsid w:val="00B04351"/>
    <w:rsid w:val="00B04411"/>
    <w:rsid w:val="00B0445C"/>
    <w:rsid w:val="00B044EA"/>
    <w:rsid w:val="00B0456B"/>
    <w:rsid w:val="00B04624"/>
    <w:rsid w:val="00B046BD"/>
    <w:rsid w:val="00B04741"/>
    <w:rsid w:val="00B047C3"/>
    <w:rsid w:val="00B04802"/>
    <w:rsid w:val="00B0481E"/>
    <w:rsid w:val="00B04839"/>
    <w:rsid w:val="00B04905"/>
    <w:rsid w:val="00B04991"/>
    <w:rsid w:val="00B049AD"/>
    <w:rsid w:val="00B049C9"/>
    <w:rsid w:val="00B04A2F"/>
    <w:rsid w:val="00B04A54"/>
    <w:rsid w:val="00B04AAB"/>
    <w:rsid w:val="00B04B3B"/>
    <w:rsid w:val="00B04B3E"/>
    <w:rsid w:val="00B04C9F"/>
    <w:rsid w:val="00B04D27"/>
    <w:rsid w:val="00B04D33"/>
    <w:rsid w:val="00B04D81"/>
    <w:rsid w:val="00B04DEE"/>
    <w:rsid w:val="00B04E41"/>
    <w:rsid w:val="00B04EB0"/>
    <w:rsid w:val="00B04F1E"/>
    <w:rsid w:val="00B04F50"/>
    <w:rsid w:val="00B04F56"/>
    <w:rsid w:val="00B051B4"/>
    <w:rsid w:val="00B05302"/>
    <w:rsid w:val="00B053C0"/>
    <w:rsid w:val="00B0566C"/>
    <w:rsid w:val="00B056B0"/>
    <w:rsid w:val="00B05721"/>
    <w:rsid w:val="00B057D7"/>
    <w:rsid w:val="00B05816"/>
    <w:rsid w:val="00B058BA"/>
    <w:rsid w:val="00B05988"/>
    <w:rsid w:val="00B05A4B"/>
    <w:rsid w:val="00B05AF6"/>
    <w:rsid w:val="00B05BB4"/>
    <w:rsid w:val="00B05BC1"/>
    <w:rsid w:val="00B05BD2"/>
    <w:rsid w:val="00B05C1A"/>
    <w:rsid w:val="00B05D99"/>
    <w:rsid w:val="00B05E43"/>
    <w:rsid w:val="00B05EFA"/>
    <w:rsid w:val="00B061E9"/>
    <w:rsid w:val="00B0620E"/>
    <w:rsid w:val="00B06267"/>
    <w:rsid w:val="00B063A9"/>
    <w:rsid w:val="00B06581"/>
    <w:rsid w:val="00B06693"/>
    <w:rsid w:val="00B066BA"/>
    <w:rsid w:val="00B06703"/>
    <w:rsid w:val="00B0670A"/>
    <w:rsid w:val="00B06719"/>
    <w:rsid w:val="00B06790"/>
    <w:rsid w:val="00B067E5"/>
    <w:rsid w:val="00B067E6"/>
    <w:rsid w:val="00B06832"/>
    <w:rsid w:val="00B06938"/>
    <w:rsid w:val="00B06967"/>
    <w:rsid w:val="00B06A67"/>
    <w:rsid w:val="00B06A7A"/>
    <w:rsid w:val="00B06A7F"/>
    <w:rsid w:val="00B06A89"/>
    <w:rsid w:val="00B06AB9"/>
    <w:rsid w:val="00B06B14"/>
    <w:rsid w:val="00B06C2B"/>
    <w:rsid w:val="00B06E17"/>
    <w:rsid w:val="00B07016"/>
    <w:rsid w:val="00B070FA"/>
    <w:rsid w:val="00B072DE"/>
    <w:rsid w:val="00B0736C"/>
    <w:rsid w:val="00B0747A"/>
    <w:rsid w:val="00B074A1"/>
    <w:rsid w:val="00B074EF"/>
    <w:rsid w:val="00B0765C"/>
    <w:rsid w:val="00B07691"/>
    <w:rsid w:val="00B07735"/>
    <w:rsid w:val="00B07805"/>
    <w:rsid w:val="00B0790A"/>
    <w:rsid w:val="00B07B44"/>
    <w:rsid w:val="00B07BFA"/>
    <w:rsid w:val="00B07CD0"/>
    <w:rsid w:val="00B07DE1"/>
    <w:rsid w:val="00B07E81"/>
    <w:rsid w:val="00B07EA4"/>
    <w:rsid w:val="00B07F67"/>
    <w:rsid w:val="00B100A9"/>
    <w:rsid w:val="00B101AD"/>
    <w:rsid w:val="00B103AF"/>
    <w:rsid w:val="00B103E8"/>
    <w:rsid w:val="00B10402"/>
    <w:rsid w:val="00B10499"/>
    <w:rsid w:val="00B10518"/>
    <w:rsid w:val="00B10519"/>
    <w:rsid w:val="00B10556"/>
    <w:rsid w:val="00B105A9"/>
    <w:rsid w:val="00B105D4"/>
    <w:rsid w:val="00B10675"/>
    <w:rsid w:val="00B10864"/>
    <w:rsid w:val="00B10913"/>
    <w:rsid w:val="00B109D0"/>
    <w:rsid w:val="00B10A87"/>
    <w:rsid w:val="00B10AAE"/>
    <w:rsid w:val="00B10C1B"/>
    <w:rsid w:val="00B10D4C"/>
    <w:rsid w:val="00B10FC6"/>
    <w:rsid w:val="00B10FFA"/>
    <w:rsid w:val="00B11218"/>
    <w:rsid w:val="00B112B9"/>
    <w:rsid w:val="00B11327"/>
    <w:rsid w:val="00B1135B"/>
    <w:rsid w:val="00B114AC"/>
    <w:rsid w:val="00B11761"/>
    <w:rsid w:val="00B118EC"/>
    <w:rsid w:val="00B118F9"/>
    <w:rsid w:val="00B1192E"/>
    <w:rsid w:val="00B119B4"/>
    <w:rsid w:val="00B11A04"/>
    <w:rsid w:val="00B11ADC"/>
    <w:rsid w:val="00B11BB5"/>
    <w:rsid w:val="00B11C5B"/>
    <w:rsid w:val="00B11C93"/>
    <w:rsid w:val="00B11E2B"/>
    <w:rsid w:val="00B11E91"/>
    <w:rsid w:val="00B11EAF"/>
    <w:rsid w:val="00B11F21"/>
    <w:rsid w:val="00B11F81"/>
    <w:rsid w:val="00B12073"/>
    <w:rsid w:val="00B120D0"/>
    <w:rsid w:val="00B12182"/>
    <w:rsid w:val="00B1229C"/>
    <w:rsid w:val="00B12325"/>
    <w:rsid w:val="00B12345"/>
    <w:rsid w:val="00B12363"/>
    <w:rsid w:val="00B124B8"/>
    <w:rsid w:val="00B12525"/>
    <w:rsid w:val="00B12562"/>
    <w:rsid w:val="00B125D6"/>
    <w:rsid w:val="00B12632"/>
    <w:rsid w:val="00B12698"/>
    <w:rsid w:val="00B12895"/>
    <w:rsid w:val="00B12938"/>
    <w:rsid w:val="00B12985"/>
    <w:rsid w:val="00B12B43"/>
    <w:rsid w:val="00B12B4F"/>
    <w:rsid w:val="00B12BA4"/>
    <w:rsid w:val="00B12C2E"/>
    <w:rsid w:val="00B12F24"/>
    <w:rsid w:val="00B13050"/>
    <w:rsid w:val="00B13067"/>
    <w:rsid w:val="00B13147"/>
    <w:rsid w:val="00B13265"/>
    <w:rsid w:val="00B133C6"/>
    <w:rsid w:val="00B133F6"/>
    <w:rsid w:val="00B1347D"/>
    <w:rsid w:val="00B13577"/>
    <w:rsid w:val="00B13674"/>
    <w:rsid w:val="00B13865"/>
    <w:rsid w:val="00B13880"/>
    <w:rsid w:val="00B13920"/>
    <w:rsid w:val="00B13940"/>
    <w:rsid w:val="00B13A21"/>
    <w:rsid w:val="00B13C13"/>
    <w:rsid w:val="00B13C38"/>
    <w:rsid w:val="00B13E63"/>
    <w:rsid w:val="00B13EA4"/>
    <w:rsid w:val="00B13EB6"/>
    <w:rsid w:val="00B13FEF"/>
    <w:rsid w:val="00B140A8"/>
    <w:rsid w:val="00B140D6"/>
    <w:rsid w:val="00B1420D"/>
    <w:rsid w:val="00B1456D"/>
    <w:rsid w:val="00B145CD"/>
    <w:rsid w:val="00B147A5"/>
    <w:rsid w:val="00B14867"/>
    <w:rsid w:val="00B148A4"/>
    <w:rsid w:val="00B14A28"/>
    <w:rsid w:val="00B14A83"/>
    <w:rsid w:val="00B14B44"/>
    <w:rsid w:val="00B14BA1"/>
    <w:rsid w:val="00B14BDB"/>
    <w:rsid w:val="00B14C87"/>
    <w:rsid w:val="00B14D13"/>
    <w:rsid w:val="00B14D6B"/>
    <w:rsid w:val="00B14E5F"/>
    <w:rsid w:val="00B14E76"/>
    <w:rsid w:val="00B15084"/>
    <w:rsid w:val="00B1511B"/>
    <w:rsid w:val="00B1516E"/>
    <w:rsid w:val="00B1529C"/>
    <w:rsid w:val="00B152A2"/>
    <w:rsid w:val="00B15445"/>
    <w:rsid w:val="00B154A0"/>
    <w:rsid w:val="00B155D3"/>
    <w:rsid w:val="00B15731"/>
    <w:rsid w:val="00B158FC"/>
    <w:rsid w:val="00B15946"/>
    <w:rsid w:val="00B1594E"/>
    <w:rsid w:val="00B15950"/>
    <w:rsid w:val="00B15974"/>
    <w:rsid w:val="00B15979"/>
    <w:rsid w:val="00B15981"/>
    <w:rsid w:val="00B159AB"/>
    <w:rsid w:val="00B15A33"/>
    <w:rsid w:val="00B15AB2"/>
    <w:rsid w:val="00B15AC9"/>
    <w:rsid w:val="00B15B59"/>
    <w:rsid w:val="00B15CB5"/>
    <w:rsid w:val="00B15CCB"/>
    <w:rsid w:val="00B15CD2"/>
    <w:rsid w:val="00B15D3C"/>
    <w:rsid w:val="00B15E02"/>
    <w:rsid w:val="00B15E5C"/>
    <w:rsid w:val="00B15EB3"/>
    <w:rsid w:val="00B16024"/>
    <w:rsid w:val="00B16135"/>
    <w:rsid w:val="00B16176"/>
    <w:rsid w:val="00B161C7"/>
    <w:rsid w:val="00B162B1"/>
    <w:rsid w:val="00B162E8"/>
    <w:rsid w:val="00B163EF"/>
    <w:rsid w:val="00B163F0"/>
    <w:rsid w:val="00B16422"/>
    <w:rsid w:val="00B164A2"/>
    <w:rsid w:val="00B16509"/>
    <w:rsid w:val="00B16543"/>
    <w:rsid w:val="00B165A7"/>
    <w:rsid w:val="00B165E2"/>
    <w:rsid w:val="00B16610"/>
    <w:rsid w:val="00B16693"/>
    <w:rsid w:val="00B166C3"/>
    <w:rsid w:val="00B167A5"/>
    <w:rsid w:val="00B167DA"/>
    <w:rsid w:val="00B1682B"/>
    <w:rsid w:val="00B16885"/>
    <w:rsid w:val="00B168C2"/>
    <w:rsid w:val="00B16991"/>
    <w:rsid w:val="00B169EE"/>
    <w:rsid w:val="00B16D24"/>
    <w:rsid w:val="00B16F42"/>
    <w:rsid w:val="00B16FB2"/>
    <w:rsid w:val="00B17076"/>
    <w:rsid w:val="00B1711F"/>
    <w:rsid w:val="00B17409"/>
    <w:rsid w:val="00B17641"/>
    <w:rsid w:val="00B176BE"/>
    <w:rsid w:val="00B17789"/>
    <w:rsid w:val="00B178C3"/>
    <w:rsid w:val="00B178FD"/>
    <w:rsid w:val="00B179B7"/>
    <w:rsid w:val="00B179F4"/>
    <w:rsid w:val="00B17B25"/>
    <w:rsid w:val="00B17BB4"/>
    <w:rsid w:val="00B17C6B"/>
    <w:rsid w:val="00B17D13"/>
    <w:rsid w:val="00B17D1F"/>
    <w:rsid w:val="00B17D2A"/>
    <w:rsid w:val="00B17DF8"/>
    <w:rsid w:val="00B17E01"/>
    <w:rsid w:val="00B17E2B"/>
    <w:rsid w:val="00B17F0C"/>
    <w:rsid w:val="00B20009"/>
    <w:rsid w:val="00B20158"/>
    <w:rsid w:val="00B20240"/>
    <w:rsid w:val="00B20298"/>
    <w:rsid w:val="00B2031E"/>
    <w:rsid w:val="00B20429"/>
    <w:rsid w:val="00B20501"/>
    <w:rsid w:val="00B2063C"/>
    <w:rsid w:val="00B20643"/>
    <w:rsid w:val="00B207BD"/>
    <w:rsid w:val="00B207CC"/>
    <w:rsid w:val="00B2090A"/>
    <w:rsid w:val="00B20998"/>
    <w:rsid w:val="00B20C22"/>
    <w:rsid w:val="00B20CE8"/>
    <w:rsid w:val="00B20D47"/>
    <w:rsid w:val="00B20DD8"/>
    <w:rsid w:val="00B20F50"/>
    <w:rsid w:val="00B20FBC"/>
    <w:rsid w:val="00B20FE3"/>
    <w:rsid w:val="00B210B5"/>
    <w:rsid w:val="00B21122"/>
    <w:rsid w:val="00B21133"/>
    <w:rsid w:val="00B2114D"/>
    <w:rsid w:val="00B21373"/>
    <w:rsid w:val="00B2142D"/>
    <w:rsid w:val="00B214B1"/>
    <w:rsid w:val="00B21581"/>
    <w:rsid w:val="00B2174A"/>
    <w:rsid w:val="00B2186F"/>
    <w:rsid w:val="00B21887"/>
    <w:rsid w:val="00B21A52"/>
    <w:rsid w:val="00B21B9F"/>
    <w:rsid w:val="00B21BA3"/>
    <w:rsid w:val="00B21C34"/>
    <w:rsid w:val="00B21D4B"/>
    <w:rsid w:val="00B21E03"/>
    <w:rsid w:val="00B21EBB"/>
    <w:rsid w:val="00B22035"/>
    <w:rsid w:val="00B22281"/>
    <w:rsid w:val="00B22468"/>
    <w:rsid w:val="00B22638"/>
    <w:rsid w:val="00B22675"/>
    <w:rsid w:val="00B228E8"/>
    <w:rsid w:val="00B2295F"/>
    <w:rsid w:val="00B229B0"/>
    <w:rsid w:val="00B229BA"/>
    <w:rsid w:val="00B22AB4"/>
    <w:rsid w:val="00B22B0E"/>
    <w:rsid w:val="00B22B1D"/>
    <w:rsid w:val="00B22BC4"/>
    <w:rsid w:val="00B22BF6"/>
    <w:rsid w:val="00B22D3A"/>
    <w:rsid w:val="00B22E7A"/>
    <w:rsid w:val="00B22F59"/>
    <w:rsid w:val="00B22FAC"/>
    <w:rsid w:val="00B23092"/>
    <w:rsid w:val="00B2312D"/>
    <w:rsid w:val="00B2316B"/>
    <w:rsid w:val="00B231CC"/>
    <w:rsid w:val="00B23401"/>
    <w:rsid w:val="00B23675"/>
    <w:rsid w:val="00B236AF"/>
    <w:rsid w:val="00B2382B"/>
    <w:rsid w:val="00B23985"/>
    <w:rsid w:val="00B23BD2"/>
    <w:rsid w:val="00B23DB7"/>
    <w:rsid w:val="00B23E23"/>
    <w:rsid w:val="00B23FEE"/>
    <w:rsid w:val="00B240A1"/>
    <w:rsid w:val="00B24102"/>
    <w:rsid w:val="00B24149"/>
    <w:rsid w:val="00B2414D"/>
    <w:rsid w:val="00B241C9"/>
    <w:rsid w:val="00B24257"/>
    <w:rsid w:val="00B242F0"/>
    <w:rsid w:val="00B24491"/>
    <w:rsid w:val="00B244B1"/>
    <w:rsid w:val="00B24530"/>
    <w:rsid w:val="00B245A5"/>
    <w:rsid w:val="00B24711"/>
    <w:rsid w:val="00B24752"/>
    <w:rsid w:val="00B247AA"/>
    <w:rsid w:val="00B24858"/>
    <w:rsid w:val="00B248A0"/>
    <w:rsid w:val="00B2494D"/>
    <w:rsid w:val="00B24992"/>
    <w:rsid w:val="00B249CE"/>
    <w:rsid w:val="00B24A0C"/>
    <w:rsid w:val="00B24A57"/>
    <w:rsid w:val="00B24DC6"/>
    <w:rsid w:val="00B24F80"/>
    <w:rsid w:val="00B2507D"/>
    <w:rsid w:val="00B25239"/>
    <w:rsid w:val="00B25324"/>
    <w:rsid w:val="00B253AF"/>
    <w:rsid w:val="00B25408"/>
    <w:rsid w:val="00B254AC"/>
    <w:rsid w:val="00B25600"/>
    <w:rsid w:val="00B256EE"/>
    <w:rsid w:val="00B257EE"/>
    <w:rsid w:val="00B257F2"/>
    <w:rsid w:val="00B25807"/>
    <w:rsid w:val="00B25846"/>
    <w:rsid w:val="00B25884"/>
    <w:rsid w:val="00B25AAA"/>
    <w:rsid w:val="00B25B62"/>
    <w:rsid w:val="00B25B9D"/>
    <w:rsid w:val="00B25CB4"/>
    <w:rsid w:val="00B25D7F"/>
    <w:rsid w:val="00B25E11"/>
    <w:rsid w:val="00B25E66"/>
    <w:rsid w:val="00B25E88"/>
    <w:rsid w:val="00B25F79"/>
    <w:rsid w:val="00B25F8F"/>
    <w:rsid w:val="00B26028"/>
    <w:rsid w:val="00B26106"/>
    <w:rsid w:val="00B2611F"/>
    <w:rsid w:val="00B261D8"/>
    <w:rsid w:val="00B26255"/>
    <w:rsid w:val="00B262A3"/>
    <w:rsid w:val="00B262A8"/>
    <w:rsid w:val="00B2630F"/>
    <w:rsid w:val="00B26334"/>
    <w:rsid w:val="00B263F0"/>
    <w:rsid w:val="00B2645E"/>
    <w:rsid w:val="00B26464"/>
    <w:rsid w:val="00B2651E"/>
    <w:rsid w:val="00B2654F"/>
    <w:rsid w:val="00B2656D"/>
    <w:rsid w:val="00B265E5"/>
    <w:rsid w:val="00B265EF"/>
    <w:rsid w:val="00B2664B"/>
    <w:rsid w:val="00B2669C"/>
    <w:rsid w:val="00B266FB"/>
    <w:rsid w:val="00B2674D"/>
    <w:rsid w:val="00B267DB"/>
    <w:rsid w:val="00B26884"/>
    <w:rsid w:val="00B2695C"/>
    <w:rsid w:val="00B26A63"/>
    <w:rsid w:val="00B26BFA"/>
    <w:rsid w:val="00B26C15"/>
    <w:rsid w:val="00B26C8D"/>
    <w:rsid w:val="00B26DE1"/>
    <w:rsid w:val="00B27123"/>
    <w:rsid w:val="00B27415"/>
    <w:rsid w:val="00B2767C"/>
    <w:rsid w:val="00B27692"/>
    <w:rsid w:val="00B276E2"/>
    <w:rsid w:val="00B27780"/>
    <w:rsid w:val="00B27AB5"/>
    <w:rsid w:val="00B27B0E"/>
    <w:rsid w:val="00B27B10"/>
    <w:rsid w:val="00B27B7F"/>
    <w:rsid w:val="00B27CB2"/>
    <w:rsid w:val="00B27DCA"/>
    <w:rsid w:val="00B27DEF"/>
    <w:rsid w:val="00B27FC4"/>
    <w:rsid w:val="00B3005E"/>
    <w:rsid w:val="00B300F2"/>
    <w:rsid w:val="00B30167"/>
    <w:rsid w:val="00B30275"/>
    <w:rsid w:val="00B3027B"/>
    <w:rsid w:val="00B302CC"/>
    <w:rsid w:val="00B302F8"/>
    <w:rsid w:val="00B30300"/>
    <w:rsid w:val="00B30366"/>
    <w:rsid w:val="00B303DC"/>
    <w:rsid w:val="00B303DD"/>
    <w:rsid w:val="00B30426"/>
    <w:rsid w:val="00B30434"/>
    <w:rsid w:val="00B304FA"/>
    <w:rsid w:val="00B305D3"/>
    <w:rsid w:val="00B30751"/>
    <w:rsid w:val="00B307A0"/>
    <w:rsid w:val="00B307FF"/>
    <w:rsid w:val="00B308AC"/>
    <w:rsid w:val="00B309E9"/>
    <w:rsid w:val="00B309F5"/>
    <w:rsid w:val="00B30AB2"/>
    <w:rsid w:val="00B30AF0"/>
    <w:rsid w:val="00B30BAE"/>
    <w:rsid w:val="00B30C01"/>
    <w:rsid w:val="00B30C4F"/>
    <w:rsid w:val="00B30C8F"/>
    <w:rsid w:val="00B30DB8"/>
    <w:rsid w:val="00B30DE8"/>
    <w:rsid w:val="00B30F71"/>
    <w:rsid w:val="00B3100A"/>
    <w:rsid w:val="00B31021"/>
    <w:rsid w:val="00B31227"/>
    <w:rsid w:val="00B314F0"/>
    <w:rsid w:val="00B31594"/>
    <w:rsid w:val="00B315E6"/>
    <w:rsid w:val="00B316CE"/>
    <w:rsid w:val="00B3177E"/>
    <w:rsid w:val="00B317AD"/>
    <w:rsid w:val="00B31828"/>
    <w:rsid w:val="00B3188A"/>
    <w:rsid w:val="00B318A5"/>
    <w:rsid w:val="00B318E6"/>
    <w:rsid w:val="00B3195A"/>
    <w:rsid w:val="00B31ACF"/>
    <w:rsid w:val="00B31BBC"/>
    <w:rsid w:val="00B31BC5"/>
    <w:rsid w:val="00B31BCA"/>
    <w:rsid w:val="00B31BE1"/>
    <w:rsid w:val="00B31C3B"/>
    <w:rsid w:val="00B31CBE"/>
    <w:rsid w:val="00B31E0A"/>
    <w:rsid w:val="00B31E5A"/>
    <w:rsid w:val="00B31F25"/>
    <w:rsid w:val="00B31FB4"/>
    <w:rsid w:val="00B32000"/>
    <w:rsid w:val="00B3203D"/>
    <w:rsid w:val="00B32042"/>
    <w:rsid w:val="00B320A3"/>
    <w:rsid w:val="00B32212"/>
    <w:rsid w:val="00B32237"/>
    <w:rsid w:val="00B322C1"/>
    <w:rsid w:val="00B324D7"/>
    <w:rsid w:val="00B324DA"/>
    <w:rsid w:val="00B327EE"/>
    <w:rsid w:val="00B328A6"/>
    <w:rsid w:val="00B328B1"/>
    <w:rsid w:val="00B3296D"/>
    <w:rsid w:val="00B3298B"/>
    <w:rsid w:val="00B32A21"/>
    <w:rsid w:val="00B32B7E"/>
    <w:rsid w:val="00B32BDA"/>
    <w:rsid w:val="00B32BE4"/>
    <w:rsid w:val="00B32C61"/>
    <w:rsid w:val="00B32CE1"/>
    <w:rsid w:val="00B32D99"/>
    <w:rsid w:val="00B32F14"/>
    <w:rsid w:val="00B32F58"/>
    <w:rsid w:val="00B32FCA"/>
    <w:rsid w:val="00B3304B"/>
    <w:rsid w:val="00B330AC"/>
    <w:rsid w:val="00B3347A"/>
    <w:rsid w:val="00B3350F"/>
    <w:rsid w:val="00B33531"/>
    <w:rsid w:val="00B3359B"/>
    <w:rsid w:val="00B3359F"/>
    <w:rsid w:val="00B33655"/>
    <w:rsid w:val="00B336B6"/>
    <w:rsid w:val="00B33701"/>
    <w:rsid w:val="00B33770"/>
    <w:rsid w:val="00B337BF"/>
    <w:rsid w:val="00B337C8"/>
    <w:rsid w:val="00B33801"/>
    <w:rsid w:val="00B33881"/>
    <w:rsid w:val="00B3398B"/>
    <w:rsid w:val="00B33BE7"/>
    <w:rsid w:val="00B33D29"/>
    <w:rsid w:val="00B33D2C"/>
    <w:rsid w:val="00B33EE7"/>
    <w:rsid w:val="00B33F8B"/>
    <w:rsid w:val="00B34049"/>
    <w:rsid w:val="00B340D7"/>
    <w:rsid w:val="00B34138"/>
    <w:rsid w:val="00B34198"/>
    <w:rsid w:val="00B3419E"/>
    <w:rsid w:val="00B343D3"/>
    <w:rsid w:val="00B3445B"/>
    <w:rsid w:val="00B34495"/>
    <w:rsid w:val="00B3456D"/>
    <w:rsid w:val="00B3458B"/>
    <w:rsid w:val="00B34661"/>
    <w:rsid w:val="00B346E9"/>
    <w:rsid w:val="00B34809"/>
    <w:rsid w:val="00B3486E"/>
    <w:rsid w:val="00B34ABA"/>
    <w:rsid w:val="00B34C01"/>
    <w:rsid w:val="00B34CDC"/>
    <w:rsid w:val="00B34D88"/>
    <w:rsid w:val="00B34E5E"/>
    <w:rsid w:val="00B35053"/>
    <w:rsid w:val="00B35260"/>
    <w:rsid w:val="00B352D1"/>
    <w:rsid w:val="00B35330"/>
    <w:rsid w:val="00B35343"/>
    <w:rsid w:val="00B35374"/>
    <w:rsid w:val="00B353D8"/>
    <w:rsid w:val="00B353EF"/>
    <w:rsid w:val="00B35436"/>
    <w:rsid w:val="00B3544F"/>
    <w:rsid w:val="00B354DD"/>
    <w:rsid w:val="00B3561E"/>
    <w:rsid w:val="00B356CE"/>
    <w:rsid w:val="00B3579A"/>
    <w:rsid w:val="00B357B4"/>
    <w:rsid w:val="00B358A8"/>
    <w:rsid w:val="00B359B0"/>
    <w:rsid w:val="00B359CD"/>
    <w:rsid w:val="00B35B9E"/>
    <w:rsid w:val="00B35C2B"/>
    <w:rsid w:val="00B35CF7"/>
    <w:rsid w:val="00B35D70"/>
    <w:rsid w:val="00B35DD8"/>
    <w:rsid w:val="00B35E28"/>
    <w:rsid w:val="00B3604D"/>
    <w:rsid w:val="00B36052"/>
    <w:rsid w:val="00B36183"/>
    <w:rsid w:val="00B361A8"/>
    <w:rsid w:val="00B36306"/>
    <w:rsid w:val="00B36373"/>
    <w:rsid w:val="00B36378"/>
    <w:rsid w:val="00B36466"/>
    <w:rsid w:val="00B36524"/>
    <w:rsid w:val="00B3657F"/>
    <w:rsid w:val="00B3665E"/>
    <w:rsid w:val="00B3668B"/>
    <w:rsid w:val="00B366C5"/>
    <w:rsid w:val="00B36754"/>
    <w:rsid w:val="00B367BD"/>
    <w:rsid w:val="00B367E1"/>
    <w:rsid w:val="00B36870"/>
    <w:rsid w:val="00B3697D"/>
    <w:rsid w:val="00B36A7B"/>
    <w:rsid w:val="00B36ADE"/>
    <w:rsid w:val="00B36C3C"/>
    <w:rsid w:val="00B36CC7"/>
    <w:rsid w:val="00B36CD3"/>
    <w:rsid w:val="00B36EF6"/>
    <w:rsid w:val="00B36F40"/>
    <w:rsid w:val="00B36F5A"/>
    <w:rsid w:val="00B3707B"/>
    <w:rsid w:val="00B370A0"/>
    <w:rsid w:val="00B37128"/>
    <w:rsid w:val="00B37176"/>
    <w:rsid w:val="00B372C0"/>
    <w:rsid w:val="00B372D4"/>
    <w:rsid w:val="00B373D9"/>
    <w:rsid w:val="00B37503"/>
    <w:rsid w:val="00B37587"/>
    <w:rsid w:val="00B3771F"/>
    <w:rsid w:val="00B377EA"/>
    <w:rsid w:val="00B3789F"/>
    <w:rsid w:val="00B378B5"/>
    <w:rsid w:val="00B378EC"/>
    <w:rsid w:val="00B37926"/>
    <w:rsid w:val="00B37A8B"/>
    <w:rsid w:val="00B37AFE"/>
    <w:rsid w:val="00B37D05"/>
    <w:rsid w:val="00B37D3D"/>
    <w:rsid w:val="00B37F26"/>
    <w:rsid w:val="00B40116"/>
    <w:rsid w:val="00B40354"/>
    <w:rsid w:val="00B4045E"/>
    <w:rsid w:val="00B4062E"/>
    <w:rsid w:val="00B40707"/>
    <w:rsid w:val="00B407FD"/>
    <w:rsid w:val="00B40850"/>
    <w:rsid w:val="00B408C5"/>
    <w:rsid w:val="00B408CA"/>
    <w:rsid w:val="00B408D2"/>
    <w:rsid w:val="00B40AC9"/>
    <w:rsid w:val="00B40B52"/>
    <w:rsid w:val="00B40C1B"/>
    <w:rsid w:val="00B40C69"/>
    <w:rsid w:val="00B40CB2"/>
    <w:rsid w:val="00B40D28"/>
    <w:rsid w:val="00B40D70"/>
    <w:rsid w:val="00B40D72"/>
    <w:rsid w:val="00B40D87"/>
    <w:rsid w:val="00B40E3D"/>
    <w:rsid w:val="00B40E77"/>
    <w:rsid w:val="00B40F1E"/>
    <w:rsid w:val="00B4101B"/>
    <w:rsid w:val="00B411D6"/>
    <w:rsid w:val="00B41273"/>
    <w:rsid w:val="00B41372"/>
    <w:rsid w:val="00B41431"/>
    <w:rsid w:val="00B41489"/>
    <w:rsid w:val="00B414A3"/>
    <w:rsid w:val="00B41511"/>
    <w:rsid w:val="00B41562"/>
    <w:rsid w:val="00B41665"/>
    <w:rsid w:val="00B416C2"/>
    <w:rsid w:val="00B41780"/>
    <w:rsid w:val="00B4179D"/>
    <w:rsid w:val="00B4184B"/>
    <w:rsid w:val="00B418E9"/>
    <w:rsid w:val="00B41926"/>
    <w:rsid w:val="00B41A84"/>
    <w:rsid w:val="00B41BA5"/>
    <w:rsid w:val="00B41BB8"/>
    <w:rsid w:val="00B41BEE"/>
    <w:rsid w:val="00B41CF0"/>
    <w:rsid w:val="00B41D0E"/>
    <w:rsid w:val="00B41D6D"/>
    <w:rsid w:val="00B41DC7"/>
    <w:rsid w:val="00B41E6D"/>
    <w:rsid w:val="00B41F87"/>
    <w:rsid w:val="00B41FBE"/>
    <w:rsid w:val="00B42069"/>
    <w:rsid w:val="00B4206C"/>
    <w:rsid w:val="00B42283"/>
    <w:rsid w:val="00B4229B"/>
    <w:rsid w:val="00B422B1"/>
    <w:rsid w:val="00B42359"/>
    <w:rsid w:val="00B424AA"/>
    <w:rsid w:val="00B42576"/>
    <w:rsid w:val="00B425BD"/>
    <w:rsid w:val="00B42689"/>
    <w:rsid w:val="00B4273C"/>
    <w:rsid w:val="00B42915"/>
    <w:rsid w:val="00B42B4A"/>
    <w:rsid w:val="00B42B8A"/>
    <w:rsid w:val="00B42CDA"/>
    <w:rsid w:val="00B42CDF"/>
    <w:rsid w:val="00B42D7C"/>
    <w:rsid w:val="00B42DEB"/>
    <w:rsid w:val="00B42EF0"/>
    <w:rsid w:val="00B42F53"/>
    <w:rsid w:val="00B42F87"/>
    <w:rsid w:val="00B43011"/>
    <w:rsid w:val="00B43023"/>
    <w:rsid w:val="00B43045"/>
    <w:rsid w:val="00B4307D"/>
    <w:rsid w:val="00B430AF"/>
    <w:rsid w:val="00B4358D"/>
    <w:rsid w:val="00B4362B"/>
    <w:rsid w:val="00B43633"/>
    <w:rsid w:val="00B436D4"/>
    <w:rsid w:val="00B43709"/>
    <w:rsid w:val="00B43794"/>
    <w:rsid w:val="00B437A4"/>
    <w:rsid w:val="00B43883"/>
    <w:rsid w:val="00B438CE"/>
    <w:rsid w:val="00B43970"/>
    <w:rsid w:val="00B4397F"/>
    <w:rsid w:val="00B439B3"/>
    <w:rsid w:val="00B439E2"/>
    <w:rsid w:val="00B43A47"/>
    <w:rsid w:val="00B43A88"/>
    <w:rsid w:val="00B43BB6"/>
    <w:rsid w:val="00B43BF7"/>
    <w:rsid w:val="00B43C34"/>
    <w:rsid w:val="00B43D1D"/>
    <w:rsid w:val="00B440AD"/>
    <w:rsid w:val="00B44100"/>
    <w:rsid w:val="00B441E5"/>
    <w:rsid w:val="00B44243"/>
    <w:rsid w:val="00B442A2"/>
    <w:rsid w:val="00B44396"/>
    <w:rsid w:val="00B4457B"/>
    <w:rsid w:val="00B4460A"/>
    <w:rsid w:val="00B44619"/>
    <w:rsid w:val="00B4464D"/>
    <w:rsid w:val="00B446D1"/>
    <w:rsid w:val="00B447CC"/>
    <w:rsid w:val="00B4483E"/>
    <w:rsid w:val="00B448D0"/>
    <w:rsid w:val="00B44B20"/>
    <w:rsid w:val="00B44B86"/>
    <w:rsid w:val="00B44C40"/>
    <w:rsid w:val="00B44CBA"/>
    <w:rsid w:val="00B44E09"/>
    <w:rsid w:val="00B44F31"/>
    <w:rsid w:val="00B44FB9"/>
    <w:rsid w:val="00B44FDA"/>
    <w:rsid w:val="00B4502F"/>
    <w:rsid w:val="00B4503C"/>
    <w:rsid w:val="00B45042"/>
    <w:rsid w:val="00B450CF"/>
    <w:rsid w:val="00B45303"/>
    <w:rsid w:val="00B453B8"/>
    <w:rsid w:val="00B45478"/>
    <w:rsid w:val="00B45539"/>
    <w:rsid w:val="00B455CD"/>
    <w:rsid w:val="00B455F7"/>
    <w:rsid w:val="00B45607"/>
    <w:rsid w:val="00B45619"/>
    <w:rsid w:val="00B45701"/>
    <w:rsid w:val="00B45750"/>
    <w:rsid w:val="00B457CF"/>
    <w:rsid w:val="00B45822"/>
    <w:rsid w:val="00B459C6"/>
    <w:rsid w:val="00B45A62"/>
    <w:rsid w:val="00B45A70"/>
    <w:rsid w:val="00B45A92"/>
    <w:rsid w:val="00B45C51"/>
    <w:rsid w:val="00B45D01"/>
    <w:rsid w:val="00B45ED0"/>
    <w:rsid w:val="00B45F01"/>
    <w:rsid w:val="00B46152"/>
    <w:rsid w:val="00B46167"/>
    <w:rsid w:val="00B461BA"/>
    <w:rsid w:val="00B461E6"/>
    <w:rsid w:val="00B4621F"/>
    <w:rsid w:val="00B46256"/>
    <w:rsid w:val="00B46297"/>
    <w:rsid w:val="00B462A4"/>
    <w:rsid w:val="00B46495"/>
    <w:rsid w:val="00B466F3"/>
    <w:rsid w:val="00B467FA"/>
    <w:rsid w:val="00B46946"/>
    <w:rsid w:val="00B46B61"/>
    <w:rsid w:val="00B46BF6"/>
    <w:rsid w:val="00B46C15"/>
    <w:rsid w:val="00B46C99"/>
    <w:rsid w:val="00B46CBB"/>
    <w:rsid w:val="00B46CFE"/>
    <w:rsid w:val="00B46F4A"/>
    <w:rsid w:val="00B46F56"/>
    <w:rsid w:val="00B46F7F"/>
    <w:rsid w:val="00B46FC8"/>
    <w:rsid w:val="00B47154"/>
    <w:rsid w:val="00B472C1"/>
    <w:rsid w:val="00B472F7"/>
    <w:rsid w:val="00B47492"/>
    <w:rsid w:val="00B47499"/>
    <w:rsid w:val="00B474EE"/>
    <w:rsid w:val="00B4756F"/>
    <w:rsid w:val="00B476E1"/>
    <w:rsid w:val="00B477E2"/>
    <w:rsid w:val="00B4780B"/>
    <w:rsid w:val="00B47AC2"/>
    <w:rsid w:val="00B47BD7"/>
    <w:rsid w:val="00B47CD8"/>
    <w:rsid w:val="00B47D79"/>
    <w:rsid w:val="00B47ECF"/>
    <w:rsid w:val="00B47F3A"/>
    <w:rsid w:val="00B47FD6"/>
    <w:rsid w:val="00B47FEC"/>
    <w:rsid w:val="00B501F9"/>
    <w:rsid w:val="00B50316"/>
    <w:rsid w:val="00B50332"/>
    <w:rsid w:val="00B503F3"/>
    <w:rsid w:val="00B50647"/>
    <w:rsid w:val="00B5068E"/>
    <w:rsid w:val="00B50713"/>
    <w:rsid w:val="00B50733"/>
    <w:rsid w:val="00B50750"/>
    <w:rsid w:val="00B507DD"/>
    <w:rsid w:val="00B509EE"/>
    <w:rsid w:val="00B50A1C"/>
    <w:rsid w:val="00B50A8E"/>
    <w:rsid w:val="00B50ACB"/>
    <w:rsid w:val="00B50B49"/>
    <w:rsid w:val="00B50CE2"/>
    <w:rsid w:val="00B50CF2"/>
    <w:rsid w:val="00B50D1C"/>
    <w:rsid w:val="00B50D2B"/>
    <w:rsid w:val="00B50E0C"/>
    <w:rsid w:val="00B50ED1"/>
    <w:rsid w:val="00B50F1E"/>
    <w:rsid w:val="00B50F35"/>
    <w:rsid w:val="00B50FC1"/>
    <w:rsid w:val="00B51292"/>
    <w:rsid w:val="00B51299"/>
    <w:rsid w:val="00B512AD"/>
    <w:rsid w:val="00B5136E"/>
    <w:rsid w:val="00B5168C"/>
    <w:rsid w:val="00B5170E"/>
    <w:rsid w:val="00B51799"/>
    <w:rsid w:val="00B517B8"/>
    <w:rsid w:val="00B5191C"/>
    <w:rsid w:val="00B519BF"/>
    <w:rsid w:val="00B51A20"/>
    <w:rsid w:val="00B51B49"/>
    <w:rsid w:val="00B51C3A"/>
    <w:rsid w:val="00B51C61"/>
    <w:rsid w:val="00B51CD6"/>
    <w:rsid w:val="00B51CFF"/>
    <w:rsid w:val="00B51D1A"/>
    <w:rsid w:val="00B51DA7"/>
    <w:rsid w:val="00B51DE7"/>
    <w:rsid w:val="00B51DF8"/>
    <w:rsid w:val="00B51E2D"/>
    <w:rsid w:val="00B51E8E"/>
    <w:rsid w:val="00B51FA3"/>
    <w:rsid w:val="00B52016"/>
    <w:rsid w:val="00B520D7"/>
    <w:rsid w:val="00B52210"/>
    <w:rsid w:val="00B522AE"/>
    <w:rsid w:val="00B5234A"/>
    <w:rsid w:val="00B52359"/>
    <w:rsid w:val="00B523B2"/>
    <w:rsid w:val="00B52517"/>
    <w:rsid w:val="00B52525"/>
    <w:rsid w:val="00B5265B"/>
    <w:rsid w:val="00B5265F"/>
    <w:rsid w:val="00B52690"/>
    <w:rsid w:val="00B526E2"/>
    <w:rsid w:val="00B526EB"/>
    <w:rsid w:val="00B5277F"/>
    <w:rsid w:val="00B527A9"/>
    <w:rsid w:val="00B527D3"/>
    <w:rsid w:val="00B52845"/>
    <w:rsid w:val="00B52919"/>
    <w:rsid w:val="00B52A71"/>
    <w:rsid w:val="00B52B58"/>
    <w:rsid w:val="00B52BA2"/>
    <w:rsid w:val="00B52BEE"/>
    <w:rsid w:val="00B52DFB"/>
    <w:rsid w:val="00B52EA4"/>
    <w:rsid w:val="00B52F04"/>
    <w:rsid w:val="00B531B4"/>
    <w:rsid w:val="00B53255"/>
    <w:rsid w:val="00B53261"/>
    <w:rsid w:val="00B532F0"/>
    <w:rsid w:val="00B533D2"/>
    <w:rsid w:val="00B5345C"/>
    <w:rsid w:val="00B53468"/>
    <w:rsid w:val="00B53481"/>
    <w:rsid w:val="00B534D8"/>
    <w:rsid w:val="00B535CB"/>
    <w:rsid w:val="00B5365C"/>
    <w:rsid w:val="00B53663"/>
    <w:rsid w:val="00B536AF"/>
    <w:rsid w:val="00B536E3"/>
    <w:rsid w:val="00B5379C"/>
    <w:rsid w:val="00B53893"/>
    <w:rsid w:val="00B538A8"/>
    <w:rsid w:val="00B538F0"/>
    <w:rsid w:val="00B539EB"/>
    <w:rsid w:val="00B53AED"/>
    <w:rsid w:val="00B53B34"/>
    <w:rsid w:val="00B53C93"/>
    <w:rsid w:val="00B53FBE"/>
    <w:rsid w:val="00B54039"/>
    <w:rsid w:val="00B540FB"/>
    <w:rsid w:val="00B54211"/>
    <w:rsid w:val="00B54249"/>
    <w:rsid w:val="00B54309"/>
    <w:rsid w:val="00B5435E"/>
    <w:rsid w:val="00B5450D"/>
    <w:rsid w:val="00B5455F"/>
    <w:rsid w:val="00B54592"/>
    <w:rsid w:val="00B545A0"/>
    <w:rsid w:val="00B545EF"/>
    <w:rsid w:val="00B54652"/>
    <w:rsid w:val="00B5471D"/>
    <w:rsid w:val="00B5472A"/>
    <w:rsid w:val="00B54730"/>
    <w:rsid w:val="00B54758"/>
    <w:rsid w:val="00B547CC"/>
    <w:rsid w:val="00B54825"/>
    <w:rsid w:val="00B548ED"/>
    <w:rsid w:val="00B5495E"/>
    <w:rsid w:val="00B5495F"/>
    <w:rsid w:val="00B54C71"/>
    <w:rsid w:val="00B54CFB"/>
    <w:rsid w:val="00B54D2A"/>
    <w:rsid w:val="00B54E5A"/>
    <w:rsid w:val="00B54E6D"/>
    <w:rsid w:val="00B54F61"/>
    <w:rsid w:val="00B551CB"/>
    <w:rsid w:val="00B551E6"/>
    <w:rsid w:val="00B5520C"/>
    <w:rsid w:val="00B55244"/>
    <w:rsid w:val="00B55290"/>
    <w:rsid w:val="00B5539F"/>
    <w:rsid w:val="00B55421"/>
    <w:rsid w:val="00B5543C"/>
    <w:rsid w:val="00B55495"/>
    <w:rsid w:val="00B55735"/>
    <w:rsid w:val="00B55760"/>
    <w:rsid w:val="00B55938"/>
    <w:rsid w:val="00B55AE1"/>
    <w:rsid w:val="00B55BB0"/>
    <w:rsid w:val="00B55D6B"/>
    <w:rsid w:val="00B55EB7"/>
    <w:rsid w:val="00B55F6E"/>
    <w:rsid w:val="00B55F8F"/>
    <w:rsid w:val="00B55FB7"/>
    <w:rsid w:val="00B56019"/>
    <w:rsid w:val="00B5601B"/>
    <w:rsid w:val="00B56026"/>
    <w:rsid w:val="00B561CC"/>
    <w:rsid w:val="00B562CA"/>
    <w:rsid w:val="00B5635F"/>
    <w:rsid w:val="00B56413"/>
    <w:rsid w:val="00B564CC"/>
    <w:rsid w:val="00B564D0"/>
    <w:rsid w:val="00B56587"/>
    <w:rsid w:val="00B5661C"/>
    <w:rsid w:val="00B567E6"/>
    <w:rsid w:val="00B5698E"/>
    <w:rsid w:val="00B569B8"/>
    <w:rsid w:val="00B56A4A"/>
    <w:rsid w:val="00B56A74"/>
    <w:rsid w:val="00B56B07"/>
    <w:rsid w:val="00B56B9C"/>
    <w:rsid w:val="00B56CAC"/>
    <w:rsid w:val="00B56E34"/>
    <w:rsid w:val="00B56FDF"/>
    <w:rsid w:val="00B57023"/>
    <w:rsid w:val="00B570B0"/>
    <w:rsid w:val="00B572F4"/>
    <w:rsid w:val="00B573AE"/>
    <w:rsid w:val="00B573E7"/>
    <w:rsid w:val="00B57595"/>
    <w:rsid w:val="00B576A6"/>
    <w:rsid w:val="00B576DC"/>
    <w:rsid w:val="00B577C3"/>
    <w:rsid w:val="00B5782C"/>
    <w:rsid w:val="00B5784C"/>
    <w:rsid w:val="00B5797F"/>
    <w:rsid w:val="00B57B99"/>
    <w:rsid w:val="00B57BA3"/>
    <w:rsid w:val="00B57CC1"/>
    <w:rsid w:val="00B57FA7"/>
    <w:rsid w:val="00B6004D"/>
    <w:rsid w:val="00B6006A"/>
    <w:rsid w:val="00B601BF"/>
    <w:rsid w:val="00B6020E"/>
    <w:rsid w:val="00B6034B"/>
    <w:rsid w:val="00B60840"/>
    <w:rsid w:val="00B608EE"/>
    <w:rsid w:val="00B60AAC"/>
    <w:rsid w:val="00B60B0E"/>
    <w:rsid w:val="00B60B55"/>
    <w:rsid w:val="00B60B8F"/>
    <w:rsid w:val="00B60BE9"/>
    <w:rsid w:val="00B60C0F"/>
    <w:rsid w:val="00B60D9A"/>
    <w:rsid w:val="00B60DFB"/>
    <w:rsid w:val="00B61165"/>
    <w:rsid w:val="00B611D8"/>
    <w:rsid w:val="00B6137E"/>
    <w:rsid w:val="00B614A4"/>
    <w:rsid w:val="00B61587"/>
    <w:rsid w:val="00B61677"/>
    <w:rsid w:val="00B61824"/>
    <w:rsid w:val="00B6188E"/>
    <w:rsid w:val="00B6189B"/>
    <w:rsid w:val="00B618D2"/>
    <w:rsid w:val="00B61915"/>
    <w:rsid w:val="00B61A1C"/>
    <w:rsid w:val="00B61B03"/>
    <w:rsid w:val="00B61BBF"/>
    <w:rsid w:val="00B61C31"/>
    <w:rsid w:val="00B61CA3"/>
    <w:rsid w:val="00B61D57"/>
    <w:rsid w:val="00B61DEA"/>
    <w:rsid w:val="00B61E95"/>
    <w:rsid w:val="00B62192"/>
    <w:rsid w:val="00B6220A"/>
    <w:rsid w:val="00B62248"/>
    <w:rsid w:val="00B62271"/>
    <w:rsid w:val="00B622DB"/>
    <w:rsid w:val="00B626A5"/>
    <w:rsid w:val="00B62707"/>
    <w:rsid w:val="00B62740"/>
    <w:rsid w:val="00B627D6"/>
    <w:rsid w:val="00B62862"/>
    <w:rsid w:val="00B628DF"/>
    <w:rsid w:val="00B62A2E"/>
    <w:rsid w:val="00B62A5D"/>
    <w:rsid w:val="00B62A78"/>
    <w:rsid w:val="00B62C9D"/>
    <w:rsid w:val="00B62EFE"/>
    <w:rsid w:val="00B6312E"/>
    <w:rsid w:val="00B6331C"/>
    <w:rsid w:val="00B63325"/>
    <w:rsid w:val="00B63348"/>
    <w:rsid w:val="00B6339E"/>
    <w:rsid w:val="00B6356A"/>
    <w:rsid w:val="00B63584"/>
    <w:rsid w:val="00B6358C"/>
    <w:rsid w:val="00B63654"/>
    <w:rsid w:val="00B6366E"/>
    <w:rsid w:val="00B636E5"/>
    <w:rsid w:val="00B636F0"/>
    <w:rsid w:val="00B636F6"/>
    <w:rsid w:val="00B63737"/>
    <w:rsid w:val="00B63777"/>
    <w:rsid w:val="00B637B3"/>
    <w:rsid w:val="00B639CF"/>
    <w:rsid w:val="00B639D3"/>
    <w:rsid w:val="00B63A38"/>
    <w:rsid w:val="00B63C25"/>
    <w:rsid w:val="00B63C3F"/>
    <w:rsid w:val="00B63C75"/>
    <w:rsid w:val="00B63D96"/>
    <w:rsid w:val="00B63E0D"/>
    <w:rsid w:val="00B63F69"/>
    <w:rsid w:val="00B63F98"/>
    <w:rsid w:val="00B640B0"/>
    <w:rsid w:val="00B640E4"/>
    <w:rsid w:val="00B640F0"/>
    <w:rsid w:val="00B641F4"/>
    <w:rsid w:val="00B641FE"/>
    <w:rsid w:val="00B642F8"/>
    <w:rsid w:val="00B6439B"/>
    <w:rsid w:val="00B64408"/>
    <w:rsid w:val="00B645E0"/>
    <w:rsid w:val="00B64633"/>
    <w:rsid w:val="00B6474A"/>
    <w:rsid w:val="00B64861"/>
    <w:rsid w:val="00B648A7"/>
    <w:rsid w:val="00B648C8"/>
    <w:rsid w:val="00B64A89"/>
    <w:rsid w:val="00B64B9C"/>
    <w:rsid w:val="00B64BDA"/>
    <w:rsid w:val="00B64D94"/>
    <w:rsid w:val="00B64DE7"/>
    <w:rsid w:val="00B64EBE"/>
    <w:rsid w:val="00B65148"/>
    <w:rsid w:val="00B6529E"/>
    <w:rsid w:val="00B652D9"/>
    <w:rsid w:val="00B6533A"/>
    <w:rsid w:val="00B6534D"/>
    <w:rsid w:val="00B653C7"/>
    <w:rsid w:val="00B653DB"/>
    <w:rsid w:val="00B6544A"/>
    <w:rsid w:val="00B655F6"/>
    <w:rsid w:val="00B65664"/>
    <w:rsid w:val="00B656CE"/>
    <w:rsid w:val="00B658CE"/>
    <w:rsid w:val="00B65991"/>
    <w:rsid w:val="00B65B54"/>
    <w:rsid w:val="00B65BA9"/>
    <w:rsid w:val="00B65CCC"/>
    <w:rsid w:val="00B65D3D"/>
    <w:rsid w:val="00B65D46"/>
    <w:rsid w:val="00B65D58"/>
    <w:rsid w:val="00B65EE3"/>
    <w:rsid w:val="00B660B9"/>
    <w:rsid w:val="00B660D3"/>
    <w:rsid w:val="00B66102"/>
    <w:rsid w:val="00B66120"/>
    <w:rsid w:val="00B6615C"/>
    <w:rsid w:val="00B66179"/>
    <w:rsid w:val="00B66232"/>
    <w:rsid w:val="00B66240"/>
    <w:rsid w:val="00B663F2"/>
    <w:rsid w:val="00B66506"/>
    <w:rsid w:val="00B66512"/>
    <w:rsid w:val="00B665C2"/>
    <w:rsid w:val="00B6664D"/>
    <w:rsid w:val="00B667A2"/>
    <w:rsid w:val="00B667F1"/>
    <w:rsid w:val="00B667F7"/>
    <w:rsid w:val="00B6681B"/>
    <w:rsid w:val="00B668D7"/>
    <w:rsid w:val="00B66AA6"/>
    <w:rsid w:val="00B66AF3"/>
    <w:rsid w:val="00B66B9A"/>
    <w:rsid w:val="00B66DF4"/>
    <w:rsid w:val="00B66FA9"/>
    <w:rsid w:val="00B66FFC"/>
    <w:rsid w:val="00B6707F"/>
    <w:rsid w:val="00B6713E"/>
    <w:rsid w:val="00B673EB"/>
    <w:rsid w:val="00B673F4"/>
    <w:rsid w:val="00B67457"/>
    <w:rsid w:val="00B674E7"/>
    <w:rsid w:val="00B67509"/>
    <w:rsid w:val="00B6764C"/>
    <w:rsid w:val="00B6770D"/>
    <w:rsid w:val="00B677C8"/>
    <w:rsid w:val="00B677E0"/>
    <w:rsid w:val="00B67834"/>
    <w:rsid w:val="00B67839"/>
    <w:rsid w:val="00B6797B"/>
    <w:rsid w:val="00B67CD1"/>
    <w:rsid w:val="00B67D51"/>
    <w:rsid w:val="00B67D8B"/>
    <w:rsid w:val="00B67E13"/>
    <w:rsid w:val="00B67E57"/>
    <w:rsid w:val="00B67EA2"/>
    <w:rsid w:val="00B67EBE"/>
    <w:rsid w:val="00B67EC8"/>
    <w:rsid w:val="00B67EE4"/>
    <w:rsid w:val="00B67F57"/>
    <w:rsid w:val="00B67F81"/>
    <w:rsid w:val="00B67FFC"/>
    <w:rsid w:val="00B70019"/>
    <w:rsid w:val="00B7006F"/>
    <w:rsid w:val="00B700EF"/>
    <w:rsid w:val="00B7019F"/>
    <w:rsid w:val="00B70286"/>
    <w:rsid w:val="00B7033B"/>
    <w:rsid w:val="00B7034D"/>
    <w:rsid w:val="00B70356"/>
    <w:rsid w:val="00B7062B"/>
    <w:rsid w:val="00B706A0"/>
    <w:rsid w:val="00B7088A"/>
    <w:rsid w:val="00B708B8"/>
    <w:rsid w:val="00B7090A"/>
    <w:rsid w:val="00B70A2F"/>
    <w:rsid w:val="00B70A58"/>
    <w:rsid w:val="00B70B71"/>
    <w:rsid w:val="00B70C1D"/>
    <w:rsid w:val="00B70E6D"/>
    <w:rsid w:val="00B70EC2"/>
    <w:rsid w:val="00B70EDB"/>
    <w:rsid w:val="00B7108D"/>
    <w:rsid w:val="00B710C3"/>
    <w:rsid w:val="00B71184"/>
    <w:rsid w:val="00B711E8"/>
    <w:rsid w:val="00B711EF"/>
    <w:rsid w:val="00B71565"/>
    <w:rsid w:val="00B715C0"/>
    <w:rsid w:val="00B7166E"/>
    <w:rsid w:val="00B716C3"/>
    <w:rsid w:val="00B718EB"/>
    <w:rsid w:val="00B718F6"/>
    <w:rsid w:val="00B71A1B"/>
    <w:rsid w:val="00B71B22"/>
    <w:rsid w:val="00B71BC4"/>
    <w:rsid w:val="00B71BF9"/>
    <w:rsid w:val="00B71C8F"/>
    <w:rsid w:val="00B71CCE"/>
    <w:rsid w:val="00B71F8E"/>
    <w:rsid w:val="00B71FFA"/>
    <w:rsid w:val="00B720A4"/>
    <w:rsid w:val="00B72110"/>
    <w:rsid w:val="00B722F6"/>
    <w:rsid w:val="00B7239E"/>
    <w:rsid w:val="00B72569"/>
    <w:rsid w:val="00B72570"/>
    <w:rsid w:val="00B72815"/>
    <w:rsid w:val="00B72891"/>
    <w:rsid w:val="00B72BD7"/>
    <w:rsid w:val="00B72BDD"/>
    <w:rsid w:val="00B72C26"/>
    <w:rsid w:val="00B72C45"/>
    <w:rsid w:val="00B72C86"/>
    <w:rsid w:val="00B72E18"/>
    <w:rsid w:val="00B72F29"/>
    <w:rsid w:val="00B72F9A"/>
    <w:rsid w:val="00B72FCB"/>
    <w:rsid w:val="00B73007"/>
    <w:rsid w:val="00B7300A"/>
    <w:rsid w:val="00B73156"/>
    <w:rsid w:val="00B731B5"/>
    <w:rsid w:val="00B7329C"/>
    <w:rsid w:val="00B73302"/>
    <w:rsid w:val="00B733F8"/>
    <w:rsid w:val="00B734C9"/>
    <w:rsid w:val="00B73523"/>
    <w:rsid w:val="00B73540"/>
    <w:rsid w:val="00B73580"/>
    <w:rsid w:val="00B735FB"/>
    <w:rsid w:val="00B7374B"/>
    <w:rsid w:val="00B7375F"/>
    <w:rsid w:val="00B73779"/>
    <w:rsid w:val="00B737F8"/>
    <w:rsid w:val="00B73807"/>
    <w:rsid w:val="00B738EB"/>
    <w:rsid w:val="00B739B1"/>
    <w:rsid w:val="00B73A2E"/>
    <w:rsid w:val="00B73B45"/>
    <w:rsid w:val="00B73B6E"/>
    <w:rsid w:val="00B73D0C"/>
    <w:rsid w:val="00B73D16"/>
    <w:rsid w:val="00B73E0A"/>
    <w:rsid w:val="00B73E1D"/>
    <w:rsid w:val="00B73F50"/>
    <w:rsid w:val="00B73F54"/>
    <w:rsid w:val="00B73FE0"/>
    <w:rsid w:val="00B73FE8"/>
    <w:rsid w:val="00B74193"/>
    <w:rsid w:val="00B741FF"/>
    <w:rsid w:val="00B7431D"/>
    <w:rsid w:val="00B74433"/>
    <w:rsid w:val="00B74452"/>
    <w:rsid w:val="00B74456"/>
    <w:rsid w:val="00B74662"/>
    <w:rsid w:val="00B74760"/>
    <w:rsid w:val="00B7478C"/>
    <w:rsid w:val="00B74954"/>
    <w:rsid w:val="00B749F3"/>
    <w:rsid w:val="00B74C6D"/>
    <w:rsid w:val="00B74CC7"/>
    <w:rsid w:val="00B74E65"/>
    <w:rsid w:val="00B74E9B"/>
    <w:rsid w:val="00B74FF9"/>
    <w:rsid w:val="00B7500C"/>
    <w:rsid w:val="00B7501F"/>
    <w:rsid w:val="00B750C8"/>
    <w:rsid w:val="00B7514D"/>
    <w:rsid w:val="00B7518D"/>
    <w:rsid w:val="00B753A9"/>
    <w:rsid w:val="00B753AE"/>
    <w:rsid w:val="00B754CC"/>
    <w:rsid w:val="00B75614"/>
    <w:rsid w:val="00B757C8"/>
    <w:rsid w:val="00B75802"/>
    <w:rsid w:val="00B7581C"/>
    <w:rsid w:val="00B758EA"/>
    <w:rsid w:val="00B759C1"/>
    <w:rsid w:val="00B759C2"/>
    <w:rsid w:val="00B75A2D"/>
    <w:rsid w:val="00B75AE3"/>
    <w:rsid w:val="00B75AED"/>
    <w:rsid w:val="00B75B23"/>
    <w:rsid w:val="00B75B69"/>
    <w:rsid w:val="00B75BAA"/>
    <w:rsid w:val="00B75EA2"/>
    <w:rsid w:val="00B75EFC"/>
    <w:rsid w:val="00B75F88"/>
    <w:rsid w:val="00B760BC"/>
    <w:rsid w:val="00B76129"/>
    <w:rsid w:val="00B76261"/>
    <w:rsid w:val="00B76426"/>
    <w:rsid w:val="00B7643C"/>
    <w:rsid w:val="00B76553"/>
    <w:rsid w:val="00B7672C"/>
    <w:rsid w:val="00B7676C"/>
    <w:rsid w:val="00B76771"/>
    <w:rsid w:val="00B76851"/>
    <w:rsid w:val="00B768E0"/>
    <w:rsid w:val="00B76A8D"/>
    <w:rsid w:val="00B76F23"/>
    <w:rsid w:val="00B770AD"/>
    <w:rsid w:val="00B7710B"/>
    <w:rsid w:val="00B77118"/>
    <w:rsid w:val="00B771B0"/>
    <w:rsid w:val="00B77334"/>
    <w:rsid w:val="00B7739D"/>
    <w:rsid w:val="00B77444"/>
    <w:rsid w:val="00B77606"/>
    <w:rsid w:val="00B77678"/>
    <w:rsid w:val="00B776F5"/>
    <w:rsid w:val="00B77720"/>
    <w:rsid w:val="00B778F6"/>
    <w:rsid w:val="00B7795B"/>
    <w:rsid w:val="00B77ABD"/>
    <w:rsid w:val="00B77AF8"/>
    <w:rsid w:val="00B77C9C"/>
    <w:rsid w:val="00B77DD9"/>
    <w:rsid w:val="00B77E10"/>
    <w:rsid w:val="00B77EE9"/>
    <w:rsid w:val="00B8002E"/>
    <w:rsid w:val="00B8014C"/>
    <w:rsid w:val="00B8019C"/>
    <w:rsid w:val="00B80229"/>
    <w:rsid w:val="00B8023B"/>
    <w:rsid w:val="00B802AE"/>
    <w:rsid w:val="00B8039A"/>
    <w:rsid w:val="00B803A0"/>
    <w:rsid w:val="00B803FF"/>
    <w:rsid w:val="00B80699"/>
    <w:rsid w:val="00B808F9"/>
    <w:rsid w:val="00B80935"/>
    <w:rsid w:val="00B80A32"/>
    <w:rsid w:val="00B80C7A"/>
    <w:rsid w:val="00B80D06"/>
    <w:rsid w:val="00B80D36"/>
    <w:rsid w:val="00B80D6E"/>
    <w:rsid w:val="00B80E0C"/>
    <w:rsid w:val="00B80ED1"/>
    <w:rsid w:val="00B80F6F"/>
    <w:rsid w:val="00B81001"/>
    <w:rsid w:val="00B812A3"/>
    <w:rsid w:val="00B81468"/>
    <w:rsid w:val="00B81518"/>
    <w:rsid w:val="00B81536"/>
    <w:rsid w:val="00B81583"/>
    <w:rsid w:val="00B81671"/>
    <w:rsid w:val="00B81675"/>
    <w:rsid w:val="00B81699"/>
    <w:rsid w:val="00B8169C"/>
    <w:rsid w:val="00B816EE"/>
    <w:rsid w:val="00B817B1"/>
    <w:rsid w:val="00B81905"/>
    <w:rsid w:val="00B8194C"/>
    <w:rsid w:val="00B81967"/>
    <w:rsid w:val="00B81A68"/>
    <w:rsid w:val="00B81B20"/>
    <w:rsid w:val="00B81C9F"/>
    <w:rsid w:val="00B81E26"/>
    <w:rsid w:val="00B81E42"/>
    <w:rsid w:val="00B81EA6"/>
    <w:rsid w:val="00B81F3D"/>
    <w:rsid w:val="00B81F5C"/>
    <w:rsid w:val="00B81FA6"/>
    <w:rsid w:val="00B82022"/>
    <w:rsid w:val="00B82213"/>
    <w:rsid w:val="00B82228"/>
    <w:rsid w:val="00B8230B"/>
    <w:rsid w:val="00B823BF"/>
    <w:rsid w:val="00B824BF"/>
    <w:rsid w:val="00B82590"/>
    <w:rsid w:val="00B82632"/>
    <w:rsid w:val="00B826DF"/>
    <w:rsid w:val="00B82722"/>
    <w:rsid w:val="00B8274D"/>
    <w:rsid w:val="00B827A6"/>
    <w:rsid w:val="00B82829"/>
    <w:rsid w:val="00B8289C"/>
    <w:rsid w:val="00B829A0"/>
    <w:rsid w:val="00B829C1"/>
    <w:rsid w:val="00B829DF"/>
    <w:rsid w:val="00B82A53"/>
    <w:rsid w:val="00B82AE3"/>
    <w:rsid w:val="00B82B30"/>
    <w:rsid w:val="00B82B37"/>
    <w:rsid w:val="00B82B47"/>
    <w:rsid w:val="00B82B54"/>
    <w:rsid w:val="00B82CD1"/>
    <w:rsid w:val="00B82CD5"/>
    <w:rsid w:val="00B82D2F"/>
    <w:rsid w:val="00B82D94"/>
    <w:rsid w:val="00B82DC1"/>
    <w:rsid w:val="00B82EC3"/>
    <w:rsid w:val="00B82F78"/>
    <w:rsid w:val="00B8313B"/>
    <w:rsid w:val="00B83282"/>
    <w:rsid w:val="00B83297"/>
    <w:rsid w:val="00B832B6"/>
    <w:rsid w:val="00B834A8"/>
    <w:rsid w:val="00B83521"/>
    <w:rsid w:val="00B8360D"/>
    <w:rsid w:val="00B83633"/>
    <w:rsid w:val="00B836D6"/>
    <w:rsid w:val="00B8372F"/>
    <w:rsid w:val="00B837CF"/>
    <w:rsid w:val="00B83865"/>
    <w:rsid w:val="00B8390D"/>
    <w:rsid w:val="00B8397C"/>
    <w:rsid w:val="00B83999"/>
    <w:rsid w:val="00B83A60"/>
    <w:rsid w:val="00B83AFF"/>
    <w:rsid w:val="00B83B3D"/>
    <w:rsid w:val="00B83BA6"/>
    <w:rsid w:val="00B83CA0"/>
    <w:rsid w:val="00B83CC5"/>
    <w:rsid w:val="00B83D3D"/>
    <w:rsid w:val="00B83EDC"/>
    <w:rsid w:val="00B83FAD"/>
    <w:rsid w:val="00B8421C"/>
    <w:rsid w:val="00B8433A"/>
    <w:rsid w:val="00B843EF"/>
    <w:rsid w:val="00B84470"/>
    <w:rsid w:val="00B844FF"/>
    <w:rsid w:val="00B846F5"/>
    <w:rsid w:val="00B84734"/>
    <w:rsid w:val="00B84744"/>
    <w:rsid w:val="00B8479F"/>
    <w:rsid w:val="00B848AC"/>
    <w:rsid w:val="00B849A2"/>
    <w:rsid w:val="00B84A17"/>
    <w:rsid w:val="00B84AB3"/>
    <w:rsid w:val="00B84E64"/>
    <w:rsid w:val="00B84EE7"/>
    <w:rsid w:val="00B84F43"/>
    <w:rsid w:val="00B84FDB"/>
    <w:rsid w:val="00B85069"/>
    <w:rsid w:val="00B8521C"/>
    <w:rsid w:val="00B8527D"/>
    <w:rsid w:val="00B85305"/>
    <w:rsid w:val="00B8536E"/>
    <w:rsid w:val="00B85395"/>
    <w:rsid w:val="00B85613"/>
    <w:rsid w:val="00B856E9"/>
    <w:rsid w:val="00B85708"/>
    <w:rsid w:val="00B85710"/>
    <w:rsid w:val="00B85714"/>
    <w:rsid w:val="00B85866"/>
    <w:rsid w:val="00B8586B"/>
    <w:rsid w:val="00B8590F"/>
    <w:rsid w:val="00B85938"/>
    <w:rsid w:val="00B85992"/>
    <w:rsid w:val="00B859D1"/>
    <w:rsid w:val="00B85A33"/>
    <w:rsid w:val="00B85A9C"/>
    <w:rsid w:val="00B85B24"/>
    <w:rsid w:val="00B85C8E"/>
    <w:rsid w:val="00B85CC1"/>
    <w:rsid w:val="00B85E1B"/>
    <w:rsid w:val="00B85FFE"/>
    <w:rsid w:val="00B8622F"/>
    <w:rsid w:val="00B862ED"/>
    <w:rsid w:val="00B8642E"/>
    <w:rsid w:val="00B864BE"/>
    <w:rsid w:val="00B8652B"/>
    <w:rsid w:val="00B867F9"/>
    <w:rsid w:val="00B86809"/>
    <w:rsid w:val="00B86ABE"/>
    <w:rsid w:val="00B86AD3"/>
    <w:rsid w:val="00B86B19"/>
    <w:rsid w:val="00B86B42"/>
    <w:rsid w:val="00B86C0C"/>
    <w:rsid w:val="00B86C3F"/>
    <w:rsid w:val="00B86CDE"/>
    <w:rsid w:val="00B86D55"/>
    <w:rsid w:val="00B86E4F"/>
    <w:rsid w:val="00B86EEC"/>
    <w:rsid w:val="00B86F25"/>
    <w:rsid w:val="00B86F2B"/>
    <w:rsid w:val="00B8711B"/>
    <w:rsid w:val="00B871C2"/>
    <w:rsid w:val="00B8744B"/>
    <w:rsid w:val="00B874BC"/>
    <w:rsid w:val="00B876D4"/>
    <w:rsid w:val="00B87716"/>
    <w:rsid w:val="00B8790C"/>
    <w:rsid w:val="00B87A3C"/>
    <w:rsid w:val="00B87C20"/>
    <w:rsid w:val="00B87C98"/>
    <w:rsid w:val="00B87DEC"/>
    <w:rsid w:val="00B87EE8"/>
    <w:rsid w:val="00B87F5A"/>
    <w:rsid w:val="00B900DD"/>
    <w:rsid w:val="00B90226"/>
    <w:rsid w:val="00B902FE"/>
    <w:rsid w:val="00B9046E"/>
    <w:rsid w:val="00B90549"/>
    <w:rsid w:val="00B90588"/>
    <w:rsid w:val="00B90630"/>
    <w:rsid w:val="00B9071E"/>
    <w:rsid w:val="00B90877"/>
    <w:rsid w:val="00B90949"/>
    <w:rsid w:val="00B90980"/>
    <w:rsid w:val="00B90D30"/>
    <w:rsid w:val="00B90E2A"/>
    <w:rsid w:val="00B90E44"/>
    <w:rsid w:val="00B90E5E"/>
    <w:rsid w:val="00B90E83"/>
    <w:rsid w:val="00B90F1B"/>
    <w:rsid w:val="00B90F5E"/>
    <w:rsid w:val="00B90F8D"/>
    <w:rsid w:val="00B90FE2"/>
    <w:rsid w:val="00B912F4"/>
    <w:rsid w:val="00B91387"/>
    <w:rsid w:val="00B91416"/>
    <w:rsid w:val="00B91417"/>
    <w:rsid w:val="00B915D4"/>
    <w:rsid w:val="00B915E1"/>
    <w:rsid w:val="00B9180E"/>
    <w:rsid w:val="00B91931"/>
    <w:rsid w:val="00B91943"/>
    <w:rsid w:val="00B919DF"/>
    <w:rsid w:val="00B91A8B"/>
    <w:rsid w:val="00B91B61"/>
    <w:rsid w:val="00B91B91"/>
    <w:rsid w:val="00B91C38"/>
    <w:rsid w:val="00B91C3B"/>
    <w:rsid w:val="00B91D6F"/>
    <w:rsid w:val="00B91DD9"/>
    <w:rsid w:val="00B91E38"/>
    <w:rsid w:val="00B91E49"/>
    <w:rsid w:val="00B91EC0"/>
    <w:rsid w:val="00B91F7D"/>
    <w:rsid w:val="00B9212E"/>
    <w:rsid w:val="00B921F1"/>
    <w:rsid w:val="00B9222E"/>
    <w:rsid w:val="00B92284"/>
    <w:rsid w:val="00B922B0"/>
    <w:rsid w:val="00B92353"/>
    <w:rsid w:val="00B923BF"/>
    <w:rsid w:val="00B923D6"/>
    <w:rsid w:val="00B92453"/>
    <w:rsid w:val="00B92478"/>
    <w:rsid w:val="00B9279D"/>
    <w:rsid w:val="00B927E1"/>
    <w:rsid w:val="00B9299C"/>
    <w:rsid w:val="00B929AD"/>
    <w:rsid w:val="00B92A7D"/>
    <w:rsid w:val="00B92BA2"/>
    <w:rsid w:val="00B92C88"/>
    <w:rsid w:val="00B92CD4"/>
    <w:rsid w:val="00B92D8E"/>
    <w:rsid w:val="00B92E64"/>
    <w:rsid w:val="00B92E9C"/>
    <w:rsid w:val="00B92EB0"/>
    <w:rsid w:val="00B92F27"/>
    <w:rsid w:val="00B92F3B"/>
    <w:rsid w:val="00B93060"/>
    <w:rsid w:val="00B9315A"/>
    <w:rsid w:val="00B9317C"/>
    <w:rsid w:val="00B93192"/>
    <w:rsid w:val="00B932FC"/>
    <w:rsid w:val="00B93487"/>
    <w:rsid w:val="00B93530"/>
    <w:rsid w:val="00B935E5"/>
    <w:rsid w:val="00B93638"/>
    <w:rsid w:val="00B937E3"/>
    <w:rsid w:val="00B93846"/>
    <w:rsid w:val="00B93A78"/>
    <w:rsid w:val="00B93ACC"/>
    <w:rsid w:val="00B93ADD"/>
    <w:rsid w:val="00B93BCE"/>
    <w:rsid w:val="00B93CAF"/>
    <w:rsid w:val="00B93D49"/>
    <w:rsid w:val="00B93D88"/>
    <w:rsid w:val="00B93DD0"/>
    <w:rsid w:val="00B93E27"/>
    <w:rsid w:val="00B93E2F"/>
    <w:rsid w:val="00B94068"/>
    <w:rsid w:val="00B9408C"/>
    <w:rsid w:val="00B94214"/>
    <w:rsid w:val="00B94233"/>
    <w:rsid w:val="00B942E6"/>
    <w:rsid w:val="00B945C2"/>
    <w:rsid w:val="00B9460C"/>
    <w:rsid w:val="00B9482B"/>
    <w:rsid w:val="00B9485A"/>
    <w:rsid w:val="00B94861"/>
    <w:rsid w:val="00B94A35"/>
    <w:rsid w:val="00B94A75"/>
    <w:rsid w:val="00B94B8E"/>
    <w:rsid w:val="00B94BF5"/>
    <w:rsid w:val="00B94C32"/>
    <w:rsid w:val="00B94CA0"/>
    <w:rsid w:val="00B94E00"/>
    <w:rsid w:val="00B94E48"/>
    <w:rsid w:val="00B94E4C"/>
    <w:rsid w:val="00B94F84"/>
    <w:rsid w:val="00B9509A"/>
    <w:rsid w:val="00B950BF"/>
    <w:rsid w:val="00B95485"/>
    <w:rsid w:val="00B9548E"/>
    <w:rsid w:val="00B954D1"/>
    <w:rsid w:val="00B95559"/>
    <w:rsid w:val="00B955A0"/>
    <w:rsid w:val="00B95893"/>
    <w:rsid w:val="00B95A90"/>
    <w:rsid w:val="00B95ADC"/>
    <w:rsid w:val="00B95B00"/>
    <w:rsid w:val="00B95B23"/>
    <w:rsid w:val="00B95B73"/>
    <w:rsid w:val="00B95C4D"/>
    <w:rsid w:val="00B95C52"/>
    <w:rsid w:val="00B95C5A"/>
    <w:rsid w:val="00B95CC6"/>
    <w:rsid w:val="00B95EAA"/>
    <w:rsid w:val="00B95FD1"/>
    <w:rsid w:val="00B9609F"/>
    <w:rsid w:val="00B962B3"/>
    <w:rsid w:val="00B962CB"/>
    <w:rsid w:val="00B963E9"/>
    <w:rsid w:val="00B96582"/>
    <w:rsid w:val="00B965A8"/>
    <w:rsid w:val="00B965D2"/>
    <w:rsid w:val="00B96601"/>
    <w:rsid w:val="00B96886"/>
    <w:rsid w:val="00B968D8"/>
    <w:rsid w:val="00B96A35"/>
    <w:rsid w:val="00B96C6F"/>
    <w:rsid w:val="00B96CAE"/>
    <w:rsid w:val="00B96CB8"/>
    <w:rsid w:val="00B96D07"/>
    <w:rsid w:val="00B96D55"/>
    <w:rsid w:val="00B96E95"/>
    <w:rsid w:val="00B96F32"/>
    <w:rsid w:val="00B96F43"/>
    <w:rsid w:val="00B97274"/>
    <w:rsid w:val="00B97291"/>
    <w:rsid w:val="00B9736A"/>
    <w:rsid w:val="00B97453"/>
    <w:rsid w:val="00B974CC"/>
    <w:rsid w:val="00B9757F"/>
    <w:rsid w:val="00B97606"/>
    <w:rsid w:val="00B97661"/>
    <w:rsid w:val="00B9787F"/>
    <w:rsid w:val="00B97A2A"/>
    <w:rsid w:val="00B97B36"/>
    <w:rsid w:val="00B97B66"/>
    <w:rsid w:val="00B97BBD"/>
    <w:rsid w:val="00B97C1A"/>
    <w:rsid w:val="00B97C93"/>
    <w:rsid w:val="00B97E70"/>
    <w:rsid w:val="00B97E9D"/>
    <w:rsid w:val="00B97FF6"/>
    <w:rsid w:val="00BA0035"/>
    <w:rsid w:val="00BA00C5"/>
    <w:rsid w:val="00BA00D2"/>
    <w:rsid w:val="00BA00D8"/>
    <w:rsid w:val="00BA0218"/>
    <w:rsid w:val="00BA027A"/>
    <w:rsid w:val="00BA0550"/>
    <w:rsid w:val="00BA05E8"/>
    <w:rsid w:val="00BA0930"/>
    <w:rsid w:val="00BA09A4"/>
    <w:rsid w:val="00BA0B45"/>
    <w:rsid w:val="00BA0C8E"/>
    <w:rsid w:val="00BA0D20"/>
    <w:rsid w:val="00BA0DCC"/>
    <w:rsid w:val="00BA0DDB"/>
    <w:rsid w:val="00BA0E7E"/>
    <w:rsid w:val="00BA10A8"/>
    <w:rsid w:val="00BA12EB"/>
    <w:rsid w:val="00BA134F"/>
    <w:rsid w:val="00BA138F"/>
    <w:rsid w:val="00BA152A"/>
    <w:rsid w:val="00BA15F4"/>
    <w:rsid w:val="00BA1601"/>
    <w:rsid w:val="00BA175A"/>
    <w:rsid w:val="00BA1767"/>
    <w:rsid w:val="00BA18B0"/>
    <w:rsid w:val="00BA18D2"/>
    <w:rsid w:val="00BA1AAB"/>
    <w:rsid w:val="00BA1AFE"/>
    <w:rsid w:val="00BA1B52"/>
    <w:rsid w:val="00BA1C62"/>
    <w:rsid w:val="00BA1CE4"/>
    <w:rsid w:val="00BA1E9E"/>
    <w:rsid w:val="00BA2098"/>
    <w:rsid w:val="00BA20C4"/>
    <w:rsid w:val="00BA21C9"/>
    <w:rsid w:val="00BA22A7"/>
    <w:rsid w:val="00BA2344"/>
    <w:rsid w:val="00BA24E5"/>
    <w:rsid w:val="00BA25B6"/>
    <w:rsid w:val="00BA2685"/>
    <w:rsid w:val="00BA268C"/>
    <w:rsid w:val="00BA270E"/>
    <w:rsid w:val="00BA2712"/>
    <w:rsid w:val="00BA2A3E"/>
    <w:rsid w:val="00BA2B13"/>
    <w:rsid w:val="00BA2B16"/>
    <w:rsid w:val="00BA2CE7"/>
    <w:rsid w:val="00BA2D7B"/>
    <w:rsid w:val="00BA2DE1"/>
    <w:rsid w:val="00BA2EC9"/>
    <w:rsid w:val="00BA2EDC"/>
    <w:rsid w:val="00BA309F"/>
    <w:rsid w:val="00BA31A8"/>
    <w:rsid w:val="00BA31DD"/>
    <w:rsid w:val="00BA331F"/>
    <w:rsid w:val="00BA334C"/>
    <w:rsid w:val="00BA3491"/>
    <w:rsid w:val="00BA349A"/>
    <w:rsid w:val="00BA34A4"/>
    <w:rsid w:val="00BA34E1"/>
    <w:rsid w:val="00BA3509"/>
    <w:rsid w:val="00BA3604"/>
    <w:rsid w:val="00BA370C"/>
    <w:rsid w:val="00BA3899"/>
    <w:rsid w:val="00BA38AD"/>
    <w:rsid w:val="00BA3967"/>
    <w:rsid w:val="00BA3A56"/>
    <w:rsid w:val="00BA3A9D"/>
    <w:rsid w:val="00BA3B2F"/>
    <w:rsid w:val="00BA3B59"/>
    <w:rsid w:val="00BA3C18"/>
    <w:rsid w:val="00BA3C46"/>
    <w:rsid w:val="00BA3C48"/>
    <w:rsid w:val="00BA3DCF"/>
    <w:rsid w:val="00BA3ED3"/>
    <w:rsid w:val="00BA4032"/>
    <w:rsid w:val="00BA4126"/>
    <w:rsid w:val="00BA42E9"/>
    <w:rsid w:val="00BA439C"/>
    <w:rsid w:val="00BA43AB"/>
    <w:rsid w:val="00BA441C"/>
    <w:rsid w:val="00BA4464"/>
    <w:rsid w:val="00BA4505"/>
    <w:rsid w:val="00BA45C4"/>
    <w:rsid w:val="00BA45F3"/>
    <w:rsid w:val="00BA465E"/>
    <w:rsid w:val="00BA4677"/>
    <w:rsid w:val="00BA47DA"/>
    <w:rsid w:val="00BA4820"/>
    <w:rsid w:val="00BA4828"/>
    <w:rsid w:val="00BA4840"/>
    <w:rsid w:val="00BA49A9"/>
    <w:rsid w:val="00BA4A11"/>
    <w:rsid w:val="00BA4AFC"/>
    <w:rsid w:val="00BA4BBB"/>
    <w:rsid w:val="00BA4C06"/>
    <w:rsid w:val="00BA4C15"/>
    <w:rsid w:val="00BA4CEE"/>
    <w:rsid w:val="00BA4CF8"/>
    <w:rsid w:val="00BA4D19"/>
    <w:rsid w:val="00BA4D1D"/>
    <w:rsid w:val="00BA4EA3"/>
    <w:rsid w:val="00BA4F1A"/>
    <w:rsid w:val="00BA4F57"/>
    <w:rsid w:val="00BA4F58"/>
    <w:rsid w:val="00BA50B1"/>
    <w:rsid w:val="00BA513D"/>
    <w:rsid w:val="00BA5391"/>
    <w:rsid w:val="00BA5467"/>
    <w:rsid w:val="00BA54EB"/>
    <w:rsid w:val="00BA5528"/>
    <w:rsid w:val="00BA55C1"/>
    <w:rsid w:val="00BA56F8"/>
    <w:rsid w:val="00BA56F9"/>
    <w:rsid w:val="00BA57D3"/>
    <w:rsid w:val="00BA5810"/>
    <w:rsid w:val="00BA5813"/>
    <w:rsid w:val="00BA597E"/>
    <w:rsid w:val="00BA5AA8"/>
    <w:rsid w:val="00BA5C03"/>
    <w:rsid w:val="00BA5D80"/>
    <w:rsid w:val="00BA609B"/>
    <w:rsid w:val="00BA61B9"/>
    <w:rsid w:val="00BA62D4"/>
    <w:rsid w:val="00BA668D"/>
    <w:rsid w:val="00BA66C8"/>
    <w:rsid w:val="00BA67A2"/>
    <w:rsid w:val="00BA691B"/>
    <w:rsid w:val="00BA69E5"/>
    <w:rsid w:val="00BA6AC4"/>
    <w:rsid w:val="00BA6AE0"/>
    <w:rsid w:val="00BA6B60"/>
    <w:rsid w:val="00BA6BE0"/>
    <w:rsid w:val="00BA6CD3"/>
    <w:rsid w:val="00BA6CD6"/>
    <w:rsid w:val="00BA6D01"/>
    <w:rsid w:val="00BA6D26"/>
    <w:rsid w:val="00BA6DBE"/>
    <w:rsid w:val="00BA6DD8"/>
    <w:rsid w:val="00BA6DE6"/>
    <w:rsid w:val="00BA7036"/>
    <w:rsid w:val="00BA704B"/>
    <w:rsid w:val="00BA71DF"/>
    <w:rsid w:val="00BA7227"/>
    <w:rsid w:val="00BA7374"/>
    <w:rsid w:val="00BA75C0"/>
    <w:rsid w:val="00BA77C9"/>
    <w:rsid w:val="00BA7840"/>
    <w:rsid w:val="00BA7914"/>
    <w:rsid w:val="00BA795A"/>
    <w:rsid w:val="00BA7965"/>
    <w:rsid w:val="00BA7984"/>
    <w:rsid w:val="00BA7A8A"/>
    <w:rsid w:val="00BA7BFD"/>
    <w:rsid w:val="00BA7C44"/>
    <w:rsid w:val="00BA7C57"/>
    <w:rsid w:val="00BA7E42"/>
    <w:rsid w:val="00BA7EAF"/>
    <w:rsid w:val="00BA7EE8"/>
    <w:rsid w:val="00BA7F5E"/>
    <w:rsid w:val="00BA7F96"/>
    <w:rsid w:val="00BB000A"/>
    <w:rsid w:val="00BB0015"/>
    <w:rsid w:val="00BB0046"/>
    <w:rsid w:val="00BB0098"/>
    <w:rsid w:val="00BB00D2"/>
    <w:rsid w:val="00BB0261"/>
    <w:rsid w:val="00BB033F"/>
    <w:rsid w:val="00BB038D"/>
    <w:rsid w:val="00BB03AB"/>
    <w:rsid w:val="00BB0424"/>
    <w:rsid w:val="00BB0495"/>
    <w:rsid w:val="00BB04A2"/>
    <w:rsid w:val="00BB0501"/>
    <w:rsid w:val="00BB080E"/>
    <w:rsid w:val="00BB0844"/>
    <w:rsid w:val="00BB0850"/>
    <w:rsid w:val="00BB09EA"/>
    <w:rsid w:val="00BB0B3C"/>
    <w:rsid w:val="00BB0D04"/>
    <w:rsid w:val="00BB0D8A"/>
    <w:rsid w:val="00BB0D8B"/>
    <w:rsid w:val="00BB0ED4"/>
    <w:rsid w:val="00BB0F1E"/>
    <w:rsid w:val="00BB0F54"/>
    <w:rsid w:val="00BB0F71"/>
    <w:rsid w:val="00BB0F93"/>
    <w:rsid w:val="00BB1010"/>
    <w:rsid w:val="00BB1048"/>
    <w:rsid w:val="00BB1107"/>
    <w:rsid w:val="00BB112B"/>
    <w:rsid w:val="00BB11F2"/>
    <w:rsid w:val="00BB1205"/>
    <w:rsid w:val="00BB13B9"/>
    <w:rsid w:val="00BB1529"/>
    <w:rsid w:val="00BB153F"/>
    <w:rsid w:val="00BB157E"/>
    <w:rsid w:val="00BB15B4"/>
    <w:rsid w:val="00BB16BD"/>
    <w:rsid w:val="00BB17B0"/>
    <w:rsid w:val="00BB18BA"/>
    <w:rsid w:val="00BB1971"/>
    <w:rsid w:val="00BB19CD"/>
    <w:rsid w:val="00BB1A41"/>
    <w:rsid w:val="00BB1A44"/>
    <w:rsid w:val="00BB1A71"/>
    <w:rsid w:val="00BB1B42"/>
    <w:rsid w:val="00BB1D34"/>
    <w:rsid w:val="00BB1F54"/>
    <w:rsid w:val="00BB20DE"/>
    <w:rsid w:val="00BB215C"/>
    <w:rsid w:val="00BB22F5"/>
    <w:rsid w:val="00BB2501"/>
    <w:rsid w:val="00BB250B"/>
    <w:rsid w:val="00BB25C4"/>
    <w:rsid w:val="00BB25F0"/>
    <w:rsid w:val="00BB25F2"/>
    <w:rsid w:val="00BB2719"/>
    <w:rsid w:val="00BB273D"/>
    <w:rsid w:val="00BB275E"/>
    <w:rsid w:val="00BB27F0"/>
    <w:rsid w:val="00BB2901"/>
    <w:rsid w:val="00BB2B4D"/>
    <w:rsid w:val="00BB2C16"/>
    <w:rsid w:val="00BB2C4D"/>
    <w:rsid w:val="00BB2CD8"/>
    <w:rsid w:val="00BB2D28"/>
    <w:rsid w:val="00BB2D51"/>
    <w:rsid w:val="00BB2D7D"/>
    <w:rsid w:val="00BB2DAA"/>
    <w:rsid w:val="00BB2DAD"/>
    <w:rsid w:val="00BB2DCA"/>
    <w:rsid w:val="00BB2E5C"/>
    <w:rsid w:val="00BB2F04"/>
    <w:rsid w:val="00BB2F21"/>
    <w:rsid w:val="00BB2F97"/>
    <w:rsid w:val="00BB3029"/>
    <w:rsid w:val="00BB328C"/>
    <w:rsid w:val="00BB3499"/>
    <w:rsid w:val="00BB34E6"/>
    <w:rsid w:val="00BB3534"/>
    <w:rsid w:val="00BB35B1"/>
    <w:rsid w:val="00BB363E"/>
    <w:rsid w:val="00BB3733"/>
    <w:rsid w:val="00BB3954"/>
    <w:rsid w:val="00BB3A8B"/>
    <w:rsid w:val="00BB3AD9"/>
    <w:rsid w:val="00BB3B48"/>
    <w:rsid w:val="00BB3C3C"/>
    <w:rsid w:val="00BB3CCF"/>
    <w:rsid w:val="00BB3D3B"/>
    <w:rsid w:val="00BB3F81"/>
    <w:rsid w:val="00BB4048"/>
    <w:rsid w:val="00BB44A4"/>
    <w:rsid w:val="00BB463C"/>
    <w:rsid w:val="00BB46F2"/>
    <w:rsid w:val="00BB4734"/>
    <w:rsid w:val="00BB482F"/>
    <w:rsid w:val="00BB4948"/>
    <w:rsid w:val="00BB4987"/>
    <w:rsid w:val="00BB4A1D"/>
    <w:rsid w:val="00BB4AA5"/>
    <w:rsid w:val="00BB4AE4"/>
    <w:rsid w:val="00BB4C1B"/>
    <w:rsid w:val="00BB4E65"/>
    <w:rsid w:val="00BB4FA0"/>
    <w:rsid w:val="00BB503A"/>
    <w:rsid w:val="00BB50A8"/>
    <w:rsid w:val="00BB50AB"/>
    <w:rsid w:val="00BB5124"/>
    <w:rsid w:val="00BB5190"/>
    <w:rsid w:val="00BB5223"/>
    <w:rsid w:val="00BB52B8"/>
    <w:rsid w:val="00BB52FE"/>
    <w:rsid w:val="00BB53D1"/>
    <w:rsid w:val="00BB546A"/>
    <w:rsid w:val="00BB5486"/>
    <w:rsid w:val="00BB54AE"/>
    <w:rsid w:val="00BB54EA"/>
    <w:rsid w:val="00BB54FB"/>
    <w:rsid w:val="00BB5601"/>
    <w:rsid w:val="00BB566D"/>
    <w:rsid w:val="00BB5853"/>
    <w:rsid w:val="00BB5858"/>
    <w:rsid w:val="00BB585E"/>
    <w:rsid w:val="00BB59B6"/>
    <w:rsid w:val="00BB5BA1"/>
    <w:rsid w:val="00BB5CD7"/>
    <w:rsid w:val="00BB5DB1"/>
    <w:rsid w:val="00BB5E17"/>
    <w:rsid w:val="00BB5ED1"/>
    <w:rsid w:val="00BB5EED"/>
    <w:rsid w:val="00BB602A"/>
    <w:rsid w:val="00BB6066"/>
    <w:rsid w:val="00BB6191"/>
    <w:rsid w:val="00BB62E5"/>
    <w:rsid w:val="00BB63C6"/>
    <w:rsid w:val="00BB651F"/>
    <w:rsid w:val="00BB65D9"/>
    <w:rsid w:val="00BB66F6"/>
    <w:rsid w:val="00BB6738"/>
    <w:rsid w:val="00BB67CC"/>
    <w:rsid w:val="00BB68D2"/>
    <w:rsid w:val="00BB6974"/>
    <w:rsid w:val="00BB6A67"/>
    <w:rsid w:val="00BB6B2C"/>
    <w:rsid w:val="00BB6B83"/>
    <w:rsid w:val="00BB6BCD"/>
    <w:rsid w:val="00BB6D66"/>
    <w:rsid w:val="00BB6DD0"/>
    <w:rsid w:val="00BB6DD2"/>
    <w:rsid w:val="00BB6E43"/>
    <w:rsid w:val="00BB6EA6"/>
    <w:rsid w:val="00BB6EEF"/>
    <w:rsid w:val="00BB6F2B"/>
    <w:rsid w:val="00BB71A7"/>
    <w:rsid w:val="00BB735F"/>
    <w:rsid w:val="00BB73E6"/>
    <w:rsid w:val="00BB74D5"/>
    <w:rsid w:val="00BB7536"/>
    <w:rsid w:val="00BB7537"/>
    <w:rsid w:val="00BB76AA"/>
    <w:rsid w:val="00BB76CF"/>
    <w:rsid w:val="00BB76D5"/>
    <w:rsid w:val="00BB7778"/>
    <w:rsid w:val="00BB78EF"/>
    <w:rsid w:val="00BB7B7B"/>
    <w:rsid w:val="00BB7B86"/>
    <w:rsid w:val="00BB7C1A"/>
    <w:rsid w:val="00BB7C50"/>
    <w:rsid w:val="00BB7DD9"/>
    <w:rsid w:val="00BB7F2E"/>
    <w:rsid w:val="00BB7F40"/>
    <w:rsid w:val="00BC00D7"/>
    <w:rsid w:val="00BC01AC"/>
    <w:rsid w:val="00BC03A1"/>
    <w:rsid w:val="00BC0423"/>
    <w:rsid w:val="00BC0432"/>
    <w:rsid w:val="00BC0478"/>
    <w:rsid w:val="00BC04C7"/>
    <w:rsid w:val="00BC0591"/>
    <w:rsid w:val="00BC066F"/>
    <w:rsid w:val="00BC06C0"/>
    <w:rsid w:val="00BC0716"/>
    <w:rsid w:val="00BC0742"/>
    <w:rsid w:val="00BC075E"/>
    <w:rsid w:val="00BC08BE"/>
    <w:rsid w:val="00BC08F6"/>
    <w:rsid w:val="00BC0B1B"/>
    <w:rsid w:val="00BC0CD0"/>
    <w:rsid w:val="00BC0D1B"/>
    <w:rsid w:val="00BC0D26"/>
    <w:rsid w:val="00BC0DFF"/>
    <w:rsid w:val="00BC0E89"/>
    <w:rsid w:val="00BC0E8C"/>
    <w:rsid w:val="00BC1088"/>
    <w:rsid w:val="00BC1275"/>
    <w:rsid w:val="00BC131E"/>
    <w:rsid w:val="00BC146B"/>
    <w:rsid w:val="00BC146C"/>
    <w:rsid w:val="00BC1521"/>
    <w:rsid w:val="00BC1576"/>
    <w:rsid w:val="00BC15A7"/>
    <w:rsid w:val="00BC161D"/>
    <w:rsid w:val="00BC1658"/>
    <w:rsid w:val="00BC18D1"/>
    <w:rsid w:val="00BC197F"/>
    <w:rsid w:val="00BC1A06"/>
    <w:rsid w:val="00BC1A4E"/>
    <w:rsid w:val="00BC1AC5"/>
    <w:rsid w:val="00BC1BBB"/>
    <w:rsid w:val="00BC1BE9"/>
    <w:rsid w:val="00BC1C71"/>
    <w:rsid w:val="00BC1CEB"/>
    <w:rsid w:val="00BC1DED"/>
    <w:rsid w:val="00BC1E17"/>
    <w:rsid w:val="00BC1E4E"/>
    <w:rsid w:val="00BC1E74"/>
    <w:rsid w:val="00BC1ED0"/>
    <w:rsid w:val="00BC1EF7"/>
    <w:rsid w:val="00BC20D3"/>
    <w:rsid w:val="00BC210E"/>
    <w:rsid w:val="00BC2219"/>
    <w:rsid w:val="00BC22C1"/>
    <w:rsid w:val="00BC230E"/>
    <w:rsid w:val="00BC23AB"/>
    <w:rsid w:val="00BC2474"/>
    <w:rsid w:val="00BC2478"/>
    <w:rsid w:val="00BC26B9"/>
    <w:rsid w:val="00BC26D0"/>
    <w:rsid w:val="00BC2784"/>
    <w:rsid w:val="00BC2816"/>
    <w:rsid w:val="00BC2944"/>
    <w:rsid w:val="00BC2A27"/>
    <w:rsid w:val="00BC2A48"/>
    <w:rsid w:val="00BC2A84"/>
    <w:rsid w:val="00BC2A96"/>
    <w:rsid w:val="00BC2B21"/>
    <w:rsid w:val="00BC2BCE"/>
    <w:rsid w:val="00BC2C5E"/>
    <w:rsid w:val="00BC2E5B"/>
    <w:rsid w:val="00BC2E5E"/>
    <w:rsid w:val="00BC2F57"/>
    <w:rsid w:val="00BC3044"/>
    <w:rsid w:val="00BC309F"/>
    <w:rsid w:val="00BC30C3"/>
    <w:rsid w:val="00BC30CB"/>
    <w:rsid w:val="00BC30E2"/>
    <w:rsid w:val="00BC310C"/>
    <w:rsid w:val="00BC3133"/>
    <w:rsid w:val="00BC3142"/>
    <w:rsid w:val="00BC328F"/>
    <w:rsid w:val="00BC3306"/>
    <w:rsid w:val="00BC33E9"/>
    <w:rsid w:val="00BC348A"/>
    <w:rsid w:val="00BC3502"/>
    <w:rsid w:val="00BC355A"/>
    <w:rsid w:val="00BC3613"/>
    <w:rsid w:val="00BC36B1"/>
    <w:rsid w:val="00BC38BA"/>
    <w:rsid w:val="00BC39E1"/>
    <w:rsid w:val="00BC3A0B"/>
    <w:rsid w:val="00BC3A8C"/>
    <w:rsid w:val="00BC3B2B"/>
    <w:rsid w:val="00BC3B6B"/>
    <w:rsid w:val="00BC3B99"/>
    <w:rsid w:val="00BC3B9D"/>
    <w:rsid w:val="00BC3D19"/>
    <w:rsid w:val="00BC3E2D"/>
    <w:rsid w:val="00BC3FDE"/>
    <w:rsid w:val="00BC3FE3"/>
    <w:rsid w:val="00BC4012"/>
    <w:rsid w:val="00BC406E"/>
    <w:rsid w:val="00BC4075"/>
    <w:rsid w:val="00BC4095"/>
    <w:rsid w:val="00BC41F3"/>
    <w:rsid w:val="00BC425F"/>
    <w:rsid w:val="00BC4266"/>
    <w:rsid w:val="00BC441F"/>
    <w:rsid w:val="00BC4477"/>
    <w:rsid w:val="00BC44BA"/>
    <w:rsid w:val="00BC45A6"/>
    <w:rsid w:val="00BC4674"/>
    <w:rsid w:val="00BC4780"/>
    <w:rsid w:val="00BC47D4"/>
    <w:rsid w:val="00BC47F0"/>
    <w:rsid w:val="00BC485A"/>
    <w:rsid w:val="00BC4B38"/>
    <w:rsid w:val="00BC4BA3"/>
    <w:rsid w:val="00BC4BE0"/>
    <w:rsid w:val="00BC4C7F"/>
    <w:rsid w:val="00BC4CCA"/>
    <w:rsid w:val="00BC4D4B"/>
    <w:rsid w:val="00BC501D"/>
    <w:rsid w:val="00BC5076"/>
    <w:rsid w:val="00BC509D"/>
    <w:rsid w:val="00BC5144"/>
    <w:rsid w:val="00BC51C2"/>
    <w:rsid w:val="00BC5205"/>
    <w:rsid w:val="00BC52DE"/>
    <w:rsid w:val="00BC52F5"/>
    <w:rsid w:val="00BC55E0"/>
    <w:rsid w:val="00BC5672"/>
    <w:rsid w:val="00BC58CA"/>
    <w:rsid w:val="00BC58E7"/>
    <w:rsid w:val="00BC58FC"/>
    <w:rsid w:val="00BC59BA"/>
    <w:rsid w:val="00BC59C4"/>
    <w:rsid w:val="00BC5A6F"/>
    <w:rsid w:val="00BC5AC9"/>
    <w:rsid w:val="00BC5B7A"/>
    <w:rsid w:val="00BC5E12"/>
    <w:rsid w:val="00BC5E2F"/>
    <w:rsid w:val="00BC5E3D"/>
    <w:rsid w:val="00BC5FDC"/>
    <w:rsid w:val="00BC6085"/>
    <w:rsid w:val="00BC60E7"/>
    <w:rsid w:val="00BC6125"/>
    <w:rsid w:val="00BC61CE"/>
    <w:rsid w:val="00BC6247"/>
    <w:rsid w:val="00BC626E"/>
    <w:rsid w:val="00BC62E7"/>
    <w:rsid w:val="00BC639D"/>
    <w:rsid w:val="00BC63C7"/>
    <w:rsid w:val="00BC64EC"/>
    <w:rsid w:val="00BC6616"/>
    <w:rsid w:val="00BC6744"/>
    <w:rsid w:val="00BC676B"/>
    <w:rsid w:val="00BC682E"/>
    <w:rsid w:val="00BC68A6"/>
    <w:rsid w:val="00BC68D8"/>
    <w:rsid w:val="00BC690C"/>
    <w:rsid w:val="00BC6AB2"/>
    <w:rsid w:val="00BC6AB4"/>
    <w:rsid w:val="00BC6AE0"/>
    <w:rsid w:val="00BC6B43"/>
    <w:rsid w:val="00BC6BD2"/>
    <w:rsid w:val="00BC6CA3"/>
    <w:rsid w:val="00BC6CC3"/>
    <w:rsid w:val="00BC6CC5"/>
    <w:rsid w:val="00BC6DD2"/>
    <w:rsid w:val="00BC6DF7"/>
    <w:rsid w:val="00BC6E32"/>
    <w:rsid w:val="00BC6F17"/>
    <w:rsid w:val="00BC6F3D"/>
    <w:rsid w:val="00BC6FBF"/>
    <w:rsid w:val="00BC70AA"/>
    <w:rsid w:val="00BC71B4"/>
    <w:rsid w:val="00BC71ED"/>
    <w:rsid w:val="00BC7407"/>
    <w:rsid w:val="00BC7424"/>
    <w:rsid w:val="00BC74C5"/>
    <w:rsid w:val="00BC7647"/>
    <w:rsid w:val="00BC767B"/>
    <w:rsid w:val="00BC7691"/>
    <w:rsid w:val="00BC77A6"/>
    <w:rsid w:val="00BC78C8"/>
    <w:rsid w:val="00BC7921"/>
    <w:rsid w:val="00BC7A8C"/>
    <w:rsid w:val="00BC7C1F"/>
    <w:rsid w:val="00BC7C90"/>
    <w:rsid w:val="00BC7D4D"/>
    <w:rsid w:val="00BC7D54"/>
    <w:rsid w:val="00BC7D72"/>
    <w:rsid w:val="00BD0086"/>
    <w:rsid w:val="00BD00D5"/>
    <w:rsid w:val="00BD029B"/>
    <w:rsid w:val="00BD0333"/>
    <w:rsid w:val="00BD03CA"/>
    <w:rsid w:val="00BD0426"/>
    <w:rsid w:val="00BD07D3"/>
    <w:rsid w:val="00BD081E"/>
    <w:rsid w:val="00BD099E"/>
    <w:rsid w:val="00BD09FB"/>
    <w:rsid w:val="00BD0A24"/>
    <w:rsid w:val="00BD0C7A"/>
    <w:rsid w:val="00BD0CA4"/>
    <w:rsid w:val="00BD0CF3"/>
    <w:rsid w:val="00BD0E19"/>
    <w:rsid w:val="00BD0E73"/>
    <w:rsid w:val="00BD102B"/>
    <w:rsid w:val="00BD1040"/>
    <w:rsid w:val="00BD10B4"/>
    <w:rsid w:val="00BD125A"/>
    <w:rsid w:val="00BD1273"/>
    <w:rsid w:val="00BD12F3"/>
    <w:rsid w:val="00BD1386"/>
    <w:rsid w:val="00BD14B1"/>
    <w:rsid w:val="00BD156D"/>
    <w:rsid w:val="00BD162C"/>
    <w:rsid w:val="00BD1635"/>
    <w:rsid w:val="00BD171F"/>
    <w:rsid w:val="00BD17E4"/>
    <w:rsid w:val="00BD180F"/>
    <w:rsid w:val="00BD18E8"/>
    <w:rsid w:val="00BD1965"/>
    <w:rsid w:val="00BD1A1E"/>
    <w:rsid w:val="00BD1A4B"/>
    <w:rsid w:val="00BD1B44"/>
    <w:rsid w:val="00BD1CAA"/>
    <w:rsid w:val="00BD1CBA"/>
    <w:rsid w:val="00BD1CE1"/>
    <w:rsid w:val="00BD1D0E"/>
    <w:rsid w:val="00BD1DF1"/>
    <w:rsid w:val="00BD1E4B"/>
    <w:rsid w:val="00BD1E76"/>
    <w:rsid w:val="00BD1E78"/>
    <w:rsid w:val="00BD1F01"/>
    <w:rsid w:val="00BD1F94"/>
    <w:rsid w:val="00BD212C"/>
    <w:rsid w:val="00BD2184"/>
    <w:rsid w:val="00BD21FE"/>
    <w:rsid w:val="00BD248C"/>
    <w:rsid w:val="00BD252F"/>
    <w:rsid w:val="00BD25F6"/>
    <w:rsid w:val="00BD268C"/>
    <w:rsid w:val="00BD26AF"/>
    <w:rsid w:val="00BD2C0E"/>
    <w:rsid w:val="00BD2CE6"/>
    <w:rsid w:val="00BD2D65"/>
    <w:rsid w:val="00BD2D6B"/>
    <w:rsid w:val="00BD310F"/>
    <w:rsid w:val="00BD3114"/>
    <w:rsid w:val="00BD3151"/>
    <w:rsid w:val="00BD31EE"/>
    <w:rsid w:val="00BD3281"/>
    <w:rsid w:val="00BD32B4"/>
    <w:rsid w:val="00BD3406"/>
    <w:rsid w:val="00BD35A2"/>
    <w:rsid w:val="00BD35D2"/>
    <w:rsid w:val="00BD3694"/>
    <w:rsid w:val="00BD375E"/>
    <w:rsid w:val="00BD389F"/>
    <w:rsid w:val="00BD38A8"/>
    <w:rsid w:val="00BD3991"/>
    <w:rsid w:val="00BD399B"/>
    <w:rsid w:val="00BD39B1"/>
    <w:rsid w:val="00BD3A49"/>
    <w:rsid w:val="00BD3A64"/>
    <w:rsid w:val="00BD3AFA"/>
    <w:rsid w:val="00BD3B46"/>
    <w:rsid w:val="00BD3B52"/>
    <w:rsid w:val="00BD3C19"/>
    <w:rsid w:val="00BD3CC5"/>
    <w:rsid w:val="00BD3D2A"/>
    <w:rsid w:val="00BD3D5B"/>
    <w:rsid w:val="00BD3E61"/>
    <w:rsid w:val="00BD3E8E"/>
    <w:rsid w:val="00BD3FA7"/>
    <w:rsid w:val="00BD3FE0"/>
    <w:rsid w:val="00BD4040"/>
    <w:rsid w:val="00BD40C0"/>
    <w:rsid w:val="00BD4164"/>
    <w:rsid w:val="00BD428B"/>
    <w:rsid w:val="00BD42A4"/>
    <w:rsid w:val="00BD43AF"/>
    <w:rsid w:val="00BD43DE"/>
    <w:rsid w:val="00BD4548"/>
    <w:rsid w:val="00BD462A"/>
    <w:rsid w:val="00BD46C8"/>
    <w:rsid w:val="00BD46D1"/>
    <w:rsid w:val="00BD4738"/>
    <w:rsid w:val="00BD4764"/>
    <w:rsid w:val="00BD47F8"/>
    <w:rsid w:val="00BD47FD"/>
    <w:rsid w:val="00BD4824"/>
    <w:rsid w:val="00BD488B"/>
    <w:rsid w:val="00BD4B2E"/>
    <w:rsid w:val="00BD4B9E"/>
    <w:rsid w:val="00BD4C0A"/>
    <w:rsid w:val="00BD4C2D"/>
    <w:rsid w:val="00BD4CAD"/>
    <w:rsid w:val="00BD4D52"/>
    <w:rsid w:val="00BD4EA2"/>
    <w:rsid w:val="00BD4EF9"/>
    <w:rsid w:val="00BD4F6A"/>
    <w:rsid w:val="00BD5007"/>
    <w:rsid w:val="00BD5023"/>
    <w:rsid w:val="00BD519C"/>
    <w:rsid w:val="00BD51A5"/>
    <w:rsid w:val="00BD5219"/>
    <w:rsid w:val="00BD5266"/>
    <w:rsid w:val="00BD5309"/>
    <w:rsid w:val="00BD536C"/>
    <w:rsid w:val="00BD54CB"/>
    <w:rsid w:val="00BD55A8"/>
    <w:rsid w:val="00BD55FC"/>
    <w:rsid w:val="00BD55FD"/>
    <w:rsid w:val="00BD56EB"/>
    <w:rsid w:val="00BD5943"/>
    <w:rsid w:val="00BD597D"/>
    <w:rsid w:val="00BD5988"/>
    <w:rsid w:val="00BD59C6"/>
    <w:rsid w:val="00BD59F6"/>
    <w:rsid w:val="00BD5B29"/>
    <w:rsid w:val="00BD5B68"/>
    <w:rsid w:val="00BD5B74"/>
    <w:rsid w:val="00BD5C5F"/>
    <w:rsid w:val="00BD5D57"/>
    <w:rsid w:val="00BD5DBF"/>
    <w:rsid w:val="00BD5FB2"/>
    <w:rsid w:val="00BD6102"/>
    <w:rsid w:val="00BD6206"/>
    <w:rsid w:val="00BD6261"/>
    <w:rsid w:val="00BD6293"/>
    <w:rsid w:val="00BD630C"/>
    <w:rsid w:val="00BD6436"/>
    <w:rsid w:val="00BD6543"/>
    <w:rsid w:val="00BD68EA"/>
    <w:rsid w:val="00BD6914"/>
    <w:rsid w:val="00BD6AE2"/>
    <w:rsid w:val="00BD6B04"/>
    <w:rsid w:val="00BD6B0A"/>
    <w:rsid w:val="00BD6B40"/>
    <w:rsid w:val="00BD6BF7"/>
    <w:rsid w:val="00BD6C26"/>
    <w:rsid w:val="00BD6DDA"/>
    <w:rsid w:val="00BD6EF9"/>
    <w:rsid w:val="00BD6F0E"/>
    <w:rsid w:val="00BD70CB"/>
    <w:rsid w:val="00BD717A"/>
    <w:rsid w:val="00BD71DA"/>
    <w:rsid w:val="00BD7268"/>
    <w:rsid w:val="00BD72B7"/>
    <w:rsid w:val="00BD74ED"/>
    <w:rsid w:val="00BD7632"/>
    <w:rsid w:val="00BD7648"/>
    <w:rsid w:val="00BD7653"/>
    <w:rsid w:val="00BD7654"/>
    <w:rsid w:val="00BD76B5"/>
    <w:rsid w:val="00BD7717"/>
    <w:rsid w:val="00BD7C87"/>
    <w:rsid w:val="00BD7CE4"/>
    <w:rsid w:val="00BD7EBF"/>
    <w:rsid w:val="00BD7F89"/>
    <w:rsid w:val="00BE0084"/>
    <w:rsid w:val="00BE00A3"/>
    <w:rsid w:val="00BE00DF"/>
    <w:rsid w:val="00BE0136"/>
    <w:rsid w:val="00BE01C0"/>
    <w:rsid w:val="00BE01FB"/>
    <w:rsid w:val="00BE0220"/>
    <w:rsid w:val="00BE023A"/>
    <w:rsid w:val="00BE02BD"/>
    <w:rsid w:val="00BE0364"/>
    <w:rsid w:val="00BE0412"/>
    <w:rsid w:val="00BE04FB"/>
    <w:rsid w:val="00BE05A2"/>
    <w:rsid w:val="00BE05EE"/>
    <w:rsid w:val="00BE05F9"/>
    <w:rsid w:val="00BE084B"/>
    <w:rsid w:val="00BE089D"/>
    <w:rsid w:val="00BE08AB"/>
    <w:rsid w:val="00BE08F6"/>
    <w:rsid w:val="00BE0905"/>
    <w:rsid w:val="00BE0906"/>
    <w:rsid w:val="00BE0953"/>
    <w:rsid w:val="00BE0A77"/>
    <w:rsid w:val="00BE0A8B"/>
    <w:rsid w:val="00BE0D13"/>
    <w:rsid w:val="00BE0D1B"/>
    <w:rsid w:val="00BE0DA4"/>
    <w:rsid w:val="00BE0E72"/>
    <w:rsid w:val="00BE0E94"/>
    <w:rsid w:val="00BE1180"/>
    <w:rsid w:val="00BE12D0"/>
    <w:rsid w:val="00BE1367"/>
    <w:rsid w:val="00BE143D"/>
    <w:rsid w:val="00BE1558"/>
    <w:rsid w:val="00BE1608"/>
    <w:rsid w:val="00BE171A"/>
    <w:rsid w:val="00BE1834"/>
    <w:rsid w:val="00BE189C"/>
    <w:rsid w:val="00BE1978"/>
    <w:rsid w:val="00BE19BC"/>
    <w:rsid w:val="00BE19EC"/>
    <w:rsid w:val="00BE1A3E"/>
    <w:rsid w:val="00BE1A6B"/>
    <w:rsid w:val="00BE1A85"/>
    <w:rsid w:val="00BE1AC1"/>
    <w:rsid w:val="00BE1B9A"/>
    <w:rsid w:val="00BE1BF6"/>
    <w:rsid w:val="00BE1C60"/>
    <w:rsid w:val="00BE1C74"/>
    <w:rsid w:val="00BE1DA7"/>
    <w:rsid w:val="00BE1E4C"/>
    <w:rsid w:val="00BE1FA7"/>
    <w:rsid w:val="00BE2106"/>
    <w:rsid w:val="00BE23A5"/>
    <w:rsid w:val="00BE23A9"/>
    <w:rsid w:val="00BE24F1"/>
    <w:rsid w:val="00BE25F7"/>
    <w:rsid w:val="00BE2674"/>
    <w:rsid w:val="00BE268F"/>
    <w:rsid w:val="00BE26CA"/>
    <w:rsid w:val="00BE27C0"/>
    <w:rsid w:val="00BE286F"/>
    <w:rsid w:val="00BE2895"/>
    <w:rsid w:val="00BE29A8"/>
    <w:rsid w:val="00BE2B61"/>
    <w:rsid w:val="00BE2DCA"/>
    <w:rsid w:val="00BE2EB3"/>
    <w:rsid w:val="00BE3087"/>
    <w:rsid w:val="00BE3382"/>
    <w:rsid w:val="00BE33A0"/>
    <w:rsid w:val="00BE3477"/>
    <w:rsid w:val="00BE3536"/>
    <w:rsid w:val="00BE356B"/>
    <w:rsid w:val="00BE3699"/>
    <w:rsid w:val="00BE36C4"/>
    <w:rsid w:val="00BE376A"/>
    <w:rsid w:val="00BE3823"/>
    <w:rsid w:val="00BE3898"/>
    <w:rsid w:val="00BE39AC"/>
    <w:rsid w:val="00BE39E3"/>
    <w:rsid w:val="00BE3A1C"/>
    <w:rsid w:val="00BE3AE6"/>
    <w:rsid w:val="00BE3C5D"/>
    <w:rsid w:val="00BE3C7A"/>
    <w:rsid w:val="00BE3F32"/>
    <w:rsid w:val="00BE41EE"/>
    <w:rsid w:val="00BE43CF"/>
    <w:rsid w:val="00BE4429"/>
    <w:rsid w:val="00BE4744"/>
    <w:rsid w:val="00BE4813"/>
    <w:rsid w:val="00BE492D"/>
    <w:rsid w:val="00BE4A9A"/>
    <w:rsid w:val="00BE4C69"/>
    <w:rsid w:val="00BE4D67"/>
    <w:rsid w:val="00BE4E4A"/>
    <w:rsid w:val="00BE4FB1"/>
    <w:rsid w:val="00BE501E"/>
    <w:rsid w:val="00BE501F"/>
    <w:rsid w:val="00BE5028"/>
    <w:rsid w:val="00BE50D3"/>
    <w:rsid w:val="00BE5227"/>
    <w:rsid w:val="00BE52B5"/>
    <w:rsid w:val="00BE52E9"/>
    <w:rsid w:val="00BE54DB"/>
    <w:rsid w:val="00BE554B"/>
    <w:rsid w:val="00BE564A"/>
    <w:rsid w:val="00BE5659"/>
    <w:rsid w:val="00BE5660"/>
    <w:rsid w:val="00BE58FC"/>
    <w:rsid w:val="00BE59D1"/>
    <w:rsid w:val="00BE59D4"/>
    <w:rsid w:val="00BE59EB"/>
    <w:rsid w:val="00BE5A02"/>
    <w:rsid w:val="00BE5AC4"/>
    <w:rsid w:val="00BE5D68"/>
    <w:rsid w:val="00BE5E52"/>
    <w:rsid w:val="00BE5E66"/>
    <w:rsid w:val="00BE5E75"/>
    <w:rsid w:val="00BE5FAA"/>
    <w:rsid w:val="00BE5FDD"/>
    <w:rsid w:val="00BE61B4"/>
    <w:rsid w:val="00BE61E2"/>
    <w:rsid w:val="00BE62E7"/>
    <w:rsid w:val="00BE633E"/>
    <w:rsid w:val="00BE6353"/>
    <w:rsid w:val="00BE63ED"/>
    <w:rsid w:val="00BE6414"/>
    <w:rsid w:val="00BE6453"/>
    <w:rsid w:val="00BE647D"/>
    <w:rsid w:val="00BE64D3"/>
    <w:rsid w:val="00BE6582"/>
    <w:rsid w:val="00BE66B1"/>
    <w:rsid w:val="00BE696D"/>
    <w:rsid w:val="00BE697D"/>
    <w:rsid w:val="00BE698F"/>
    <w:rsid w:val="00BE6A42"/>
    <w:rsid w:val="00BE6B0B"/>
    <w:rsid w:val="00BE6B5D"/>
    <w:rsid w:val="00BE6BD4"/>
    <w:rsid w:val="00BE6BEF"/>
    <w:rsid w:val="00BE6D51"/>
    <w:rsid w:val="00BE6D8A"/>
    <w:rsid w:val="00BE6DF0"/>
    <w:rsid w:val="00BE6E15"/>
    <w:rsid w:val="00BE6E4D"/>
    <w:rsid w:val="00BE6E70"/>
    <w:rsid w:val="00BE6F60"/>
    <w:rsid w:val="00BE6F67"/>
    <w:rsid w:val="00BE6FD8"/>
    <w:rsid w:val="00BE7046"/>
    <w:rsid w:val="00BE709F"/>
    <w:rsid w:val="00BE7133"/>
    <w:rsid w:val="00BE7328"/>
    <w:rsid w:val="00BE7408"/>
    <w:rsid w:val="00BE7434"/>
    <w:rsid w:val="00BE74B6"/>
    <w:rsid w:val="00BE74C2"/>
    <w:rsid w:val="00BE74D7"/>
    <w:rsid w:val="00BE750A"/>
    <w:rsid w:val="00BE756D"/>
    <w:rsid w:val="00BE7627"/>
    <w:rsid w:val="00BE7642"/>
    <w:rsid w:val="00BE7673"/>
    <w:rsid w:val="00BE791B"/>
    <w:rsid w:val="00BE79A0"/>
    <w:rsid w:val="00BE7A1E"/>
    <w:rsid w:val="00BE7B24"/>
    <w:rsid w:val="00BE7B43"/>
    <w:rsid w:val="00BE7BB4"/>
    <w:rsid w:val="00BE7C65"/>
    <w:rsid w:val="00BE7CFD"/>
    <w:rsid w:val="00BE7D21"/>
    <w:rsid w:val="00BE7F2B"/>
    <w:rsid w:val="00BE7F4A"/>
    <w:rsid w:val="00BF00C2"/>
    <w:rsid w:val="00BF012E"/>
    <w:rsid w:val="00BF0152"/>
    <w:rsid w:val="00BF0155"/>
    <w:rsid w:val="00BF02DC"/>
    <w:rsid w:val="00BF034D"/>
    <w:rsid w:val="00BF0397"/>
    <w:rsid w:val="00BF0456"/>
    <w:rsid w:val="00BF050F"/>
    <w:rsid w:val="00BF05B5"/>
    <w:rsid w:val="00BF064E"/>
    <w:rsid w:val="00BF085D"/>
    <w:rsid w:val="00BF0938"/>
    <w:rsid w:val="00BF094E"/>
    <w:rsid w:val="00BF09B5"/>
    <w:rsid w:val="00BF09D2"/>
    <w:rsid w:val="00BF0A0E"/>
    <w:rsid w:val="00BF0B32"/>
    <w:rsid w:val="00BF0B95"/>
    <w:rsid w:val="00BF0BAD"/>
    <w:rsid w:val="00BF0C31"/>
    <w:rsid w:val="00BF0CC3"/>
    <w:rsid w:val="00BF10C8"/>
    <w:rsid w:val="00BF1123"/>
    <w:rsid w:val="00BF1142"/>
    <w:rsid w:val="00BF1144"/>
    <w:rsid w:val="00BF12D8"/>
    <w:rsid w:val="00BF130D"/>
    <w:rsid w:val="00BF1314"/>
    <w:rsid w:val="00BF1439"/>
    <w:rsid w:val="00BF14C3"/>
    <w:rsid w:val="00BF14D4"/>
    <w:rsid w:val="00BF1510"/>
    <w:rsid w:val="00BF152A"/>
    <w:rsid w:val="00BF1716"/>
    <w:rsid w:val="00BF176E"/>
    <w:rsid w:val="00BF18FF"/>
    <w:rsid w:val="00BF1A15"/>
    <w:rsid w:val="00BF1A70"/>
    <w:rsid w:val="00BF1A76"/>
    <w:rsid w:val="00BF1A9D"/>
    <w:rsid w:val="00BF1B06"/>
    <w:rsid w:val="00BF1D63"/>
    <w:rsid w:val="00BF1EC5"/>
    <w:rsid w:val="00BF1F1A"/>
    <w:rsid w:val="00BF1F1E"/>
    <w:rsid w:val="00BF2102"/>
    <w:rsid w:val="00BF218C"/>
    <w:rsid w:val="00BF21AF"/>
    <w:rsid w:val="00BF21BD"/>
    <w:rsid w:val="00BF23DE"/>
    <w:rsid w:val="00BF23E4"/>
    <w:rsid w:val="00BF23FF"/>
    <w:rsid w:val="00BF248F"/>
    <w:rsid w:val="00BF249F"/>
    <w:rsid w:val="00BF2531"/>
    <w:rsid w:val="00BF2648"/>
    <w:rsid w:val="00BF265F"/>
    <w:rsid w:val="00BF2688"/>
    <w:rsid w:val="00BF27A1"/>
    <w:rsid w:val="00BF27B3"/>
    <w:rsid w:val="00BF27FD"/>
    <w:rsid w:val="00BF2A61"/>
    <w:rsid w:val="00BF2ADD"/>
    <w:rsid w:val="00BF2BBD"/>
    <w:rsid w:val="00BF2C6E"/>
    <w:rsid w:val="00BF2CF9"/>
    <w:rsid w:val="00BF2E8F"/>
    <w:rsid w:val="00BF2F4B"/>
    <w:rsid w:val="00BF3005"/>
    <w:rsid w:val="00BF3029"/>
    <w:rsid w:val="00BF3049"/>
    <w:rsid w:val="00BF30FB"/>
    <w:rsid w:val="00BF326B"/>
    <w:rsid w:val="00BF336C"/>
    <w:rsid w:val="00BF34EA"/>
    <w:rsid w:val="00BF364F"/>
    <w:rsid w:val="00BF37AF"/>
    <w:rsid w:val="00BF37E9"/>
    <w:rsid w:val="00BF3834"/>
    <w:rsid w:val="00BF3859"/>
    <w:rsid w:val="00BF3926"/>
    <w:rsid w:val="00BF39E0"/>
    <w:rsid w:val="00BF3A36"/>
    <w:rsid w:val="00BF3B43"/>
    <w:rsid w:val="00BF3B95"/>
    <w:rsid w:val="00BF3D04"/>
    <w:rsid w:val="00BF3D74"/>
    <w:rsid w:val="00BF3DC0"/>
    <w:rsid w:val="00BF3E5F"/>
    <w:rsid w:val="00BF3E68"/>
    <w:rsid w:val="00BF3EA4"/>
    <w:rsid w:val="00BF403C"/>
    <w:rsid w:val="00BF40EC"/>
    <w:rsid w:val="00BF41D5"/>
    <w:rsid w:val="00BF4267"/>
    <w:rsid w:val="00BF43A6"/>
    <w:rsid w:val="00BF43AD"/>
    <w:rsid w:val="00BF44F1"/>
    <w:rsid w:val="00BF4604"/>
    <w:rsid w:val="00BF4770"/>
    <w:rsid w:val="00BF47C7"/>
    <w:rsid w:val="00BF4863"/>
    <w:rsid w:val="00BF48D0"/>
    <w:rsid w:val="00BF48D1"/>
    <w:rsid w:val="00BF48D8"/>
    <w:rsid w:val="00BF48F0"/>
    <w:rsid w:val="00BF498B"/>
    <w:rsid w:val="00BF4BBE"/>
    <w:rsid w:val="00BF4C82"/>
    <w:rsid w:val="00BF4D36"/>
    <w:rsid w:val="00BF4E5C"/>
    <w:rsid w:val="00BF4E96"/>
    <w:rsid w:val="00BF4EB8"/>
    <w:rsid w:val="00BF4F2C"/>
    <w:rsid w:val="00BF5027"/>
    <w:rsid w:val="00BF5052"/>
    <w:rsid w:val="00BF505E"/>
    <w:rsid w:val="00BF5083"/>
    <w:rsid w:val="00BF5189"/>
    <w:rsid w:val="00BF5233"/>
    <w:rsid w:val="00BF53BB"/>
    <w:rsid w:val="00BF53EA"/>
    <w:rsid w:val="00BF5504"/>
    <w:rsid w:val="00BF57B0"/>
    <w:rsid w:val="00BF582F"/>
    <w:rsid w:val="00BF58D2"/>
    <w:rsid w:val="00BF58EC"/>
    <w:rsid w:val="00BF5911"/>
    <w:rsid w:val="00BF59C2"/>
    <w:rsid w:val="00BF5A10"/>
    <w:rsid w:val="00BF5B2B"/>
    <w:rsid w:val="00BF5BC1"/>
    <w:rsid w:val="00BF5C95"/>
    <w:rsid w:val="00BF5D3F"/>
    <w:rsid w:val="00BF5DCF"/>
    <w:rsid w:val="00BF5E84"/>
    <w:rsid w:val="00BF5FAB"/>
    <w:rsid w:val="00BF5FFE"/>
    <w:rsid w:val="00BF606A"/>
    <w:rsid w:val="00BF6093"/>
    <w:rsid w:val="00BF60A5"/>
    <w:rsid w:val="00BF615D"/>
    <w:rsid w:val="00BF62CB"/>
    <w:rsid w:val="00BF62FB"/>
    <w:rsid w:val="00BF64A3"/>
    <w:rsid w:val="00BF64FA"/>
    <w:rsid w:val="00BF68AC"/>
    <w:rsid w:val="00BF6A7F"/>
    <w:rsid w:val="00BF6B50"/>
    <w:rsid w:val="00BF6D67"/>
    <w:rsid w:val="00BF6E08"/>
    <w:rsid w:val="00BF6F69"/>
    <w:rsid w:val="00BF70D1"/>
    <w:rsid w:val="00BF710E"/>
    <w:rsid w:val="00BF711E"/>
    <w:rsid w:val="00BF7157"/>
    <w:rsid w:val="00BF718F"/>
    <w:rsid w:val="00BF71BC"/>
    <w:rsid w:val="00BF71C5"/>
    <w:rsid w:val="00BF7310"/>
    <w:rsid w:val="00BF7406"/>
    <w:rsid w:val="00BF74A9"/>
    <w:rsid w:val="00BF74C1"/>
    <w:rsid w:val="00BF7629"/>
    <w:rsid w:val="00BF7879"/>
    <w:rsid w:val="00BF78D2"/>
    <w:rsid w:val="00BF790C"/>
    <w:rsid w:val="00BF7A1B"/>
    <w:rsid w:val="00BF7C90"/>
    <w:rsid w:val="00BF7D31"/>
    <w:rsid w:val="00BF7D43"/>
    <w:rsid w:val="00BF7E09"/>
    <w:rsid w:val="00BF7E96"/>
    <w:rsid w:val="00BF7F64"/>
    <w:rsid w:val="00C00021"/>
    <w:rsid w:val="00C00035"/>
    <w:rsid w:val="00C0007E"/>
    <w:rsid w:val="00C000AC"/>
    <w:rsid w:val="00C00184"/>
    <w:rsid w:val="00C0022A"/>
    <w:rsid w:val="00C00254"/>
    <w:rsid w:val="00C00524"/>
    <w:rsid w:val="00C005AB"/>
    <w:rsid w:val="00C005B1"/>
    <w:rsid w:val="00C005E4"/>
    <w:rsid w:val="00C00632"/>
    <w:rsid w:val="00C00652"/>
    <w:rsid w:val="00C0082A"/>
    <w:rsid w:val="00C0089C"/>
    <w:rsid w:val="00C00A90"/>
    <w:rsid w:val="00C00BED"/>
    <w:rsid w:val="00C00C8A"/>
    <w:rsid w:val="00C00CBB"/>
    <w:rsid w:val="00C00CE8"/>
    <w:rsid w:val="00C00DEB"/>
    <w:rsid w:val="00C00E81"/>
    <w:rsid w:val="00C01053"/>
    <w:rsid w:val="00C010C1"/>
    <w:rsid w:val="00C010F2"/>
    <w:rsid w:val="00C011B6"/>
    <w:rsid w:val="00C0129E"/>
    <w:rsid w:val="00C0142F"/>
    <w:rsid w:val="00C01595"/>
    <w:rsid w:val="00C015B4"/>
    <w:rsid w:val="00C0161D"/>
    <w:rsid w:val="00C016B9"/>
    <w:rsid w:val="00C01877"/>
    <w:rsid w:val="00C01AAC"/>
    <w:rsid w:val="00C01AF1"/>
    <w:rsid w:val="00C01F76"/>
    <w:rsid w:val="00C01F83"/>
    <w:rsid w:val="00C01FE5"/>
    <w:rsid w:val="00C02004"/>
    <w:rsid w:val="00C02045"/>
    <w:rsid w:val="00C02100"/>
    <w:rsid w:val="00C021C9"/>
    <w:rsid w:val="00C0224C"/>
    <w:rsid w:val="00C02263"/>
    <w:rsid w:val="00C0236D"/>
    <w:rsid w:val="00C02489"/>
    <w:rsid w:val="00C02581"/>
    <w:rsid w:val="00C025EC"/>
    <w:rsid w:val="00C025FF"/>
    <w:rsid w:val="00C02625"/>
    <w:rsid w:val="00C02734"/>
    <w:rsid w:val="00C0284E"/>
    <w:rsid w:val="00C0287A"/>
    <w:rsid w:val="00C02AEC"/>
    <w:rsid w:val="00C02B20"/>
    <w:rsid w:val="00C02D11"/>
    <w:rsid w:val="00C02DBB"/>
    <w:rsid w:val="00C02E18"/>
    <w:rsid w:val="00C02E83"/>
    <w:rsid w:val="00C02F6E"/>
    <w:rsid w:val="00C03022"/>
    <w:rsid w:val="00C03034"/>
    <w:rsid w:val="00C0303E"/>
    <w:rsid w:val="00C03043"/>
    <w:rsid w:val="00C03079"/>
    <w:rsid w:val="00C032AD"/>
    <w:rsid w:val="00C0357A"/>
    <w:rsid w:val="00C0374F"/>
    <w:rsid w:val="00C038AF"/>
    <w:rsid w:val="00C03921"/>
    <w:rsid w:val="00C03ABC"/>
    <w:rsid w:val="00C03B63"/>
    <w:rsid w:val="00C03D09"/>
    <w:rsid w:val="00C03E89"/>
    <w:rsid w:val="00C03EF7"/>
    <w:rsid w:val="00C03FA4"/>
    <w:rsid w:val="00C040CE"/>
    <w:rsid w:val="00C041A2"/>
    <w:rsid w:val="00C041B8"/>
    <w:rsid w:val="00C042B7"/>
    <w:rsid w:val="00C0438F"/>
    <w:rsid w:val="00C04486"/>
    <w:rsid w:val="00C04502"/>
    <w:rsid w:val="00C04507"/>
    <w:rsid w:val="00C04533"/>
    <w:rsid w:val="00C04712"/>
    <w:rsid w:val="00C04726"/>
    <w:rsid w:val="00C047F5"/>
    <w:rsid w:val="00C0487E"/>
    <w:rsid w:val="00C0497F"/>
    <w:rsid w:val="00C049B7"/>
    <w:rsid w:val="00C04A32"/>
    <w:rsid w:val="00C04A5B"/>
    <w:rsid w:val="00C04D63"/>
    <w:rsid w:val="00C04D65"/>
    <w:rsid w:val="00C04F05"/>
    <w:rsid w:val="00C04F6F"/>
    <w:rsid w:val="00C051BD"/>
    <w:rsid w:val="00C05203"/>
    <w:rsid w:val="00C05225"/>
    <w:rsid w:val="00C053B6"/>
    <w:rsid w:val="00C0540B"/>
    <w:rsid w:val="00C0544B"/>
    <w:rsid w:val="00C05540"/>
    <w:rsid w:val="00C0584F"/>
    <w:rsid w:val="00C05947"/>
    <w:rsid w:val="00C059A2"/>
    <w:rsid w:val="00C05A09"/>
    <w:rsid w:val="00C05A62"/>
    <w:rsid w:val="00C05B90"/>
    <w:rsid w:val="00C05D1C"/>
    <w:rsid w:val="00C05DA9"/>
    <w:rsid w:val="00C05EC4"/>
    <w:rsid w:val="00C05EEE"/>
    <w:rsid w:val="00C05F8B"/>
    <w:rsid w:val="00C06074"/>
    <w:rsid w:val="00C060E2"/>
    <w:rsid w:val="00C06248"/>
    <w:rsid w:val="00C0625D"/>
    <w:rsid w:val="00C0628C"/>
    <w:rsid w:val="00C062ED"/>
    <w:rsid w:val="00C063BD"/>
    <w:rsid w:val="00C06552"/>
    <w:rsid w:val="00C06649"/>
    <w:rsid w:val="00C066C2"/>
    <w:rsid w:val="00C067D0"/>
    <w:rsid w:val="00C0689D"/>
    <w:rsid w:val="00C06B86"/>
    <w:rsid w:val="00C06B9D"/>
    <w:rsid w:val="00C06BCE"/>
    <w:rsid w:val="00C06C90"/>
    <w:rsid w:val="00C06D82"/>
    <w:rsid w:val="00C06DB1"/>
    <w:rsid w:val="00C06E47"/>
    <w:rsid w:val="00C06F0C"/>
    <w:rsid w:val="00C06FAF"/>
    <w:rsid w:val="00C06FCA"/>
    <w:rsid w:val="00C06FD5"/>
    <w:rsid w:val="00C07027"/>
    <w:rsid w:val="00C07200"/>
    <w:rsid w:val="00C07261"/>
    <w:rsid w:val="00C0736B"/>
    <w:rsid w:val="00C07527"/>
    <w:rsid w:val="00C07573"/>
    <w:rsid w:val="00C075C1"/>
    <w:rsid w:val="00C07650"/>
    <w:rsid w:val="00C076E4"/>
    <w:rsid w:val="00C07742"/>
    <w:rsid w:val="00C07784"/>
    <w:rsid w:val="00C077BE"/>
    <w:rsid w:val="00C078DF"/>
    <w:rsid w:val="00C0794E"/>
    <w:rsid w:val="00C0797A"/>
    <w:rsid w:val="00C07A0E"/>
    <w:rsid w:val="00C07A76"/>
    <w:rsid w:val="00C07ACF"/>
    <w:rsid w:val="00C07AD9"/>
    <w:rsid w:val="00C07C56"/>
    <w:rsid w:val="00C07DFD"/>
    <w:rsid w:val="00C07EEA"/>
    <w:rsid w:val="00C07F24"/>
    <w:rsid w:val="00C07F94"/>
    <w:rsid w:val="00C10016"/>
    <w:rsid w:val="00C101C1"/>
    <w:rsid w:val="00C10250"/>
    <w:rsid w:val="00C1028D"/>
    <w:rsid w:val="00C10335"/>
    <w:rsid w:val="00C1038F"/>
    <w:rsid w:val="00C10625"/>
    <w:rsid w:val="00C10685"/>
    <w:rsid w:val="00C10777"/>
    <w:rsid w:val="00C108B0"/>
    <w:rsid w:val="00C108C6"/>
    <w:rsid w:val="00C1090B"/>
    <w:rsid w:val="00C10932"/>
    <w:rsid w:val="00C109ED"/>
    <w:rsid w:val="00C10A8C"/>
    <w:rsid w:val="00C10B96"/>
    <w:rsid w:val="00C10C26"/>
    <w:rsid w:val="00C10D2A"/>
    <w:rsid w:val="00C11026"/>
    <w:rsid w:val="00C110A5"/>
    <w:rsid w:val="00C111A0"/>
    <w:rsid w:val="00C111F4"/>
    <w:rsid w:val="00C112E0"/>
    <w:rsid w:val="00C11385"/>
    <w:rsid w:val="00C113C9"/>
    <w:rsid w:val="00C11506"/>
    <w:rsid w:val="00C11605"/>
    <w:rsid w:val="00C11649"/>
    <w:rsid w:val="00C11669"/>
    <w:rsid w:val="00C116EB"/>
    <w:rsid w:val="00C119B7"/>
    <w:rsid w:val="00C11A02"/>
    <w:rsid w:val="00C11B35"/>
    <w:rsid w:val="00C11C10"/>
    <w:rsid w:val="00C11C30"/>
    <w:rsid w:val="00C11D18"/>
    <w:rsid w:val="00C11EF3"/>
    <w:rsid w:val="00C11F09"/>
    <w:rsid w:val="00C11FB0"/>
    <w:rsid w:val="00C11FF3"/>
    <w:rsid w:val="00C12029"/>
    <w:rsid w:val="00C12032"/>
    <w:rsid w:val="00C1214D"/>
    <w:rsid w:val="00C1218A"/>
    <w:rsid w:val="00C12200"/>
    <w:rsid w:val="00C122DF"/>
    <w:rsid w:val="00C122F5"/>
    <w:rsid w:val="00C12304"/>
    <w:rsid w:val="00C1243A"/>
    <w:rsid w:val="00C12587"/>
    <w:rsid w:val="00C125CA"/>
    <w:rsid w:val="00C12692"/>
    <w:rsid w:val="00C126A6"/>
    <w:rsid w:val="00C127F0"/>
    <w:rsid w:val="00C12871"/>
    <w:rsid w:val="00C12A73"/>
    <w:rsid w:val="00C12BCE"/>
    <w:rsid w:val="00C12BEB"/>
    <w:rsid w:val="00C12BFA"/>
    <w:rsid w:val="00C12C1B"/>
    <w:rsid w:val="00C12C51"/>
    <w:rsid w:val="00C12D28"/>
    <w:rsid w:val="00C12E3F"/>
    <w:rsid w:val="00C12E85"/>
    <w:rsid w:val="00C12FE2"/>
    <w:rsid w:val="00C1309D"/>
    <w:rsid w:val="00C131D8"/>
    <w:rsid w:val="00C13205"/>
    <w:rsid w:val="00C13311"/>
    <w:rsid w:val="00C13330"/>
    <w:rsid w:val="00C13334"/>
    <w:rsid w:val="00C13368"/>
    <w:rsid w:val="00C1338D"/>
    <w:rsid w:val="00C133A1"/>
    <w:rsid w:val="00C133D1"/>
    <w:rsid w:val="00C1352F"/>
    <w:rsid w:val="00C135CD"/>
    <w:rsid w:val="00C13640"/>
    <w:rsid w:val="00C136AC"/>
    <w:rsid w:val="00C136AF"/>
    <w:rsid w:val="00C136C4"/>
    <w:rsid w:val="00C136C9"/>
    <w:rsid w:val="00C13909"/>
    <w:rsid w:val="00C1394F"/>
    <w:rsid w:val="00C13975"/>
    <w:rsid w:val="00C139AB"/>
    <w:rsid w:val="00C139E2"/>
    <w:rsid w:val="00C13A2F"/>
    <w:rsid w:val="00C13B39"/>
    <w:rsid w:val="00C13B8A"/>
    <w:rsid w:val="00C13C7F"/>
    <w:rsid w:val="00C13D58"/>
    <w:rsid w:val="00C13DF4"/>
    <w:rsid w:val="00C13E91"/>
    <w:rsid w:val="00C13F72"/>
    <w:rsid w:val="00C13F9C"/>
    <w:rsid w:val="00C13FC9"/>
    <w:rsid w:val="00C13FF2"/>
    <w:rsid w:val="00C1402A"/>
    <w:rsid w:val="00C1403C"/>
    <w:rsid w:val="00C14068"/>
    <w:rsid w:val="00C140AD"/>
    <w:rsid w:val="00C1422A"/>
    <w:rsid w:val="00C142BF"/>
    <w:rsid w:val="00C14325"/>
    <w:rsid w:val="00C14387"/>
    <w:rsid w:val="00C14493"/>
    <w:rsid w:val="00C14688"/>
    <w:rsid w:val="00C146CC"/>
    <w:rsid w:val="00C148BF"/>
    <w:rsid w:val="00C1492A"/>
    <w:rsid w:val="00C1494E"/>
    <w:rsid w:val="00C14ACA"/>
    <w:rsid w:val="00C14AEC"/>
    <w:rsid w:val="00C14BCD"/>
    <w:rsid w:val="00C14BE7"/>
    <w:rsid w:val="00C14BF7"/>
    <w:rsid w:val="00C14D43"/>
    <w:rsid w:val="00C14EDE"/>
    <w:rsid w:val="00C14F14"/>
    <w:rsid w:val="00C14FF4"/>
    <w:rsid w:val="00C15017"/>
    <w:rsid w:val="00C1507A"/>
    <w:rsid w:val="00C1515F"/>
    <w:rsid w:val="00C15184"/>
    <w:rsid w:val="00C152FE"/>
    <w:rsid w:val="00C1532E"/>
    <w:rsid w:val="00C1538D"/>
    <w:rsid w:val="00C15552"/>
    <w:rsid w:val="00C1564E"/>
    <w:rsid w:val="00C157C8"/>
    <w:rsid w:val="00C1588B"/>
    <w:rsid w:val="00C158A9"/>
    <w:rsid w:val="00C158D8"/>
    <w:rsid w:val="00C158EF"/>
    <w:rsid w:val="00C15922"/>
    <w:rsid w:val="00C1596A"/>
    <w:rsid w:val="00C15A6A"/>
    <w:rsid w:val="00C15C0E"/>
    <w:rsid w:val="00C15CB9"/>
    <w:rsid w:val="00C15D63"/>
    <w:rsid w:val="00C15D90"/>
    <w:rsid w:val="00C1614A"/>
    <w:rsid w:val="00C161AB"/>
    <w:rsid w:val="00C16233"/>
    <w:rsid w:val="00C16337"/>
    <w:rsid w:val="00C16539"/>
    <w:rsid w:val="00C16586"/>
    <w:rsid w:val="00C165E8"/>
    <w:rsid w:val="00C16824"/>
    <w:rsid w:val="00C169B3"/>
    <w:rsid w:val="00C16AAF"/>
    <w:rsid w:val="00C16ABC"/>
    <w:rsid w:val="00C16AEB"/>
    <w:rsid w:val="00C16C45"/>
    <w:rsid w:val="00C16F01"/>
    <w:rsid w:val="00C16F46"/>
    <w:rsid w:val="00C170CE"/>
    <w:rsid w:val="00C17126"/>
    <w:rsid w:val="00C17578"/>
    <w:rsid w:val="00C17613"/>
    <w:rsid w:val="00C176C9"/>
    <w:rsid w:val="00C1785B"/>
    <w:rsid w:val="00C178ED"/>
    <w:rsid w:val="00C17903"/>
    <w:rsid w:val="00C179DA"/>
    <w:rsid w:val="00C17B3C"/>
    <w:rsid w:val="00C17ED0"/>
    <w:rsid w:val="00C17F32"/>
    <w:rsid w:val="00C17FD4"/>
    <w:rsid w:val="00C201E3"/>
    <w:rsid w:val="00C201F6"/>
    <w:rsid w:val="00C202C2"/>
    <w:rsid w:val="00C203A6"/>
    <w:rsid w:val="00C20628"/>
    <w:rsid w:val="00C2075F"/>
    <w:rsid w:val="00C208D0"/>
    <w:rsid w:val="00C20A78"/>
    <w:rsid w:val="00C20AD9"/>
    <w:rsid w:val="00C20AE7"/>
    <w:rsid w:val="00C20B12"/>
    <w:rsid w:val="00C20F95"/>
    <w:rsid w:val="00C20FA8"/>
    <w:rsid w:val="00C21067"/>
    <w:rsid w:val="00C210C4"/>
    <w:rsid w:val="00C21166"/>
    <w:rsid w:val="00C212E8"/>
    <w:rsid w:val="00C21340"/>
    <w:rsid w:val="00C2142E"/>
    <w:rsid w:val="00C2154F"/>
    <w:rsid w:val="00C215B8"/>
    <w:rsid w:val="00C21724"/>
    <w:rsid w:val="00C21777"/>
    <w:rsid w:val="00C217E2"/>
    <w:rsid w:val="00C217FB"/>
    <w:rsid w:val="00C21865"/>
    <w:rsid w:val="00C21A5E"/>
    <w:rsid w:val="00C21A6C"/>
    <w:rsid w:val="00C21B02"/>
    <w:rsid w:val="00C21B32"/>
    <w:rsid w:val="00C21B49"/>
    <w:rsid w:val="00C21B70"/>
    <w:rsid w:val="00C21CA3"/>
    <w:rsid w:val="00C21D5C"/>
    <w:rsid w:val="00C21D6D"/>
    <w:rsid w:val="00C21E18"/>
    <w:rsid w:val="00C21FAE"/>
    <w:rsid w:val="00C22065"/>
    <w:rsid w:val="00C222F2"/>
    <w:rsid w:val="00C223B0"/>
    <w:rsid w:val="00C223B6"/>
    <w:rsid w:val="00C2266A"/>
    <w:rsid w:val="00C22857"/>
    <w:rsid w:val="00C2296C"/>
    <w:rsid w:val="00C229C1"/>
    <w:rsid w:val="00C22A5E"/>
    <w:rsid w:val="00C22BAF"/>
    <w:rsid w:val="00C22BC8"/>
    <w:rsid w:val="00C22BF9"/>
    <w:rsid w:val="00C22D5B"/>
    <w:rsid w:val="00C22EDE"/>
    <w:rsid w:val="00C22F51"/>
    <w:rsid w:val="00C23042"/>
    <w:rsid w:val="00C230ED"/>
    <w:rsid w:val="00C23101"/>
    <w:rsid w:val="00C231C4"/>
    <w:rsid w:val="00C23327"/>
    <w:rsid w:val="00C2345B"/>
    <w:rsid w:val="00C23477"/>
    <w:rsid w:val="00C234ED"/>
    <w:rsid w:val="00C23518"/>
    <w:rsid w:val="00C235DD"/>
    <w:rsid w:val="00C236BB"/>
    <w:rsid w:val="00C236DC"/>
    <w:rsid w:val="00C23761"/>
    <w:rsid w:val="00C2383D"/>
    <w:rsid w:val="00C2395E"/>
    <w:rsid w:val="00C23960"/>
    <w:rsid w:val="00C23A11"/>
    <w:rsid w:val="00C23ACD"/>
    <w:rsid w:val="00C23B07"/>
    <w:rsid w:val="00C23BC9"/>
    <w:rsid w:val="00C23C34"/>
    <w:rsid w:val="00C23C7A"/>
    <w:rsid w:val="00C23E21"/>
    <w:rsid w:val="00C23EA7"/>
    <w:rsid w:val="00C23F0D"/>
    <w:rsid w:val="00C23FA7"/>
    <w:rsid w:val="00C2404D"/>
    <w:rsid w:val="00C24080"/>
    <w:rsid w:val="00C240BF"/>
    <w:rsid w:val="00C2413E"/>
    <w:rsid w:val="00C24152"/>
    <w:rsid w:val="00C241F3"/>
    <w:rsid w:val="00C244D1"/>
    <w:rsid w:val="00C24555"/>
    <w:rsid w:val="00C245CA"/>
    <w:rsid w:val="00C245D2"/>
    <w:rsid w:val="00C24633"/>
    <w:rsid w:val="00C2467B"/>
    <w:rsid w:val="00C24733"/>
    <w:rsid w:val="00C24B50"/>
    <w:rsid w:val="00C24C51"/>
    <w:rsid w:val="00C24D5B"/>
    <w:rsid w:val="00C24E95"/>
    <w:rsid w:val="00C25017"/>
    <w:rsid w:val="00C250C0"/>
    <w:rsid w:val="00C2516E"/>
    <w:rsid w:val="00C251B6"/>
    <w:rsid w:val="00C251D3"/>
    <w:rsid w:val="00C253D0"/>
    <w:rsid w:val="00C254C2"/>
    <w:rsid w:val="00C25526"/>
    <w:rsid w:val="00C25651"/>
    <w:rsid w:val="00C25668"/>
    <w:rsid w:val="00C257C7"/>
    <w:rsid w:val="00C25A27"/>
    <w:rsid w:val="00C25A87"/>
    <w:rsid w:val="00C25C52"/>
    <w:rsid w:val="00C25D35"/>
    <w:rsid w:val="00C25D38"/>
    <w:rsid w:val="00C25DD7"/>
    <w:rsid w:val="00C25EB6"/>
    <w:rsid w:val="00C25EDF"/>
    <w:rsid w:val="00C2602F"/>
    <w:rsid w:val="00C2605B"/>
    <w:rsid w:val="00C2606C"/>
    <w:rsid w:val="00C2607C"/>
    <w:rsid w:val="00C26192"/>
    <w:rsid w:val="00C261C7"/>
    <w:rsid w:val="00C261E7"/>
    <w:rsid w:val="00C2622E"/>
    <w:rsid w:val="00C26292"/>
    <w:rsid w:val="00C26310"/>
    <w:rsid w:val="00C2645A"/>
    <w:rsid w:val="00C264EC"/>
    <w:rsid w:val="00C26506"/>
    <w:rsid w:val="00C265AD"/>
    <w:rsid w:val="00C267A2"/>
    <w:rsid w:val="00C267B9"/>
    <w:rsid w:val="00C267EE"/>
    <w:rsid w:val="00C2696B"/>
    <w:rsid w:val="00C269E2"/>
    <w:rsid w:val="00C26A05"/>
    <w:rsid w:val="00C26A0A"/>
    <w:rsid w:val="00C26A8B"/>
    <w:rsid w:val="00C26C13"/>
    <w:rsid w:val="00C26C40"/>
    <w:rsid w:val="00C26C75"/>
    <w:rsid w:val="00C26C85"/>
    <w:rsid w:val="00C26C95"/>
    <w:rsid w:val="00C26D20"/>
    <w:rsid w:val="00C26D8F"/>
    <w:rsid w:val="00C26E15"/>
    <w:rsid w:val="00C26E1B"/>
    <w:rsid w:val="00C26F3F"/>
    <w:rsid w:val="00C26F9D"/>
    <w:rsid w:val="00C271FA"/>
    <w:rsid w:val="00C272C7"/>
    <w:rsid w:val="00C2730D"/>
    <w:rsid w:val="00C274C5"/>
    <w:rsid w:val="00C274E6"/>
    <w:rsid w:val="00C2762D"/>
    <w:rsid w:val="00C276E1"/>
    <w:rsid w:val="00C27728"/>
    <w:rsid w:val="00C2776C"/>
    <w:rsid w:val="00C2795E"/>
    <w:rsid w:val="00C279D8"/>
    <w:rsid w:val="00C27A99"/>
    <w:rsid w:val="00C27ACB"/>
    <w:rsid w:val="00C27B8D"/>
    <w:rsid w:val="00C27CBC"/>
    <w:rsid w:val="00C27D9B"/>
    <w:rsid w:val="00C27F4C"/>
    <w:rsid w:val="00C3003A"/>
    <w:rsid w:val="00C30063"/>
    <w:rsid w:val="00C30136"/>
    <w:rsid w:val="00C301CD"/>
    <w:rsid w:val="00C3029A"/>
    <w:rsid w:val="00C30300"/>
    <w:rsid w:val="00C30392"/>
    <w:rsid w:val="00C303B4"/>
    <w:rsid w:val="00C3051E"/>
    <w:rsid w:val="00C30570"/>
    <w:rsid w:val="00C30655"/>
    <w:rsid w:val="00C30755"/>
    <w:rsid w:val="00C307FA"/>
    <w:rsid w:val="00C30815"/>
    <w:rsid w:val="00C308CC"/>
    <w:rsid w:val="00C30984"/>
    <w:rsid w:val="00C30AB5"/>
    <w:rsid w:val="00C30B61"/>
    <w:rsid w:val="00C30B8D"/>
    <w:rsid w:val="00C30C03"/>
    <w:rsid w:val="00C30D6D"/>
    <w:rsid w:val="00C30D80"/>
    <w:rsid w:val="00C30F31"/>
    <w:rsid w:val="00C31057"/>
    <w:rsid w:val="00C3106A"/>
    <w:rsid w:val="00C31244"/>
    <w:rsid w:val="00C3124D"/>
    <w:rsid w:val="00C31423"/>
    <w:rsid w:val="00C314B9"/>
    <w:rsid w:val="00C314D4"/>
    <w:rsid w:val="00C31523"/>
    <w:rsid w:val="00C315FB"/>
    <w:rsid w:val="00C31686"/>
    <w:rsid w:val="00C31700"/>
    <w:rsid w:val="00C3172C"/>
    <w:rsid w:val="00C3185F"/>
    <w:rsid w:val="00C3199B"/>
    <w:rsid w:val="00C31A6C"/>
    <w:rsid w:val="00C31AB7"/>
    <w:rsid w:val="00C31B02"/>
    <w:rsid w:val="00C31B2E"/>
    <w:rsid w:val="00C31C37"/>
    <w:rsid w:val="00C31CB0"/>
    <w:rsid w:val="00C31CFE"/>
    <w:rsid w:val="00C31D34"/>
    <w:rsid w:val="00C31D79"/>
    <w:rsid w:val="00C31DF0"/>
    <w:rsid w:val="00C31DFA"/>
    <w:rsid w:val="00C31E4B"/>
    <w:rsid w:val="00C31E5F"/>
    <w:rsid w:val="00C3211F"/>
    <w:rsid w:val="00C3214C"/>
    <w:rsid w:val="00C3223E"/>
    <w:rsid w:val="00C32263"/>
    <w:rsid w:val="00C324AA"/>
    <w:rsid w:val="00C328C4"/>
    <w:rsid w:val="00C329C5"/>
    <w:rsid w:val="00C329C7"/>
    <w:rsid w:val="00C32A3E"/>
    <w:rsid w:val="00C32BC6"/>
    <w:rsid w:val="00C32CA6"/>
    <w:rsid w:val="00C32D45"/>
    <w:rsid w:val="00C32DE5"/>
    <w:rsid w:val="00C32E06"/>
    <w:rsid w:val="00C32ED2"/>
    <w:rsid w:val="00C32F93"/>
    <w:rsid w:val="00C33009"/>
    <w:rsid w:val="00C330D9"/>
    <w:rsid w:val="00C3322A"/>
    <w:rsid w:val="00C333C5"/>
    <w:rsid w:val="00C333DE"/>
    <w:rsid w:val="00C33486"/>
    <w:rsid w:val="00C335C1"/>
    <w:rsid w:val="00C33664"/>
    <w:rsid w:val="00C33669"/>
    <w:rsid w:val="00C336AE"/>
    <w:rsid w:val="00C33749"/>
    <w:rsid w:val="00C3379B"/>
    <w:rsid w:val="00C337E0"/>
    <w:rsid w:val="00C3396C"/>
    <w:rsid w:val="00C339AA"/>
    <w:rsid w:val="00C33AE9"/>
    <w:rsid w:val="00C33B1E"/>
    <w:rsid w:val="00C33B95"/>
    <w:rsid w:val="00C33C51"/>
    <w:rsid w:val="00C33C60"/>
    <w:rsid w:val="00C33C81"/>
    <w:rsid w:val="00C33CF4"/>
    <w:rsid w:val="00C33CF8"/>
    <w:rsid w:val="00C33E1B"/>
    <w:rsid w:val="00C33F78"/>
    <w:rsid w:val="00C33F8A"/>
    <w:rsid w:val="00C33FFF"/>
    <w:rsid w:val="00C3407C"/>
    <w:rsid w:val="00C34163"/>
    <w:rsid w:val="00C3416A"/>
    <w:rsid w:val="00C3428B"/>
    <w:rsid w:val="00C342EA"/>
    <w:rsid w:val="00C34359"/>
    <w:rsid w:val="00C343D1"/>
    <w:rsid w:val="00C343E2"/>
    <w:rsid w:val="00C344BA"/>
    <w:rsid w:val="00C344C2"/>
    <w:rsid w:val="00C344F6"/>
    <w:rsid w:val="00C345A9"/>
    <w:rsid w:val="00C3460E"/>
    <w:rsid w:val="00C34610"/>
    <w:rsid w:val="00C3461C"/>
    <w:rsid w:val="00C34645"/>
    <w:rsid w:val="00C3480D"/>
    <w:rsid w:val="00C3481A"/>
    <w:rsid w:val="00C34825"/>
    <w:rsid w:val="00C34A13"/>
    <w:rsid w:val="00C34C3A"/>
    <w:rsid w:val="00C34C45"/>
    <w:rsid w:val="00C34C55"/>
    <w:rsid w:val="00C34C5F"/>
    <w:rsid w:val="00C34D30"/>
    <w:rsid w:val="00C34ECD"/>
    <w:rsid w:val="00C34FBD"/>
    <w:rsid w:val="00C35068"/>
    <w:rsid w:val="00C3514F"/>
    <w:rsid w:val="00C35170"/>
    <w:rsid w:val="00C351B7"/>
    <w:rsid w:val="00C3535C"/>
    <w:rsid w:val="00C353BF"/>
    <w:rsid w:val="00C353E2"/>
    <w:rsid w:val="00C35423"/>
    <w:rsid w:val="00C35450"/>
    <w:rsid w:val="00C354CA"/>
    <w:rsid w:val="00C35589"/>
    <w:rsid w:val="00C356B0"/>
    <w:rsid w:val="00C35776"/>
    <w:rsid w:val="00C357F9"/>
    <w:rsid w:val="00C3596A"/>
    <w:rsid w:val="00C3598C"/>
    <w:rsid w:val="00C359F4"/>
    <w:rsid w:val="00C35A32"/>
    <w:rsid w:val="00C35CE4"/>
    <w:rsid w:val="00C35D7A"/>
    <w:rsid w:val="00C35D8C"/>
    <w:rsid w:val="00C36035"/>
    <w:rsid w:val="00C360CC"/>
    <w:rsid w:val="00C3628F"/>
    <w:rsid w:val="00C362E6"/>
    <w:rsid w:val="00C36379"/>
    <w:rsid w:val="00C3644E"/>
    <w:rsid w:val="00C36774"/>
    <w:rsid w:val="00C368CF"/>
    <w:rsid w:val="00C369DE"/>
    <w:rsid w:val="00C36AA4"/>
    <w:rsid w:val="00C36C4C"/>
    <w:rsid w:val="00C36D0E"/>
    <w:rsid w:val="00C36E4A"/>
    <w:rsid w:val="00C37156"/>
    <w:rsid w:val="00C3717C"/>
    <w:rsid w:val="00C37370"/>
    <w:rsid w:val="00C373B1"/>
    <w:rsid w:val="00C3757E"/>
    <w:rsid w:val="00C3760A"/>
    <w:rsid w:val="00C3764D"/>
    <w:rsid w:val="00C37683"/>
    <w:rsid w:val="00C3768C"/>
    <w:rsid w:val="00C377CA"/>
    <w:rsid w:val="00C37A17"/>
    <w:rsid w:val="00C37BCF"/>
    <w:rsid w:val="00C37D71"/>
    <w:rsid w:val="00C37E54"/>
    <w:rsid w:val="00C37F31"/>
    <w:rsid w:val="00C37F3A"/>
    <w:rsid w:val="00C37FC8"/>
    <w:rsid w:val="00C400FB"/>
    <w:rsid w:val="00C401EA"/>
    <w:rsid w:val="00C402AD"/>
    <w:rsid w:val="00C403A2"/>
    <w:rsid w:val="00C40481"/>
    <w:rsid w:val="00C4052D"/>
    <w:rsid w:val="00C40533"/>
    <w:rsid w:val="00C40560"/>
    <w:rsid w:val="00C407B5"/>
    <w:rsid w:val="00C407C5"/>
    <w:rsid w:val="00C40B01"/>
    <w:rsid w:val="00C40B1C"/>
    <w:rsid w:val="00C40D07"/>
    <w:rsid w:val="00C411D5"/>
    <w:rsid w:val="00C41205"/>
    <w:rsid w:val="00C41244"/>
    <w:rsid w:val="00C41565"/>
    <w:rsid w:val="00C415F5"/>
    <w:rsid w:val="00C41637"/>
    <w:rsid w:val="00C4171F"/>
    <w:rsid w:val="00C417D9"/>
    <w:rsid w:val="00C418B6"/>
    <w:rsid w:val="00C4198B"/>
    <w:rsid w:val="00C41B21"/>
    <w:rsid w:val="00C41B2E"/>
    <w:rsid w:val="00C41BE4"/>
    <w:rsid w:val="00C42103"/>
    <w:rsid w:val="00C421CB"/>
    <w:rsid w:val="00C42216"/>
    <w:rsid w:val="00C4227D"/>
    <w:rsid w:val="00C422AC"/>
    <w:rsid w:val="00C422E0"/>
    <w:rsid w:val="00C423B5"/>
    <w:rsid w:val="00C4246D"/>
    <w:rsid w:val="00C426C6"/>
    <w:rsid w:val="00C42770"/>
    <w:rsid w:val="00C427B0"/>
    <w:rsid w:val="00C42836"/>
    <w:rsid w:val="00C428D2"/>
    <w:rsid w:val="00C4291C"/>
    <w:rsid w:val="00C42953"/>
    <w:rsid w:val="00C42B0E"/>
    <w:rsid w:val="00C42BD6"/>
    <w:rsid w:val="00C42D4F"/>
    <w:rsid w:val="00C430ED"/>
    <w:rsid w:val="00C43180"/>
    <w:rsid w:val="00C431AF"/>
    <w:rsid w:val="00C431DD"/>
    <w:rsid w:val="00C4345F"/>
    <w:rsid w:val="00C43665"/>
    <w:rsid w:val="00C43831"/>
    <w:rsid w:val="00C43850"/>
    <w:rsid w:val="00C43862"/>
    <w:rsid w:val="00C438C1"/>
    <w:rsid w:val="00C438F8"/>
    <w:rsid w:val="00C43A22"/>
    <w:rsid w:val="00C43AA4"/>
    <w:rsid w:val="00C43BB1"/>
    <w:rsid w:val="00C43C0E"/>
    <w:rsid w:val="00C43D35"/>
    <w:rsid w:val="00C43D3F"/>
    <w:rsid w:val="00C43E5F"/>
    <w:rsid w:val="00C43EC5"/>
    <w:rsid w:val="00C43F5B"/>
    <w:rsid w:val="00C440CD"/>
    <w:rsid w:val="00C44110"/>
    <w:rsid w:val="00C44207"/>
    <w:rsid w:val="00C4421C"/>
    <w:rsid w:val="00C443B0"/>
    <w:rsid w:val="00C443DC"/>
    <w:rsid w:val="00C4442F"/>
    <w:rsid w:val="00C4444F"/>
    <w:rsid w:val="00C444C9"/>
    <w:rsid w:val="00C4459B"/>
    <w:rsid w:val="00C44615"/>
    <w:rsid w:val="00C4466C"/>
    <w:rsid w:val="00C4470E"/>
    <w:rsid w:val="00C44791"/>
    <w:rsid w:val="00C44792"/>
    <w:rsid w:val="00C4479C"/>
    <w:rsid w:val="00C4482F"/>
    <w:rsid w:val="00C44839"/>
    <w:rsid w:val="00C44848"/>
    <w:rsid w:val="00C449AF"/>
    <w:rsid w:val="00C44AF8"/>
    <w:rsid w:val="00C44BBA"/>
    <w:rsid w:val="00C44D3F"/>
    <w:rsid w:val="00C44DAD"/>
    <w:rsid w:val="00C45007"/>
    <w:rsid w:val="00C45033"/>
    <w:rsid w:val="00C4516C"/>
    <w:rsid w:val="00C4541C"/>
    <w:rsid w:val="00C4569C"/>
    <w:rsid w:val="00C45794"/>
    <w:rsid w:val="00C457B7"/>
    <w:rsid w:val="00C4583D"/>
    <w:rsid w:val="00C4592E"/>
    <w:rsid w:val="00C45AFF"/>
    <w:rsid w:val="00C45C4E"/>
    <w:rsid w:val="00C45D22"/>
    <w:rsid w:val="00C45D41"/>
    <w:rsid w:val="00C45DF2"/>
    <w:rsid w:val="00C45E3A"/>
    <w:rsid w:val="00C45F40"/>
    <w:rsid w:val="00C46002"/>
    <w:rsid w:val="00C46278"/>
    <w:rsid w:val="00C4637B"/>
    <w:rsid w:val="00C4638A"/>
    <w:rsid w:val="00C463A9"/>
    <w:rsid w:val="00C463C5"/>
    <w:rsid w:val="00C463D1"/>
    <w:rsid w:val="00C463DD"/>
    <w:rsid w:val="00C46426"/>
    <w:rsid w:val="00C4646D"/>
    <w:rsid w:val="00C46543"/>
    <w:rsid w:val="00C465C4"/>
    <w:rsid w:val="00C46654"/>
    <w:rsid w:val="00C46767"/>
    <w:rsid w:val="00C468C2"/>
    <w:rsid w:val="00C4694E"/>
    <w:rsid w:val="00C469EA"/>
    <w:rsid w:val="00C469FA"/>
    <w:rsid w:val="00C46A22"/>
    <w:rsid w:val="00C46A78"/>
    <w:rsid w:val="00C46AD5"/>
    <w:rsid w:val="00C46BB9"/>
    <w:rsid w:val="00C46C87"/>
    <w:rsid w:val="00C46C89"/>
    <w:rsid w:val="00C46CA3"/>
    <w:rsid w:val="00C46CC2"/>
    <w:rsid w:val="00C46D0E"/>
    <w:rsid w:val="00C46D76"/>
    <w:rsid w:val="00C46DCA"/>
    <w:rsid w:val="00C470F1"/>
    <w:rsid w:val="00C47187"/>
    <w:rsid w:val="00C471F5"/>
    <w:rsid w:val="00C47240"/>
    <w:rsid w:val="00C47274"/>
    <w:rsid w:val="00C47286"/>
    <w:rsid w:val="00C47309"/>
    <w:rsid w:val="00C4745C"/>
    <w:rsid w:val="00C4747F"/>
    <w:rsid w:val="00C47670"/>
    <w:rsid w:val="00C476A5"/>
    <w:rsid w:val="00C4773B"/>
    <w:rsid w:val="00C47938"/>
    <w:rsid w:val="00C47A05"/>
    <w:rsid w:val="00C47A0B"/>
    <w:rsid w:val="00C47A13"/>
    <w:rsid w:val="00C47ABE"/>
    <w:rsid w:val="00C47B1A"/>
    <w:rsid w:val="00C47CDE"/>
    <w:rsid w:val="00C47DFF"/>
    <w:rsid w:val="00C47E14"/>
    <w:rsid w:val="00C47EE7"/>
    <w:rsid w:val="00C47F55"/>
    <w:rsid w:val="00C500B8"/>
    <w:rsid w:val="00C503BB"/>
    <w:rsid w:val="00C50815"/>
    <w:rsid w:val="00C50AA9"/>
    <w:rsid w:val="00C50B2B"/>
    <w:rsid w:val="00C50B2D"/>
    <w:rsid w:val="00C50B70"/>
    <w:rsid w:val="00C50BAC"/>
    <w:rsid w:val="00C50C11"/>
    <w:rsid w:val="00C50C79"/>
    <w:rsid w:val="00C50D1A"/>
    <w:rsid w:val="00C50D24"/>
    <w:rsid w:val="00C50F48"/>
    <w:rsid w:val="00C50F4C"/>
    <w:rsid w:val="00C51040"/>
    <w:rsid w:val="00C511A2"/>
    <w:rsid w:val="00C511BE"/>
    <w:rsid w:val="00C511C6"/>
    <w:rsid w:val="00C51314"/>
    <w:rsid w:val="00C513C0"/>
    <w:rsid w:val="00C513D7"/>
    <w:rsid w:val="00C514CD"/>
    <w:rsid w:val="00C5152F"/>
    <w:rsid w:val="00C515FF"/>
    <w:rsid w:val="00C51619"/>
    <w:rsid w:val="00C51627"/>
    <w:rsid w:val="00C517CB"/>
    <w:rsid w:val="00C51817"/>
    <w:rsid w:val="00C5183F"/>
    <w:rsid w:val="00C51879"/>
    <w:rsid w:val="00C51AC3"/>
    <w:rsid w:val="00C51BE5"/>
    <w:rsid w:val="00C51C33"/>
    <w:rsid w:val="00C51D2D"/>
    <w:rsid w:val="00C51D48"/>
    <w:rsid w:val="00C51D95"/>
    <w:rsid w:val="00C51E64"/>
    <w:rsid w:val="00C51FE3"/>
    <w:rsid w:val="00C521A4"/>
    <w:rsid w:val="00C522A4"/>
    <w:rsid w:val="00C522C3"/>
    <w:rsid w:val="00C522E9"/>
    <w:rsid w:val="00C5234D"/>
    <w:rsid w:val="00C523C4"/>
    <w:rsid w:val="00C5244A"/>
    <w:rsid w:val="00C525D9"/>
    <w:rsid w:val="00C52629"/>
    <w:rsid w:val="00C526BE"/>
    <w:rsid w:val="00C5270A"/>
    <w:rsid w:val="00C52904"/>
    <w:rsid w:val="00C5290D"/>
    <w:rsid w:val="00C529DA"/>
    <w:rsid w:val="00C52A24"/>
    <w:rsid w:val="00C52A36"/>
    <w:rsid w:val="00C52AD5"/>
    <w:rsid w:val="00C52B0D"/>
    <w:rsid w:val="00C52BD4"/>
    <w:rsid w:val="00C52BFF"/>
    <w:rsid w:val="00C52C91"/>
    <w:rsid w:val="00C52E12"/>
    <w:rsid w:val="00C52EE1"/>
    <w:rsid w:val="00C52EFA"/>
    <w:rsid w:val="00C52FD7"/>
    <w:rsid w:val="00C53026"/>
    <w:rsid w:val="00C53077"/>
    <w:rsid w:val="00C53128"/>
    <w:rsid w:val="00C5317D"/>
    <w:rsid w:val="00C531E6"/>
    <w:rsid w:val="00C533A3"/>
    <w:rsid w:val="00C533B2"/>
    <w:rsid w:val="00C534F7"/>
    <w:rsid w:val="00C535BB"/>
    <w:rsid w:val="00C53732"/>
    <w:rsid w:val="00C537AB"/>
    <w:rsid w:val="00C53A82"/>
    <w:rsid w:val="00C53ADA"/>
    <w:rsid w:val="00C53D27"/>
    <w:rsid w:val="00C53D48"/>
    <w:rsid w:val="00C53D5E"/>
    <w:rsid w:val="00C53E9F"/>
    <w:rsid w:val="00C53EDE"/>
    <w:rsid w:val="00C53F43"/>
    <w:rsid w:val="00C53FAA"/>
    <w:rsid w:val="00C5405D"/>
    <w:rsid w:val="00C541B5"/>
    <w:rsid w:val="00C5428D"/>
    <w:rsid w:val="00C542A0"/>
    <w:rsid w:val="00C5447A"/>
    <w:rsid w:val="00C544E0"/>
    <w:rsid w:val="00C5468B"/>
    <w:rsid w:val="00C546B9"/>
    <w:rsid w:val="00C546D8"/>
    <w:rsid w:val="00C5476E"/>
    <w:rsid w:val="00C54808"/>
    <w:rsid w:val="00C54851"/>
    <w:rsid w:val="00C5494B"/>
    <w:rsid w:val="00C54953"/>
    <w:rsid w:val="00C54971"/>
    <w:rsid w:val="00C549E4"/>
    <w:rsid w:val="00C54A66"/>
    <w:rsid w:val="00C54CCD"/>
    <w:rsid w:val="00C54D29"/>
    <w:rsid w:val="00C54E16"/>
    <w:rsid w:val="00C54E2E"/>
    <w:rsid w:val="00C54E56"/>
    <w:rsid w:val="00C54EA8"/>
    <w:rsid w:val="00C54F1A"/>
    <w:rsid w:val="00C550ED"/>
    <w:rsid w:val="00C551E3"/>
    <w:rsid w:val="00C552C1"/>
    <w:rsid w:val="00C55308"/>
    <w:rsid w:val="00C553FB"/>
    <w:rsid w:val="00C55446"/>
    <w:rsid w:val="00C5565D"/>
    <w:rsid w:val="00C55775"/>
    <w:rsid w:val="00C55821"/>
    <w:rsid w:val="00C55847"/>
    <w:rsid w:val="00C55935"/>
    <w:rsid w:val="00C559A8"/>
    <w:rsid w:val="00C559D9"/>
    <w:rsid w:val="00C55A58"/>
    <w:rsid w:val="00C55ADD"/>
    <w:rsid w:val="00C55B4A"/>
    <w:rsid w:val="00C55D8F"/>
    <w:rsid w:val="00C55DD4"/>
    <w:rsid w:val="00C55DE2"/>
    <w:rsid w:val="00C55E1C"/>
    <w:rsid w:val="00C55EC0"/>
    <w:rsid w:val="00C55F95"/>
    <w:rsid w:val="00C56053"/>
    <w:rsid w:val="00C560FF"/>
    <w:rsid w:val="00C5613E"/>
    <w:rsid w:val="00C56185"/>
    <w:rsid w:val="00C5618A"/>
    <w:rsid w:val="00C561BC"/>
    <w:rsid w:val="00C5630F"/>
    <w:rsid w:val="00C5637E"/>
    <w:rsid w:val="00C5645D"/>
    <w:rsid w:val="00C56628"/>
    <w:rsid w:val="00C5664F"/>
    <w:rsid w:val="00C56682"/>
    <w:rsid w:val="00C56715"/>
    <w:rsid w:val="00C5677F"/>
    <w:rsid w:val="00C56A2F"/>
    <w:rsid w:val="00C56A3E"/>
    <w:rsid w:val="00C56B93"/>
    <w:rsid w:val="00C56B9E"/>
    <w:rsid w:val="00C56C40"/>
    <w:rsid w:val="00C56CC8"/>
    <w:rsid w:val="00C56CFF"/>
    <w:rsid w:val="00C56D04"/>
    <w:rsid w:val="00C56D0F"/>
    <w:rsid w:val="00C56D21"/>
    <w:rsid w:val="00C56D4D"/>
    <w:rsid w:val="00C56EE3"/>
    <w:rsid w:val="00C56F6D"/>
    <w:rsid w:val="00C56FD0"/>
    <w:rsid w:val="00C56FDD"/>
    <w:rsid w:val="00C5752A"/>
    <w:rsid w:val="00C5752E"/>
    <w:rsid w:val="00C57644"/>
    <w:rsid w:val="00C57686"/>
    <w:rsid w:val="00C577C6"/>
    <w:rsid w:val="00C57849"/>
    <w:rsid w:val="00C578AD"/>
    <w:rsid w:val="00C57D65"/>
    <w:rsid w:val="00C6019D"/>
    <w:rsid w:val="00C604E6"/>
    <w:rsid w:val="00C605A9"/>
    <w:rsid w:val="00C60763"/>
    <w:rsid w:val="00C607BA"/>
    <w:rsid w:val="00C608D1"/>
    <w:rsid w:val="00C608FC"/>
    <w:rsid w:val="00C6093B"/>
    <w:rsid w:val="00C60A59"/>
    <w:rsid w:val="00C60AC5"/>
    <w:rsid w:val="00C60AC6"/>
    <w:rsid w:val="00C60B50"/>
    <w:rsid w:val="00C60B59"/>
    <w:rsid w:val="00C60EC7"/>
    <w:rsid w:val="00C61112"/>
    <w:rsid w:val="00C61130"/>
    <w:rsid w:val="00C61187"/>
    <w:rsid w:val="00C611C1"/>
    <w:rsid w:val="00C611F9"/>
    <w:rsid w:val="00C6122A"/>
    <w:rsid w:val="00C6129A"/>
    <w:rsid w:val="00C6136C"/>
    <w:rsid w:val="00C6153F"/>
    <w:rsid w:val="00C615A3"/>
    <w:rsid w:val="00C615B7"/>
    <w:rsid w:val="00C616D0"/>
    <w:rsid w:val="00C61712"/>
    <w:rsid w:val="00C61770"/>
    <w:rsid w:val="00C618A4"/>
    <w:rsid w:val="00C61956"/>
    <w:rsid w:val="00C6199F"/>
    <w:rsid w:val="00C61ACE"/>
    <w:rsid w:val="00C61B72"/>
    <w:rsid w:val="00C61E0E"/>
    <w:rsid w:val="00C61EE8"/>
    <w:rsid w:val="00C61EFC"/>
    <w:rsid w:val="00C6206F"/>
    <w:rsid w:val="00C62220"/>
    <w:rsid w:val="00C62424"/>
    <w:rsid w:val="00C6260B"/>
    <w:rsid w:val="00C62700"/>
    <w:rsid w:val="00C62764"/>
    <w:rsid w:val="00C627B3"/>
    <w:rsid w:val="00C627F2"/>
    <w:rsid w:val="00C6283E"/>
    <w:rsid w:val="00C62905"/>
    <w:rsid w:val="00C62A16"/>
    <w:rsid w:val="00C62C07"/>
    <w:rsid w:val="00C62C6D"/>
    <w:rsid w:val="00C62CC6"/>
    <w:rsid w:val="00C62E01"/>
    <w:rsid w:val="00C62E8C"/>
    <w:rsid w:val="00C63005"/>
    <w:rsid w:val="00C6300C"/>
    <w:rsid w:val="00C633D2"/>
    <w:rsid w:val="00C63429"/>
    <w:rsid w:val="00C634D3"/>
    <w:rsid w:val="00C6369B"/>
    <w:rsid w:val="00C6370D"/>
    <w:rsid w:val="00C637D8"/>
    <w:rsid w:val="00C637E3"/>
    <w:rsid w:val="00C638E4"/>
    <w:rsid w:val="00C639D5"/>
    <w:rsid w:val="00C63AA5"/>
    <w:rsid w:val="00C63B11"/>
    <w:rsid w:val="00C63E61"/>
    <w:rsid w:val="00C63FAB"/>
    <w:rsid w:val="00C63FAD"/>
    <w:rsid w:val="00C64080"/>
    <w:rsid w:val="00C6409E"/>
    <w:rsid w:val="00C640FC"/>
    <w:rsid w:val="00C6410A"/>
    <w:rsid w:val="00C64150"/>
    <w:rsid w:val="00C641F9"/>
    <w:rsid w:val="00C6420A"/>
    <w:rsid w:val="00C64426"/>
    <w:rsid w:val="00C6446E"/>
    <w:rsid w:val="00C645EB"/>
    <w:rsid w:val="00C64660"/>
    <w:rsid w:val="00C646AD"/>
    <w:rsid w:val="00C6472A"/>
    <w:rsid w:val="00C647F0"/>
    <w:rsid w:val="00C6481A"/>
    <w:rsid w:val="00C6488C"/>
    <w:rsid w:val="00C6489F"/>
    <w:rsid w:val="00C64932"/>
    <w:rsid w:val="00C64BD1"/>
    <w:rsid w:val="00C64CFD"/>
    <w:rsid w:val="00C64DDC"/>
    <w:rsid w:val="00C64E01"/>
    <w:rsid w:val="00C64E53"/>
    <w:rsid w:val="00C64F1C"/>
    <w:rsid w:val="00C64F39"/>
    <w:rsid w:val="00C65220"/>
    <w:rsid w:val="00C652E7"/>
    <w:rsid w:val="00C6549F"/>
    <w:rsid w:val="00C65570"/>
    <w:rsid w:val="00C65677"/>
    <w:rsid w:val="00C6567F"/>
    <w:rsid w:val="00C656DC"/>
    <w:rsid w:val="00C656E3"/>
    <w:rsid w:val="00C65739"/>
    <w:rsid w:val="00C65A24"/>
    <w:rsid w:val="00C65A3D"/>
    <w:rsid w:val="00C65AAD"/>
    <w:rsid w:val="00C65AF1"/>
    <w:rsid w:val="00C65CA8"/>
    <w:rsid w:val="00C65D69"/>
    <w:rsid w:val="00C65DC5"/>
    <w:rsid w:val="00C65E45"/>
    <w:rsid w:val="00C65F68"/>
    <w:rsid w:val="00C6629D"/>
    <w:rsid w:val="00C662CF"/>
    <w:rsid w:val="00C66462"/>
    <w:rsid w:val="00C6648A"/>
    <w:rsid w:val="00C664CE"/>
    <w:rsid w:val="00C664EA"/>
    <w:rsid w:val="00C66524"/>
    <w:rsid w:val="00C6654F"/>
    <w:rsid w:val="00C6674F"/>
    <w:rsid w:val="00C66790"/>
    <w:rsid w:val="00C6682A"/>
    <w:rsid w:val="00C66882"/>
    <w:rsid w:val="00C668F5"/>
    <w:rsid w:val="00C66B3E"/>
    <w:rsid w:val="00C66B7F"/>
    <w:rsid w:val="00C66B87"/>
    <w:rsid w:val="00C66B9D"/>
    <w:rsid w:val="00C66DD9"/>
    <w:rsid w:val="00C66E85"/>
    <w:rsid w:val="00C66F02"/>
    <w:rsid w:val="00C66F3A"/>
    <w:rsid w:val="00C66F71"/>
    <w:rsid w:val="00C67049"/>
    <w:rsid w:val="00C67062"/>
    <w:rsid w:val="00C6706F"/>
    <w:rsid w:val="00C67094"/>
    <w:rsid w:val="00C671A6"/>
    <w:rsid w:val="00C67307"/>
    <w:rsid w:val="00C67327"/>
    <w:rsid w:val="00C6740C"/>
    <w:rsid w:val="00C674FF"/>
    <w:rsid w:val="00C6751C"/>
    <w:rsid w:val="00C67522"/>
    <w:rsid w:val="00C67532"/>
    <w:rsid w:val="00C67562"/>
    <w:rsid w:val="00C675F2"/>
    <w:rsid w:val="00C6766D"/>
    <w:rsid w:val="00C67684"/>
    <w:rsid w:val="00C676C5"/>
    <w:rsid w:val="00C677A2"/>
    <w:rsid w:val="00C677D0"/>
    <w:rsid w:val="00C678D9"/>
    <w:rsid w:val="00C67900"/>
    <w:rsid w:val="00C6792E"/>
    <w:rsid w:val="00C67B7B"/>
    <w:rsid w:val="00C67BDD"/>
    <w:rsid w:val="00C67C0E"/>
    <w:rsid w:val="00C67C64"/>
    <w:rsid w:val="00C67D1D"/>
    <w:rsid w:val="00C67DA9"/>
    <w:rsid w:val="00C67DC5"/>
    <w:rsid w:val="00C67DC9"/>
    <w:rsid w:val="00C67E1A"/>
    <w:rsid w:val="00C67E9A"/>
    <w:rsid w:val="00C70042"/>
    <w:rsid w:val="00C700BD"/>
    <w:rsid w:val="00C700F6"/>
    <w:rsid w:val="00C70198"/>
    <w:rsid w:val="00C701DB"/>
    <w:rsid w:val="00C70398"/>
    <w:rsid w:val="00C70470"/>
    <w:rsid w:val="00C70506"/>
    <w:rsid w:val="00C70806"/>
    <w:rsid w:val="00C70813"/>
    <w:rsid w:val="00C70A15"/>
    <w:rsid w:val="00C70A3F"/>
    <w:rsid w:val="00C70B08"/>
    <w:rsid w:val="00C70BA7"/>
    <w:rsid w:val="00C70BA8"/>
    <w:rsid w:val="00C70BAE"/>
    <w:rsid w:val="00C70BFA"/>
    <w:rsid w:val="00C70E5A"/>
    <w:rsid w:val="00C70E75"/>
    <w:rsid w:val="00C71057"/>
    <w:rsid w:val="00C7107E"/>
    <w:rsid w:val="00C71083"/>
    <w:rsid w:val="00C710F3"/>
    <w:rsid w:val="00C71119"/>
    <w:rsid w:val="00C711C3"/>
    <w:rsid w:val="00C71260"/>
    <w:rsid w:val="00C7133C"/>
    <w:rsid w:val="00C7140D"/>
    <w:rsid w:val="00C7146D"/>
    <w:rsid w:val="00C71474"/>
    <w:rsid w:val="00C715A3"/>
    <w:rsid w:val="00C71621"/>
    <w:rsid w:val="00C7164A"/>
    <w:rsid w:val="00C71782"/>
    <w:rsid w:val="00C71791"/>
    <w:rsid w:val="00C71934"/>
    <w:rsid w:val="00C719BA"/>
    <w:rsid w:val="00C71AB0"/>
    <w:rsid w:val="00C71B00"/>
    <w:rsid w:val="00C71B3E"/>
    <w:rsid w:val="00C71D50"/>
    <w:rsid w:val="00C71DA4"/>
    <w:rsid w:val="00C71DB3"/>
    <w:rsid w:val="00C71F44"/>
    <w:rsid w:val="00C72068"/>
    <w:rsid w:val="00C72073"/>
    <w:rsid w:val="00C721DF"/>
    <w:rsid w:val="00C723C3"/>
    <w:rsid w:val="00C7244A"/>
    <w:rsid w:val="00C7245E"/>
    <w:rsid w:val="00C725B6"/>
    <w:rsid w:val="00C7268C"/>
    <w:rsid w:val="00C726B9"/>
    <w:rsid w:val="00C72729"/>
    <w:rsid w:val="00C728DD"/>
    <w:rsid w:val="00C72AC0"/>
    <w:rsid w:val="00C72CA8"/>
    <w:rsid w:val="00C72CB5"/>
    <w:rsid w:val="00C72CD0"/>
    <w:rsid w:val="00C72CF2"/>
    <w:rsid w:val="00C72E83"/>
    <w:rsid w:val="00C72ECD"/>
    <w:rsid w:val="00C73010"/>
    <w:rsid w:val="00C73029"/>
    <w:rsid w:val="00C730B0"/>
    <w:rsid w:val="00C73104"/>
    <w:rsid w:val="00C7314B"/>
    <w:rsid w:val="00C7322E"/>
    <w:rsid w:val="00C73289"/>
    <w:rsid w:val="00C73319"/>
    <w:rsid w:val="00C7336D"/>
    <w:rsid w:val="00C73453"/>
    <w:rsid w:val="00C734B9"/>
    <w:rsid w:val="00C735C0"/>
    <w:rsid w:val="00C735D0"/>
    <w:rsid w:val="00C73799"/>
    <w:rsid w:val="00C737B3"/>
    <w:rsid w:val="00C738D8"/>
    <w:rsid w:val="00C73972"/>
    <w:rsid w:val="00C739E1"/>
    <w:rsid w:val="00C73B3E"/>
    <w:rsid w:val="00C73C34"/>
    <w:rsid w:val="00C73D4A"/>
    <w:rsid w:val="00C73DBF"/>
    <w:rsid w:val="00C73DDA"/>
    <w:rsid w:val="00C73E33"/>
    <w:rsid w:val="00C73FB6"/>
    <w:rsid w:val="00C74054"/>
    <w:rsid w:val="00C7408E"/>
    <w:rsid w:val="00C740B3"/>
    <w:rsid w:val="00C74117"/>
    <w:rsid w:val="00C742B4"/>
    <w:rsid w:val="00C7431E"/>
    <w:rsid w:val="00C74340"/>
    <w:rsid w:val="00C74596"/>
    <w:rsid w:val="00C745FF"/>
    <w:rsid w:val="00C7461A"/>
    <w:rsid w:val="00C746A3"/>
    <w:rsid w:val="00C74728"/>
    <w:rsid w:val="00C7473B"/>
    <w:rsid w:val="00C74785"/>
    <w:rsid w:val="00C7498B"/>
    <w:rsid w:val="00C749E2"/>
    <w:rsid w:val="00C74B00"/>
    <w:rsid w:val="00C74BD2"/>
    <w:rsid w:val="00C74CA2"/>
    <w:rsid w:val="00C74CAA"/>
    <w:rsid w:val="00C74CB4"/>
    <w:rsid w:val="00C74D5B"/>
    <w:rsid w:val="00C74D63"/>
    <w:rsid w:val="00C74E66"/>
    <w:rsid w:val="00C74EA9"/>
    <w:rsid w:val="00C74F5B"/>
    <w:rsid w:val="00C74FCB"/>
    <w:rsid w:val="00C750B0"/>
    <w:rsid w:val="00C75187"/>
    <w:rsid w:val="00C751B5"/>
    <w:rsid w:val="00C752DF"/>
    <w:rsid w:val="00C7539D"/>
    <w:rsid w:val="00C758BB"/>
    <w:rsid w:val="00C75C92"/>
    <w:rsid w:val="00C75C99"/>
    <w:rsid w:val="00C75D8F"/>
    <w:rsid w:val="00C75E3A"/>
    <w:rsid w:val="00C7603C"/>
    <w:rsid w:val="00C76053"/>
    <w:rsid w:val="00C7610E"/>
    <w:rsid w:val="00C76139"/>
    <w:rsid w:val="00C7614E"/>
    <w:rsid w:val="00C7629B"/>
    <w:rsid w:val="00C76323"/>
    <w:rsid w:val="00C7643C"/>
    <w:rsid w:val="00C764B9"/>
    <w:rsid w:val="00C76571"/>
    <w:rsid w:val="00C765D7"/>
    <w:rsid w:val="00C765E2"/>
    <w:rsid w:val="00C76613"/>
    <w:rsid w:val="00C767B1"/>
    <w:rsid w:val="00C7684B"/>
    <w:rsid w:val="00C76957"/>
    <w:rsid w:val="00C76969"/>
    <w:rsid w:val="00C76A0A"/>
    <w:rsid w:val="00C76AFB"/>
    <w:rsid w:val="00C76CC0"/>
    <w:rsid w:val="00C76D56"/>
    <w:rsid w:val="00C76DBA"/>
    <w:rsid w:val="00C76F5D"/>
    <w:rsid w:val="00C77037"/>
    <w:rsid w:val="00C77092"/>
    <w:rsid w:val="00C7723F"/>
    <w:rsid w:val="00C772A9"/>
    <w:rsid w:val="00C7731D"/>
    <w:rsid w:val="00C773C8"/>
    <w:rsid w:val="00C773F0"/>
    <w:rsid w:val="00C77468"/>
    <w:rsid w:val="00C77575"/>
    <w:rsid w:val="00C776A4"/>
    <w:rsid w:val="00C7770E"/>
    <w:rsid w:val="00C777D8"/>
    <w:rsid w:val="00C77808"/>
    <w:rsid w:val="00C7788A"/>
    <w:rsid w:val="00C77967"/>
    <w:rsid w:val="00C779F7"/>
    <w:rsid w:val="00C77A2E"/>
    <w:rsid w:val="00C77A9B"/>
    <w:rsid w:val="00C77B94"/>
    <w:rsid w:val="00C77BC0"/>
    <w:rsid w:val="00C77C78"/>
    <w:rsid w:val="00C77D6E"/>
    <w:rsid w:val="00C77E19"/>
    <w:rsid w:val="00C77E1D"/>
    <w:rsid w:val="00C77F3D"/>
    <w:rsid w:val="00C77F75"/>
    <w:rsid w:val="00C77FDD"/>
    <w:rsid w:val="00C8026F"/>
    <w:rsid w:val="00C802C9"/>
    <w:rsid w:val="00C80408"/>
    <w:rsid w:val="00C80447"/>
    <w:rsid w:val="00C80551"/>
    <w:rsid w:val="00C8075E"/>
    <w:rsid w:val="00C807C7"/>
    <w:rsid w:val="00C80889"/>
    <w:rsid w:val="00C8088E"/>
    <w:rsid w:val="00C80973"/>
    <w:rsid w:val="00C80A1C"/>
    <w:rsid w:val="00C80A87"/>
    <w:rsid w:val="00C80B6B"/>
    <w:rsid w:val="00C80D9A"/>
    <w:rsid w:val="00C80DB1"/>
    <w:rsid w:val="00C80FEB"/>
    <w:rsid w:val="00C810DE"/>
    <w:rsid w:val="00C810E2"/>
    <w:rsid w:val="00C81184"/>
    <w:rsid w:val="00C8144C"/>
    <w:rsid w:val="00C8146A"/>
    <w:rsid w:val="00C815A4"/>
    <w:rsid w:val="00C815B6"/>
    <w:rsid w:val="00C81642"/>
    <w:rsid w:val="00C8169E"/>
    <w:rsid w:val="00C816BF"/>
    <w:rsid w:val="00C816C4"/>
    <w:rsid w:val="00C8172F"/>
    <w:rsid w:val="00C817FB"/>
    <w:rsid w:val="00C81831"/>
    <w:rsid w:val="00C81992"/>
    <w:rsid w:val="00C819D4"/>
    <w:rsid w:val="00C819E6"/>
    <w:rsid w:val="00C81B34"/>
    <w:rsid w:val="00C81C19"/>
    <w:rsid w:val="00C81D25"/>
    <w:rsid w:val="00C81D4F"/>
    <w:rsid w:val="00C81E21"/>
    <w:rsid w:val="00C81E24"/>
    <w:rsid w:val="00C81E27"/>
    <w:rsid w:val="00C81E94"/>
    <w:rsid w:val="00C81F46"/>
    <w:rsid w:val="00C81FA3"/>
    <w:rsid w:val="00C82078"/>
    <w:rsid w:val="00C821C9"/>
    <w:rsid w:val="00C8236C"/>
    <w:rsid w:val="00C823A1"/>
    <w:rsid w:val="00C824FD"/>
    <w:rsid w:val="00C82662"/>
    <w:rsid w:val="00C826B0"/>
    <w:rsid w:val="00C826C3"/>
    <w:rsid w:val="00C827E6"/>
    <w:rsid w:val="00C827EC"/>
    <w:rsid w:val="00C82811"/>
    <w:rsid w:val="00C828B4"/>
    <w:rsid w:val="00C82900"/>
    <w:rsid w:val="00C82A95"/>
    <w:rsid w:val="00C82C41"/>
    <w:rsid w:val="00C82EDB"/>
    <w:rsid w:val="00C82F78"/>
    <w:rsid w:val="00C82F90"/>
    <w:rsid w:val="00C82FD4"/>
    <w:rsid w:val="00C830C2"/>
    <w:rsid w:val="00C831E0"/>
    <w:rsid w:val="00C831EE"/>
    <w:rsid w:val="00C832DA"/>
    <w:rsid w:val="00C834E6"/>
    <w:rsid w:val="00C8365F"/>
    <w:rsid w:val="00C836AB"/>
    <w:rsid w:val="00C8380C"/>
    <w:rsid w:val="00C838FD"/>
    <w:rsid w:val="00C83953"/>
    <w:rsid w:val="00C8396C"/>
    <w:rsid w:val="00C839CF"/>
    <w:rsid w:val="00C839F4"/>
    <w:rsid w:val="00C83A84"/>
    <w:rsid w:val="00C83AA6"/>
    <w:rsid w:val="00C83BDE"/>
    <w:rsid w:val="00C83C3B"/>
    <w:rsid w:val="00C83CE7"/>
    <w:rsid w:val="00C83D91"/>
    <w:rsid w:val="00C83DE6"/>
    <w:rsid w:val="00C83DFB"/>
    <w:rsid w:val="00C83FB7"/>
    <w:rsid w:val="00C84047"/>
    <w:rsid w:val="00C84120"/>
    <w:rsid w:val="00C84133"/>
    <w:rsid w:val="00C8419F"/>
    <w:rsid w:val="00C8428F"/>
    <w:rsid w:val="00C842BF"/>
    <w:rsid w:val="00C8438D"/>
    <w:rsid w:val="00C8439A"/>
    <w:rsid w:val="00C843E9"/>
    <w:rsid w:val="00C84437"/>
    <w:rsid w:val="00C8462F"/>
    <w:rsid w:val="00C84648"/>
    <w:rsid w:val="00C84855"/>
    <w:rsid w:val="00C84996"/>
    <w:rsid w:val="00C84A76"/>
    <w:rsid w:val="00C84AA0"/>
    <w:rsid w:val="00C84BF7"/>
    <w:rsid w:val="00C84D58"/>
    <w:rsid w:val="00C84FE5"/>
    <w:rsid w:val="00C84FF1"/>
    <w:rsid w:val="00C85336"/>
    <w:rsid w:val="00C85474"/>
    <w:rsid w:val="00C85485"/>
    <w:rsid w:val="00C854AE"/>
    <w:rsid w:val="00C8552B"/>
    <w:rsid w:val="00C859D5"/>
    <w:rsid w:val="00C85A7B"/>
    <w:rsid w:val="00C85D48"/>
    <w:rsid w:val="00C85D6B"/>
    <w:rsid w:val="00C85D71"/>
    <w:rsid w:val="00C85DE8"/>
    <w:rsid w:val="00C85DFB"/>
    <w:rsid w:val="00C85EFE"/>
    <w:rsid w:val="00C85FB6"/>
    <w:rsid w:val="00C86057"/>
    <w:rsid w:val="00C86204"/>
    <w:rsid w:val="00C86224"/>
    <w:rsid w:val="00C8623F"/>
    <w:rsid w:val="00C86461"/>
    <w:rsid w:val="00C86476"/>
    <w:rsid w:val="00C864CB"/>
    <w:rsid w:val="00C865AE"/>
    <w:rsid w:val="00C865D8"/>
    <w:rsid w:val="00C8679C"/>
    <w:rsid w:val="00C8690C"/>
    <w:rsid w:val="00C8694E"/>
    <w:rsid w:val="00C86965"/>
    <w:rsid w:val="00C86BF3"/>
    <w:rsid w:val="00C87002"/>
    <w:rsid w:val="00C87058"/>
    <w:rsid w:val="00C870C1"/>
    <w:rsid w:val="00C87170"/>
    <w:rsid w:val="00C87237"/>
    <w:rsid w:val="00C8729D"/>
    <w:rsid w:val="00C8734F"/>
    <w:rsid w:val="00C87358"/>
    <w:rsid w:val="00C8737F"/>
    <w:rsid w:val="00C873E9"/>
    <w:rsid w:val="00C874E3"/>
    <w:rsid w:val="00C87526"/>
    <w:rsid w:val="00C875E9"/>
    <w:rsid w:val="00C87698"/>
    <w:rsid w:val="00C876DB"/>
    <w:rsid w:val="00C87711"/>
    <w:rsid w:val="00C87739"/>
    <w:rsid w:val="00C877F7"/>
    <w:rsid w:val="00C87802"/>
    <w:rsid w:val="00C87837"/>
    <w:rsid w:val="00C87851"/>
    <w:rsid w:val="00C87928"/>
    <w:rsid w:val="00C87A34"/>
    <w:rsid w:val="00C87AF4"/>
    <w:rsid w:val="00C87C63"/>
    <w:rsid w:val="00C87D1D"/>
    <w:rsid w:val="00C87D5C"/>
    <w:rsid w:val="00C87DA8"/>
    <w:rsid w:val="00C87DA9"/>
    <w:rsid w:val="00C87E17"/>
    <w:rsid w:val="00C87E1B"/>
    <w:rsid w:val="00C87E31"/>
    <w:rsid w:val="00C87E98"/>
    <w:rsid w:val="00C87EE5"/>
    <w:rsid w:val="00C87EF6"/>
    <w:rsid w:val="00C87FA3"/>
    <w:rsid w:val="00C87FBC"/>
    <w:rsid w:val="00C90132"/>
    <w:rsid w:val="00C9014B"/>
    <w:rsid w:val="00C901CB"/>
    <w:rsid w:val="00C903C2"/>
    <w:rsid w:val="00C90444"/>
    <w:rsid w:val="00C9046E"/>
    <w:rsid w:val="00C90569"/>
    <w:rsid w:val="00C9067D"/>
    <w:rsid w:val="00C906F5"/>
    <w:rsid w:val="00C908F5"/>
    <w:rsid w:val="00C90958"/>
    <w:rsid w:val="00C9099F"/>
    <w:rsid w:val="00C90B13"/>
    <w:rsid w:val="00C90DC5"/>
    <w:rsid w:val="00C90E0A"/>
    <w:rsid w:val="00C90E58"/>
    <w:rsid w:val="00C90F0A"/>
    <w:rsid w:val="00C90FEE"/>
    <w:rsid w:val="00C9104C"/>
    <w:rsid w:val="00C9109B"/>
    <w:rsid w:val="00C912E5"/>
    <w:rsid w:val="00C91527"/>
    <w:rsid w:val="00C9162C"/>
    <w:rsid w:val="00C9168C"/>
    <w:rsid w:val="00C916AE"/>
    <w:rsid w:val="00C91817"/>
    <w:rsid w:val="00C91856"/>
    <w:rsid w:val="00C9196D"/>
    <w:rsid w:val="00C91B6B"/>
    <w:rsid w:val="00C91C5A"/>
    <w:rsid w:val="00C91D11"/>
    <w:rsid w:val="00C91D8F"/>
    <w:rsid w:val="00C91DBE"/>
    <w:rsid w:val="00C91DC2"/>
    <w:rsid w:val="00C91E49"/>
    <w:rsid w:val="00C91F3C"/>
    <w:rsid w:val="00C9211D"/>
    <w:rsid w:val="00C9225B"/>
    <w:rsid w:val="00C92363"/>
    <w:rsid w:val="00C92393"/>
    <w:rsid w:val="00C9250D"/>
    <w:rsid w:val="00C925C0"/>
    <w:rsid w:val="00C92677"/>
    <w:rsid w:val="00C926B1"/>
    <w:rsid w:val="00C92788"/>
    <w:rsid w:val="00C92976"/>
    <w:rsid w:val="00C9299B"/>
    <w:rsid w:val="00C929A4"/>
    <w:rsid w:val="00C92C24"/>
    <w:rsid w:val="00C92C8A"/>
    <w:rsid w:val="00C92D01"/>
    <w:rsid w:val="00C92D31"/>
    <w:rsid w:val="00C92E06"/>
    <w:rsid w:val="00C92FE5"/>
    <w:rsid w:val="00C93224"/>
    <w:rsid w:val="00C93286"/>
    <w:rsid w:val="00C93301"/>
    <w:rsid w:val="00C93365"/>
    <w:rsid w:val="00C933D2"/>
    <w:rsid w:val="00C933E9"/>
    <w:rsid w:val="00C93465"/>
    <w:rsid w:val="00C93558"/>
    <w:rsid w:val="00C93569"/>
    <w:rsid w:val="00C935F2"/>
    <w:rsid w:val="00C93808"/>
    <w:rsid w:val="00C93937"/>
    <w:rsid w:val="00C93A0A"/>
    <w:rsid w:val="00C93AF0"/>
    <w:rsid w:val="00C93B5E"/>
    <w:rsid w:val="00C93B7A"/>
    <w:rsid w:val="00C93B89"/>
    <w:rsid w:val="00C93C20"/>
    <w:rsid w:val="00C93D64"/>
    <w:rsid w:val="00C93DCE"/>
    <w:rsid w:val="00C93E43"/>
    <w:rsid w:val="00C93E5D"/>
    <w:rsid w:val="00C93F0C"/>
    <w:rsid w:val="00C93F83"/>
    <w:rsid w:val="00C93FDA"/>
    <w:rsid w:val="00C9403D"/>
    <w:rsid w:val="00C9413B"/>
    <w:rsid w:val="00C94145"/>
    <w:rsid w:val="00C9416E"/>
    <w:rsid w:val="00C94206"/>
    <w:rsid w:val="00C9428F"/>
    <w:rsid w:val="00C94463"/>
    <w:rsid w:val="00C945C6"/>
    <w:rsid w:val="00C94687"/>
    <w:rsid w:val="00C94752"/>
    <w:rsid w:val="00C94778"/>
    <w:rsid w:val="00C948F9"/>
    <w:rsid w:val="00C94A31"/>
    <w:rsid w:val="00C94C33"/>
    <w:rsid w:val="00C94CCF"/>
    <w:rsid w:val="00C94D45"/>
    <w:rsid w:val="00C94D8A"/>
    <w:rsid w:val="00C94EDA"/>
    <w:rsid w:val="00C94F69"/>
    <w:rsid w:val="00C94F72"/>
    <w:rsid w:val="00C9502D"/>
    <w:rsid w:val="00C951B6"/>
    <w:rsid w:val="00C952A7"/>
    <w:rsid w:val="00C95316"/>
    <w:rsid w:val="00C9536F"/>
    <w:rsid w:val="00C953A7"/>
    <w:rsid w:val="00C953CD"/>
    <w:rsid w:val="00C9550A"/>
    <w:rsid w:val="00C95541"/>
    <w:rsid w:val="00C9564F"/>
    <w:rsid w:val="00C95671"/>
    <w:rsid w:val="00C956E7"/>
    <w:rsid w:val="00C95787"/>
    <w:rsid w:val="00C957F4"/>
    <w:rsid w:val="00C9582D"/>
    <w:rsid w:val="00C958F5"/>
    <w:rsid w:val="00C9592A"/>
    <w:rsid w:val="00C95932"/>
    <w:rsid w:val="00C95A74"/>
    <w:rsid w:val="00C95AAF"/>
    <w:rsid w:val="00C95C91"/>
    <w:rsid w:val="00C95D29"/>
    <w:rsid w:val="00C95F3B"/>
    <w:rsid w:val="00C95F4D"/>
    <w:rsid w:val="00C95F60"/>
    <w:rsid w:val="00C95F8C"/>
    <w:rsid w:val="00C96061"/>
    <w:rsid w:val="00C960BA"/>
    <w:rsid w:val="00C96130"/>
    <w:rsid w:val="00C963C1"/>
    <w:rsid w:val="00C963F9"/>
    <w:rsid w:val="00C964D0"/>
    <w:rsid w:val="00C965F9"/>
    <w:rsid w:val="00C966B2"/>
    <w:rsid w:val="00C9676F"/>
    <w:rsid w:val="00C96818"/>
    <w:rsid w:val="00C9682E"/>
    <w:rsid w:val="00C968C3"/>
    <w:rsid w:val="00C96902"/>
    <w:rsid w:val="00C9698B"/>
    <w:rsid w:val="00C969F4"/>
    <w:rsid w:val="00C96A07"/>
    <w:rsid w:val="00C96A34"/>
    <w:rsid w:val="00C96AD4"/>
    <w:rsid w:val="00C96AE0"/>
    <w:rsid w:val="00C96B77"/>
    <w:rsid w:val="00C96B8B"/>
    <w:rsid w:val="00C96BC1"/>
    <w:rsid w:val="00C96CC1"/>
    <w:rsid w:val="00C96CCF"/>
    <w:rsid w:val="00C96CDB"/>
    <w:rsid w:val="00C96CFD"/>
    <w:rsid w:val="00C96D03"/>
    <w:rsid w:val="00C96D58"/>
    <w:rsid w:val="00C970E0"/>
    <w:rsid w:val="00C972AC"/>
    <w:rsid w:val="00C97337"/>
    <w:rsid w:val="00C9740C"/>
    <w:rsid w:val="00C97585"/>
    <w:rsid w:val="00C975A8"/>
    <w:rsid w:val="00C975AA"/>
    <w:rsid w:val="00C9763C"/>
    <w:rsid w:val="00C9769D"/>
    <w:rsid w:val="00C977DA"/>
    <w:rsid w:val="00C977F7"/>
    <w:rsid w:val="00C97813"/>
    <w:rsid w:val="00C9786B"/>
    <w:rsid w:val="00C97904"/>
    <w:rsid w:val="00C97A2A"/>
    <w:rsid w:val="00C97AA3"/>
    <w:rsid w:val="00C97B0B"/>
    <w:rsid w:val="00C97CEB"/>
    <w:rsid w:val="00C97E1E"/>
    <w:rsid w:val="00C97F29"/>
    <w:rsid w:val="00C97F5A"/>
    <w:rsid w:val="00C97F6F"/>
    <w:rsid w:val="00C97F71"/>
    <w:rsid w:val="00C97F9F"/>
    <w:rsid w:val="00CA0080"/>
    <w:rsid w:val="00CA00D1"/>
    <w:rsid w:val="00CA0108"/>
    <w:rsid w:val="00CA014F"/>
    <w:rsid w:val="00CA018D"/>
    <w:rsid w:val="00CA02B7"/>
    <w:rsid w:val="00CA02E5"/>
    <w:rsid w:val="00CA0307"/>
    <w:rsid w:val="00CA032F"/>
    <w:rsid w:val="00CA0342"/>
    <w:rsid w:val="00CA03B8"/>
    <w:rsid w:val="00CA04B7"/>
    <w:rsid w:val="00CA0500"/>
    <w:rsid w:val="00CA0727"/>
    <w:rsid w:val="00CA0849"/>
    <w:rsid w:val="00CA089A"/>
    <w:rsid w:val="00CA089C"/>
    <w:rsid w:val="00CA0AB5"/>
    <w:rsid w:val="00CA0C78"/>
    <w:rsid w:val="00CA0D6F"/>
    <w:rsid w:val="00CA0DB6"/>
    <w:rsid w:val="00CA0DE3"/>
    <w:rsid w:val="00CA0FEE"/>
    <w:rsid w:val="00CA1016"/>
    <w:rsid w:val="00CA1233"/>
    <w:rsid w:val="00CA12F8"/>
    <w:rsid w:val="00CA1323"/>
    <w:rsid w:val="00CA133F"/>
    <w:rsid w:val="00CA13BB"/>
    <w:rsid w:val="00CA15AA"/>
    <w:rsid w:val="00CA1610"/>
    <w:rsid w:val="00CA1682"/>
    <w:rsid w:val="00CA1711"/>
    <w:rsid w:val="00CA17E6"/>
    <w:rsid w:val="00CA18E7"/>
    <w:rsid w:val="00CA19B5"/>
    <w:rsid w:val="00CA1A51"/>
    <w:rsid w:val="00CA1A7F"/>
    <w:rsid w:val="00CA1B62"/>
    <w:rsid w:val="00CA1CC1"/>
    <w:rsid w:val="00CA1D73"/>
    <w:rsid w:val="00CA1D82"/>
    <w:rsid w:val="00CA1E98"/>
    <w:rsid w:val="00CA1FA9"/>
    <w:rsid w:val="00CA1FE3"/>
    <w:rsid w:val="00CA20EE"/>
    <w:rsid w:val="00CA22BD"/>
    <w:rsid w:val="00CA240F"/>
    <w:rsid w:val="00CA2539"/>
    <w:rsid w:val="00CA27A0"/>
    <w:rsid w:val="00CA2853"/>
    <w:rsid w:val="00CA28B2"/>
    <w:rsid w:val="00CA2922"/>
    <w:rsid w:val="00CA292F"/>
    <w:rsid w:val="00CA29C6"/>
    <w:rsid w:val="00CA2BFA"/>
    <w:rsid w:val="00CA2CE7"/>
    <w:rsid w:val="00CA2D47"/>
    <w:rsid w:val="00CA2DAA"/>
    <w:rsid w:val="00CA2E82"/>
    <w:rsid w:val="00CA3139"/>
    <w:rsid w:val="00CA317C"/>
    <w:rsid w:val="00CA31D7"/>
    <w:rsid w:val="00CA321C"/>
    <w:rsid w:val="00CA324A"/>
    <w:rsid w:val="00CA32A2"/>
    <w:rsid w:val="00CA32FB"/>
    <w:rsid w:val="00CA3416"/>
    <w:rsid w:val="00CA34DA"/>
    <w:rsid w:val="00CA354F"/>
    <w:rsid w:val="00CA359B"/>
    <w:rsid w:val="00CA36D5"/>
    <w:rsid w:val="00CA3794"/>
    <w:rsid w:val="00CA386E"/>
    <w:rsid w:val="00CA3878"/>
    <w:rsid w:val="00CA3939"/>
    <w:rsid w:val="00CA3B54"/>
    <w:rsid w:val="00CA3BDF"/>
    <w:rsid w:val="00CA3C7E"/>
    <w:rsid w:val="00CA3D2D"/>
    <w:rsid w:val="00CA3D8D"/>
    <w:rsid w:val="00CA3E5A"/>
    <w:rsid w:val="00CA3E7A"/>
    <w:rsid w:val="00CA3EAC"/>
    <w:rsid w:val="00CA414C"/>
    <w:rsid w:val="00CA4190"/>
    <w:rsid w:val="00CA4321"/>
    <w:rsid w:val="00CA4468"/>
    <w:rsid w:val="00CA451C"/>
    <w:rsid w:val="00CA45DF"/>
    <w:rsid w:val="00CA46ED"/>
    <w:rsid w:val="00CA4811"/>
    <w:rsid w:val="00CA4822"/>
    <w:rsid w:val="00CA4886"/>
    <w:rsid w:val="00CA49BA"/>
    <w:rsid w:val="00CA4BB5"/>
    <w:rsid w:val="00CA4C2F"/>
    <w:rsid w:val="00CA4C7C"/>
    <w:rsid w:val="00CA4CDB"/>
    <w:rsid w:val="00CA4D74"/>
    <w:rsid w:val="00CA4F45"/>
    <w:rsid w:val="00CA4F4A"/>
    <w:rsid w:val="00CA50D8"/>
    <w:rsid w:val="00CA50E4"/>
    <w:rsid w:val="00CA5114"/>
    <w:rsid w:val="00CA5286"/>
    <w:rsid w:val="00CA52D2"/>
    <w:rsid w:val="00CA537F"/>
    <w:rsid w:val="00CA53D2"/>
    <w:rsid w:val="00CA564D"/>
    <w:rsid w:val="00CA5782"/>
    <w:rsid w:val="00CA582E"/>
    <w:rsid w:val="00CA5885"/>
    <w:rsid w:val="00CA5B36"/>
    <w:rsid w:val="00CA5BF1"/>
    <w:rsid w:val="00CA5C15"/>
    <w:rsid w:val="00CA5E4A"/>
    <w:rsid w:val="00CA5E5D"/>
    <w:rsid w:val="00CA5E6C"/>
    <w:rsid w:val="00CA5EB8"/>
    <w:rsid w:val="00CA5FB4"/>
    <w:rsid w:val="00CA604D"/>
    <w:rsid w:val="00CA6057"/>
    <w:rsid w:val="00CA61E3"/>
    <w:rsid w:val="00CA61F8"/>
    <w:rsid w:val="00CA621D"/>
    <w:rsid w:val="00CA6245"/>
    <w:rsid w:val="00CA629A"/>
    <w:rsid w:val="00CA6372"/>
    <w:rsid w:val="00CA63FB"/>
    <w:rsid w:val="00CA6538"/>
    <w:rsid w:val="00CA6611"/>
    <w:rsid w:val="00CA66BE"/>
    <w:rsid w:val="00CA66D5"/>
    <w:rsid w:val="00CA681E"/>
    <w:rsid w:val="00CA682D"/>
    <w:rsid w:val="00CA6849"/>
    <w:rsid w:val="00CA689C"/>
    <w:rsid w:val="00CA6971"/>
    <w:rsid w:val="00CA69F7"/>
    <w:rsid w:val="00CA69FC"/>
    <w:rsid w:val="00CA6B0A"/>
    <w:rsid w:val="00CA6B9B"/>
    <w:rsid w:val="00CA6C1E"/>
    <w:rsid w:val="00CA6C67"/>
    <w:rsid w:val="00CA6DFD"/>
    <w:rsid w:val="00CA6E2A"/>
    <w:rsid w:val="00CA6E2F"/>
    <w:rsid w:val="00CA6F2F"/>
    <w:rsid w:val="00CA6F91"/>
    <w:rsid w:val="00CA6FB4"/>
    <w:rsid w:val="00CA72AA"/>
    <w:rsid w:val="00CA7325"/>
    <w:rsid w:val="00CA7401"/>
    <w:rsid w:val="00CA7502"/>
    <w:rsid w:val="00CA76C6"/>
    <w:rsid w:val="00CA76F5"/>
    <w:rsid w:val="00CA775F"/>
    <w:rsid w:val="00CA77E0"/>
    <w:rsid w:val="00CA780A"/>
    <w:rsid w:val="00CA78B9"/>
    <w:rsid w:val="00CA78D0"/>
    <w:rsid w:val="00CA78EA"/>
    <w:rsid w:val="00CA793A"/>
    <w:rsid w:val="00CA7A2F"/>
    <w:rsid w:val="00CA7AE3"/>
    <w:rsid w:val="00CA7AEB"/>
    <w:rsid w:val="00CA7BCF"/>
    <w:rsid w:val="00CA7C18"/>
    <w:rsid w:val="00CA7C2A"/>
    <w:rsid w:val="00CA7C54"/>
    <w:rsid w:val="00CA7C92"/>
    <w:rsid w:val="00CA7CBF"/>
    <w:rsid w:val="00CA7EC7"/>
    <w:rsid w:val="00CA7EF6"/>
    <w:rsid w:val="00CA7F12"/>
    <w:rsid w:val="00CA7F39"/>
    <w:rsid w:val="00CA7F41"/>
    <w:rsid w:val="00CA7F5A"/>
    <w:rsid w:val="00CA7F99"/>
    <w:rsid w:val="00CB005B"/>
    <w:rsid w:val="00CB0150"/>
    <w:rsid w:val="00CB03E1"/>
    <w:rsid w:val="00CB0410"/>
    <w:rsid w:val="00CB04D5"/>
    <w:rsid w:val="00CB04E5"/>
    <w:rsid w:val="00CB0521"/>
    <w:rsid w:val="00CB058F"/>
    <w:rsid w:val="00CB05CE"/>
    <w:rsid w:val="00CB05F1"/>
    <w:rsid w:val="00CB089B"/>
    <w:rsid w:val="00CB08F7"/>
    <w:rsid w:val="00CB0923"/>
    <w:rsid w:val="00CB0934"/>
    <w:rsid w:val="00CB0939"/>
    <w:rsid w:val="00CB0A35"/>
    <w:rsid w:val="00CB0ACB"/>
    <w:rsid w:val="00CB0C2D"/>
    <w:rsid w:val="00CB0C5E"/>
    <w:rsid w:val="00CB0CC8"/>
    <w:rsid w:val="00CB0EC2"/>
    <w:rsid w:val="00CB0EEB"/>
    <w:rsid w:val="00CB0F28"/>
    <w:rsid w:val="00CB0F94"/>
    <w:rsid w:val="00CB0FBA"/>
    <w:rsid w:val="00CB1050"/>
    <w:rsid w:val="00CB10B7"/>
    <w:rsid w:val="00CB10DE"/>
    <w:rsid w:val="00CB1116"/>
    <w:rsid w:val="00CB1164"/>
    <w:rsid w:val="00CB11C6"/>
    <w:rsid w:val="00CB1429"/>
    <w:rsid w:val="00CB146C"/>
    <w:rsid w:val="00CB14D1"/>
    <w:rsid w:val="00CB1531"/>
    <w:rsid w:val="00CB15A0"/>
    <w:rsid w:val="00CB15A9"/>
    <w:rsid w:val="00CB163B"/>
    <w:rsid w:val="00CB169C"/>
    <w:rsid w:val="00CB1706"/>
    <w:rsid w:val="00CB1759"/>
    <w:rsid w:val="00CB1840"/>
    <w:rsid w:val="00CB18D9"/>
    <w:rsid w:val="00CB1AE5"/>
    <w:rsid w:val="00CB1B04"/>
    <w:rsid w:val="00CB1C6C"/>
    <w:rsid w:val="00CB1CDF"/>
    <w:rsid w:val="00CB1E89"/>
    <w:rsid w:val="00CB2053"/>
    <w:rsid w:val="00CB2086"/>
    <w:rsid w:val="00CB2299"/>
    <w:rsid w:val="00CB22BC"/>
    <w:rsid w:val="00CB23FE"/>
    <w:rsid w:val="00CB247D"/>
    <w:rsid w:val="00CB2489"/>
    <w:rsid w:val="00CB250C"/>
    <w:rsid w:val="00CB270B"/>
    <w:rsid w:val="00CB2787"/>
    <w:rsid w:val="00CB28AE"/>
    <w:rsid w:val="00CB2940"/>
    <w:rsid w:val="00CB29A8"/>
    <w:rsid w:val="00CB29C6"/>
    <w:rsid w:val="00CB29E7"/>
    <w:rsid w:val="00CB2A7E"/>
    <w:rsid w:val="00CB2AF4"/>
    <w:rsid w:val="00CB2B15"/>
    <w:rsid w:val="00CB2EA1"/>
    <w:rsid w:val="00CB2F73"/>
    <w:rsid w:val="00CB31DE"/>
    <w:rsid w:val="00CB32E8"/>
    <w:rsid w:val="00CB3497"/>
    <w:rsid w:val="00CB3556"/>
    <w:rsid w:val="00CB35DE"/>
    <w:rsid w:val="00CB3614"/>
    <w:rsid w:val="00CB3646"/>
    <w:rsid w:val="00CB36D1"/>
    <w:rsid w:val="00CB36F0"/>
    <w:rsid w:val="00CB3736"/>
    <w:rsid w:val="00CB38F8"/>
    <w:rsid w:val="00CB39CD"/>
    <w:rsid w:val="00CB3A24"/>
    <w:rsid w:val="00CB3A3E"/>
    <w:rsid w:val="00CB3ACA"/>
    <w:rsid w:val="00CB3B0F"/>
    <w:rsid w:val="00CB3C53"/>
    <w:rsid w:val="00CB3CDC"/>
    <w:rsid w:val="00CB3CF5"/>
    <w:rsid w:val="00CB3ED0"/>
    <w:rsid w:val="00CB3ED6"/>
    <w:rsid w:val="00CB3EDF"/>
    <w:rsid w:val="00CB416F"/>
    <w:rsid w:val="00CB42E6"/>
    <w:rsid w:val="00CB4373"/>
    <w:rsid w:val="00CB43CA"/>
    <w:rsid w:val="00CB43CB"/>
    <w:rsid w:val="00CB450F"/>
    <w:rsid w:val="00CB4552"/>
    <w:rsid w:val="00CB46E2"/>
    <w:rsid w:val="00CB4704"/>
    <w:rsid w:val="00CB4756"/>
    <w:rsid w:val="00CB4AF7"/>
    <w:rsid w:val="00CB4D72"/>
    <w:rsid w:val="00CB4E6A"/>
    <w:rsid w:val="00CB4F2E"/>
    <w:rsid w:val="00CB4F8A"/>
    <w:rsid w:val="00CB4FD5"/>
    <w:rsid w:val="00CB5127"/>
    <w:rsid w:val="00CB5147"/>
    <w:rsid w:val="00CB536A"/>
    <w:rsid w:val="00CB53DE"/>
    <w:rsid w:val="00CB5466"/>
    <w:rsid w:val="00CB54A1"/>
    <w:rsid w:val="00CB54DB"/>
    <w:rsid w:val="00CB54F9"/>
    <w:rsid w:val="00CB56FD"/>
    <w:rsid w:val="00CB58E1"/>
    <w:rsid w:val="00CB58E7"/>
    <w:rsid w:val="00CB5903"/>
    <w:rsid w:val="00CB598B"/>
    <w:rsid w:val="00CB59DB"/>
    <w:rsid w:val="00CB5A2B"/>
    <w:rsid w:val="00CB5AA1"/>
    <w:rsid w:val="00CB5B1F"/>
    <w:rsid w:val="00CB5CA9"/>
    <w:rsid w:val="00CB5D05"/>
    <w:rsid w:val="00CB5E0E"/>
    <w:rsid w:val="00CB5F55"/>
    <w:rsid w:val="00CB5FBB"/>
    <w:rsid w:val="00CB607B"/>
    <w:rsid w:val="00CB60EB"/>
    <w:rsid w:val="00CB6303"/>
    <w:rsid w:val="00CB63B1"/>
    <w:rsid w:val="00CB647B"/>
    <w:rsid w:val="00CB64C6"/>
    <w:rsid w:val="00CB64CF"/>
    <w:rsid w:val="00CB6515"/>
    <w:rsid w:val="00CB66B0"/>
    <w:rsid w:val="00CB6753"/>
    <w:rsid w:val="00CB67BF"/>
    <w:rsid w:val="00CB688F"/>
    <w:rsid w:val="00CB69EB"/>
    <w:rsid w:val="00CB6A7C"/>
    <w:rsid w:val="00CB6AC9"/>
    <w:rsid w:val="00CB6C96"/>
    <w:rsid w:val="00CB6D73"/>
    <w:rsid w:val="00CB6D9C"/>
    <w:rsid w:val="00CB6F2A"/>
    <w:rsid w:val="00CB6F96"/>
    <w:rsid w:val="00CB7149"/>
    <w:rsid w:val="00CB7283"/>
    <w:rsid w:val="00CB7300"/>
    <w:rsid w:val="00CB73AF"/>
    <w:rsid w:val="00CB743A"/>
    <w:rsid w:val="00CB756C"/>
    <w:rsid w:val="00CB7736"/>
    <w:rsid w:val="00CB7921"/>
    <w:rsid w:val="00CB79FD"/>
    <w:rsid w:val="00CB7A2A"/>
    <w:rsid w:val="00CB7AEA"/>
    <w:rsid w:val="00CB7B57"/>
    <w:rsid w:val="00CB7B72"/>
    <w:rsid w:val="00CB7BAD"/>
    <w:rsid w:val="00CB7BE3"/>
    <w:rsid w:val="00CB7D90"/>
    <w:rsid w:val="00CB7DB5"/>
    <w:rsid w:val="00CB7ED9"/>
    <w:rsid w:val="00CB7EE0"/>
    <w:rsid w:val="00CB7F54"/>
    <w:rsid w:val="00CC00CE"/>
    <w:rsid w:val="00CC0126"/>
    <w:rsid w:val="00CC016C"/>
    <w:rsid w:val="00CC0235"/>
    <w:rsid w:val="00CC0247"/>
    <w:rsid w:val="00CC03D2"/>
    <w:rsid w:val="00CC0469"/>
    <w:rsid w:val="00CC0628"/>
    <w:rsid w:val="00CC076C"/>
    <w:rsid w:val="00CC07CD"/>
    <w:rsid w:val="00CC08EC"/>
    <w:rsid w:val="00CC0A18"/>
    <w:rsid w:val="00CC0A34"/>
    <w:rsid w:val="00CC0B07"/>
    <w:rsid w:val="00CC0B64"/>
    <w:rsid w:val="00CC0CB5"/>
    <w:rsid w:val="00CC0D42"/>
    <w:rsid w:val="00CC0D47"/>
    <w:rsid w:val="00CC0E04"/>
    <w:rsid w:val="00CC0EA0"/>
    <w:rsid w:val="00CC0F16"/>
    <w:rsid w:val="00CC0F9A"/>
    <w:rsid w:val="00CC0FE1"/>
    <w:rsid w:val="00CC10AA"/>
    <w:rsid w:val="00CC10B8"/>
    <w:rsid w:val="00CC10FC"/>
    <w:rsid w:val="00CC114C"/>
    <w:rsid w:val="00CC1210"/>
    <w:rsid w:val="00CC12DC"/>
    <w:rsid w:val="00CC1475"/>
    <w:rsid w:val="00CC165E"/>
    <w:rsid w:val="00CC174C"/>
    <w:rsid w:val="00CC177D"/>
    <w:rsid w:val="00CC1855"/>
    <w:rsid w:val="00CC1A2F"/>
    <w:rsid w:val="00CC1A4C"/>
    <w:rsid w:val="00CC1BDB"/>
    <w:rsid w:val="00CC1C73"/>
    <w:rsid w:val="00CC1D23"/>
    <w:rsid w:val="00CC1DEA"/>
    <w:rsid w:val="00CC1EF7"/>
    <w:rsid w:val="00CC1F89"/>
    <w:rsid w:val="00CC216E"/>
    <w:rsid w:val="00CC22F4"/>
    <w:rsid w:val="00CC242C"/>
    <w:rsid w:val="00CC2523"/>
    <w:rsid w:val="00CC252A"/>
    <w:rsid w:val="00CC2552"/>
    <w:rsid w:val="00CC259E"/>
    <w:rsid w:val="00CC25CF"/>
    <w:rsid w:val="00CC2600"/>
    <w:rsid w:val="00CC2609"/>
    <w:rsid w:val="00CC268D"/>
    <w:rsid w:val="00CC26E7"/>
    <w:rsid w:val="00CC26ED"/>
    <w:rsid w:val="00CC27A0"/>
    <w:rsid w:val="00CC28E3"/>
    <w:rsid w:val="00CC2A33"/>
    <w:rsid w:val="00CC2BB5"/>
    <w:rsid w:val="00CC2BDF"/>
    <w:rsid w:val="00CC2BE0"/>
    <w:rsid w:val="00CC2DC6"/>
    <w:rsid w:val="00CC2EE7"/>
    <w:rsid w:val="00CC2F75"/>
    <w:rsid w:val="00CC3093"/>
    <w:rsid w:val="00CC30B8"/>
    <w:rsid w:val="00CC312A"/>
    <w:rsid w:val="00CC316C"/>
    <w:rsid w:val="00CC328A"/>
    <w:rsid w:val="00CC328B"/>
    <w:rsid w:val="00CC34EA"/>
    <w:rsid w:val="00CC35A8"/>
    <w:rsid w:val="00CC3645"/>
    <w:rsid w:val="00CC37D9"/>
    <w:rsid w:val="00CC37DF"/>
    <w:rsid w:val="00CC3809"/>
    <w:rsid w:val="00CC3953"/>
    <w:rsid w:val="00CC39A6"/>
    <w:rsid w:val="00CC39C8"/>
    <w:rsid w:val="00CC39D1"/>
    <w:rsid w:val="00CC3A06"/>
    <w:rsid w:val="00CC3A0A"/>
    <w:rsid w:val="00CC3D59"/>
    <w:rsid w:val="00CC3E29"/>
    <w:rsid w:val="00CC3E2E"/>
    <w:rsid w:val="00CC3E4C"/>
    <w:rsid w:val="00CC3EA4"/>
    <w:rsid w:val="00CC3EB6"/>
    <w:rsid w:val="00CC400F"/>
    <w:rsid w:val="00CC4115"/>
    <w:rsid w:val="00CC4231"/>
    <w:rsid w:val="00CC4337"/>
    <w:rsid w:val="00CC43BB"/>
    <w:rsid w:val="00CC4407"/>
    <w:rsid w:val="00CC4442"/>
    <w:rsid w:val="00CC4444"/>
    <w:rsid w:val="00CC4465"/>
    <w:rsid w:val="00CC44F0"/>
    <w:rsid w:val="00CC459F"/>
    <w:rsid w:val="00CC466F"/>
    <w:rsid w:val="00CC46A3"/>
    <w:rsid w:val="00CC474E"/>
    <w:rsid w:val="00CC4768"/>
    <w:rsid w:val="00CC4840"/>
    <w:rsid w:val="00CC4843"/>
    <w:rsid w:val="00CC48D4"/>
    <w:rsid w:val="00CC4962"/>
    <w:rsid w:val="00CC4A87"/>
    <w:rsid w:val="00CC4B55"/>
    <w:rsid w:val="00CC4BC3"/>
    <w:rsid w:val="00CC4BF4"/>
    <w:rsid w:val="00CC4CC7"/>
    <w:rsid w:val="00CC4D39"/>
    <w:rsid w:val="00CC4D4B"/>
    <w:rsid w:val="00CC4DBB"/>
    <w:rsid w:val="00CC4F0C"/>
    <w:rsid w:val="00CC4FAA"/>
    <w:rsid w:val="00CC4FFF"/>
    <w:rsid w:val="00CC5071"/>
    <w:rsid w:val="00CC510E"/>
    <w:rsid w:val="00CC52F2"/>
    <w:rsid w:val="00CC53A0"/>
    <w:rsid w:val="00CC54A0"/>
    <w:rsid w:val="00CC55E1"/>
    <w:rsid w:val="00CC57D3"/>
    <w:rsid w:val="00CC57D7"/>
    <w:rsid w:val="00CC584A"/>
    <w:rsid w:val="00CC5863"/>
    <w:rsid w:val="00CC58BB"/>
    <w:rsid w:val="00CC59A5"/>
    <w:rsid w:val="00CC5A6D"/>
    <w:rsid w:val="00CC5A81"/>
    <w:rsid w:val="00CC5DAA"/>
    <w:rsid w:val="00CC5DFB"/>
    <w:rsid w:val="00CC5E46"/>
    <w:rsid w:val="00CC5E4F"/>
    <w:rsid w:val="00CC5EC2"/>
    <w:rsid w:val="00CC5FAC"/>
    <w:rsid w:val="00CC602B"/>
    <w:rsid w:val="00CC6183"/>
    <w:rsid w:val="00CC6248"/>
    <w:rsid w:val="00CC625D"/>
    <w:rsid w:val="00CC630D"/>
    <w:rsid w:val="00CC6317"/>
    <w:rsid w:val="00CC634A"/>
    <w:rsid w:val="00CC63F4"/>
    <w:rsid w:val="00CC6414"/>
    <w:rsid w:val="00CC659F"/>
    <w:rsid w:val="00CC65EA"/>
    <w:rsid w:val="00CC65FB"/>
    <w:rsid w:val="00CC66EC"/>
    <w:rsid w:val="00CC6747"/>
    <w:rsid w:val="00CC690E"/>
    <w:rsid w:val="00CC6963"/>
    <w:rsid w:val="00CC6B8A"/>
    <w:rsid w:val="00CC6BC5"/>
    <w:rsid w:val="00CC6BDE"/>
    <w:rsid w:val="00CC6C3D"/>
    <w:rsid w:val="00CC6C77"/>
    <w:rsid w:val="00CC6CDA"/>
    <w:rsid w:val="00CC6D9C"/>
    <w:rsid w:val="00CC6FA6"/>
    <w:rsid w:val="00CC721C"/>
    <w:rsid w:val="00CC7473"/>
    <w:rsid w:val="00CC74BA"/>
    <w:rsid w:val="00CC76A8"/>
    <w:rsid w:val="00CC76E4"/>
    <w:rsid w:val="00CC79F2"/>
    <w:rsid w:val="00CC7A2D"/>
    <w:rsid w:val="00CC7CBB"/>
    <w:rsid w:val="00CC7D8E"/>
    <w:rsid w:val="00CC7DFC"/>
    <w:rsid w:val="00CC7E3F"/>
    <w:rsid w:val="00CC7F20"/>
    <w:rsid w:val="00CC7F3E"/>
    <w:rsid w:val="00CD002B"/>
    <w:rsid w:val="00CD0195"/>
    <w:rsid w:val="00CD019E"/>
    <w:rsid w:val="00CD01B5"/>
    <w:rsid w:val="00CD02A8"/>
    <w:rsid w:val="00CD02EE"/>
    <w:rsid w:val="00CD02F7"/>
    <w:rsid w:val="00CD042D"/>
    <w:rsid w:val="00CD04B3"/>
    <w:rsid w:val="00CD04D4"/>
    <w:rsid w:val="00CD04E8"/>
    <w:rsid w:val="00CD074D"/>
    <w:rsid w:val="00CD0807"/>
    <w:rsid w:val="00CD0876"/>
    <w:rsid w:val="00CD09A5"/>
    <w:rsid w:val="00CD0ACD"/>
    <w:rsid w:val="00CD0AE2"/>
    <w:rsid w:val="00CD0B2C"/>
    <w:rsid w:val="00CD0DC3"/>
    <w:rsid w:val="00CD0E2B"/>
    <w:rsid w:val="00CD0EFE"/>
    <w:rsid w:val="00CD0F70"/>
    <w:rsid w:val="00CD0F9F"/>
    <w:rsid w:val="00CD0FF3"/>
    <w:rsid w:val="00CD106B"/>
    <w:rsid w:val="00CD118F"/>
    <w:rsid w:val="00CD1315"/>
    <w:rsid w:val="00CD137B"/>
    <w:rsid w:val="00CD1438"/>
    <w:rsid w:val="00CD15D4"/>
    <w:rsid w:val="00CD172E"/>
    <w:rsid w:val="00CD193A"/>
    <w:rsid w:val="00CD1B9B"/>
    <w:rsid w:val="00CD1C2E"/>
    <w:rsid w:val="00CD1C73"/>
    <w:rsid w:val="00CD1E8E"/>
    <w:rsid w:val="00CD1F3A"/>
    <w:rsid w:val="00CD1F59"/>
    <w:rsid w:val="00CD1F92"/>
    <w:rsid w:val="00CD2095"/>
    <w:rsid w:val="00CD2245"/>
    <w:rsid w:val="00CD2273"/>
    <w:rsid w:val="00CD22A1"/>
    <w:rsid w:val="00CD2315"/>
    <w:rsid w:val="00CD2473"/>
    <w:rsid w:val="00CD247C"/>
    <w:rsid w:val="00CD24D5"/>
    <w:rsid w:val="00CD2522"/>
    <w:rsid w:val="00CD25ED"/>
    <w:rsid w:val="00CD274F"/>
    <w:rsid w:val="00CD281B"/>
    <w:rsid w:val="00CD28CB"/>
    <w:rsid w:val="00CD28D6"/>
    <w:rsid w:val="00CD2BD3"/>
    <w:rsid w:val="00CD2D7E"/>
    <w:rsid w:val="00CD312D"/>
    <w:rsid w:val="00CD31D8"/>
    <w:rsid w:val="00CD31F8"/>
    <w:rsid w:val="00CD32AF"/>
    <w:rsid w:val="00CD32EB"/>
    <w:rsid w:val="00CD33B1"/>
    <w:rsid w:val="00CD341B"/>
    <w:rsid w:val="00CD3420"/>
    <w:rsid w:val="00CD3433"/>
    <w:rsid w:val="00CD37DC"/>
    <w:rsid w:val="00CD39E0"/>
    <w:rsid w:val="00CD3A53"/>
    <w:rsid w:val="00CD3AFE"/>
    <w:rsid w:val="00CD3BA9"/>
    <w:rsid w:val="00CD3C0B"/>
    <w:rsid w:val="00CD3C89"/>
    <w:rsid w:val="00CD3CB2"/>
    <w:rsid w:val="00CD3D0E"/>
    <w:rsid w:val="00CD3D7B"/>
    <w:rsid w:val="00CD3DF9"/>
    <w:rsid w:val="00CD3E49"/>
    <w:rsid w:val="00CD3EA8"/>
    <w:rsid w:val="00CD3EB6"/>
    <w:rsid w:val="00CD3F37"/>
    <w:rsid w:val="00CD4194"/>
    <w:rsid w:val="00CD41B6"/>
    <w:rsid w:val="00CD41E9"/>
    <w:rsid w:val="00CD41F3"/>
    <w:rsid w:val="00CD42D2"/>
    <w:rsid w:val="00CD4307"/>
    <w:rsid w:val="00CD4423"/>
    <w:rsid w:val="00CD4495"/>
    <w:rsid w:val="00CD456F"/>
    <w:rsid w:val="00CD4706"/>
    <w:rsid w:val="00CD4743"/>
    <w:rsid w:val="00CD476E"/>
    <w:rsid w:val="00CD47F1"/>
    <w:rsid w:val="00CD495F"/>
    <w:rsid w:val="00CD4AAE"/>
    <w:rsid w:val="00CD4BA4"/>
    <w:rsid w:val="00CD4E18"/>
    <w:rsid w:val="00CD4F77"/>
    <w:rsid w:val="00CD4FAC"/>
    <w:rsid w:val="00CD4FB9"/>
    <w:rsid w:val="00CD4FDA"/>
    <w:rsid w:val="00CD5051"/>
    <w:rsid w:val="00CD5053"/>
    <w:rsid w:val="00CD518A"/>
    <w:rsid w:val="00CD5221"/>
    <w:rsid w:val="00CD5369"/>
    <w:rsid w:val="00CD543C"/>
    <w:rsid w:val="00CD546B"/>
    <w:rsid w:val="00CD5672"/>
    <w:rsid w:val="00CD56C7"/>
    <w:rsid w:val="00CD56CC"/>
    <w:rsid w:val="00CD57D4"/>
    <w:rsid w:val="00CD59ED"/>
    <w:rsid w:val="00CD5A81"/>
    <w:rsid w:val="00CD5B39"/>
    <w:rsid w:val="00CD5CBC"/>
    <w:rsid w:val="00CD5DCB"/>
    <w:rsid w:val="00CD5EA2"/>
    <w:rsid w:val="00CD5F2A"/>
    <w:rsid w:val="00CD5FB7"/>
    <w:rsid w:val="00CD5FDF"/>
    <w:rsid w:val="00CD6018"/>
    <w:rsid w:val="00CD6025"/>
    <w:rsid w:val="00CD6106"/>
    <w:rsid w:val="00CD613F"/>
    <w:rsid w:val="00CD6155"/>
    <w:rsid w:val="00CD620F"/>
    <w:rsid w:val="00CD6282"/>
    <w:rsid w:val="00CD6331"/>
    <w:rsid w:val="00CD63C2"/>
    <w:rsid w:val="00CD64C4"/>
    <w:rsid w:val="00CD64CC"/>
    <w:rsid w:val="00CD6581"/>
    <w:rsid w:val="00CD65D9"/>
    <w:rsid w:val="00CD6602"/>
    <w:rsid w:val="00CD662E"/>
    <w:rsid w:val="00CD663A"/>
    <w:rsid w:val="00CD6651"/>
    <w:rsid w:val="00CD665E"/>
    <w:rsid w:val="00CD6691"/>
    <w:rsid w:val="00CD66D2"/>
    <w:rsid w:val="00CD6767"/>
    <w:rsid w:val="00CD67D5"/>
    <w:rsid w:val="00CD68D6"/>
    <w:rsid w:val="00CD68E8"/>
    <w:rsid w:val="00CD68F0"/>
    <w:rsid w:val="00CD6919"/>
    <w:rsid w:val="00CD69D9"/>
    <w:rsid w:val="00CD6A2E"/>
    <w:rsid w:val="00CD6B76"/>
    <w:rsid w:val="00CD6B7D"/>
    <w:rsid w:val="00CD6D0F"/>
    <w:rsid w:val="00CD6D5E"/>
    <w:rsid w:val="00CD6D64"/>
    <w:rsid w:val="00CD6EEF"/>
    <w:rsid w:val="00CD7134"/>
    <w:rsid w:val="00CD7185"/>
    <w:rsid w:val="00CD72C9"/>
    <w:rsid w:val="00CD7303"/>
    <w:rsid w:val="00CD7413"/>
    <w:rsid w:val="00CD7453"/>
    <w:rsid w:val="00CD752C"/>
    <w:rsid w:val="00CD7727"/>
    <w:rsid w:val="00CD7829"/>
    <w:rsid w:val="00CD784F"/>
    <w:rsid w:val="00CD78D8"/>
    <w:rsid w:val="00CD7900"/>
    <w:rsid w:val="00CD790E"/>
    <w:rsid w:val="00CD7990"/>
    <w:rsid w:val="00CD7C2A"/>
    <w:rsid w:val="00CD7CE8"/>
    <w:rsid w:val="00CD7FE0"/>
    <w:rsid w:val="00CE000B"/>
    <w:rsid w:val="00CE0027"/>
    <w:rsid w:val="00CE00B6"/>
    <w:rsid w:val="00CE01B0"/>
    <w:rsid w:val="00CE0314"/>
    <w:rsid w:val="00CE038D"/>
    <w:rsid w:val="00CE051A"/>
    <w:rsid w:val="00CE05D3"/>
    <w:rsid w:val="00CE0655"/>
    <w:rsid w:val="00CE069B"/>
    <w:rsid w:val="00CE07C7"/>
    <w:rsid w:val="00CE0890"/>
    <w:rsid w:val="00CE08C3"/>
    <w:rsid w:val="00CE08D0"/>
    <w:rsid w:val="00CE099E"/>
    <w:rsid w:val="00CE0A1E"/>
    <w:rsid w:val="00CE0A3D"/>
    <w:rsid w:val="00CE0AF9"/>
    <w:rsid w:val="00CE0BDB"/>
    <w:rsid w:val="00CE0CAB"/>
    <w:rsid w:val="00CE0CC9"/>
    <w:rsid w:val="00CE0F11"/>
    <w:rsid w:val="00CE0F34"/>
    <w:rsid w:val="00CE0F37"/>
    <w:rsid w:val="00CE1041"/>
    <w:rsid w:val="00CE1045"/>
    <w:rsid w:val="00CE11B7"/>
    <w:rsid w:val="00CE11E4"/>
    <w:rsid w:val="00CE1252"/>
    <w:rsid w:val="00CE12D6"/>
    <w:rsid w:val="00CE131E"/>
    <w:rsid w:val="00CE1452"/>
    <w:rsid w:val="00CE1498"/>
    <w:rsid w:val="00CE149D"/>
    <w:rsid w:val="00CE14EF"/>
    <w:rsid w:val="00CE14FB"/>
    <w:rsid w:val="00CE150C"/>
    <w:rsid w:val="00CE18A4"/>
    <w:rsid w:val="00CE1AED"/>
    <w:rsid w:val="00CE1B10"/>
    <w:rsid w:val="00CE1CB9"/>
    <w:rsid w:val="00CE1CE1"/>
    <w:rsid w:val="00CE1D04"/>
    <w:rsid w:val="00CE1DE6"/>
    <w:rsid w:val="00CE1DE7"/>
    <w:rsid w:val="00CE1ECC"/>
    <w:rsid w:val="00CE1F30"/>
    <w:rsid w:val="00CE1FF6"/>
    <w:rsid w:val="00CE2061"/>
    <w:rsid w:val="00CE25D8"/>
    <w:rsid w:val="00CE280D"/>
    <w:rsid w:val="00CE281B"/>
    <w:rsid w:val="00CE2886"/>
    <w:rsid w:val="00CE29A2"/>
    <w:rsid w:val="00CE2B34"/>
    <w:rsid w:val="00CE2B97"/>
    <w:rsid w:val="00CE2BB8"/>
    <w:rsid w:val="00CE2BDE"/>
    <w:rsid w:val="00CE2E5D"/>
    <w:rsid w:val="00CE2E99"/>
    <w:rsid w:val="00CE307F"/>
    <w:rsid w:val="00CE313A"/>
    <w:rsid w:val="00CE3169"/>
    <w:rsid w:val="00CE31AD"/>
    <w:rsid w:val="00CE3203"/>
    <w:rsid w:val="00CE3310"/>
    <w:rsid w:val="00CE3325"/>
    <w:rsid w:val="00CE3598"/>
    <w:rsid w:val="00CE35B5"/>
    <w:rsid w:val="00CE35C3"/>
    <w:rsid w:val="00CE383F"/>
    <w:rsid w:val="00CE38EF"/>
    <w:rsid w:val="00CE3938"/>
    <w:rsid w:val="00CE3A07"/>
    <w:rsid w:val="00CE3BA9"/>
    <w:rsid w:val="00CE3BED"/>
    <w:rsid w:val="00CE3BEF"/>
    <w:rsid w:val="00CE3CC8"/>
    <w:rsid w:val="00CE3DA1"/>
    <w:rsid w:val="00CE3FB5"/>
    <w:rsid w:val="00CE41FD"/>
    <w:rsid w:val="00CE4477"/>
    <w:rsid w:val="00CE4603"/>
    <w:rsid w:val="00CE46D1"/>
    <w:rsid w:val="00CE475D"/>
    <w:rsid w:val="00CE483E"/>
    <w:rsid w:val="00CE4873"/>
    <w:rsid w:val="00CE48B3"/>
    <w:rsid w:val="00CE4936"/>
    <w:rsid w:val="00CE49B0"/>
    <w:rsid w:val="00CE49ED"/>
    <w:rsid w:val="00CE4A2E"/>
    <w:rsid w:val="00CE4B47"/>
    <w:rsid w:val="00CE4B75"/>
    <w:rsid w:val="00CE4BB2"/>
    <w:rsid w:val="00CE4C1B"/>
    <w:rsid w:val="00CE4C32"/>
    <w:rsid w:val="00CE4C60"/>
    <w:rsid w:val="00CE4EBE"/>
    <w:rsid w:val="00CE4F09"/>
    <w:rsid w:val="00CE4FF0"/>
    <w:rsid w:val="00CE5079"/>
    <w:rsid w:val="00CE5111"/>
    <w:rsid w:val="00CE5146"/>
    <w:rsid w:val="00CE516A"/>
    <w:rsid w:val="00CE51AA"/>
    <w:rsid w:val="00CE529D"/>
    <w:rsid w:val="00CE5375"/>
    <w:rsid w:val="00CE550B"/>
    <w:rsid w:val="00CE5604"/>
    <w:rsid w:val="00CE57D2"/>
    <w:rsid w:val="00CE589A"/>
    <w:rsid w:val="00CE58BF"/>
    <w:rsid w:val="00CE58C5"/>
    <w:rsid w:val="00CE594E"/>
    <w:rsid w:val="00CE5A47"/>
    <w:rsid w:val="00CE5A78"/>
    <w:rsid w:val="00CE5AF1"/>
    <w:rsid w:val="00CE5AFD"/>
    <w:rsid w:val="00CE5AFE"/>
    <w:rsid w:val="00CE5BB7"/>
    <w:rsid w:val="00CE5C14"/>
    <w:rsid w:val="00CE5C52"/>
    <w:rsid w:val="00CE5D81"/>
    <w:rsid w:val="00CE5D8A"/>
    <w:rsid w:val="00CE5F1E"/>
    <w:rsid w:val="00CE5F52"/>
    <w:rsid w:val="00CE5F5E"/>
    <w:rsid w:val="00CE6004"/>
    <w:rsid w:val="00CE61D9"/>
    <w:rsid w:val="00CE631D"/>
    <w:rsid w:val="00CE6476"/>
    <w:rsid w:val="00CE649C"/>
    <w:rsid w:val="00CE66DF"/>
    <w:rsid w:val="00CE66EB"/>
    <w:rsid w:val="00CE670E"/>
    <w:rsid w:val="00CE67C9"/>
    <w:rsid w:val="00CE690C"/>
    <w:rsid w:val="00CE693D"/>
    <w:rsid w:val="00CE69FE"/>
    <w:rsid w:val="00CE6C68"/>
    <w:rsid w:val="00CE6D1A"/>
    <w:rsid w:val="00CE6D8F"/>
    <w:rsid w:val="00CE6E37"/>
    <w:rsid w:val="00CE6F04"/>
    <w:rsid w:val="00CE6FA5"/>
    <w:rsid w:val="00CE71F6"/>
    <w:rsid w:val="00CE72AC"/>
    <w:rsid w:val="00CE730A"/>
    <w:rsid w:val="00CE7496"/>
    <w:rsid w:val="00CE74C3"/>
    <w:rsid w:val="00CE7545"/>
    <w:rsid w:val="00CE7596"/>
    <w:rsid w:val="00CE75FF"/>
    <w:rsid w:val="00CE777B"/>
    <w:rsid w:val="00CE77A3"/>
    <w:rsid w:val="00CE791A"/>
    <w:rsid w:val="00CE79ED"/>
    <w:rsid w:val="00CE7A4F"/>
    <w:rsid w:val="00CE7AC9"/>
    <w:rsid w:val="00CE7AD9"/>
    <w:rsid w:val="00CE7B15"/>
    <w:rsid w:val="00CE7B74"/>
    <w:rsid w:val="00CE7C6F"/>
    <w:rsid w:val="00CE7D74"/>
    <w:rsid w:val="00CE7DA0"/>
    <w:rsid w:val="00CE7DB7"/>
    <w:rsid w:val="00CE7E39"/>
    <w:rsid w:val="00CF00B8"/>
    <w:rsid w:val="00CF016C"/>
    <w:rsid w:val="00CF024B"/>
    <w:rsid w:val="00CF034D"/>
    <w:rsid w:val="00CF044F"/>
    <w:rsid w:val="00CF04A8"/>
    <w:rsid w:val="00CF0589"/>
    <w:rsid w:val="00CF073F"/>
    <w:rsid w:val="00CF0788"/>
    <w:rsid w:val="00CF0878"/>
    <w:rsid w:val="00CF09DA"/>
    <w:rsid w:val="00CF0AF6"/>
    <w:rsid w:val="00CF0B42"/>
    <w:rsid w:val="00CF0C5C"/>
    <w:rsid w:val="00CF0D04"/>
    <w:rsid w:val="00CF0E05"/>
    <w:rsid w:val="00CF0E56"/>
    <w:rsid w:val="00CF0E73"/>
    <w:rsid w:val="00CF107C"/>
    <w:rsid w:val="00CF10E2"/>
    <w:rsid w:val="00CF11B3"/>
    <w:rsid w:val="00CF11EB"/>
    <w:rsid w:val="00CF1269"/>
    <w:rsid w:val="00CF1458"/>
    <w:rsid w:val="00CF14EB"/>
    <w:rsid w:val="00CF167E"/>
    <w:rsid w:val="00CF16EE"/>
    <w:rsid w:val="00CF170D"/>
    <w:rsid w:val="00CF1750"/>
    <w:rsid w:val="00CF193A"/>
    <w:rsid w:val="00CF198D"/>
    <w:rsid w:val="00CF19EF"/>
    <w:rsid w:val="00CF1C11"/>
    <w:rsid w:val="00CF1C8C"/>
    <w:rsid w:val="00CF1DE2"/>
    <w:rsid w:val="00CF1FA1"/>
    <w:rsid w:val="00CF20B8"/>
    <w:rsid w:val="00CF2145"/>
    <w:rsid w:val="00CF22B3"/>
    <w:rsid w:val="00CF2314"/>
    <w:rsid w:val="00CF2429"/>
    <w:rsid w:val="00CF2455"/>
    <w:rsid w:val="00CF2499"/>
    <w:rsid w:val="00CF24C9"/>
    <w:rsid w:val="00CF2581"/>
    <w:rsid w:val="00CF25B4"/>
    <w:rsid w:val="00CF2805"/>
    <w:rsid w:val="00CF2822"/>
    <w:rsid w:val="00CF282C"/>
    <w:rsid w:val="00CF28B4"/>
    <w:rsid w:val="00CF28F1"/>
    <w:rsid w:val="00CF2AC1"/>
    <w:rsid w:val="00CF2AD7"/>
    <w:rsid w:val="00CF2B10"/>
    <w:rsid w:val="00CF2C4C"/>
    <w:rsid w:val="00CF2D30"/>
    <w:rsid w:val="00CF2D84"/>
    <w:rsid w:val="00CF2D87"/>
    <w:rsid w:val="00CF2DF7"/>
    <w:rsid w:val="00CF2EF7"/>
    <w:rsid w:val="00CF3030"/>
    <w:rsid w:val="00CF3059"/>
    <w:rsid w:val="00CF3151"/>
    <w:rsid w:val="00CF317D"/>
    <w:rsid w:val="00CF3192"/>
    <w:rsid w:val="00CF31A0"/>
    <w:rsid w:val="00CF330A"/>
    <w:rsid w:val="00CF332A"/>
    <w:rsid w:val="00CF332E"/>
    <w:rsid w:val="00CF337C"/>
    <w:rsid w:val="00CF33E4"/>
    <w:rsid w:val="00CF3448"/>
    <w:rsid w:val="00CF3469"/>
    <w:rsid w:val="00CF34C5"/>
    <w:rsid w:val="00CF3631"/>
    <w:rsid w:val="00CF3682"/>
    <w:rsid w:val="00CF36CB"/>
    <w:rsid w:val="00CF3720"/>
    <w:rsid w:val="00CF3843"/>
    <w:rsid w:val="00CF3893"/>
    <w:rsid w:val="00CF3BCD"/>
    <w:rsid w:val="00CF3C04"/>
    <w:rsid w:val="00CF3C09"/>
    <w:rsid w:val="00CF3CBC"/>
    <w:rsid w:val="00CF3E2E"/>
    <w:rsid w:val="00CF3E7C"/>
    <w:rsid w:val="00CF3EDA"/>
    <w:rsid w:val="00CF3FFB"/>
    <w:rsid w:val="00CF41AE"/>
    <w:rsid w:val="00CF41DF"/>
    <w:rsid w:val="00CF4248"/>
    <w:rsid w:val="00CF449F"/>
    <w:rsid w:val="00CF483C"/>
    <w:rsid w:val="00CF48FB"/>
    <w:rsid w:val="00CF4989"/>
    <w:rsid w:val="00CF49AD"/>
    <w:rsid w:val="00CF4A56"/>
    <w:rsid w:val="00CF4A8D"/>
    <w:rsid w:val="00CF4B68"/>
    <w:rsid w:val="00CF4C94"/>
    <w:rsid w:val="00CF4D97"/>
    <w:rsid w:val="00CF4DF9"/>
    <w:rsid w:val="00CF4FB5"/>
    <w:rsid w:val="00CF5160"/>
    <w:rsid w:val="00CF540B"/>
    <w:rsid w:val="00CF5427"/>
    <w:rsid w:val="00CF560D"/>
    <w:rsid w:val="00CF568C"/>
    <w:rsid w:val="00CF56E5"/>
    <w:rsid w:val="00CF5735"/>
    <w:rsid w:val="00CF57B7"/>
    <w:rsid w:val="00CF58DB"/>
    <w:rsid w:val="00CF5A4D"/>
    <w:rsid w:val="00CF5B09"/>
    <w:rsid w:val="00CF5C18"/>
    <w:rsid w:val="00CF5D65"/>
    <w:rsid w:val="00CF5E13"/>
    <w:rsid w:val="00CF5E40"/>
    <w:rsid w:val="00CF5E4B"/>
    <w:rsid w:val="00CF5E60"/>
    <w:rsid w:val="00CF5FA8"/>
    <w:rsid w:val="00CF5FD4"/>
    <w:rsid w:val="00CF60F3"/>
    <w:rsid w:val="00CF60FB"/>
    <w:rsid w:val="00CF611C"/>
    <w:rsid w:val="00CF6259"/>
    <w:rsid w:val="00CF625C"/>
    <w:rsid w:val="00CF6351"/>
    <w:rsid w:val="00CF6544"/>
    <w:rsid w:val="00CF6678"/>
    <w:rsid w:val="00CF66F0"/>
    <w:rsid w:val="00CF68AA"/>
    <w:rsid w:val="00CF696B"/>
    <w:rsid w:val="00CF6A9D"/>
    <w:rsid w:val="00CF6B40"/>
    <w:rsid w:val="00CF6B92"/>
    <w:rsid w:val="00CF6CEF"/>
    <w:rsid w:val="00CF6CFB"/>
    <w:rsid w:val="00CF6D2C"/>
    <w:rsid w:val="00CF6EC1"/>
    <w:rsid w:val="00CF7017"/>
    <w:rsid w:val="00CF7026"/>
    <w:rsid w:val="00CF707F"/>
    <w:rsid w:val="00CF70B9"/>
    <w:rsid w:val="00CF7156"/>
    <w:rsid w:val="00CF721F"/>
    <w:rsid w:val="00CF72CD"/>
    <w:rsid w:val="00CF7358"/>
    <w:rsid w:val="00CF7444"/>
    <w:rsid w:val="00CF7692"/>
    <w:rsid w:val="00CF7694"/>
    <w:rsid w:val="00CF7823"/>
    <w:rsid w:val="00CF79D5"/>
    <w:rsid w:val="00CF7BAF"/>
    <w:rsid w:val="00CF7BF7"/>
    <w:rsid w:val="00CF7D18"/>
    <w:rsid w:val="00CF7D8D"/>
    <w:rsid w:val="00CF7EB6"/>
    <w:rsid w:val="00CF7EFD"/>
    <w:rsid w:val="00D0000E"/>
    <w:rsid w:val="00D000FF"/>
    <w:rsid w:val="00D00236"/>
    <w:rsid w:val="00D00329"/>
    <w:rsid w:val="00D00485"/>
    <w:rsid w:val="00D00507"/>
    <w:rsid w:val="00D00568"/>
    <w:rsid w:val="00D00569"/>
    <w:rsid w:val="00D0056F"/>
    <w:rsid w:val="00D0058F"/>
    <w:rsid w:val="00D005FF"/>
    <w:rsid w:val="00D007CE"/>
    <w:rsid w:val="00D0081C"/>
    <w:rsid w:val="00D0094E"/>
    <w:rsid w:val="00D0095E"/>
    <w:rsid w:val="00D00AC3"/>
    <w:rsid w:val="00D00B7F"/>
    <w:rsid w:val="00D00D3A"/>
    <w:rsid w:val="00D00DAA"/>
    <w:rsid w:val="00D00E21"/>
    <w:rsid w:val="00D00E29"/>
    <w:rsid w:val="00D00E97"/>
    <w:rsid w:val="00D00EB9"/>
    <w:rsid w:val="00D00F42"/>
    <w:rsid w:val="00D01198"/>
    <w:rsid w:val="00D011DF"/>
    <w:rsid w:val="00D0128B"/>
    <w:rsid w:val="00D012A0"/>
    <w:rsid w:val="00D012AB"/>
    <w:rsid w:val="00D013B4"/>
    <w:rsid w:val="00D014AE"/>
    <w:rsid w:val="00D014E6"/>
    <w:rsid w:val="00D0186C"/>
    <w:rsid w:val="00D01914"/>
    <w:rsid w:val="00D01A54"/>
    <w:rsid w:val="00D01A88"/>
    <w:rsid w:val="00D01A9E"/>
    <w:rsid w:val="00D01B5D"/>
    <w:rsid w:val="00D01B77"/>
    <w:rsid w:val="00D01CBD"/>
    <w:rsid w:val="00D01D01"/>
    <w:rsid w:val="00D01E1B"/>
    <w:rsid w:val="00D01E31"/>
    <w:rsid w:val="00D01E42"/>
    <w:rsid w:val="00D01F86"/>
    <w:rsid w:val="00D02077"/>
    <w:rsid w:val="00D0210C"/>
    <w:rsid w:val="00D0210D"/>
    <w:rsid w:val="00D02458"/>
    <w:rsid w:val="00D02520"/>
    <w:rsid w:val="00D025D2"/>
    <w:rsid w:val="00D0264F"/>
    <w:rsid w:val="00D026D9"/>
    <w:rsid w:val="00D026EB"/>
    <w:rsid w:val="00D0272D"/>
    <w:rsid w:val="00D02857"/>
    <w:rsid w:val="00D02917"/>
    <w:rsid w:val="00D02923"/>
    <w:rsid w:val="00D02A32"/>
    <w:rsid w:val="00D02A59"/>
    <w:rsid w:val="00D02C51"/>
    <w:rsid w:val="00D02D9F"/>
    <w:rsid w:val="00D02E79"/>
    <w:rsid w:val="00D02F27"/>
    <w:rsid w:val="00D02F40"/>
    <w:rsid w:val="00D02F77"/>
    <w:rsid w:val="00D030D6"/>
    <w:rsid w:val="00D031B4"/>
    <w:rsid w:val="00D0327A"/>
    <w:rsid w:val="00D032B0"/>
    <w:rsid w:val="00D032E2"/>
    <w:rsid w:val="00D03321"/>
    <w:rsid w:val="00D033C2"/>
    <w:rsid w:val="00D03452"/>
    <w:rsid w:val="00D034A3"/>
    <w:rsid w:val="00D034BA"/>
    <w:rsid w:val="00D034C3"/>
    <w:rsid w:val="00D035E4"/>
    <w:rsid w:val="00D035EC"/>
    <w:rsid w:val="00D03661"/>
    <w:rsid w:val="00D03662"/>
    <w:rsid w:val="00D036D1"/>
    <w:rsid w:val="00D03998"/>
    <w:rsid w:val="00D03B33"/>
    <w:rsid w:val="00D03B65"/>
    <w:rsid w:val="00D03CA5"/>
    <w:rsid w:val="00D03D58"/>
    <w:rsid w:val="00D03E15"/>
    <w:rsid w:val="00D03F47"/>
    <w:rsid w:val="00D03F97"/>
    <w:rsid w:val="00D03FC8"/>
    <w:rsid w:val="00D0408A"/>
    <w:rsid w:val="00D040E6"/>
    <w:rsid w:val="00D04130"/>
    <w:rsid w:val="00D0424D"/>
    <w:rsid w:val="00D042F2"/>
    <w:rsid w:val="00D0430B"/>
    <w:rsid w:val="00D04430"/>
    <w:rsid w:val="00D04451"/>
    <w:rsid w:val="00D0454D"/>
    <w:rsid w:val="00D045B0"/>
    <w:rsid w:val="00D04636"/>
    <w:rsid w:val="00D04708"/>
    <w:rsid w:val="00D04716"/>
    <w:rsid w:val="00D0473C"/>
    <w:rsid w:val="00D04801"/>
    <w:rsid w:val="00D0483A"/>
    <w:rsid w:val="00D0487C"/>
    <w:rsid w:val="00D04A73"/>
    <w:rsid w:val="00D04AA9"/>
    <w:rsid w:val="00D04AF2"/>
    <w:rsid w:val="00D04B0A"/>
    <w:rsid w:val="00D04BCD"/>
    <w:rsid w:val="00D04C6A"/>
    <w:rsid w:val="00D04D2A"/>
    <w:rsid w:val="00D04D38"/>
    <w:rsid w:val="00D04D67"/>
    <w:rsid w:val="00D04E10"/>
    <w:rsid w:val="00D04E83"/>
    <w:rsid w:val="00D05016"/>
    <w:rsid w:val="00D05225"/>
    <w:rsid w:val="00D05258"/>
    <w:rsid w:val="00D0525E"/>
    <w:rsid w:val="00D053BE"/>
    <w:rsid w:val="00D053BF"/>
    <w:rsid w:val="00D0542A"/>
    <w:rsid w:val="00D05972"/>
    <w:rsid w:val="00D059BB"/>
    <w:rsid w:val="00D059CF"/>
    <w:rsid w:val="00D05AA3"/>
    <w:rsid w:val="00D05D04"/>
    <w:rsid w:val="00D05DA5"/>
    <w:rsid w:val="00D05DB6"/>
    <w:rsid w:val="00D05EF5"/>
    <w:rsid w:val="00D05FA5"/>
    <w:rsid w:val="00D060A2"/>
    <w:rsid w:val="00D060BA"/>
    <w:rsid w:val="00D06277"/>
    <w:rsid w:val="00D06382"/>
    <w:rsid w:val="00D063F1"/>
    <w:rsid w:val="00D06451"/>
    <w:rsid w:val="00D064E5"/>
    <w:rsid w:val="00D065A5"/>
    <w:rsid w:val="00D065EF"/>
    <w:rsid w:val="00D066CF"/>
    <w:rsid w:val="00D066D2"/>
    <w:rsid w:val="00D068EB"/>
    <w:rsid w:val="00D0694E"/>
    <w:rsid w:val="00D06962"/>
    <w:rsid w:val="00D06AD6"/>
    <w:rsid w:val="00D06C1A"/>
    <w:rsid w:val="00D06C63"/>
    <w:rsid w:val="00D06C65"/>
    <w:rsid w:val="00D06D40"/>
    <w:rsid w:val="00D06EB6"/>
    <w:rsid w:val="00D06F33"/>
    <w:rsid w:val="00D0723E"/>
    <w:rsid w:val="00D07352"/>
    <w:rsid w:val="00D07366"/>
    <w:rsid w:val="00D07368"/>
    <w:rsid w:val="00D0736B"/>
    <w:rsid w:val="00D07375"/>
    <w:rsid w:val="00D0747F"/>
    <w:rsid w:val="00D07486"/>
    <w:rsid w:val="00D075F4"/>
    <w:rsid w:val="00D0763A"/>
    <w:rsid w:val="00D0766E"/>
    <w:rsid w:val="00D07698"/>
    <w:rsid w:val="00D0781B"/>
    <w:rsid w:val="00D078E8"/>
    <w:rsid w:val="00D07936"/>
    <w:rsid w:val="00D0797A"/>
    <w:rsid w:val="00D07A52"/>
    <w:rsid w:val="00D07B7B"/>
    <w:rsid w:val="00D07B9A"/>
    <w:rsid w:val="00D07D94"/>
    <w:rsid w:val="00D1007D"/>
    <w:rsid w:val="00D100A0"/>
    <w:rsid w:val="00D1011A"/>
    <w:rsid w:val="00D10400"/>
    <w:rsid w:val="00D105E6"/>
    <w:rsid w:val="00D106CC"/>
    <w:rsid w:val="00D10832"/>
    <w:rsid w:val="00D1095A"/>
    <w:rsid w:val="00D109EE"/>
    <w:rsid w:val="00D10C9F"/>
    <w:rsid w:val="00D10CE3"/>
    <w:rsid w:val="00D10D08"/>
    <w:rsid w:val="00D10D46"/>
    <w:rsid w:val="00D10DAC"/>
    <w:rsid w:val="00D10E1C"/>
    <w:rsid w:val="00D10E59"/>
    <w:rsid w:val="00D10EB5"/>
    <w:rsid w:val="00D10EF7"/>
    <w:rsid w:val="00D10F69"/>
    <w:rsid w:val="00D110C9"/>
    <w:rsid w:val="00D1119F"/>
    <w:rsid w:val="00D111B3"/>
    <w:rsid w:val="00D113C6"/>
    <w:rsid w:val="00D114B5"/>
    <w:rsid w:val="00D1150A"/>
    <w:rsid w:val="00D11753"/>
    <w:rsid w:val="00D1183D"/>
    <w:rsid w:val="00D11A23"/>
    <w:rsid w:val="00D11A96"/>
    <w:rsid w:val="00D11B48"/>
    <w:rsid w:val="00D11BC4"/>
    <w:rsid w:val="00D11C6C"/>
    <w:rsid w:val="00D11EA6"/>
    <w:rsid w:val="00D12012"/>
    <w:rsid w:val="00D122B8"/>
    <w:rsid w:val="00D122F1"/>
    <w:rsid w:val="00D12409"/>
    <w:rsid w:val="00D124DB"/>
    <w:rsid w:val="00D12523"/>
    <w:rsid w:val="00D125B2"/>
    <w:rsid w:val="00D12637"/>
    <w:rsid w:val="00D126DB"/>
    <w:rsid w:val="00D12849"/>
    <w:rsid w:val="00D128D7"/>
    <w:rsid w:val="00D128D9"/>
    <w:rsid w:val="00D1290A"/>
    <w:rsid w:val="00D12A07"/>
    <w:rsid w:val="00D12A99"/>
    <w:rsid w:val="00D12AE7"/>
    <w:rsid w:val="00D12B3B"/>
    <w:rsid w:val="00D12B58"/>
    <w:rsid w:val="00D12D7F"/>
    <w:rsid w:val="00D12E85"/>
    <w:rsid w:val="00D12F0C"/>
    <w:rsid w:val="00D12F48"/>
    <w:rsid w:val="00D12F64"/>
    <w:rsid w:val="00D131AF"/>
    <w:rsid w:val="00D131B6"/>
    <w:rsid w:val="00D131E6"/>
    <w:rsid w:val="00D132E2"/>
    <w:rsid w:val="00D1337A"/>
    <w:rsid w:val="00D13389"/>
    <w:rsid w:val="00D1344D"/>
    <w:rsid w:val="00D134DF"/>
    <w:rsid w:val="00D135D7"/>
    <w:rsid w:val="00D13646"/>
    <w:rsid w:val="00D1377C"/>
    <w:rsid w:val="00D137E2"/>
    <w:rsid w:val="00D138D6"/>
    <w:rsid w:val="00D139AB"/>
    <w:rsid w:val="00D139BA"/>
    <w:rsid w:val="00D13BCA"/>
    <w:rsid w:val="00D13D4C"/>
    <w:rsid w:val="00D13D77"/>
    <w:rsid w:val="00D13E18"/>
    <w:rsid w:val="00D13EE5"/>
    <w:rsid w:val="00D13FB3"/>
    <w:rsid w:val="00D141B6"/>
    <w:rsid w:val="00D1422F"/>
    <w:rsid w:val="00D14371"/>
    <w:rsid w:val="00D14418"/>
    <w:rsid w:val="00D14456"/>
    <w:rsid w:val="00D1461C"/>
    <w:rsid w:val="00D1470C"/>
    <w:rsid w:val="00D1475A"/>
    <w:rsid w:val="00D14768"/>
    <w:rsid w:val="00D1476C"/>
    <w:rsid w:val="00D14BF5"/>
    <w:rsid w:val="00D14F87"/>
    <w:rsid w:val="00D1500D"/>
    <w:rsid w:val="00D1504D"/>
    <w:rsid w:val="00D15202"/>
    <w:rsid w:val="00D15368"/>
    <w:rsid w:val="00D1540D"/>
    <w:rsid w:val="00D15484"/>
    <w:rsid w:val="00D157AA"/>
    <w:rsid w:val="00D1599A"/>
    <w:rsid w:val="00D159B8"/>
    <w:rsid w:val="00D15C1F"/>
    <w:rsid w:val="00D15CC5"/>
    <w:rsid w:val="00D15CE3"/>
    <w:rsid w:val="00D15CF2"/>
    <w:rsid w:val="00D15DC4"/>
    <w:rsid w:val="00D15E2C"/>
    <w:rsid w:val="00D15E47"/>
    <w:rsid w:val="00D15F3D"/>
    <w:rsid w:val="00D1601D"/>
    <w:rsid w:val="00D1605B"/>
    <w:rsid w:val="00D16079"/>
    <w:rsid w:val="00D160C5"/>
    <w:rsid w:val="00D161C4"/>
    <w:rsid w:val="00D16244"/>
    <w:rsid w:val="00D16396"/>
    <w:rsid w:val="00D164B4"/>
    <w:rsid w:val="00D164CA"/>
    <w:rsid w:val="00D16565"/>
    <w:rsid w:val="00D16654"/>
    <w:rsid w:val="00D166C0"/>
    <w:rsid w:val="00D16734"/>
    <w:rsid w:val="00D16790"/>
    <w:rsid w:val="00D167C8"/>
    <w:rsid w:val="00D16815"/>
    <w:rsid w:val="00D16826"/>
    <w:rsid w:val="00D169C1"/>
    <w:rsid w:val="00D16A8E"/>
    <w:rsid w:val="00D16ADF"/>
    <w:rsid w:val="00D16B9C"/>
    <w:rsid w:val="00D16D83"/>
    <w:rsid w:val="00D16E0C"/>
    <w:rsid w:val="00D16EAB"/>
    <w:rsid w:val="00D16F04"/>
    <w:rsid w:val="00D16F26"/>
    <w:rsid w:val="00D16F3F"/>
    <w:rsid w:val="00D16F91"/>
    <w:rsid w:val="00D1706E"/>
    <w:rsid w:val="00D1720B"/>
    <w:rsid w:val="00D1731D"/>
    <w:rsid w:val="00D173DD"/>
    <w:rsid w:val="00D174BA"/>
    <w:rsid w:val="00D174DE"/>
    <w:rsid w:val="00D174EB"/>
    <w:rsid w:val="00D17566"/>
    <w:rsid w:val="00D176D7"/>
    <w:rsid w:val="00D17787"/>
    <w:rsid w:val="00D17828"/>
    <w:rsid w:val="00D178B0"/>
    <w:rsid w:val="00D17954"/>
    <w:rsid w:val="00D17979"/>
    <w:rsid w:val="00D17983"/>
    <w:rsid w:val="00D17A10"/>
    <w:rsid w:val="00D17CFD"/>
    <w:rsid w:val="00D17D20"/>
    <w:rsid w:val="00D17D24"/>
    <w:rsid w:val="00D17F54"/>
    <w:rsid w:val="00D17F66"/>
    <w:rsid w:val="00D2005C"/>
    <w:rsid w:val="00D200B0"/>
    <w:rsid w:val="00D200CA"/>
    <w:rsid w:val="00D200FC"/>
    <w:rsid w:val="00D2016C"/>
    <w:rsid w:val="00D2026D"/>
    <w:rsid w:val="00D20375"/>
    <w:rsid w:val="00D203D4"/>
    <w:rsid w:val="00D20427"/>
    <w:rsid w:val="00D20449"/>
    <w:rsid w:val="00D205D1"/>
    <w:rsid w:val="00D2062A"/>
    <w:rsid w:val="00D2072C"/>
    <w:rsid w:val="00D20803"/>
    <w:rsid w:val="00D20889"/>
    <w:rsid w:val="00D20998"/>
    <w:rsid w:val="00D209B7"/>
    <w:rsid w:val="00D20ABD"/>
    <w:rsid w:val="00D20AD0"/>
    <w:rsid w:val="00D20B3A"/>
    <w:rsid w:val="00D20BA8"/>
    <w:rsid w:val="00D20C4D"/>
    <w:rsid w:val="00D20CDB"/>
    <w:rsid w:val="00D20D95"/>
    <w:rsid w:val="00D20F0D"/>
    <w:rsid w:val="00D20F92"/>
    <w:rsid w:val="00D21029"/>
    <w:rsid w:val="00D2103C"/>
    <w:rsid w:val="00D21113"/>
    <w:rsid w:val="00D2111D"/>
    <w:rsid w:val="00D212DA"/>
    <w:rsid w:val="00D2132C"/>
    <w:rsid w:val="00D21417"/>
    <w:rsid w:val="00D2158F"/>
    <w:rsid w:val="00D215C8"/>
    <w:rsid w:val="00D215FD"/>
    <w:rsid w:val="00D2161C"/>
    <w:rsid w:val="00D21690"/>
    <w:rsid w:val="00D217A4"/>
    <w:rsid w:val="00D217C6"/>
    <w:rsid w:val="00D217F5"/>
    <w:rsid w:val="00D21807"/>
    <w:rsid w:val="00D2180D"/>
    <w:rsid w:val="00D2187B"/>
    <w:rsid w:val="00D219CF"/>
    <w:rsid w:val="00D219ED"/>
    <w:rsid w:val="00D21A0E"/>
    <w:rsid w:val="00D21A34"/>
    <w:rsid w:val="00D21A4A"/>
    <w:rsid w:val="00D21B0D"/>
    <w:rsid w:val="00D21B17"/>
    <w:rsid w:val="00D21BC8"/>
    <w:rsid w:val="00D21D80"/>
    <w:rsid w:val="00D21DA7"/>
    <w:rsid w:val="00D21E41"/>
    <w:rsid w:val="00D21F46"/>
    <w:rsid w:val="00D21F7E"/>
    <w:rsid w:val="00D21FBC"/>
    <w:rsid w:val="00D21FBF"/>
    <w:rsid w:val="00D2214C"/>
    <w:rsid w:val="00D22182"/>
    <w:rsid w:val="00D22271"/>
    <w:rsid w:val="00D222E6"/>
    <w:rsid w:val="00D225B9"/>
    <w:rsid w:val="00D22631"/>
    <w:rsid w:val="00D226D6"/>
    <w:rsid w:val="00D226E3"/>
    <w:rsid w:val="00D227D8"/>
    <w:rsid w:val="00D22821"/>
    <w:rsid w:val="00D22886"/>
    <w:rsid w:val="00D2292B"/>
    <w:rsid w:val="00D22A82"/>
    <w:rsid w:val="00D22B87"/>
    <w:rsid w:val="00D22F23"/>
    <w:rsid w:val="00D22F30"/>
    <w:rsid w:val="00D23069"/>
    <w:rsid w:val="00D230C3"/>
    <w:rsid w:val="00D231EF"/>
    <w:rsid w:val="00D23204"/>
    <w:rsid w:val="00D23219"/>
    <w:rsid w:val="00D232AC"/>
    <w:rsid w:val="00D234D1"/>
    <w:rsid w:val="00D234D9"/>
    <w:rsid w:val="00D23519"/>
    <w:rsid w:val="00D23524"/>
    <w:rsid w:val="00D235A9"/>
    <w:rsid w:val="00D2371D"/>
    <w:rsid w:val="00D23773"/>
    <w:rsid w:val="00D237CD"/>
    <w:rsid w:val="00D23821"/>
    <w:rsid w:val="00D23836"/>
    <w:rsid w:val="00D23873"/>
    <w:rsid w:val="00D238BE"/>
    <w:rsid w:val="00D2398D"/>
    <w:rsid w:val="00D23A45"/>
    <w:rsid w:val="00D23B7B"/>
    <w:rsid w:val="00D23BAE"/>
    <w:rsid w:val="00D23C3F"/>
    <w:rsid w:val="00D23D32"/>
    <w:rsid w:val="00D23D83"/>
    <w:rsid w:val="00D23E18"/>
    <w:rsid w:val="00D23E51"/>
    <w:rsid w:val="00D24027"/>
    <w:rsid w:val="00D24118"/>
    <w:rsid w:val="00D24294"/>
    <w:rsid w:val="00D24557"/>
    <w:rsid w:val="00D24600"/>
    <w:rsid w:val="00D2472A"/>
    <w:rsid w:val="00D24750"/>
    <w:rsid w:val="00D247EC"/>
    <w:rsid w:val="00D249BB"/>
    <w:rsid w:val="00D24AD4"/>
    <w:rsid w:val="00D24B63"/>
    <w:rsid w:val="00D24BFB"/>
    <w:rsid w:val="00D24E09"/>
    <w:rsid w:val="00D24F66"/>
    <w:rsid w:val="00D24FA2"/>
    <w:rsid w:val="00D25026"/>
    <w:rsid w:val="00D25137"/>
    <w:rsid w:val="00D251E4"/>
    <w:rsid w:val="00D25216"/>
    <w:rsid w:val="00D25251"/>
    <w:rsid w:val="00D2525F"/>
    <w:rsid w:val="00D25297"/>
    <w:rsid w:val="00D252FC"/>
    <w:rsid w:val="00D253D9"/>
    <w:rsid w:val="00D253E2"/>
    <w:rsid w:val="00D2546C"/>
    <w:rsid w:val="00D254CF"/>
    <w:rsid w:val="00D25515"/>
    <w:rsid w:val="00D2552E"/>
    <w:rsid w:val="00D256C8"/>
    <w:rsid w:val="00D258D6"/>
    <w:rsid w:val="00D2597B"/>
    <w:rsid w:val="00D259A2"/>
    <w:rsid w:val="00D25AC5"/>
    <w:rsid w:val="00D25BF2"/>
    <w:rsid w:val="00D25BF7"/>
    <w:rsid w:val="00D25C20"/>
    <w:rsid w:val="00D25CB3"/>
    <w:rsid w:val="00D25CBD"/>
    <w:rsid w:val="00D25D5F"/>
    <w:rsid w:val="00D25D8A"/>
    <w:rsid w:val="00D25E1D"/>
    <w:rsid w:val="00D25EAE"/>
    <w:rsid w:val="00D25ECE"/>
    <w:rsid w:val="00D25EEA"/>
    <w:rsid w:val="00D26198"/>
    <w:rsid w:val="00D26278"/>
    <w:rsid w:val="00D26297"/>
    <w:rsid w:val="00D262E7"/>
    <w:rsid w:val="00D263F0"/>
    <w:rsid w:val="00D26409"/>
    <w:rsid w:val="00D265DD"/>
    <w:rsid w:val="00D26685"/>
    <w:rsid w:val="00D268BB"/>
    <w:rsid w:val="00D26A67"/>
    <w:rsid w:val="00D26B3A"/>
    <w:rsid w:val="00D26B40"/>
    <w:rsid w:val="00D26D4E"/>
    <w:rsid w:val="00D26D7F"/>
    <w:rsid w:val="00D26FBC"/>
    <w:rsid w:val="00D27014"/>
    <w:rsid w:val="00D27168"/>
    <w:rsid w:val="00D27172"/>
    <w:rsid w:val="00D27244"/>
    <w:rsid w:val="00D2726A"/>
    <w:rsid w:val="00D2727C"/>
    <w:rsid w:val="00D27291"/>
    <w:rsid w:val="00D27297"/>
    <w:rsid w:val="00D272CA"/>
    <w:rsid w:val="00D27302"/>
    <w:rsid w:val="00D276EF"/>
    <w:rsid w:val="00D27727"/>
    <w:rsid w:val="00D2779A"/>
    <w:rsid w:val="00D27805"/>
    <w:rsid w:val="00D278C0"/>
    <w:rsid w:val="00D278C8"/>
    <w:rsid w:val="00D278F7"/>
    <w:rsid w:val="00D279B2"/>
    <w:rsid w:val="00D27A9A"/>
    <w:rsid w:val="00D27B4E"/>
    <w:rsid w:val="00D27B57"/>
    <w:rsid w:val="00D27BBE"/>
    <w:rsid w:val="00D27C94"/>
    <w:rsid w:val="00D27D14"/>
    <w:rsid w:val="00D27D2C"/>
    <w:rsid w:val="00D27E0B"/>
    <w:rsid w:val="00D27E9C"/>
    <w:rsid w:val="00D27EDD"/>
    <w:rsid w:val="00D27F49"/>
    <w:rsid w:val="00D300CD"/>
    <w:rsid w:val="00D300D3"/>
    <w:rsid w:val="00D30119"/>
    <w:rsid w:val="00D301B0"/>
    <w:rsid w:val="00D301C9"/>
    <w:rsid w:val="00D30317"/>
    <w:rsid w:val="00D3046D"/>
    <w:rsid w:val="00D304BD"/>
    <w:rsid w:val="00D30523"/>
    <w:rsid w:val="00D3056D"/>
    <w:rsid w:val="00D305C5"/>
    <w:rsid w:val="00D305FC"/>
    <w:rsid w:val="00D30842"/>
    <w:rsid w:val="00D308E7"/>
    <w:rsid w:val="00D3094A"/>
    <w:rsid w:val="00D30951"/>
    <w:rsid w:val="00D30B60"/>
    <w:rsid w:val="00D30B7D"/>
    <w:rsid w:val="00D30BC9"/>
    <w:rsid w:val="00D30C29"/>
    <w:rsid w:val="00D30D54"/>
    <w:rsid w:val="00D30DBD"/>
    <w:rsid w:val="00D30E10"/>
    <w:rsid w:val="00D30E28"/>
    <w:rsid w:val="00D30EB2"/>
    <w:rsid w:val="00D30EE1"/>
    <w:rsid w:val="00D31040"/>
    <w:rsid w:val="00D31070"/>
    <w:rsid w:val="00D31108"/>
    <w:rsid w:val="00D3119D"/>
    <w:rsid w:val="00D31202"/>
    <w:rsid w:val="00D3131A"/>
    <w:rsid w:val="00D3138A"/>
    <w:rsid w:val="00D313FC"/>
    <w:rsid w:val="00D3143F"/>
    <w:rsid w:val="00D314D4"/>
    <w:rsid w:val="00D3155E"/>
    <w:rsid w:val="00D31681"/>
    <w:rsid w:val="00D316DF"/>
    <w:rsid w:val="00D3182D"/>
    <w:rsid w:val="00D31840"/>
    <w:rsid w:val="00D31A76"/>
    <w:rsid w:val="00D31C4F"/>
    <w:rsid w:val="00D31C66"/>
    <w:rsid w:val="00D31C71"/>
    <w:rsid w:val="00D31D0E"/>
    <w:rsid w:val="00D31EB3"/>
    <w:rsid w:val="00D31FDE"/>
    <w:rsid w:val="00D320BE"/>
    <w:rsid w:val="00D320D4"/>
    <w:rsid w:val="00D321C5"/>
    <w:rsid w:val="00D3221C"/>
    <w:rsid w:val="00D32254"/>
    <w:rsid w:val="00D32354"/>
    <w:rsid w:val="00D3255E"/>
    <w:rsid w:val="00D32683"/>
    <w:rsid w:val="00D327C3"/>
    <w:rsid w:val="00D32913"/>
    <w:rsid w:val="00D32A8E"/>
    <w:rsid w:val="00D32A8F"/>
    <w:rsid w:val="00D32B5C"/>
    <w:rsid w:val="00D32BDC"/>
    <w:rsid w:val="00D32C35"/>
    <w:rsid w:val="00D32DB7"/>
    <w:rsid w:val="00D32E46"/>
    <w:rsid w:val="00D32F73"/>
    <w:rsid w:val="00D32F86"/>
    <w:rsid w:val="00D3301F"/>
    <w:rsid w:val="00D33218"/>
    <w:rsid w:val="00D33328"/>
    <w:rsid w:val="00D333AB"/>
    <w:rsid w:val="00D333B6"/>
    <w:rsid w:val="00D334AE"/>
    <w:rsid w:val="00D334BB"/>
    <w:rsid w:val="00D336CD"/>
    <w:rsid w:val="00D33750"/>
    <w:rsid w:val="00D337CA"/>
    <w:rsid w:val="00D338AB"/>
    <w:rsid w:val="00D338DA"/>
    <w:rsid w:val="00D339B7"/>
    <w:rsid w:val="00D33C5A"/>
    <w:rsid w:val="00D33C9B"/>
    <w:rsid w:val="00D33DCA"/>
    <w:rsid w:val="00D33F51"/>
    <w:rsid w:val="00D34004"/>
    <w:rsid w:val="00D34124"/>
    <w:rsid w:val="00D3425B"/>
    <w:rsid w:val="00D3425E"/>
    <w:rsid w:val="00D3428B"/>
    <w:rsid w:val="00D3429D"/>
    <w:rsid w:val="00D342BE"/>
    <w:rsid w:val="00D342D1"/>
    <w:rsid w:val="00D3446A"/>
    <w:rsid w:val="00D3455C"/>
    <w:rsid w:val="00D345F3"/>
    <w:rsid w:val="00D3474D"/>
    <w:rsid w:val="00D3479C"/>
    <w:rsid w:val="00D347AA"/>
    <w:rsid w:val="00D3481F"/>
    <w:rsid w:val="00D34951"/>
    <w:rsid w:val="00D349E0"/>
    <w:rsid w:val="00D34A20"/>
    <w:rsid w:val="00D34A2C"/>
    <w:rsid w:val="00D34A56"/>
    <w:rsid w:val="00D34AAA"/>
    <w:rsid w:val="00D34DAE"/>
    <w:rsid w:val="00D34E7C"/>
    <w:rsid w:val="00D35033"/>
    <w:rsid w:val="00D35096"/>
    <w:rsid w:val="00D35258"/>
    <w:rsid w:val="00D3533B"/>
    <w:rsid w:val="00D35343"/>
    <w:rsid w:val="00D353A9"/>
    <w:rsid w:val="00D353BC"/>
    <w:rsid w:val="00D3547C"/>
    <w:rsid w:val="00D3549D"/>
    <w:rsid w:val="00D354D3"/>
    <w:rsid w:val="00D35534"/>
    <w:rsid w:val="00D35666"/>
    <w:rsid w:val="00D35688"/>
    <w:rsid w:val="00D356D8"/>
    <w:rsid w:val="00D35761"/>
    <w:rsid w:val="00D359BD"/>
    <w:rsid w:val="00D35AFB"/>
    <w:rsid w:val="00D35BA0"/>
    <w:rsid w:val="00D35BA7"/>
    <w:rsid w:val="00D35C43"/>
    <w:rsid w:val="00D35E54"/>
    <w:rsid w:val="00D35F94"/>
    <w:rsid w:val="00D35FAE"/>
    <w:rsid w:val="00D3602F"/>
    <w:rsid w:val="00D36113"/>
    <w:rsid w:val="00D36130"/>
    <w:rsid w:val="00D36138"/>
    <w:rsid w:val="00D36169"/>
    <w:rsid w:val="00D361E0"/>
    <w:rsid w:val="00D36378"/>
    <w:rsid w:val="00D3637F"/>
    <w:rsid w:val="00D3639A"/>
    <w:rsid w:val="00D363B3"/>
    <w:rsid w:val="00D363B7"/>
    <w:rsid w:val="00D363D1"/>
    <w:rsid w:val="00D36484"/>
    <w:rsid w:val="00D364FA"/>
    <w:rsid w:val="00D3660F"/>
    <w:rsid w:val="00D3672E"/>
    <w:rsid w:val="00D367A9"/>
    <w:rsid w:val="00D367FC"/>
    <w:rsid w:val="00D36810"/>
    <w:rsid w:val="00D36820"/>
    <w:rsid w:val="00D3686F"/>
    <w:rsid w:val="00D36BCE"/>
    <w:rsid w:val="00D36C6B"/>
    <w:rsid w:val="00D36C70"/>
    <w:rsid w:val="00D36D2F"/>
    <w:rsid w:val="00D36D8D"/>
    <w:rsid w:val="00D36DF8"/>
    <w:rsid w:val="00D36E51"/>
    <w:rsid w:val="00D36F36"/>
    <w:rsid w:val="00D36F4F"/>
    <w:rsid w:val="00D36F65"/>
    <w:rsid w:val="00D37039"/>
    <w:rsid w:val="00D37153"/>
    <w:rsid w:val="00D371E9"/>
    <w:rsid w:val="00D3735C"/>
    <w:rsid w:val="00D373AF"/>
    <w:rsid w:val="00D3747A"/>
    <w:rsid w:val="00D37521"/>
    <w:rsid w:val="00D3753A"/>
    <w:rsid w:val="00D3761A"/>
    <w:rsid w:val="00D3783C"/>
    <w:rsid w:val="00D37921"/>
    <w:rsid w:val="00D3798C"/>
    <w:rsid w:val="00D37AC6"/>
    <w:rsid w:val="00D37BBC"/>
    <w:rsid w:val="00D37BC6"/>
    <w:rsid w:val="00D37E17"/>
    <w:rsid w:val="00D37EDA"/>
    <w:rsid w:val="00D37F13"/>
    <w:rsid w:val="00D37F98"/>
    <w:rsid w:val="00D400B6"/>
    <w:rsid w:val="00D400ED"/>
    <w:rsid w:val="00D40169"/>
    <w:rsid w:val="00D402AB"/>
    <w:rsid w:val="00D4031F"/>
    <w:rsid w:val="00D4038A"/>
    <w:rsid w:val="00D404B8"/>
    <w:rsid w:val="00D40508"/>
    <w:rsid w:val="00D4067B"/>
    <w:rsid w:val="00D407C5"/>
    <w:rsid w:val="00D40901"/>
    <w:rsid w:val="00D40A05"/>
    <w:rsid w:val="00D40A40"/>
    <w:rsid w:val="00D40AAB"/>
    <w:rsid w:val="00D40AF4"/>
    <w:rsid w:val="00D40B61"/>
    <w:rsid w:val="00D40C50"/>
    <w:rsid w:val="00D40D71"/>
    <w:rsid w:val="00D40EC6"/>
    <w:rsid w:val="00D40FC7"/>
    <w:rsid w:val="00D4106A"/>
    <w:rsid w:val="00D410CF"/>
    <w:rsid w:val="00D410FD"/>
    <w:rsid w:val="00D4121F"/>
    <w:rsid w:val="00D4126D"/>
    <w:rsid w:val="00D41282"/>
    <w:rsid w:val="00D41371"/>
    <w:rsid w:val="00D413CB"/>
    <w:rsid w:val="00D41429"/>
    <w:rsid w:val="00D41439"/>
    <w:rsid w:val="00D4152E"/>
    <w:rsid w:val="00D4168D"/>
    <w:rsid w:val="00D416DF"/>
    <w:rsid w:val="00D417E3"/>
    <w:rsid w:val="00D41887"/>
    <w:rsid w:val="00D41952"/>
    <w:rsid w:val="00D419C7"/>
    <w:rsid w:val="00D41A65"/>
    <w:rsid w:val="00D41AA0"/>
    <w:rsid w:val="00D41B3F"/>
    <w:rsid w:val="00D41BBB"/>
    <w:rsid w:val="00D41C51"/>
    <w:rsid w:val="00D41CA0"/>
    <w:rsid w:val="00D41D3B"/>
    <w:rsid w:val="00D41DB7"/>
    <w:rsid w:val="00D41DCC"/>
    <w:rsid w:val="00D41F0F"/>
    <w:rsid w:val="00D41FC1"/>
    <w:rsid w:val="00D42012"/>
    <w:rsid w:val="00D4207D"/>
    <w:rsid w:val="00D42086"/>
    <w:rsid w:val="00D420E0"/>
    <w:rsid w:val="00D42352"/>
    <w:rsid w:val="00D4241D"/>
    <w:rsid w:val="00D426E3"/>
    <w:rsid w:val="00D427EC"/>
    <w:rsid w:val="00D42915"/>
    <w:rsid w:val="00D42AA7"/>
    <w:rsid w:val="00D42BE8"/>
    <w:rsid w:val="00D42BF5"/>
    <w:rsid w:val="00D42C06"/>
    <w:rsid w:val="00D42EA3"/>
    <w:rsid w:val="00D42EAA"/>
    <w:rsid w:val="00D42F96"/>
    <w:rsid w:val="00D42FCB"/>
    <w:rsid w:val="00D4303D"/>
    <w:rsid w:val="00D430E3"/>
    <w:rsid w:val="00D431FA"/>
    <w:rsid w:val="00D4325A"/>
    <w:rsid w:val="00D43434"/>
    <w:rsid w:val="00D43487"/>
    <w:rsid w:val="00D4349D"/>
    <w:rsid w:val="00D434F7"/>
    <w:rsid w:val="00D43531"/>
    <w:rsid w:val="00D436C6"/>
    <w:rsid w:val="00D43704"/>
    <w:rsid w:val="00D43722"/>
    <w:rsid w:val="00D43776"/>
    <w:rsid w:val="00D437C0"/>
    <w:rsid w:val="00D437D1"/>
    <w:rsid w:val="00D438A3"/>
    <w:rsid w:val="00D43A1F"/>
    <w:rsid w:val="00D43A2C"/>
    <w:rsid w:val="00D43ACD"/>
    <w:rsid w:val="00D43B1A"/>
    <w:rsid w:val="00D43B8D"/>
    <w:rsid w:val="00D43C64"/>
    <w:rsid w:val="00D43D1E"/>
    <w:rsid w:val="00D43D37"/>
    <w:rsid w:val="00D43DAF"/>
    <w:rsid w:val="00D43E05"/>
    <w:rsid w:val="00D43E7E"/>
    <w:rsid w:val="00D44121"/>
    <w:rsid w:val="00D44272"/>
    <w:rsid w:val="00D4429D"/>
    <w:rsid w:val="00D4437B"/>
    <w:rsid w:val="00D443A3"/>
    <w:rsid w:val="00D443D8"/>
    <w:rsid w:val="00D44444"/>
    <w:rsid w:val="00D4451D"/>
    <w:rsid w:val="00D4454C"/>
    <w:rsid w:val="00D4455F"/>
    <w:rsid w:val="00D44584"/>
    <w:rsid w:val="00D445DB"/>
    <w:rsid w:val="00D44627"/>
    <w:rsid w:val="00D446C0"/>
    <w:rsid w:val="00D44854"/>
    <w:rsid w:val="00D448BC"/>
    <w:rsid w:val="00D448DC"/>
    <w:rsid w:val="00D44A66"/>
    <w:rsid w:val="00D44A7A"/>
    <w:rsid w:val="00D44B40"/>
    <w:rsid w:val="00D44B8A"/>
    <w:rsid w:val="00D44C37"/>
    <w:rsid w:val="00D44CB7"/>
    <w:rsid w:val="00D44DA5"/>
    <w:rsid w:val="00D44DB2"/>
    <w:rsid w:val="00D44E23"/>
    <w:rsid w:val="00D44F3F"/>
    <w:rsid w:val="00D44FFC"/>
    <w:rsid w:val="00D450B2"/>
    <w:rsid w:val="00D45118"/>
    <w:rsid w:val="00D45231"/>
    <w:rsid w:val="00D45290"/>
    <w:rsid w:val="00D45330"/>
    <w:rsid w:val="00D45354"/>
    <w:rsid w:val="00D453A1"/>
    <w:rsid w:val="00D454CD"/>
    <w:rsid w:val="00D45503"/>
    <w:rsid w:val="00D455A2"/>
    <w:rsid w:val="00D4561C"/>
    <w:rsid w:val="00D4563A"/>
    <w:rsid w:val="00D456D8"/>
    <w:rsid w:val="00D456EB"/>
    <w:rsid w:val="00D457CA"/>
    <w:rsid w:val="00D457E3"/>
    <w:rsid w:val="00D4593A"/>
    <w:rsid w:val="00D45A2E"/>
    <w:rsid w:val="00D45AA2"/>
    <w:rsid w:val="00D45B52"/>
    <w:rsid w:val="00D45BFC"/>
    <w:rsid w:val="00D45BFE"/>
    <w:rsid w:val="00D45C34"/>
    <w:rsid w:val="00D45C6C"/>
    <w:rsid w:val="00D45D66"/>
    <w:rsid w:val="00D45E72"/>
    <w:rsid w:val="00D45EF4"/>
    <w:rsid w:val="00D45F29"/>
    <w:rsid w:val="00D45F7D"/>
    <w:rsid w:val="00D460D0"/>
    <w:rsid w:val="00D4613C"/>
    <w:rsid w:val="00D46196"/>
    <w:rsid w:val="00D461CF"/>
    <w:rsid w:val="00D46263"/>
    <w:rsid w:val="00D4639A"/>
    <w:rsid w:val="00D46454"/>
    <w:rsid w:val="00D464C2"/>
    <w:rsid w:val="00D4650D"/>
    <w:rsid w:val="00D465B5"/>
    <w:rsid w:val="00D46756"/>
    <w:rsid w:val="00D467AE"/>
    <w:rsid w:val="00D468B7"/>
    <w:rsid w:val="00D46EEA"/>
    <w:rsid w:val="00D46EED"/>
    <w:rsid w:val="00D46F35"/>
    <w:rsid w:val="00D47369"/>
    <w:rsid w:val="00D473A0"/>
    <w:rsid w:val="00D47486"/>
    <w:rsid w:val="00D47579"/>
    <w:rsid w:val="00D47632"/>
    <w:rsid w:val="00D476A8"/>
    <w:rsid w:val="00D4774C"/>
    <w:rsid w:val="00D47792"/>
    <w:rsid w:val="00D477F4"/>
    <w:rsid w:val="00D47935"/>
    <w:rsid w:val="00D47B85"/>
    <w:rsid w:val="00D47C3F"/>
    <w:rsid w:val="00D47CB9"/>
    <w:rsid w:val="00D47D37"/>
    <w:rsid w:val="00D47D5F"/>
    <w:rsid w:val="00D47DA1"/>
    <w:rsid w:val="00D47E31"/>
    <w:rsid w:val="00D47E8A"/>
    <w:rsid w:val="00D47EC3"/>
    <w:rsid w:val="00D47EE8"/>
    <w:rsid w:val="00D47EE9"/>
    <w:rsid w:val="00D47FA5"/>
    <w:rsid w:val="00D47FD5"/>
    <w:rsid w:val="00D5004F"/>
    <w:rsid w:val="00D5018A"/>
    <w:rsid w:val="00D501AB"/>
    <w:rsid w:val="00D501C9"/>
    <w:rsid w:val="00D5021F"/>
    <w:rsid w:val="00D5026A"/>
    <w:rsid w:val="00D503CD"/>
    <w:rsid w:val="00D505BE"/>
    <w:rsid w:val="00D5076E"/>
    <w:rsid w:val="00D507DF"/>
    <w:rsid w:val="00D507F4"/>
    <w:rsid w:val="00D50864"/>
    <w:rsid w:val="00D509D9"/>
    <w:rsid w:val="00D50A2A"/>
    <w:rsid w:val="00D50A4D"/>
    <w:rsid w:val="00D50A67"/>
    <w:rsid w:val="00D50B48"/>
    <w:rsid w:val="00D50B5A"/>
    <w:rsid w:val="00D50BF9"/>
    <w:rsid w:val="00D50CCB"/>
    <w:rsid w:val="00D50D29"/>
    <w:rsid w:val="00D50D4C"/>
    <w:rsid w:val="00D50DE9"/>
    <w:rsid w:val="00D50E81"/>
    <w:rsid w:val="00D50EB6"/>
    <w:rsid w:val="00D51013"/>
    <w:rsid w:val="00D51243"/>
    <w:rsid w:val="00D51271"/>
    <w:rsid w:val="00D51376"/>
    <w:rsid w:val="00D51453"/>
    <w:rsid w:val="00D51486"/>
    <w:rsid w:val="00D514A1"/>
    <w:rsid w:val="00D514F3"/>
    <w:rsid w:val="00D51591"/>
    <w:rsid w:val="00D5160F"/>
    <w:rsid w:val="00D51614"/>
    <w:rsid w:val="00D5163C"/>
    <w:rsid w:val="00D51666"/>
    <w:rsid w:val="00D517F6"/>
    <w:rsid w:val="00D518B1"/>
    <w:rsid w:val="00D51947"/>
    <w:rsid w:val="00D51981"/>
    <w:rsid w:val="00D51A0C"/>
    <w:rsid w:val="00D51CF6"/>
    <w:rsid w:val="00D51DC8"/>
    <w:rsid w:val="00D51ED5"/>
    <w:rsid w:val="00D51F1B"/>
    <w:rsid w:val="00D51FBD"/>
    <w:rsid w:val="00D51FFB"/>
    <w:rsid w:val="00D523D8"/>
    <w:rsid w:val="00D52471"/>
    <w:rsid w:val="00D524B1"/>
    <w:rsid w:val="00D524B8"/>
    <w:rsid w:val="00D525A9"/>
    <w:rsid w:val="00D526EB"/>
    <w:rsid w:val="00D527FB"/>
    <w:rsid w:val="00D52837"/>
    <w:rsid w:val="00D529AD"/>
    <w:rsid w:val="00D52A39"/>
    <w:rsid w:val="00D52ADC"/>
    <w:rsid w:val="00D52C92"/>
    <w:rsid w:val="00D52E26"/>
    <w:rsid w:val="00D52FC4"/>
    <w:rsid w:val="00D530C5"/>
    <w:rsid w:val="00D531DB"/>
    <w:rsid w:val="00D534BE"/>
    <w:rsid w:val="00D534D2"/>
    <w:rsid w:val="00D535E9"/>
    <w:rsid w:val="00D5366B"/>
    <w:rsid w:val="00D536A6"/>
    <w:rsid w:val="00D536DF"/>
    <w:rsid w:val="00D5371B"/>
    <w:rsid w:val="00D537EF"/>
    <w:rsid w:val="00D53811"/>
    <w:rsid w:val="00D538F1"/>
    <w:rsid w:val="00D539C0"/>
    <w:rsid w:val="00D53A43"/>
    <w:rsid w:val="00D53B3E"/>
    <w:rsid w:val="00D53CFF"/>
    <w:rsid w:val="00D53E11"/>
    <w:rsid w:val="00D53F6E"/>
    <w:rsid w:val="00D53F74"/>
    <w:rsid w:val="00D53FCD"/>
    <w:rsid w:val="00D5405C"/>
    <w:rsid w:val="00D5410F"/>
    <w:rsid w:val="00D541BB"/>
    <w:rsid w:val="00D541D4"/>
    <w:rsid w:val="00D541EA"/>
    <w:rsid w:val="00D54221"/>
    <w:rsid w:val="00D542C7"/>
    <w:rsid w:val="00D5431B"/>
    <w:rsid w:val="00D543D9"/>
    <w:rsid w:val="00D545E6"/>
    <w:rsid w:val="00D5488C"/>
    <w:rsid w:val="00D5489A"/>
    <w:rsid w:val="00D54A34"/>
    <w:rsid w:val="00D54CAC"/>
    <w:rsid w:val="00D54CCC"/>
    <w:rsid w:val="00D54CE7"/>
    <w:rsid w:val="00D54D09"/>
    <w:rsid w:val="00D54D9C"/>
    <w:rsid w:val="00D54EA3"/>
    <w:rsid w:val="00D54F62"/>
    <w:rsid w:val="00D550DA"/>
    <w:rsid w:val="00D55161"/>
    <w:rsid w:val="00D5526D"/>
    <w:rsid w:val="00D5529C"/>
    <w:rsid w:val="00D5539A"/>
    <w:rsid w:val="00D553D7"/>
    <w:rsid w:val="00D5542A"/>
    <w:rsid w:val="00D5560E"/>
    <w:rsid w:val="00D55639"/>
    <w:rsid w:val="00D55763"/>
    <w:rsid w:val="00D558E2"/>
    <w:rsid w:val="00D559A6"/>
    <w:rsid w:val="00D559E2"/>
    <w:rsid w:val="00D55ABC"/>
    <w:rsid w:val="00D55ABD"/>
    <w:rsid w:val="00D55B64"/>
    <w:rsid w:val="00D55BE3"/>
    <w:rsid w:val="00D55C48"/>
    <w:rsid w:val="00D55CD0"/>
    <w:rsid w:val="00D55D77"/>
    <w:rsid w:val="00D55DFE"/>
    <w:rsid w:val="00D55F3D"/>
    <w:rsid w:val="00D55F8C"/>
    <w:rsid w:val="00D55F8E"/>
    <w:rsid w:val="00D55F96"/>
    <w:rsid w:val="00D55FBF"/>
    <w:rsid w:val="00D56006"/>
    <w:rsid w:val="00D56066"/>
    <w:rsid w:val="00D56120"/>
    <w:rsid w:val="00D5612F"/>
    <w:rsid w:val="00D5621D"/>
    <w:rsid w:val="00D5636D"/>
    <w:rsid w:val="00D56513"/>
    <w:rsid w:val="00D56695"/>
    <w:rsid w:val="00D56696"/>
    <w:rsid w:val="00D566A7"/>
    <w:rsid w:val="00D566C8"/>
    <w:rsid w:val="00D56A0C"/>
    <w:rsid w:val="00D56C28"/>
    <w:rsid w:val="00D56C32"/>
    <w:rsid w:val="00D56C9B"/>
    <w:rsid w:val="00D56D31"/>
    <w:rsid w:val="00D56E06"/>
    <w:rsid w:val="00D56E1A"/>
    <w:rsid w:val="00D56F22"/>
    <w:rsid w:val="00D56FA0"/>
    <w:rsid w:val="00D5719E"/>
    <w:rsid w:val="00D5726D"/>
    <w:rsid w:val="00D572BC"/>
    <w:rsid w:val="00D57326"/>
    <w:rsid w:val="00D57351"/>
    <w:rsid w:val="00D57493"/>
    <w:rsid w:val="00D574DC"/>
    <w:rsid w:val="00D57576"/>
    <w:rsid w:val="00D57606"/>
    <w:rsid w:val="00D5761F"/>
    <w:rsid w:val="00D57634"/>
    <w:rsid w:val="00D57658"/>
    <w:rsid w:val="00D5765D"/>
    <w:rsid w:val="00D576DD"/>
    <w:rsid w:val="00D5775C"/>
    <w:rsid w:val="00D5786C"/>
    <w:rsid w:val="00D578BD"/>
    <w:rsid w:val="00D57A42"/>
    <w:rsid w:val="00D57A8F"/>
    <w:rsid w:val="00D57B5C"/>
    <w:rsid w:val="00D57BAA"/>
    <w:rsid w:val="00D57C49"/>
    <w:rsid w:val="00D57C60"/>
    <w:rsid w:val="00D60024"/>
    <w:rsid w:val="00D60334"/>
    <w:rsid w:val="00D60395"/>
    <w:rsid w:val="00D60574"/>
    <w:rsid w:val="00D605BD"/>
    <w:rsid w:val="00D60684"/>
    <w:rsid w:val="00D6076E"/>
    <w:rsid w:val="00D60853"/>
    <w:rsid w:val="00D60856"/>
    <w:rsid w:val="00D60863"/>
    <w:rsid w:val="00D60A01"/>
    <w:rsid w:val="00D60B6F"/>
    <w:rsid w:val="00D60D60"/>
    <w:rsid w:val="00D60E16"/>
    <w:rsid w:val="00D60F73"/>
    <w:rsid w:val="00D61010"/>
    <w:rsid w:val="00D610B7"/>
    <w:rsid w:val="00D61575"/>
    <w:rsid w:val="00D61663"/>
    <w:rsid w:val="00D61740"/>
    <w:rsid w:val="00D617AB"/>
    <w:rsid w:val="00D6189B"/>
    <w:rsid w:val="00D618A3"/>
    <w:rsid w:val="00D61ADA"/>
    <w:rsid w:val="00D61B6A"/>
    <w:rsid w:val="00D61C01"/>
    <w:rsid w:val="00D61C38"/>
    <w:rsid w:val="00D61CEE"/>
    <w:rsid w:val="00D61D07"/>
    <w:rsid w:val="00D61E35"/>
    <w:rsid w:val="00D61E61"/>
    <w:rsid w:val="00D61EF2"/>
    <w:rsid w:val="00D61EF3"/>
    <w:rsid w:val="00D61F65"/>
    <w:rsid w:val="00D6205F"/>
    <w:rsid w:val="00D6227D"/>
    <w:rsid w:val="00D62287"/>
    <w:rsid w:val="00D62322"/>
    <w:rsid w:val="00D62367"/>
    <w:rsid w:val="00D623A4"/>
    <w:rsid w:val="00D623CF"/>
    <w:rsid w:val="00D623F3"/>
    <w:rsid w:val="00D6263B"/>
    <w:rsid w:val="00D627AB"/>
    <w:rsid w:val="00D627CC"/>
    <w:rsid w:val="00D62874"/>
    <w:rsid w:val="00D6290D"/>
    <w:rsid w:val="00D62A08"/>
    <w:rsid w:val="00D62AE4"/>
    <w:rsid w:val="00D62B9B"/>
    <w:rsid w:val="00D62BA1"/>
    <w:rsid w:val="00D62EF9"/>
    <w:rsid w:val="00D62FEF"/>
    <w:rsid w:val="00D63158"/>
    <w:rsid w:val="00D632DA"/>
    <w:rsid w:val="00D63362"/>
    <w:rsid w:val="00D63412"/>
    <w:rsid w:val="00D6347D"/>
    <w:rsid w:val="00D6376D"/>
    <w:rsid w:val="00D637EA"/>
    <w:rsid w:val="00D6398B"/>
    <w:rsid w:val="00D63A3D"/>
    <w:rsid w:val="00D63AA3"/>
    <w:rsid w:val="00D63B07"/>
    <w:rsid w:val="00D63CC6"/>
    <w:rsid w:val="00D63DC1"/>
    <w:rsid w:val="00D63E1A"/>
    <w:rsid w:val="00D63FEE"/>
    <w:rsid w:val="00D63FF6"/>
    <w:rsid w:val="00D6404C"/>
    <w:rsid w:val="00D6417D"/>
    <w:rsid w:val="00D6418E"/>
    <w:rsid w:val="00D64403"/>
    <w:rsid w:val="00D64444"/>
    <w:rsid w:val="00D64500"/>
    <w:rsid w:val="00D64565"/>
    <w:rsid w:val="00D6456C"/>
    <w:rsid w:val="00D64645"/>
    <w:rsid w:val="00D64698"/>
    <w:rsid w:val="00D647CC"/>
    <w:rsid w:val="00D64833"/>
    <w:rsid w:val="00D649E2"/>
    <w:rsid w:val="00D64A52"/>
    <w:rsid w:val="00D64A81"/>
    <w:rsid w:val="00D64BD3"/>
    <w:rsid w:val="00D64CD1"/>
    <w:rsid w:val="00D64CED"/>
    <w:rsid w:val="00D64DA6"/>
    <w:rsid w:val="00D64EBD"/>
    <w:rsid w:val="00D64FB8"/>
    <w:rsid w:val="00D6514A"/>
    <w:rsid w:val="00D65189"/>
    <w:rsid w:val="00D65195"/>
    <w:rsid w:val="00D65276"/>
    <w:rsid w:val="00D6531B"/>
    <w:rsid w:val="00D653E3"/>
    <w:rsid w:val="00D65442"/>
    <w:rsid w:val="00D65469"/>
    <w:rsid w:val="00D6552A"/>
    <w:rsid w:val="00D655AA"/>
    <w:rsid w:val="00D65636"/>
    <w:rsid w:val="00D656C9"/>
    <w:rsid w:val="00D6572C"/>
    <w:rsid w:val="00D657E1"/>
    <w:rsid w:val="00D658E0"/>
    <w:rsid w:val="00D65941"/>
    <w:rsid w:val="00D6595B"/>
    <w:rsid w:val="00D65C0C"/>
    <w:rsid w:val="00D65F7C"/>
    <w:rsid w:val="00D6601E"/>
    <w:rsid w:val="00D6604A"/>
    <w:rsid w:val="00D660DA"/>
    <w:rsid w:val="00D6612C"/>
    <w:rsid w:val="00D662B6"/>
    <w:rsid w:val="00D66332"/>
    <w:rsid w:val="00D663E6"/>
    <w:rsid w:val="00D66415"/>
    <w:rsid w:val="00D6653A"/>
    <w:rsid w:val="00D665E1"/>
    <w:rsid w:val="00D66620"/>
    <w:rsid w:val="00D666A3"/>
    <w:rsid w:val="00D666EC"/>
    <w:rsid w:val="00D6676C"/>
    <w:rsid w:val="00D66783"/>
    <w:rsid w:val="00D668A2"/>
    <w:rsid w:val="00D668DF"/>
    <w:rsid w:val="00D66928"/>
    <w:rsid w:val="00D66936"/>
    <w:rsid w:val="00D669A8"/>
    <w:rsid w:val="00D669CD"/>
    <w:rsid w:val="00D66ADA"/>
    <w:rsid w:val="00D66BEC"/>
    <w:rsid w:val="00D66C5D"/>
    <w:rsid w:val="00D66D34"/>
    <w:rsid w:val="00D66E79"/>
    <w:rsid w:val="00D66E97"/>
    <w:rsid w:val="00D66F08"/>
    <w:rsid w:val="00D66F11"/>
    <w:rsid w:val="00D66F6A"/>
    <w:rsid w:val="00D67011"/>
    <w:rsid w:val="00D6705D"/>
    <w:rsid w:val="00D670C7"/>
    <w:rsid w:val="00D67158"/>
    <w:rsid w:val="00D6723E"/>
    <w:rsid w:val="00D67400"/>
    <w:rsid w:val="00D67472"/>
    <w:rsid w:val="00D6750A"/>
    <w:rsid w:val="00D67736"/>
    <w:rsid w:val="00D678A2"/>
    <w:rsid w:val="00D67970"/>
    <w:rsid w:val="00D67989"/>
    <w:rsid w:val="00D67AFC"/>
    <w:rsid w:val="00D67B77"/>
    <w:rsid w:val="00D67C87"/>
    <w:rsid w:val="00D67E65"/>
    <w:rsid w:val="00D67EE4"/>
    <w:rsid w:val="00D67F3D"/>
    <w:rsid w:val="00D67F51"/>
    <w:rsid w:val="00D70085"/>
    <w:rsid w:val="00D70092"/>
    <w:rsid w:val="00D70094"/>
    <w:rsid w:val="00D700D9"/>
    <w:rsid w:val="00D70166"/>
    <w:rsid w:val="00D7027C"/>
    <w:rsid w:val="00D7028D"/>
    <w:rsid w:val="00D702FC"/>
    <w:rsid w:val="00D70368"/>
    <w:rsid w:val="00D705B8"/>
    <w:rsid w:val="00D706B2"/>
    <w:rsid w:val="00D70701"/>
    <w:rsid w:val="00D70773"/>
    <w:rsid w:val="00D70891"/>
    <w:rsid w:val="00D7089D"/>
    <w:rsid w:val="00D7090C"/>
    <w:rsid w:val="00D70953"/>
    <w:rsid w:val="00D70AAC"/>
    <w:rsid w:val="00D70B29"/>
    <w:rsid w:val="00D70B67"/>
    <w:rsid w:val="00D70BA0"/>
    <w:rsid w:val="00D70C17"/>
    <w:rsid w:val="00D70D59"/>
    <w:rsid w:val="00D70F4A"/>
    <w:rsid w:val="00D70FE4"/>
    <w:rsid w:val="00D71011"/>
    <w:rsid w:val="00D711E5"/>
    <w:rsid w:val="00D7121D"/>
    <w:rsid w:val="00D7126F"/>
    <w:rsid w:val="00D712CA"/>
    <w:rsid w:val="00D713C1"/>
    <w:rsid w:val="00D714A9"/>
    <w:rsid w:val="00D7150E"/>
    <w:rsid w:val="00D7153B"/>
    <w:rsid w:val="00D715F0"/>
    <w:rsid w:val="00D71630"/>
    <w:rsid w:val="00D7173E"/>
    <w:rsid w:val="00D7174A"/>
    <w:rsid w:val="00D71844"/>
    <w:rsid w:val="00D718EA"/>
    <w:rsid w:val="00D71943"/>
    <w:rsid w:val="00D719F0"/>
    <w:rsid w:val="00D71AA2"/>
    <w:rsid w:val="00D71AF7"/>
    <w:rsid w:val="00D71B78"/>
    <w:rsid w:val="00D71C7A"/>
    <w:rsid w:val="00D71CD6"/>
    <w:rsid w:val="00D71D47"/>
    <w:rsid w:val="00D71D57"/>
    <w:rsid w:val="00D71FA7"/>
    <w:rsid w:val="00D72052"/>
    <w:rsid w:val="00D7214A"/>
    <w:rsid w:val="00D72168"/>
    <w:rsid w:val="00D72260"/>
    <w:rsid w:val="00D722EF"/>
    <w:rsid w:val="00D72306"/>
    <w:rsid w:val="00D72645"/>
    <w:rsid w:val="00D72742"/>
    <w:rsid w:val="00D7279B"/>
    <w:rsid w:val="00D727BC"/>
    <w:rsid w:val="00D727E8"/>
    <w:rsid w:val="00D727EB"/>
    <w:rsid w:val="00D728BC"/>
    <w:rsid w:val="00D728BD"/>
    <w:rsid w:val="00D7293B"/>
    <w:rsid w:val="00D72961"/>
    <w:rsid w:val="00D72A77"/>
    <w:rsid w:val="00D72AE9"/>
    <w:rsid w:val="00D72BD0"/>
    <w:rsid w:val="00D72BE8"/>
    <w:rsid w:val="00D72C3A"/>
    <w:rsid w:val="00D72CCC"/>
    <w:rsid w:val="00D72EA8"/>
    <w:rsid w:val="00D72FB9"/>
    <w:rsid w:val="00D7306C"/>
    <w:rsid w:val="00D73145"/>
    <w:rsid w:val="00D731AF"/>
    <w:rsid w:val="00D731E4"/>
    <w:rsid w:val="00D731F9"/>
    <w:rsid w:val="00D732B4"/>
    <w:rsid w:val="00D73401"/>
    <w:rsid w:val="00D73462"/>
    <w:rsid w:val="00D735E7"/>
    <w:rsid w:val="00D73724"/>
    <w:rsid w:val="00D7380A"/>
    <w:rsid w:val="00D73854"/>
    <w:rsid w:val="00D738A6"/>
    <w:rsid w:val="00D73916"/>
    <w:rsid w:val="00D739A8"/>
    <w:rsid w:val="00D73A42"/>
    <w:rsid w:val="00D73A59"/>
    <w:rsid w:val="00D73A81"/>
    <w:rsid w:val="00D73B96"/>
    <w:rsid w:val="00D73BBF"/>
    <w:rsid w:val="00D73C45"/>
    <w:rsid w:val="00D73D28"/>
    <w:rsid w:val="00D73DD8"/>
    <w:rsid w:val="00D73E0E"/>
    <w:rsid w:val="00D73E6C"/>
    <w:rsid w:val="00D73F29"/>
    <w:rsid w:val="00D73F9C"/>
    <w:rsid w:val="00D73FD3"/>
    <w:rsid w:val="00D74021"/>
    <w:rsid w:val="00D74119"/>
    <w:rsid w:val="00D74189"/>
    <w:rsid w:val="00D74290"/>
    <w:rsid w:val="00D7438D"/>
    <w:rsid w:val="00D743BC"/>
    <w:rsid w:val="00D74445"/>
    <w:rsid w:val="00D7446E"/>
    <w:rsid w:val="00D74530"/>
    <w:rsid w:val="00D74568"/>
    <w:rsid w:val="00D745D5"/>
    <w:rsid w:val="00D74683"/>
    <w:rsid w:val="00D746C4"/>
    <w:rsid w:val="00D746C7"/>
    <w:rsid w:val="00D74764"/>
    <w:rsid w:val="00D74776"/>
    <w:rsid w:val="00D74832"/>
    <w:rsid w:val="00D74836"/>
    <w:rsid w:val="00D748BF"/>
    <w:rsid w:val="00D748DE"/>
    <w:rsid w:val="00D749CC"/>
    <w:rsid w:val="00D74A63"/>
    <w:rsid w:val="00D74AEB"/>
    <w:rsid w:val="00D74B7F"/>
    <w:rsid w:val="00D74D35"/>
    <w:rsid w:val="00D74DE3"/>
    <w:rsid w:val="00D74EE7"/>
    <w:rsid w:val="00D75011"/>
    <w:rsid w:val="00D750AF"/>
    <w:rsid w:val="00D750BA"/>
    <w:rsid w:val="00D75109"/>
    <w:rsid w:val="00D7510A"/>
    <w:rsid w:val="00D75116"/>
    <w:rsid w:val="00D75117"/>
    <w:rsid w:val="00D7519C"/>
    <w:rsid w:val="00D752D1"/>
    <w:rsid w:val="00D752E6"/>
    <w:rsid w:val="00D75321"/>
    <w:rsid w:val="00D753AA"/>
    <w:rsid w:val="00D754B4"/>
    <w:rsid w:val="00D754E0"/>
    <w:rsid w:val="00D7553C"/>
    <w:rsid w:val="00D7559F"/>
    <w:rsid w:val="00D755D9"/>
    <w:rsid w:val="00D757ED"/>
    <w:rsid w:val="00D75802"/>
    <w:rsid w:val="00D7581B"/>
    <w:rsid w:val="00D75840"/>
    <w:rsid w:val="00D758DB"/>
    <w:rsid w:val="00D75900"/>
    <w:rsid w:val="00D759E1"/>
    <w:rsid w:val="00D75C7D"/>
    <w:rsid w:val="00D75DE0"/>
    <w:rsid w:val="00D75E50"/>
    <w:rsid w:val="00D75EF3"/>
    <w:rsid w:val="00D75F09"/>
    <w:rsid w:val="00D75FA4"/>
    <w:rsid w:val="00D76015"/>
    <w:rsid w:val="00D7615B"/>
    <w:rsid w:val="00D76170"/>
    <w:rsid w:val="00D76250"/>
    <w:rsid w:val="00D76301"/>
    <w:rsid w:val="00D76312"/>
    <w:rsid w:val="00D764C2"/>
    <w:rsid w:val="00D76618"/>
    <w:rsid w:val="00D7664A"/>
    <w:rsid w:val="00D76676"/>
    <w:rsid w:val="00D76842"/>
    <w:rsid w:val="00D76889"/>
    <w:rsid w:val="00D76939"/>
    <w:rsid w:val="00D76A18"/>
    <w:rsid w:val="00D76A29"/>
    <w:rsid w:val="00D76A6A"/>
    <w:rsid w:val="00D76A6D"/>
    <w:rsid w:val="00D76AFB"/>
    <w:rsid w:val="00D76C1E"/>
    <w:rsid w:val="00D76C3E"/>
    <w:rsid w:val="00D76D7A"/>
    <w:rsid w:val="00D76DA2"/>
    <w:rsid w:val="00D76ED7"/>
    <w:rsid w:val="00D770D9"/>
    <w:rsid w:val="00D77119"/>
    <w:rsid w:val="00D7715D"/>
    <w:rsid w:val="00D77196"/>
    <w:rsid w:val="00D771A1"/>
    <w:rsid w:val="00D771D6"/>
    <w:rsid w:val="00D7738E"/>
    <w:rsid w:val="00D77558"/>
    <w:rsid w:val="00D77608"/>
    <w:rsid w:val="00D77718"/>
    <w:rsid w:val="00D77815"/>
    <w:rsid w:val="00D77854"/>
    <w:rsid w:val="00D778E7"/>
    <w:rsid w:val="00D77A66"/>
    <w:rsid w:val="00D77B90"/>
    <w:rsid w:val="00D77C38"/>
    <w:rsid w:val="00D77DBD"/>
    <w:rsid w:val="00D77E17"/>
    <w:rsid w:val="00D77EA0"/>
    <w:rsid w:val="00D77FB9"/>
    <w:rsid w:val="00D80070"/>
    <w:rsid w:val="00D800C8"/>
    <w:rsid w:val="00D800D4"/>
    <w:rsid w:val="00D801A4"/>
    <w:rsid w:val="00D80288"/>
    <w:rsid w:val="00D8037C"/>
    <w:rsid w:val="00D804EE"/>
    <w:rsid w:val="00D805D4"/>
    <w:rsid w:val="00D807C0"/>
    <w:rsid w:val="00D807C2"/>
    <w:rsid w:val="00D807D8"/>
    <w:rsid w:val="00D808D5"/>
    <w:rsid w:val="00D80983"/>
    <w:rsid w:val="00D809B6"/>
    <w:rsid w:val="00D809F6"/>
    <w:rsid w:val="00D80A4B"/>
    <w:rsid w:val="00D80AE1"/>
    <w:rsid w:val="00D80BA6"/>
    <w:rsid w:val="00D80C40"/>
    <w:rsid w:val="00D80CDC"/>
    <w:rsid w:val="00D80E2D"/>
    <w:rsid w:val="00D81035"/>
    <w:rsid w:val="00D810BB"/>
    <w:rsid w:val="00D8118F"/>
    <w:rsid w:val="00D8129A"/>
    <w:rsid w:val="00D812AF"/>
    <w:rsid w:val="00D8141A"/>
    <w:rsid w:val="00D81555"/>
    <w:rsid w:val="00D816E5"/>
    <w:rsid w:val="00D81733"/>
    <w:rsid w:val="00D81ADF"/>
    <w:rsid w:val="00D81BC1"/>
    <w:rsid w:val="00D81BE3"/>
    <w:rsid w:val="00D81C2A"/>
    <w:rsid w:val="00D81D51"/>
    <w:rsid w:val="00D81E27"/>
    <w:rsid w:val="00D81FE4"/>
    <w:rsid w:val="00D8205D"/>
    <w:rsid w:val="00D822D1"/>
    <w:rsid w:val="00D822D6"/>
    <w:rsid w:val="00D823EC"/>
    <w:rsid w:val="00D8255B"/>
    <w:rsid w:val="00D825FD"/>
    <w:rsid w:val="00D82706"/>
    <w:rsid w:val="00D8276F"/>
    <w:rsid w:val="00D8277A"/>
    <w:rsid w:val="00D82784"/>
    <w:rsid w:val="00D82958"/>
    <w:rsid w:val="00D829B8"/>
    <w:rsid w:val="00D829DA"/>
    <w:rsid w:val="00D829DF"/>
    <w:rsid w:val="00D82A43"/>
    <w:rsid w:val="00D82A92"/>
    <w:rsid w:val="00D82D5B"/>
    <w:rsid w:val="00D82D76"/>
    <w:rsid w:val="00D8300E"/>
    <w:rsid w:val="00D83107"/>
    <w:rsid w:val="00D8314F"/>
    <w:rsid w:val="00D832AF"/>
    <w:rsid w:val="00D83346"/>
    <w:rsid w:val="00D833E2"/>
    <w:rsid w:val="00D83411"/>
    <w:rsid w:val="00D83594"/>
    <w:rsid w:val="00D8370E"/>
    <w:rsid w:val="00D83760"/>
    <w:rsid w:val="00D837A0"/>
    <w:rsid w:val="00D837E6"/>
    <w:rsid w:val="00D8390F"/>
    <w:rsid w:val="00D83917"/>
    <w:rsid w:val="00D8397D"/>
    <w:rsid w:val="00D83A1F"/>
    <w:rsid w:val="00D83A8C"/>
    <w:rsid w:val="00D83ADC"/>
    <w:rsid w:val="00D83B70"/>
    <w:rsid w:val="00D83DA7"/>
    <w:rsid w:val="00D83ED6"/>
    <w:rsid w:val="00D8414E"/>
    <w:rsid w:val="00D84187"/>
    <w:rsid w:val="00D8424D"/>
    <w:rsid w:val="00D842A7"/>
    <w:rsid w:val="00D8430C"/>
    <w:rsid w:val="00D843F9"/>
    <w:rsid w:val="00D8442D"/>
    <w:rsid w:val="00D8445A"/>
    <w:rsid w:val="00D84679"/>
    <w:rsid w:val="00D84693"/>
    <w:rsid w:val="00D846E0"/>
    <w:rsid w:val="00D84790"/>
    <w:rsid w:val="00D84A21"/>
    <w:rsid w:val="00D84A33"/>
    <w:rsid w:val="00D84A65"/>
    <w:rsid w:val="00D84B52"/>
    <w:rsid w:val="00D84B7C"/>
    <w:rsid w:val="00D84C52"/>
    <w:rsid w:val="00D84CC3"/>
    <w:rsid w:val="00D84DEF"/>
    <w:rsid w:val="00D84EBA"/>
    <w:rsid w:val="00D8508D"/>
    <w:rsid w:val="00D8509F"/>
    <w:rsid w:val="00D851B9"/>
    <w:rsid w:val="00D852A1"/>
    <w:rsid w:val="00D852CE"/>
    <w:rsid w:val="00D852D2"/>
    <w:rsid w:val="00D8535A"/>
    <w:rsid w:val="00D85469"/>
    <w:rsid w:val="00D85623"/>
    <w:rsid w:val="00D8569A"/>
    <w:rsid w:val="00D856F2"/>
    <w:rsid w:val="00D85744"/>
    <w:rsid w:val="00D85893"/>
    <w:rsid w:val="00D8593E"/>
    <w:rsid w:val="00D85940"/>
    <w:rsid w:val="00D859C9"/>
    <w:rsid w:val="00D85AEE"/>
    <w:rsid w:val="00D85B07"/>
    <w:rsid w:val="00D85B5F"/>
    <w:rsid w:val="00D85C2B"/>
    <w:rsid w:val="00D8628F"/>
    <w:rsid w:val="00D8637A"/>
    <w:rsid w:val="00D8655C"/>
    <w:rsid w:val="00D8666D"/>
    <w:rsid w:val="00D866AE"/>
    <w:rsid w:val="00D8671E"/>
    <w:rsid w:val="00D86789"/>
    <w:rsid w:val="00D867B3"/>
    <w:rsid w:val="00D868C9"/>
    <w:rsid w:val="00D86907"/>
    <w:rsid w:val="00D86955"/>
    <w:rsid w:val="00D86988"/>
    <w:rsid w:val="00D86B69"/>
    <w:rsid w:val="00D86BB7"/>
    <w:rsid w:val="00D86C8F"/>
    <w:rsid w:val="00D86E09"/>
    <w:rsid w:val="00D86E46"/>
    <w:rsid w:val="00D86E60"/>
    <w:rsid w:val="00D87058"/>
    <w:rsid w:val="00D870DC"/>
    <w:rsid w:val="00D870DD"/>
    <w:rsid w:val="00D87152"/>
    <w:rsid w:val="00D871DB"/>
    <w:rsid w:val="00D87250"/>
    <w:rsid w:val="00D87256"/>
    <w:rsid w:val="00D87285"/>
    <w:rsid w:val="00D87427"/>
    <w:rsid w:val="00D87462"/>
    <w:rsid w:val="00D8756F"/>
    <w:rsid w:val="00D87741"/>
    <w:rsid w:val="00D87752"/>
    <w:rsid w:val="00D877ED"/>
    <w:rsid w:val="00D87914"/>
    <w:rsid w:val="00D8791E"/>
    <w:rsid w:val="00D87971"/>
    <w:rsid w:val="00D87A43"/>
    <w:rsid w:val="00D87A66"/>
    <w:rsid w:val="00D87AFF"/>
    <w:rsid w:val="00D87B34"/>
    <w:rsid w:val="00D87B74"/>
    <w:rsid w:val="00D87C44"/>
    <w:rsid w:val="00D87D08"/>
    <w:rsid w:val="00D87D0B"/>
    <w:rsid w:val="00D87E0E"/>
    <w:rsid w:val="00D87E17"/>
    <w:rsid w:val="00D87E82"/>
    <w:rsid w:val="00D87EED"/>
    <w:rsid w:val="00D87F52"/>
    <w:rsid w:val="00D900B7"/>
    <w:rsid w:val="00D901A1"/>
    <w:rsid w:val="00D9020D"/>
    <w:rsid w:val="00D90314"/>
    <w:rsid w:val="00D903C8"/>
    <w:rsid w:val="00D904CB"/>
    <w:rsid w:val="00D90530"/>
    <w:rsid w:val="00D9053C"/>
    <w:rsid w:val="00D9057D"/>
    <w:rsid w:val="00D9071A"/>
    <w:rsid w:val="00D9078D"/>
    <w:rsid w:val="00D907A7"/>
    <w:rsid w:val="00D90944"/>
    <w:rsid w:val="00D90B1D"/>
    <w:rsid w:val="00D90B78"/>
    <w:rsid w:val="00D90B84"/>
    <w:rsid w:val="00D90BAD"/>
    <w:rsid w:val="00D90C40"/>
    <w:rsid w:val="00D90F40"/>
    <w:rsid w:val="00D90F57"/>
    <w:rsid w:val="00D910D8"/>
    <w:rsid w:val="00D9141B"/>
    <w:rsid w:val="00D91529"/>
    <w:rsid w:val="00D91619"/>
    <w:rsid w:val="00D91631"/>
    <w:rsid w:val="00D91651"/>
    <w:rsid w:val="00D9195C"/>
    <w:rsid w:val="00D919B3"/>
    <w:rsid w:val="00D91A56"/>
    <w:rsid w:val="00D91DC5"/>
    <w:rsid w:val="00D91FAD"/>
    <w:rsid w:val="00D9207B"/>
    <w:rsid w:val="00D920A9"/>
    <w:rsid w:val="00D920EF"/>
    <w:rsid w:val="00D9215C"/>
    <w:rsid w:val="00D92182"/>
    <w:rsid w:val="00D923DC"/>
    <w:rsid w:val="00D9261E"/>
    <w:rsid w:val="00D92817"/>
    <w:rsid w:val="00D92825"/>
    <w:rsid w:val="00D92899"/>
    <w:rsid w:val="00D92942"/>
    <w:rsid w:val="00D92A61"/>
    <w:rsid w:val="00D92B54"/>
    <w:rsid w:val="00D92B5B"/>
    <w:rsid w:val="00D92CB5"/>
    <w:rsid w:val="00D92D24"/>
    <w:rsid w:val="00D92D2D"/>
    <w:rsid w:val="00D92F79"/>
    <w:rsid w:val="00D92FDC"/>
    <w:rsid w:val="00D930D8"/>
    <w:rsid w:val="00D93175"/>
    <w:rsid w:val="00D931BF"/>
    <w:rsid w:val="00D931E2"/>
    <w:rsid w:val="00D93201"/>
    <w:rsid w:val="00D93241"/>
    <w:rsid w:val="00D934E7"/>
    <w:rsid w:val="00D93550"/>
    <w:rsid w:val="00D935EC"/>
    <w:rsid w:val="00D93604"/>
    <w:rsid w:val="00D93619"/>
    <w:rsid w:val="00D936C1"/>
    <w:rsid w:val="00D937E4"/>
    <w:rsid w:val="00D9380C"/>
    <w:rsid w:val="00D93921"/>
    <w:rsid w:val="00D93959"/>
    <w:rsid w:val="00D93A20"/>
    <w:rsid w:val="00D93A46"/>
    <w:rsid w:val="00D93B4A"/>
    <w:rsid w:val="00D93BA1"/>
    <w:rsid w:val="00D93C3B"/>
    <w:rsid w:val="00D93D8F"/>
    <w:rsid w:val="00D93DC0"/>
    <w:rsid w:val="00D93E8D"/>
    <w:rsid w:val="00D940D6"/>
    <w:rsid w:val="00D9410B"/>
    <w:rsid w:val="00D94126"/>
    <w:rsid w:val="00D9424C"/>
    <w:rsid w:val="00D9433C"/>
    <w:rsid w:val="00D94351"/>
    <w:rsid w:val="00D94728"/>
    <w:rsid w:val="00D947D9"/>
    <w:rsid w:val="00D947F0"/>
    <w:rsid w:val="00D94846"/>
    <w:rsid w:val="00D9493E"/>
    <w:rsid w:val="00D9494A"/>
    <w:rsid w:val="00D94A37"/>
    <w:rsid w:val="00D94A81"/>
    <w:rsid w:val="00D94B2F"/>
    <w:rsid w:val="00D94B3D"/>
    <w:rsid w:val="00D94C25"/>
    <w:rsid w:val="00D94C27"/>
    <w:rsid w:val="00D94C3A"/>
    <w:rsid w:val="00D94C4C"/>
    <w:rsid w:val="00D94C7C"/>
    <w:rsid w:val="00D94DA4"/>
    <w:rsid w:val="00D94F81"/>
    <w:rsid w:val="00D94FDC"/>
    <w:rsid w:val="00D9504F"/>
    <w:rsid w:val="00D950B4"/>
    <w:rsid w:val="00D9517D"/>
    <w:rsid w:val="00D95199"/>
    <w:rsid w:val="00D951CE"/>
    <w:rsid w:val="00D95209"/>
    <w:rsid w:val="00D95507"/>
    <w:rsid w:val="00D95572"/>
    <w:rsid w:val="00D95575"/>
    <w:rsid w:val="00D957DE"/>
    <w:rsid w:val="00D9581D"/>
    <w:rsid w:val="00D9590D"/>
    <w:rsid w:val="00D95946"/>
    <w:rsid w:val="00D959B8"/>
    <w:rsid w:val="00D959C2"/>
    <w:rsid w:val="00D959D5"/>
    <w:rsid w:val="00D95A4E"/>
    <w:rsid w:val="00D95E2E"/>
    <w:rsid w:val="00D95E5F"/>
    <w:rsid w:val="00D96034"/>
    <w:rsid w:val="00D9608D"/>
    <w:rsid w:val="00D9614B"/>
    <w:rsid w:val="00D96151"/>
    <w:rsid w:val="00D9630B"/>
    <w:rsid w:val="00D964C4"/>
    <w:rsid w:val="00D964CF"/>
    <w:rsid w:val="00D96674"/>
    <w:rsid w:val="00D9697E"/>
    <w:rsid w:val="00D96A44"/>
    <w:rsid w:val="00D96AE9"/>
    <w:rsid w:val="00D96B9A"/>
    <w:rsid w:val="00D96BA9"/>
    <w:rsid w:val="00D96C38"/>
    <w:rsid w:val="00D96CBC"/>
    <w:rsid w:val="00D96CC9"/>
    <w:rsid w:val="00D96CD2"/>
    <w:rsid w:val="00D96D57"/>
    <w:rsid w:val="00D96D97"/>
    <w:rsid w:val="00D9704C"/>
    <w:rsid w:val="00D97085"/>
    <w:rsid w:val="00D970E9"/>
    <w:rsid w:val="00D970FD"/>
    <w:rsid w:val="00D97100"/>
    <w:rsid w:val="00D971A9"/>
    <w:rsid w:val="00D971ED"/>
    <w:rsid w:val="00D9723A"/>
    <w:rsid w:val="00D9727A"/>
    <w:rsid w:val="00D972FD"/>
    <w:rsid w:val="00D974C0"/>
    <w:rsid w:val="00D97515"/>
    <w:rsid w:val="00D97681"/>
    <w:rsid w:val="00D97709"/>
    <w:rsid w:val="00D97733"/>
    <w:rsid w:val="00D9775E"/>
    <w:rsid w:val="00D977D6"/>
    <w:rsid w:val="00D978BE"/>
    <w:rsid w:val="00D978D9"/>
    <w:rsid w:val="00D978EA"/>
    <w:rsid w:val="00D97992"/>
    <w:rsid w:val="00D97B4F"/>
    <w:rsid w:val="00D97C50"/>
    <w:rsid w:val="00D97D3F"/>
    <w:rsid w:val="00D97DC1"/>
    <w:rsid w:val="00DA00FE"/>
    <w:rsid w:val="00DA0178"/>
    <w:rsid w:val="00DA01AE"/>
    <w:rsid w:val="00DA04D3"/>
    <w:rsid w:val="00DA05B4"/>
    <w:rsid w:val="00DA0662"/>
    <w:rsid w:val="00DA0718"/>
    <w:rsid w:val="00DA071B"/>
    <w:rsid w:val="00DA07C1"/>
    <w:rsid w:val="00DA08CA"/>
    <w:rsid w:val="00DA0B35"/>
    <w:rsid w:val="00DA0C30"/>
    <w:rsid w:val="00DA0E03"/>
    <w:rsid w:val="00DA0E3E"/>
    <w:rsid w:val="00DA0EA6"/>
    <w:rsid w:val="00DA0FD2"/>
    <w:rsid w:val="00DA0FDF"/>
    <w:rsid w:val="00DA1008"/>
    <w:rsid w:val="00DA116F"/>
    <w:rsid w:val="00DA11B4"/>
    <w:rsid w:val="00DA11C9"/>
    <w:rsid w:val="00DA12D2"/>
    <w:rsid w:val="00DA130E"/>
    <w:rsid w:val="00DA13F3"/>
    <w:rsid w:val="00DA1404"/>
    <w:rsid w:val="00DA15AE"/>
    <w:rsid w:val="00DA167D"/>
    <w:rsid w:val="00DA1760"/>
    <w:rsid w:val="00DA17B2"/>
    <w:rsid w:val="00DA17C3"/>
    <w:rsid w:val="00DA18BD"/>
    <w:rsid w:val="00DA1A0A"/>
    <w:rsid w:val="00DA1B59"/>
    <w:rsid w:val="00DA1B7F"/>
    <w:rsid w:val="00DA1C9A"/>
    <w:rsid w:val="00DA1CF7"/>
    <w:rsid w:val="00DA2220"/>
    <w:rsid w:val="00DA2261"/>
    <w:rsid w:val="00DA2263"/>
    <w:rsid w:val="00DA2372"/>
    <w:rsid w:val="00DA25B7"/>
    <w:rsid w:val="00DA2856"/>
    <w:rsid w:val="00DA29A9"/>
    <w:rsid w:val="00DA29C3"/>
    <w:rsid w:val="00DA29CF"/>
    <w:rsid w:val="00DA2A77"/>
    <w:rsid w:val="00DA2B93"/>
    <w:rsid w:val="00DA2CBA"/>
    <w:rsid w:val="00DA302E"/>
    <w:rsid w:val="00DA3044"/>
    <w:rsid w:val="00DA3121"/>
    <w:rsid w:val="00DA325B"/>
    <w:rsid w:val="00DA3291"/>
    <w:rsid w:val="00DA3300"/>
    <w:rsid w:val="00DA333E"/>
    <w:rsid w:val="00DA3438"/>
    <w:rsid w:val="00DA3522"/>
    <w:rsid w:val="00DA3569"/>
    <w:rsid w:val="00DA35A8"/>
    <w:rsid w:val="00DA363F"/>
    <w:rsid w:val="00DA366B"/>
    <w:rsid w:val="00DA36E1"/>
    <w:rsid w:val="00DA3875"/>
    <w:rsid w:val="00DA3B03"/>
    <w:rsid w:val="00DA3B65"/>
    <w:rsid w:val="00DA3C4B"/>
    <w:rsid w:val="00DA3D58"/>
    <w:rsid w:val="00DA3E46"/>
    <w:rsid w:val="00DA3F75"/>
    <w:rsid w:val="00DA3F8A"/>
    <w:rsid w:val="00DA401F"/>
    <w:rsid w:val="00DA4022"/>
    <w:rsid w:val="00DA4069"/>
    <w:rsid w:val="00DA413D"/>
    <w:rsid w:val="00DA4231"/>
    <w:rsid w:val="00DA4490"/>
    <w:rsid w:val="00DA4615"/>
    <w:rsid w:val="00DA4641"/>
    <w:rsid w:val="00DA477A"/>
    <w:rsid w:val="00DA4882"/>
    <w:rsid w:val="00DA4B76"/>
    <w:rsid w:val="00DA4E03"/>
    <w:rsid w:val="00DA4F34"/>
    <w:rsid w:val="00DA4F63"/>
    <w:rsid w:val="00DA5064"/>
    <w:rsid w:val="00DA5103"/>
    <w:rsid w:val="00DA5118"/>
    <w:rsid w:val="00DA5190"/>
    <w:rsid w:val="00DA51B2"/>
    <w:rsid w:val="00DA51E5"/>
    <w:rsid w:val="00DA53E5"/>
    <w:rsid w:val="00DA5490"/>
    <w:rsid w:val="00DA5498"/>
    <w:rsid w:val="00DA549C"/>
    <w:rsid w:val="00DA54B0"/>
    <w:rsid w:val="00DA5500"/>
    <w:rsid w:val="00DA555C"/>
    <w:rsid w:val="00DA557A"/>
    <w:rsid w:val="00DA55F9"/>
    <w:rsid w:val="00DA564D"/>
    <w:rsid w:val="00DA5888"/>
    <w:rsid w:val="00DA598C"/>
    <w:rsid w:val="00DA59CD"/>
    <w:rsid w:val="00DA5B17"/>
    <w:rsid w:val="00DA5B71"/>
    <w:rsid w:val="00DA5B95"/>
    <w:rsid w:val="00DA5CAA"/>
    <w:rsid w:val="00DA5D3A"/>
    <w:rsid w:val="00DA5E1A"/>
    <w:rsid w:val="00DA5F82"/>
    <w:rsid w:val="00DA5FD2"/>
    <w:rsid w:val="00DA6006"/>
    <w:rsid w:val="00DA6032"/>
    <w:rsid w:val="00DA61E1"/>
    <w:rsid w:val="00DA622A"/>
    <w:rsid w:val="00DA623F"/>
    <w:rsid w:val="00DA632E"/>
    <w:rsid w:val="00DA64A5"/>
    <w:rsid w:val="00DA65C8"/>
    <w:rsid w:val="00DA666F"/>
    <w:rsid w:val="00DA66DB"/>
    <w:rsid w:val="00DA6861"/>
    <w:rsid w:val="00DA68F1"/>
    <w:rsid w:val="00DA6911"/>
    <w:rsid w:val="00DA6929"/>
    <w:rsid w:val="00DA698F"/>
    <w:rsid w:val="00DA69CB"/>
    <w:rsid w:val="00DA69D2"/>
    <w:rsid w:val="00DA6A73"/>
    <w:rsid w:val="00DA6AB5"/>
    <w:rsid w:val="00DA6B63"/>
    <w:rsid w:val="00DA6BDB"/>
    <w:rsid w:val="00DA6C68"/>
    <w:rsid w:val="00DA6CD4"/>
    <w:rsid w:val="00DA6F30"/>
    <w:rsid w:val="00DA6F89"/>
    <w:rsid w:val="00DA6FC1"/>
    <w:rsid w:val="00DA6FDB"/>
    <w:rsid w:val="00DA7131"/>
    <w:rsid w:val="00DA71CF"/>
    <w:rsid w:val="00DA72E3"/>
    <w:rsid w:val="00DA7304"/>
    <w:rsid w:val="00DA7315"/>
    <w:rsid w:val="00DA7381"/>
    <w:rsid w:val="00DA7475"/>
    <w:rsid w:val="00DA7543"/>
    <w:rsid w:val="00DA7565"/>
    <w:rsid w:val="00DA7631"/>
    <w:rsid w:val="00DA7863"/>
    <w:rsid w:val="00DA798E"/>
    <w:rsid w:val="00DA7CC2"/>
    <w:rsid w:val="00DA7CEF"/>
    <w:rsid w:val="00DA7D31"/>
    <w:rsid w:val="00DA7DE2"/>
    <w:rsid w:val="00DA7E1C"/>
    <w:rsid w:val="00DA7E40"/>
    <w:rsid w:val="00DA7E91"/>
    <w:rsid w:val="00DA7F36"/>
    <w:rsid w:val="00DA7FF4"/>
    <w:rsid w:val="00DB0006"/>
    <w:rsid w:val="00DB00A3"/>
    <w:rsid w:val="00DB0180"/>
    <w:rsid w:val="00DB0376"/>
    <w:rsid w:val="00DB049D"/>
    <w:rsid w:val="00DB068D"/>
    <w:rsid w:val="00DB0801"/>
    <w:rsid w:val="00DB089D"/>
    <w:rsid w:val="00DB08CA"/>
    <w:rsid w:val="00DB0984"/>
    <w:rsid w:val="00DB0993"/>
    <w:rsid w:val="00DB0C25"/>
    <w:rsid w:val="00DB0C6E"/>
    <w:rsid w:val="00DB0CE5"/>
    <w:rsid w:val="00DB0D30"/>
    <w:rsid w:val="00DB0E08"/>
    <w:rsid w:val="00DB0E5A"/>
    <w:rsid w:val="00DB0E78"/>
    <w:rsid w:val="00DB0EC1"/>
    <w:rsid w:val="00DB0F30"/>
    <w:rsid w:val="00DB0F54"/>
    <w:rsid w:val="00DB0F6F"/>
    <w:rsid w:val="00DB1036"/>
    <w:rsid w:val="00DB112D"/>
    <w:rsid w:val="00DB113C"/>
    <w:rsid w:val="00DB1248"/>
    <w:rsid w:val="00DB12FB"/>
    <w:rsid w:val="00DB1324"/>
    <w:rsid w:val="00DB13D8"/>
    <w:rsid w:val="00DB1486"/>
    <w:rsid w:val="00DB155E"/>
    <w:rsid w:val="00DB1935"/>
    <w:rsid w:val="00DB19CA"/>
    <w:rsid w:val="00DB1A39"/>
    <w:rsid w:val="00DB1CED"/>
    <w:rsid w:val="00DB1CF7"/>
    <w:rsid w:val="00DB1D3C"/>
    <w:rsid w:val="00DB1DF7"/>
    <w:rsid w:val="00DB1ED5"/>
    <w:rsid w:val="00DB1EEC"/>
    <w:rsid w:val="00DB2115"/>
    <w:rsid w:val="00DB22DF"/>
    <w:rsid w:val="00DB233A"/>
    <w:rsid w:val="00DB23DF"/>
    <w:rsid w:val="00DB241C"/>
    <w:rsid w:val="00DB254A"/>
    <w:rsid w:val="00DB25AC"/>
    <w:rsid w:val="00DB25CC"/>
    <w:rsid w:val="00DB261D"/>
    <w:rsid w:val="00DB26D6"/>
    <w:rsid w:val="00DB27BD"/>
    <w:rsid w:val="00DB27CC"/>
    <w:rsid w:val="00DB2981"/>
    <w:rsid w:val="00DB2B44"/>
    <w:rsid w:val="00DB2D7B"/>
    <w:rsid w:val="00DB2E13"/>
    <w:rsid w:val="00DB2E63"/>
    <w:rsid w:val="00DB2F7D"/>
    <w:rsid w:val="00DB2FCE"/>
    <w:rsid w:val="00DB311B"/>
    <w:rsid w:val="00DB3192"/>
    <w:rsid w:val="00DB31C6"/>
    <w:rsid w:val="00DB31DF"/>
    <w:rsid w:val="00DB3237"/>
    <w:rsid w:val="00DB329C"/>
    <w:rsid w:val="00DB3307"/>
    <w:rsid w:val="00DB34A6"/>
    <w:rsid w:val="00DB34C9"/>
    <w:rsid w:val="00DB364D"/>
    <w:rsid w:val="00DB3668"/>
    <w:rsid w:val="00DB3814"/>
    <w:rsid w:val="00DB3837"/>
    <w:rsid w:val="00DB3865"/>
    <w:rsid w:val="00DB3B55"/>
    <w:rsid w:val="00DB3B5A"/>
    <w:rsid w:val="00DB3C06"/>
    <w:rsid w:val="00DB3D0B"/>
    <w:rsid w:val="00DB3DDF"/>
    <w:rsid w:val="00DB3E09"/>
    <w:rsid w:val="00DB3E19"/>
    <w:rsid w:val="00DB3ED5"/>
    <w:rsid w:val="00DB409C"/>
    <w:rsid w:val="00DB4114"/>
    <w:rsid w:val="00DB4301"/>
    <w:rsid w:val="00DB4331"/>
    <w:rsid w:val="00DB43A2"/>
    <w:rsid w:val="00DB4452"/>
    <w:rsid w:val="00DB44EF"/>
    <w:rsid w:val="00DB467F"/>
    <w:rsid w:val="00DB47BD"/>
    <w:rsid w:val="00DB47CE"/>
    <w:rsid w:val="00DB47F0"/>
    <w:rsid w:val="00DB4830"/>
    <w:rsid w:val="00DB4914"/>
    <w:rsid w:val="00DB492B"/>
    <w:rsid w:val="00DB4A64"/>
    <w:rsid w:val="00DB4B46"/>
    <w:rsid w:val="00DB4C11"/>
    <w:rsid w:val="00DB4C7D"/>
    <w:rsid w:val="00DB4D4D"/>
    <w:rsid w:val="00DB4E09"/>
    <w:rsid w:val="00DB4E70"/>
    <w:rsid w:val="00DB4E90"/>
    <w:rsid w:val="00DB4EA4"/>
    <w:rsid w:val="00DB4F02"/>
    <w:rsid w:val="00DB4FEE"/>
    <w:rsid w:val="00DB5143"/>
    <w:rsid w:val="00DB521F"/>
    <w:rsid w:val="00DB5237"/>
    <w:rsid w:val="00DB52CD"/>
    <w:rsid w:val="00DB5388"/>
    <w:rsid w:val="00DB54D9"/>
    <w:rsid w:val="00DB5575"/>
    <w:rsid w:val="00DB55A5"/>
    <w:rsid w:val="00DB5617"/>
    <w:rsid w:val="00DB5620"/>
    <w:rsid w:val="00DB57EC"/>
    <w:rsid w:val="00DB590B"/>
    <w:rsid w:val="00DB5965"/>
    <w:rsid w:val="00DB59BD"/>
    <w:rsid w:val="00DB59F1"/>
    <w:rsid w:val="00DB5A2C"/>
    <w:rsid w:val="00DB5A98"/>
    <w:rsid w:val="00DB5B5E"/>
    <w:rsid w:val="00DB5C77"/>
    <w:rsid w:val="00DB5CA7"/>
    <w:rsid w:val="00DB5D2F"/>
    <w:rsid w:val="00DB5D3D"/>
    <w:rsid w:val="00DB5D92"/>
    <w:rsid w:val="00DB5DC4"/>
    <w:rsid w:val="00DB5E16"/>
    <w:rsid w:val="00DB5E9E"/>
    <w:rsid w:val="00DB5ED4"/>
    <w:rsid w:val="00DB6305"/>
    <w:rsid w:val="00DB63B6"/>
    <w:rsid w:val="00DB65F6"/>
    <w:rsid w:val="00DB6647"/>
    <w:rsid w:val="00DB664F"/>
    <w:rsid w:val="00DB66D6"/>
    <w:rsid w:val="00DB66DD"/>
    <w:rsid w:val="00DB66FC"/>
    <w:rsid w:val="00DB673A"/>
    <w:rsid w:val="00DB682C"/>
    <w:rsid w:val="00DB6949"/>
    <w:rsid w:val="00DB6A78"/>
    <w:rsid w:val="00DB6B4E"/>
    <w:rsid w:val="00DB6BBF"/>
    <w:rsid w:val="00DB6FEE"/>
    <w:rsid w:val="00DB703E"/>
    <w:rsid w:val="00DB705E"/>
    <w:rsid w:val="00DB70CC"/>
    <w:rsid w:val="00DB71E3"/>
    <w:rsid w:val="00DB7445"/>
    <w:rsid w:val="00DB75E2"/>
    <w:rsid w:val="00DB7657"/>
    <w:rsid w:val="00DB766F"/>
    <w:rsid w:val="00DB78DB"/>
    <w:rsid w:val="00DB7901"/>
    <w:rsid w:val="00DB7A04"/>
    <w:rsid w:val="00DB7A7B"/>
    <w:rsid w:val="00DB7AF3"/>
    <w:rsid w:val="00DB7B5C"/>
    <w:rsid w:val="00DB7B9C"/>
    <w:rsid w:val="00DB7C0E"/>
    <w:rsid w:val="00DB7D39"/>
    <w:rsid w:val="00DB7F6E"/>
    <w:rsid w:val="00DC0050"/>
    <w:rsid w:val="00DC01AB"/>
    <w:rsid w:val="00DC01F9"/>
    <w:rsid w:val="00DC032B"/>
    <w:rsid w:val="00DC0344"/>
    <w:rsid w:val="00DC034F"/>
    <w:rsid w:val="00DC03BD"/>
    <w:rsid w:val="00DC053C"/>
    <w:rsid w:val="00DC055E"/>
    <w:rsid w:val="00DC05B9"/>
    <w:rsid w:val="00DC0684"/>
    <w:rsid w:val="00DC06D5"/>
    <w:rsid w:val="00DC06F5"/>
    <w:rsid w:val="00DC08AC"/>
    <w:rsid w:val="00DC09E7"/>
    <w:rsid w:val="00DC09F6"/>
    <w:rsid w:val="00DC0D95"/>
    <w:rsid w:val="00DC0E43"/>
    <w:rsid w:val="00DC0F10"/>
    <w:rsid w:val="00DC0F4A"/>
    <w:rsid w:val="00DC102C"/>
    <w:rsid w:val="00DC1047"/>
    <w:rsid w:val="00DC115F"/>
    <w:rsid w:val="00DC1519"/>
    <w:rsid w:val="00DC1536"/>
    <w:rsid w:val="00DC15A2"/>
    <w:rsid w:val="00DC1B1E"/>
    <w:rsid w:val="00DC1B22"/>
    <w:rsid w:val="00DC1C1B"/>
    <w:rsid w:val="00DC1E1A"/>
    <w:rsid w:val="00DC1EFD"/>
    <w:rsid w:val="00DC1FB1"/>
    <w:rsid w:val="00DC1FE2"/>
    <w:rsid w:val="00DC2036"/>
    <w:rsid w:val="00DC20CD"/>
    <w:rsid w:val="00DC2247"/>
    <w:rsid w:val="00DC2265"/>
    <w:rsid w:val="00DC241D"/>
    <w:rsid w:val="00DC24AD"/>
    <w:rsid w:val="00DC24DB"/>
    <w:rsid w:val="00DC28BB"/>
    <w:rsid w:val="00DC297B"/>
    <w:rsid w:val="00DC29CF"/>
    <w:rsid w:val="00DC29DD"/>
    <w:rsid w:val="00DC2A32"/>
    <w:rsid w:val="00DC2A39"/>
    <w:rsid w:val="00DC2BD3"/>
    <w:rsid w:val="00DC2C6B"/>
    <w:rsid w:val="00DC2D48"/>
    <w:rsid w:val="00DC2EEC"/>
    <w:rsid w:val="00DC2F0F"/>
    <w:rsid w:val="00DC2F96"/>
    <w:rsid w:val="00DC302F"/>
    <w:rsid w:val="00DC3086"/>
    <w:rsid w:val="00DC320A"/>
    <w:rsid w:val="00DC3250"/>
    <w:rsid w:val="00DC3259"/>
    <w:rsid w:val="00DC3305"/>
    <w:rsid w:val="00DC33D5"/>
    <w:rsid w:val="00DC345E"/>
    <w:rsid w:val="00DC353F"/>
    <w:rsid w:val="00DC360A"/>
    <w:rsid w:val="00DC3690"/>
    <w:rsid w:val="00DC36D7"/>
    <w:rsid w:val="00DC3741"/>
    <w:rsid w:val="00DC37E6"/>
    <w:rsid w:val="00DC3880"/>
    <w:rsid w:val="00DC38BC"/>
    <w:rsid w:val="00DC3A17"/>
    <w:rsid w:val="00DC3A27"/>
    <w:rsid w:val="00DC3CED"/>
    <w:rsid w:val="00DC3CF8"/>
    <w:rsid w:val="00DC3E12"/>
    <w:rsid w:val="00DC3EFA"/>
    <w:rsid w:val="00DC3F2D"/>
    <w:rsid w:val="00DC402A"/>
    <w:rsid w:val="00DC41B1"/>
    <w:rsid w:val="00DC4245"/>
    <w:rsid w:val="00DC42AB"/>
    <w:rsid w:val="00DC443A"/>
    <w:rsid w:val="00DC45D9"/>
    <w:rsid w:val="00DC4632"/>
    <w:rsid w:val="00DC465D"/>
    <w:rsid w:val="00DC46C1"/>
    <w:rsid w:val="00DC47A0"/>
    <w:rsid w:val="00DC480F"/>
    <w:rsid w:val="00DC4887"/>
    <w:rsid w:val="00DC4895"/>
    <w:rsid w:val="00DC4AAD"/>
    <w:rsid w:val="00DC4AEE"/>
    <w:rsid w:val="00DC4B1D"/>
    <w:rsid w:val="00DC4D02"/>
    <w:rsid w:val="00DC4D25"/>
    <w:rsid w:val="00DC4DC6"/>
    <w:rsid w:val="00DC4DFF"/>
    <w:rsid w:val="00DC4FCF"/>
    <w:rsid w:val="00DC5103"/>
    <w:rsid w:val="00DC5111"/>
    <w:rsid w:val="00DC51D3"/>
    <w:rsid w:val="00DC51E8"/>
    <w:rsid w:val="00DC5208"/>
    <w:rsid w:val="00DC530A"/>
    <w:rsid w:val="00DC5329"/>
    <w:rsid w:val="00DC53E5"/>
    <w:rsid w:val="00DC5484"/>
    <w:rsid w:val="00DC54AF"/>
    <w:rsid w:val="00DC550B"/>
    <w:rsid w:val="00DC5541"/>
    <w:rsid w:val="00DC55EA"/>
    <w:rsid w:val="00DC56B3"/>
    <w:rsid w:val="00DC56B5"/>
    <w:rsid w:val="00DC5742"/>
    <w:rsid w:val="00DC5915"/>
    <w:rsid w:val="00DC5A4A"/>
    <w:rsid w:val="00DC5A5B"/>
    <w:rsid w:val="00DC5A6A"/>
    <w:rsid w:val="00DC5A9C"/>
    <w:rsid w:val="00DC5B06"/>
    <w:rsid w:val="00DC5B3B"/>
    <w:rsid w:val="00DC5BDA"/>
    <w:rsid w:val="00DC5C00"/>
    <w:rsid w:val="00DC5CC7"/>
    <w:rsid w:val="00DC5E7D"/>
    <w:rsid w:val="00DC60CF"/>
    <w:rsid w:val="00DC61F6"/>
    <w:rsid w:val="00DC6207"/>
    <w:rsid w:val="00DC635D"/>
    <w:rsid w:val="00DC6977"/>
    <w:rsid w:val="00DC6A02"/>
    <w:rsid w:val="00DC6AE4"/>
    <w:rsid w:val="00DC6B45"/>
    <w:rsid w:val="00DC6C87"/>
    <w:rsid w:val="00DC6CAB"/>
    <w:rsid w:val="00DC6CAE"/>
    <w:rsid w:val="00DC6D57"/>
    <w:rsid w:val="00DC6F5B"/>
    <w:rsid w:val="00DC6FEB"/>
    <w:rsid w:val="00DC7006"/>
    <w:rsid w:val="00DC7010"/>
    <w:rsid w:val="00DC72AF"/>
    <w:rsid w:val="00DC7334"/>
    <w:rsid w:val="00DC7451"/>
    <w:rsid w:val="00DC760D"/>
    <w:rsid w:val="00DC78DE"/>
    <w:rsid w:val="00DC7922"/>
    <w:rsid w:val="00DC798D"/>
    <w:rsid w:val="00DC7B78"/>
    <w:rsid w:val="00DC7C38"/>
    <w:rsid w:val="00DC7CF6"/>
    <w:rsid w:val="00DC7D79"/>
    <w:rsid w:val="00DC7DBF"/>
    <w:rsid w:val="00DC7DD4"/>
    <w:rsid w:val="00DC7E08"/>
    <w:rsid w:val="00DC7E51"/>
    <w:rsid w:val="00DC7E6A"/>
    <w:rsid w:val="00DC7EA9"/>
    <w:rsid w:val="00DC7EE8"/>
    <w:rsid w:val="00DC7EF0"/>
    <w:rsid w:val="00DC7F9D"/>
    <w:rsid w:val="00DD0086"/>
    <w:rsid w:val="00DD0091"/>
    <w:rsid w:val="00DD01B5"/>
    <w:rsid w:val="00DD01E3"/>
    <w:rsid w:val="00DD0216"/>
    <w:rsid w:val="00DD0312"/>
    <w:rsid w:val="00DD0384"/>
    <w:rsid w:val="00DD03E5"/>
    <w:rsid w:val="00DD0426"/>
    <w:rsid w:val="00DD0481"/>
    <w:rsid w:val="00DD04E2"/>
    <w:rsid w:val="00DD0841"/>
    <w:rsid w:val="00DD095B"/>
    <w:rsid w:val="00DD0A71"/>
    <w:rsid w:val="00DD0AB7"/>
    <w:rsid w:val="00DD0AEF"/>
    <w:rsid w:val="00DD0AF3"/>
    <w:rsid w:val="00DD0B37"/>
    <w:rsid w:val="00DD0B41"/>
    <w:rsid w:val="00DD0B93"/>
    <w:rsid w:val="00DD0BE2"/>
    <w:rsid w:val="00DD0C84"/>
    <w:rsid w:val="00DD0CA9"/>
    <w:rsid w:val="00DD0CE7"/>
    <w:rsid w:val="00DD0D13"/>
    <w:rsid w:val="00DD0D7A"/>
    <w:rsid w:val="00DD0E19"/>
    <w:rsid w:val="00DD0ED1"/>
    <w:rsid w:val="00DD0FFA"/>
    <w:rsid w:val="00DD1147"/>
    <w:rsid w:val="00DD1160"/>
    <w:rsid w:val="00DD11DF"/>
    <w:rsid w:val="00DD126F"/>
    <w:rsid w:val="00DD13A6"/>
    <w:rsid w:val="00DD14CB"/>
    <w:rsid w:val="00DD164E"/>
    <w:rsid w:val="00DD16DC"/>
    <w:rsid w:val="00DD16EE"/>
    <w:rsid w:val="00DD16F1"/>
    <w:rsid w:val="00DD17D8"/>
    <w:rsid w:val="00DD17F9"/>
    <w:rsid w:val="00DD18F9"/>
    <w:rsid w:val="00DD1933"/>
    <w:rsid w:val="00DD1940"/>
    <w:rsid w:val="00DD1962"/>
    <w:rsid w:val="00DD19B1"/>
    <w:rsid w:val="00DD1A55"/>
    <w:rsid w:val="00DD1A79"/>
    <w:rsid w:val="00DD1B02"/>
    <w:rsid w:val="00DD1C99"/>
    <w:rsid w:val="00DD1D3F"/>
    <w:rsid w:val="00DD1DDC"/>
    <w:rsid w:val="00DD1FA6"/>
    <w:rsid w:val="00DD20E9"/>
    <w:rsid w:val="00DD218B"/>
    <w:rsid w:val="00DD221F"/>
    <w:rsid w:val="00DD227C"/>
    <w:rsid w:val="00DD2513"/>
    <w:rsid w:val="00DD2582"/>
    <w:rsid w:val="00DD25D1"/>
    <w:rsid w:val="00DD2733"/>
    <w:rsid w:val="00DD289C"/>
    <w:rsid w:val="00DD291B"/>
    <w:rsid w:val="00DD2967"/>
    <w:rsid w:val="00DD297C"/>
    <w:rsid w:val="00DD29FA"/>
    <w:rsid w:val="00DD2AA1"/>
    <w:rsid w:val="00DD2B04"/>
    <w:rsid w:val="00DD2CD6"/>
    <w:rsid w:val="00DD2D02"/>
    <w:rsid w:val="00DD2DFA"/>
    <w:rsid w:val="00DD2EAF"/>
    <w:rsid w:val="00DD2ED9"/>
    <w:rsid w:val="00DD2F83"/>
    <w:rsid w:val="00DD2FC9"/>
    <w:rsid w:val="00DD30DB"/>
    <w:rsid w:val="00DD3170"/>
    <w:rsid w:val="00DD326D"/>
    <w:rsid w:val="00DD33FD"/>
    <w:rsid w:val="00DD3417"/>
    <w:rsid w:val="00DD3776"/>
    <w:rsid w:val="00DD37AD"/>
    <w:rsid w:val="00DD37E5"/>
    <w:rsid w:val="00DD3913"/>
    <w:rsid w:val="00DD394B"/>
    <w:rsid w:val="00DD3B14"/>
    <w:rsid w:val="00DD3B48"/>
    <w:rsid w:val="00DD3B97"/>
    <w:rsid w:val="00DD3C3F"/>
    <w:rsid w:val="00DD3E32"/>
    <w:rsid w:val="00DD424A"/>
    <w:rsid w:val="00DD42AC"/>
    <w:rsid w:val="00DD42AD"/>
    <w:rsid w:val="00DD4433"/>
    <w:rsid w:val="00DD4589"/>
    <w:rsid w:val="00DD45A5"/>
    <w:rsid w:val="00DD45FF"/>
    <w:rsid w:val="00DD4610"/>
    <w:rsid w:val="00DD464E"/>
    <w:rsid w:val="00DD4658"/>
    <w:rsid w:val="00DD47EE"/>
    <w:rsid w:val="00DD497C"/>
    <w:rsid w:val="00DD4CC3"/>
    <w:rsid w:val="00DD4D81"/>
    <w:rsid w:val="00DD4DE3"/>
    <w:rsid w:val="00DD4E01"/>
    <w:rsid w:val="00DD4F27"/>
    <w:rsid w:val="00DD4FCE"/>
    <w:rsid w:val="00DD5065"/>
    <w:rsid w:val="00DD51DC"/>
    <w:rsid w:val="00DD51E4"/>
    <w:rsid w:val="00DD52CA"/>
    <w:rsid w:val="00DD5426"/>
    <w:rsid w:val="00DD5430"/>
    <w:rsid w:val="00DD5439"/>
    <w:rsid w:val="00DD5566"/>
    <w:rsid w:val="00DD55CD"/>
    <w:rsid w:val="00DD5691"/>
    <w:rsid w:val="00DD56C4"/>
    <w:rsid w:val="00DD56D7"/>
    <w:rsid w:val="00DD579E"/>
    <w:rsid w:val="00DD57D7"/>
    <w:rsid w:val="00DD582F"/>
    <w:rsid w:val="00DD5893"/>
    <w:rsid w:val="00DD58B0"/>
    <w:rsid w:val="00DD59B3"/>
    <w:rsid w:val="00DD59C5"/>
    <w:rsid w:val="00DD5A89"/>
    <w:rsid w:val="00DD5D51"/>
    <w:rsid w:val="00DD5D5A"/>
    <w:rsid w:val="00DD5DC9"/>
    <w:rsid w:val="00DD5DF5"/>
    <w:rsid w:val="00DD5E0C"/>
    <w:rsid w:val="00DD5EE6"/>
    <w:rsid w:val="00DD5F5D"/>
    <w:rsid w:val="00DD600E"/>
    <w:rsid w:val="00DD60A0"/>
    <w:rsid w:val="00DD6163"/>
    <w:rsid w:val="00DD61B0"/>
    <w:rsid w:val="00DD627F"/>
    <w:rsid w:val="00DD6413"/>
    <w:rsid w:val="00DD6778"/>
    <w:rsid w:val="00DD68CF"/>
    <w:rsid w:val="00DD6901"/>
    <w:rsid w:val="00DD6910"/>
    <w:rsid w:val="00DD692B"/>
    <w:rsid w:val="00DD6AF8"/>
    <w:rsid w:val="00DD6B14"/>
    <w:rsid w:val="00DD6B85"/>
    <w:rsid w:val="00DD6DF9"/>
    <w:rsid w:val="00DD6E32"/>
    <w:rsid w:val="00DD6E94"/>
    <w:rsid w:val="00DD70B2"/>
    <w:rsid w:val="00DD70D6"/>
    <w:rsid w:val="00DD71B6"/>
    <w:rsid w:val="00DD7357"/>
    <w:rsid w:val="00DD73E6"/>
    <w:rsid w:val="00DD7497"/>
    <w:rsid w:val="00DD7532"/>
    <w:rsid w:val="00DD761A"/>
    <w:rsid w:val="00DD7753"/>
    <w:rsid w:val="00DD7824"/>
    <w:rsid w:val="00DD7918"/>
    <w:rsid w:val="00DD79CB"/>
    <w:rsid w:val="00DD7AC2"/>
    <w:rsid w:val="00DD7B99"/>
    <w:rsid w:val="00DD7C7E"/>
    <w:rsid w:val="00DD7D36"/>
    <w:rsid w:val="00DD7DAF"/>
    <w:rsid w:val="00DD7DC8"/>
    <w:rsid w:val="00DD7E0C"/>
    <w:rsid w:val="00DD7E8E"/>
    <w:rsid w:val="00DD7EFA"/>
    <w:rsid w:val="00DD7FE5"/>
    <w:rsid w:val="00DE0086"/>
    <w:rsid w:val="00DE0112"/>
    <w:rsid w:val="00DE02DC"/>
    <w:rsid w:val="00DE02ED"/>
    <w:rsid w:val="00DE03F9"/>
    <w:rsid w:val="00DE047D"/>
    <w:rsid w:val="00DE04A5"/>
    <w:rsid w:val="00DE050E"/>
    <w:rsid w:val="00DE07FB"/>
    <w:rsid w:val="00DE08B8"/>
    <w:rsid w:val="00DE093C"/>
    <w:rsid w:val="00DE09A0"/>
    <w:rsid w:val="00DE0B2C"/>
    <w:rsid w:val="00DE0CA2"/>
    <w:rsid w:val="00DE0CAE"/>
    <w:rsid w:val="00DE0CD9"/>
    <w:rsid w:val="00DE0E3E"/>
    <w:rsid w:val="00DE0FCA"/>
    <w:rsid w:val="00DE1141"/>
    <w:rsid w:val="00DE11F0"/>
    <w:rsid w:val="00DE1214"/>
    <w:rsid w:val="00DE137D"/>
    <w:rsid w:val="00DE142B"/>
    <w:rsid w:val="00DE163C"/>
    <w:rsid w:val="00DE17AC"/>
    <w:rsid w:val="00DE17FD"/>
    <w:rsid w:val="00DE18EA"/>
    <w:rsid w:val="00DE19DF"/>
    <w:rsid w:val="00DE1A50"/>
    <w:rsid w:val="00DE1A7E"/>
    <w:rsid w:val="00DE1A93"/>
    <w:rsid w:val="00DE1A9D"/>
    <w:rsid w:val="00DE1BC2"/>
    <w:rsid w:val="00DE1BF0"/>
    <w:rsid w:val="00DE1C39"/>
    <w:rsid w:val="00DE1C95"/>
    <w:rsid w:val="00DE1CA3"/>
    <w:rsid w:val="00DE1E20"/>
    <w:rsid w:val="00DE1E4D"/>
    <w:rsid w:val="00DE1EE4"/>
    <w:rsid w:val="00DE1F0F"/>
    <w:rsid w:val="00DE20D2"/>
    <w:rsid w:val="00DE20ED"/>
    <w:rsid w:val="00DE2103"/>
    <w:rsid w:val="00DE215F"/>
    <w:rsid w:val="00DE2365"/>
    <w:rsid w:val="00DE23E4"/>
    <w:rsid w:val="00DE246F"/>
    <w:rsid w:val="00DE2479"/>
    <w:rsid w:val="00DE24CC"/>
    <w:rsid w:val="00DE2543"/>
    <w:rsid w:val="00DE257C"/>
    <w:rsid w:val="00DE2700"/>
    <w:rsid w:val="00DE28B2"/>
    <w:rsid w:val="00DE2960"/>
    <w:rsid w:val="00DE29A4"/>
    <w:rsid w:val="00DE29E2"/>
    <w:rsid w:val="00DE2A12"/>
    <w:rsid w:val="00DE2B0C"/>
    <w:rsid w:val="00DE2D43"/>
    <w:rsid w:val="00DE2D5D"/>
    <w:rsid w:val="00DE2D99"/>
    <w:rsid w:val="00DE2E15"/>
    <w:rsid w:val="00DE2E91"/>
    <w:rsid w:val="00DE2EC0"/>
    <w:rsid w:val="00DE2F13"/>
    <w:rsid w:val="00DE3037"/>
    <w:rsid w:val="00DE3057"/>
    <w:rsid w:val="00DE31A0"/>
    <w:rsid w:val="00DE31F5"/>
    <w:rsid w:val="00DE3249"/>
    <w:rsid w:val="00DE327F"/>
    <w:rsid w:val="00DE33CC"/>
    <w:rsid w:val="00DE3416"/>
    <w:rsid w:val="00DE3434"/>
    <w:rsid w:val="00DE34DB"/>
    <w:rsid w:val="00DE35FD"/>
    <w:rsid w:val="00DE3648"/>
    <w:rsid w:val="00DE366E"/>
    <w:rsid w:val="00DE3687"/>
    <w:rsid w:val="00DE3761"/>
    <w:rsid w:val="00DE3871"/>
    <w:rsid w:val="00DE38D1"/>
    <w:rsid w:val="00DE391F"/>
    <w:rsid w:val="00DE3A17"/>
    <w:rsid w:val="00DE3AB3"/>
    <w:rsid w:val="00DE3AE5"/>
    <w:rsid w:val="00DE3B32"/>
    <w:rsid w:val="00DE3BD0"/>
    <w:rsid w:val="00DE3BF4"/>
    <w:rsid w:val="00DE3C24"/>
    <w:rsid w:val="00DE3C4A"/>
    <w:rsid w:val="00DE3DC2"/>
    <w:rsid w:val="00DE3DE6"/>
    <w:rsid w:val="00DE3E7B"/>
    <w:rsid w:val="00DE3EB8"/>
    <w:rsid w:val="00DE3F22"/>
    <w:rsid w:val="00DE3F3A"/>
    <w:rsid w:val="00DE3FD8"/>
    <w:rsid w:val="00DE40D8"/>
    <w:rsid w:val="00DE4100"/>
    <w:rsid w:val="00DE419C"/>
    <w:rsid w:val="00DE42E8"/>
    <w:rsid w:val="00DE430D"/>
    <w:rsid w:val="00DE439B"/>
    <w:rsid w:val="00DE445B"/>
    <w:rsid w:val="00DE452B"/>
    <w:rsid w:val="00DE4653"/>
    <w:rsid w:val="00DE4658"/>
    <w:rsid w:val="00DE465E"/>
    <w:rsid w:val="00DE46E7"/>
    <w:rsid w:val="00DE490E"/>
    <w:rsid w:val="00DE4913"/>
    <w:rsid w:val="00DE4AF7"/>
    <w:rsid w:val="00DE4B73"/>
    <w:rsid w:val="00DE4DBA"/>
    <w:rsid w:val="00DE509A"/>
    <w:rsid w:val="00DE50DB"/>
    <w:rsid w:val="00DE5207"/>
    <w:rsid w:val="00DE529D"/>
    <w:rsid w:val="00DE5302"/>
    <w:rsid w:val="00DE53A6"/>
    <w:rsid w:val="00DE53EC"/>
    <w:rsid w:val="00DE5446"/>
    <w:rsid w:val="00DE54EE"/>
    <w:rsid w:val="00DE5544"/>
    <w:rsid w:val="00DE56C9"/>
    <w:rsid w:val="00DE583F"/>
    <w:rsid w:val="00DE59AF"/>
    <w:rsid w:val="00DE5A1A"/>
    <w:rsid w:val="00DE5A31"/>
    <w:rsid w:val="00DE5A5D"/>
    <w:rsid w:val="00DE5ABF"/>
    <w:rsid w:val="00DE5BEA"/>
    <w:rsid w:val="00DE5C9C"/>
    <w:rsid w:val="00DE5CD4"/>
    <w:rsid w:val="00DE5D72"/>
    <w:rsid w:val="00DE5E48"/>
    <w:rsid w:val="00DE5EC0"/>
    <w:rsid w:val="00DE5EEE"/>
    <w:rsid w:val="00DE5F85"/>
    <w:rsid w:val="00DE6012"/>
    <w:rsid w:val="00DE6068"/>
    <w:rsid w:val="00DE6157"/>
    <w:rsid w:val="00DE6185"/>
    <w:rsid w:val="00DE627F"/>
    <w:rsid w:val="00DE6339"/>
    <w:rsid w:val="00DE636F"/>
    <w:rsid w:val="00DE6414"/>
    <w:rsid w:val="00DE65B7"/>
    <w:rsid w:val="00DE65F3"/>
    <w:rsid w:val="00DE6602"/>
    <w:rsid w:val="00DE66B0"/>
    <w:rsid w:val="00DE66C2"/>
    <w:rsid w:val="00DE66F4"/>
    <w:rsid w:val="00DE6802"/>
    <w:rsid w:val="00DE6826"/>
    <w:rsid w:val="00DE690D"/>
    <w:rsid w:val="00DE6941"/>
    <w:rsid w:val="00DE69F5"/>
    <w:rsid w:val="00DE6A81"/>
    <w:rsid w:val="00DE6AF8"/>
    <w:rsid w:val="00DE6C2D"/>
    <w:rsid w:val="00DE6C6E"/>
    <w:rsid w:val="00DE6CD5"/>
    <w:rsid w:val="00DE6CEA"/>
    <w:rsid w:val="00DE6D37"/>
    <w:rsid w:val="00DE6E34"/>
    <w:rsid w:val="00DE6F12"/>
    <w:rsid w:val="00DE72C4"/>
    <w:rsid w:val="00DE74B0"/>
    <w:rsid w:val="00DE7551"/>
    <w:rsid w:val="00DE76CB"/>
    <w:rsid w:val="00DE77D5"/>
    <w:rsid w:val="00DE78A9"/>
    <w:rsid w:val="00DE7A7D"/>
    <w:rsid w:val="00DE7AD9"/>
    <w:rsid w:val="00DE7B5C"/>
    <w:rsid w:val="00DE7BF5"/>
    <w:rsid w:val="00DE7D60"/>
    <w:rsid w:val="00DE7DCA"/>
    <w:rsid w:val="00DE7E15"/>
    <w:rsid w:val="00DE7F1A"/>
    <w:rsid w:val="00DF00C8"/>
    <w:rsid w:val="00DF00F3"/>
    <w:rsid w:val="00DF0134"/>
    <w:rsid w:val="00DF01C5"/>
    <w:rsid w:val="00DF0473"/>
    <w:rsid w:val="00DF063B"/>
    <w:rsid w:val="00DF06FE"/>
    <w:rsid w:val="00DF0721"/>
    <w:rsid w:val="00DF0730"/>
    <w:rsid w:val="00DF0820"/>
    <w:rsid w:val="00DF08A1"/>
    <w:rsid w:val="00DF091F"/>
    <w:rsid w:val="00DF0983"/>
    <w:rsid w:val="00DF09B5"/>
    <w:rsid w:val="00DF0BD9"/>
    <w:rsid w:val="00DF0C09"/>
    <w:rsid w:val="00DF0C5C"/>
    <w:rsid w:val="00DF0CA9"/>
    <w:rsid w:val="00DF0CFA"/>
    <w:rsid w:val="00DF0D04"/>
    <w:rsid w:val="00DF0D2F"/>
    <w:rsid w:val="00DF0D91"/>
    <w:rsid w:val="00DF0F38"/>
    <w:rsid w:val="00DF0FD2"/>
    <w:rsid w:val="00DF108D"/>
    <w:rsid w:val="00DF1099"/>
    <w:rsid w:val="00DF115A"/>
    <w:rsid w:val="00DF1216"/>
    <w:rsid w:val="00DF12D9"/>
    <w:rsid w:val="00DF1307"/>
    <w:rsid w:val="00DF1545"/>
    <w:rsid w:val="00DF15AA"/>
    <w:rsid w:val="00DF161F"/>
    <w:rsid w:val="00DF1823"/>
    <w:rsid w:val="00DF1916"/>
    <w:rsid w:val="00DF1A4A"/>
    <w:rsid w:val="00DF1ADD"/>
    <w:rsid w:val="00DF1D63"/>
    <w:rsid w:val="00DF1DEC"/>
    <w:rsid w:val="00DF21A9"/>
    <w:rsid w:val="00DF2319"/>
    <w:rsid w:val="00DF231B"/>
    <w:rsid w:val="00DF23B1"/>
    <w:rsid w:val="00DF24B8"/>
    <w:rsid w:val="00DF2544"/>
    <w:rsid w:val="00DF2586"/>
    <w:rsid w:val="00DF276D"/>
    <w:rsid w:val="00DF27DC"/>
    <w:rsid w:val="00DF27F0"/>
    <w:rsid w:val="00DF288F"/>
    <w:rsid w:val="00DF29E9"/>
    <w:rsid w:val="00DF2B49"/>
    <w:rsid w:val="00DF2BAC"/>
    <w:rsid w:val="00DF2C46"/>
    <w:rsid w:val="00DF2C4A"/>
    <w:rsid w:val="00DF2D34"/>
    <w:rsid w:val="00DF2DA1"/>
    <w:rsid w:val="00DF2E12"/>
    <w:rsid w:val="00DF2F19"/>
    <w:rsid w:val="00DF2F3D"/>
    <w:rsid w:val="00DF3100"/>
    <w:rsid w:val="00DF3163"/>
    <w:rsid w:val="00DF31E6"/>
    <w:rsid w:val="00DF32AF"/>
    <w:rsid w:val="00DF3383"/>
    <w:rsid w:val="00DF3513"/>
    <w:rsid w:val="00DF358A"/>
    <w:rsid w:val="00DF35EA"/>
    <w:rsid w:val="00DF377E"/>
    <w:rsid w:val="00DF3810"/>
    <w:rsid w:val="00DF38E7"/>
    <w:rsid w:val="00DF3927"/>
    <w:rsid w:val="00DF3956"/>
    <w:rsid w:val="00DF39A3"/>
    <w:rsid w:val="00DF3A0A"/>
    <w:rsid w:val="00DF3A8F"/>
    <w:rsid w:val="00DF3AF7"/>
    <w:rsid w:val="00DF3E7C"/>
    <w:rsid w:val="00DF3F7C"/>
    <w:rsid w:val="00DF4228"/>
    <w:rsid w:val="00DF4298"/>
    <w:rsid w:val="00DF42A0"/>
    <w:rsid w:val="00DF43A3"/>
    <w:rsid w:val="00DF43D6"/>
    <w:rsid w:val="00DF447F"/>
    <w:rsid w:val="00DF468A"/>
    <w:rsid w:val="00DF46F2"/>
    <w:rsid w:val="00DF4740"/>
    <w:rsid w:val="00DF4829"/>
    <w:rsid w:val="00DF488C"/>
    <w:rsid w:val="00DF492E"/>
    <w:rsid w:val="00DF4969"/>
    <w:rsid w:val="00DF4A8E"/>
    <w:rsid w:val="00DF4B6A"/>
    <w:rsid w:val="00DF4D5E"/>
    <w:rsid w:val="00DF4DC5"/>
    <w:rsid w:val="00DF4E57"/>
    <w:rsid w:val="00DF4F46"/>
    <w:rsid w:val="00DF4F7A"/>
    <w:rsid w:val="00DF50E8"/>
    <w:rsid w:val="00DF514D"/>
    <w:rsid w:val="00DF5258"/>
    <w:rsid w:val="00DF53D5"/>
    <w:rsid w:val="00DF55A3"/>
    <w:rsid w:val="00DF5632"/>
    <w:rsid w:val="00DF564B"/>
    <w:rsid w:val="00DF5696"/>
    <w:rsid w:val="00DF57AE"/>
    <w:rsid w:val="00DF57C0"/>
    <w:rsid w:val="00DF5865"/>
    <w:rsid w:val="00DF5893"/>
    <w:rsid w:val="00DF5924"/>
    <w:rsid w:val="00DF59A1"/>
    <w:rsid w:val="00DF5A1B"/>
    <w:rsid w:val="00DF5A3B"/>
    <w:rsid w:val="00DF5AD0"/>
    <w:rsid w:val="00DF5B29"/>
    <w:rsid w:val="00DF5ED4"/>
    <w:rsid w:val="00DF5FC7"/>
    <w:rsid w:val="00DF6057"/>
    <w:rsid w:val="00DF6212"/>
    <w:rsid w:val="00DF629D"/>
    <w:rsid w:val="00DF6438"/>
    <w:rsid w:val="00DF6439"/>
    <w:rsid w:val="00DF6464"/>
    <w:rsid w:val="00DF648B"/>
    <w:rsid w:val="00DF64CC"/>
    <w:rsid w:val="00DF66EE"/>
    <w:rsid w:val="00DF6737"/>
    <w:rsid w:val="00DF6790"/>
    <w:rsid w:val="00DF6843"/>
    <w:rsid w:val="00DF6875"/>
    <w:rsid w:val="00DF6983"/>
    <w:rsid w:val="00DF69B0"/>
    <w:rsid w:val="00DF69DB"/>
    <w:rsid w:val="00DF6A0B"/>
    <w:rsid w:val="00DF6A37"/>
    <w:rsid w:val="00DF6ABC"/>
    <w:rsid w:val="00DF6ACF"/>
    <w:rsid w:val="00DF6ADC"/>
    <w:rsid w:val="00DF6B56"/>
    <w:rsid w:val="00DF6B61"/>
    <w:rsid w:val="00DF6E0B"/>
    <w:rsid w:val="00DF6E3C"/>
    <w:rsid w:val="00DF6F83"/>
    <w:rsid w:val="00DF7432"/>
    <w:rsid w:val="00DF74F9"/>
    <w:rsid w:val="00DF75B8"/>
    <w:rsid w:val="00DF75C5"/>
    <w:rsid w:val="00DF7612"/>
    <w:rsid w:val="00DF77A8"/>
    <w:rsid w:val="00DF7883"/>
    <w:rsid w:val="00DF789C"/>
    <w:rsid w:val="00DF78C3"/>
    <w:rsid w:val="00DF78F4"/>
    <w:rsid w:val="00DF78FE"/>
    <w:rsid w:val="00DF7907"/>
    <w:rsid w:val="00DF7920"/>
    <w:rsid w:val="00DF79DE"/>
    <w:rsid w:val="00DF7C0D"/>
    <w:rsid w:val="00DF7C5F"/>
    <w:rsid w:val="00DF7E01"/>
    <w:rsid w:val="00DF7ECF"/>
    <w:rsid w:val="00DF7EDE"/>
    <w:rsid w:val="00DF7F4F"/>
    <w:rsid w:val="00DF7F75"/>
    <w:rsid w:val="00DF7FBE"/>
    <w:rsid w:val="00E000D1"/>
    <w:rsid w:val="00E001A5"/>
    <w:rsid w:val="00E001C7"/>
    <w:rsid w:val="00E00241"/>
    <w:rsid w:val="00E0027B"/>
    <w:rsid w:val="00E00280"/>
    <w:rsid w:val="00E002B8"/>
    <w:rsid w:val="00E002F0"/>
    <w:rsid w:val="00E003B6"/>
    <w:rsid w:val="00E00532"/>
    <w:rsid w:val="00E005BD"/>
    <w:rsid w:val="00E005C0"/>
    <w:rsid w:val="00E0061A"/>
    <w:rsid w:val="00E0063A"/>
    <w:rsid w:val="00E006CA"/>
    <w:rsid w:val="00E006D6"/>
    <w:rsid w:val="00E006D9"/>
    <w:rsid w:val="00E00779"/>
    <w:rsid w:val="00E0079A"/>
    <w:rsid w:val="00E008D1"/>
    <w:rsid w:val="00E008F0"/>
    <w:rsid w:val="00E00A56"/>
    <w:rsid w:val="00E00AF0"/>
    <w:rsid w:val="00E00B1D"/>
    <w:rsid w:val="00E00B8E"/>
    <w:rsid w:val="00E00C57"/>
    <w:rsid w:val="00E00F36"/>
    <w:rsid w:val="00E00F4A"/>
    <w:rsid w:val="00E0111F"/>
    <w:rsid w:val="00E01320"/>
    <w:rsid w:val="00E0135C"/>
    <w:rsid w:val="00E0137A"/>
    <w:rsid w:val="00E01445"/>
    <w:rsid w:val="00E0145A"/>
    <w:rsid w:val="00E014B2"/>
    <w:rsid w:val="00E01571"/>
    <w:rsid w:val="00E016B3"/>
    <w:rsid w:val="00E018A0"/>
    <w:rsid w:val="00E019CB"/>
    <w:rsid w:val="00E01AF3"/>
    <w:rsid w:val="00E01B3E"/>
    <w:rsid w:val="00E01BBD"/>
    <w:rsid w:val="00E01CA1"/>
    <w:rsid w:val="00E01CB3"/>
    <w:rsid w:val="00E01D9C"/>
    <w:rsid w:val="00E01E82"/>
    <w:rsid w:val="00E01ECB"/>
    <w:rsid w:val="00E01EE5"/>
    <w:rsid w:val="00E01F78"/>
    <w:rsid w:val="00E02080"/>
    <w:rsid w:val="00E0227D"/>
    <w:rsid w:val="00E023F5"/>
    <w:rsid w:val="00E023F9"/>
    <w:rsid w:val="00E025FC"/>
    <w:rsid w:val="00E02699"/>
    <w:rsid w:val="00E026F0"/>
    <w:rsid w:val="00E02710"/>
    <w:rsid w:val="00E02723"/>
    <w:rsid w:val="00E0285C"/>
    <w:rsid w:val="00E028D3"/>
    <w:rsid w:val="00E029AE"/>
    <w:rsid w:val="00E029CA"/>
    <w:rsid w:val="00E02AF1"/>
    <w:rsid w:val="00E02B32"/>
    <w:rsid w:val="00E02CAA"/>
    <w:rsid w:val="00E02D6D"/>
    <w:rsid w:val="00E02DDD"/>
    <w:rsid w:val="00E02E18"/>
    <w:rsid w:val="00E02E6F"/>
    <w:rsid w:val="00E02E81"/>
    <w:rsid w:val="00E02EA1"/>
    <w:rsid w:val="00E02EBC"/>
    <w:rsid w:val="00E02ECD"/>
    <w:rsid w:val="00E02F18"/>
    <w:rsid w:val="00E02F89"/>
    <w:rsid w:val="00E02FCD"/>
    <w:rsid w:val="00E03042"/>
    <w:rsid w:val="00E030F1"/>
    <w:rsid w:val="00E03136"/>
    <w:rsid w:val="00E0320C"/>
    <w:rsid w:val="00E03297"/>
    <w:rsid w:val="00E03478"/>
    <w:rsid w:val="00E034A3"/>
    <w:rsid w:val="00E0361C"/>
    <w:rsid w:val="00E03689"/>
    <w:rsid w:val="00E0369F"/>
    <w:rsid w:val="00E0389A"/>
    <w:rsid w:val="00E03981"/>
    <w:rsid w:val="00E03987"/>
    <w:rsid w:val="00E03A84"/>
    <w:rsid w:val="00E03ADF"/>
    <w:rsid w:val="00E03B0B"/>
    <w:rsid w:val="00E03B2C"/>
    <w:rsid w:val="00E03C09"/>
    <w:rsid w:val="00E03CA7"/>
    <w:rsid w:val="00E03D04"/>
    <w:rsid w:val="00E03D76"/>
    <w:rsid w:val="00E03D7E"/>
    <w:rsid w:val="00E03E9C"/>
    <w:rsid w:val="00E03F11"/>
    <w:rsid w:val="00E03F34"/>
    <w:rsid w:val="00E03FA4"/>
    <w:rsid w:val="00E040EF"/>
    <w:rsid w:val="00E04125"/>
    <w:rsid w:val="00E04291"/>
    <w:rsid w:val="00E042B1"/>
    <w:rsid w:val="00E043B7"/>
    <w:rsid w:val="00E04414"/>
    <w:rsid w:val="00E0446F"/>
    <w:rsid w:val="00E0449B"/>
    <w:rsid w:val="00E0450C"/>
    <w:rsid w:val="00E0454D"/>
    <w:rsid w:val="00E045D7"/>
    <w:rsid w:val="00E04718"/>
    <w:rsid w:val="00E04740"/>
    <w:rsid w:val="00E0488E"/>
    <w:rsid w:val="00E04964"/>
    <w:rsid w:val="00E0497E"/>
    <w:rsid w:val="00E049E5"/>
    <w:rsid w:val="00E04A9C"/>
    <w:rsid w:val="00E04AAA"/>
    <w:rsid w:val="00E04BD4"/>
    <w:rsid w:val="00E04C82"/>
    <w:rsid w:val="00E04E9A"/>
    <w:rsid w:val="00E04F48"/>
    <w:rsid w:val="00E05062"/>
    <w:rsid w:val="00E0515C"/>
    <w:rsid w:val="00E0525C"/>
    <w:rsid w:val="00E05277"/>
    <w:rsid w:val="00E052D3"/>
    <w:rsid w:val="00E0536A"/>
    <w:rsid w:val="00E0548E"/>
    <w:rsid w:val="00E05540"/>
    <w:rsid w:val="00E0556C"/>
    <w:rsid w:val="00E05590"/>
    <w:rsid w:val="00E05613"/>
    <w:rsid w:val="00E0581C"/>
    <w:rsid w:val="00E05870"/>
    <w:rsid w:val="00E05878"/>
    <w:rsid w:val="00E05887"/>
    <w:rsid w:val="00E05955"/>
    <w:rsid w:val="00E05C80"/>
    <w:rsid w:val="00E05CD3"/>
    <w:rsid w:val="00E05D8A"/>
    <w:rsid w:val="00E05F9A"/>
    <w:rsid w:val="00E06031"/>
    <w:rsid w:val="00E0609F"/>
    <w:rsid w:val="00E060CF"/>
    <w:rsid w:val="00E061A0"/>
    <w:rsid w:val="00E06361"/>
    <w:rsid w:val="00E063E3"/>
    <w:rsid w:val="00E06611"/>
    <w:rsid w:val="00E06682"/>
    <w:rsid w:val="00E066D2"/>
    <w:rsid w:val="00E06737"/>
    <w:rsid w:val="00E067AB"/>
    <w:rsid w:val="00E06834"/>
    <w:rsid w:val="00E0684D"/>
    <w:rsid w:val="00E0694D"/>
    <w:rsid w:val="00E069F7"/>
    <w:rsid w:val="00E06A27"/>
    <w:rsid w:val="00E06AAD"/>
    <w:rsid w:val="00E06AC1"/>
    <w:rsid w:val="00E06BA9"/>
    <w:rsid w:val="00E06C69"/>
    <w:rsid w:val="00E06CB5"/>
    <w:rsid w:val="00E06CC4"/>
    <w:rsid w:val="00E06F40"/>
    <w:rsid w:val="00E06FA1"/>
    <w:rsid w:val="00E06FBC"/>
    <w:rsid w:val="00E070AD"/>
    <w:rsid w:val="00E070BF"/>
    <w:rsid w:val="00E07209"/>
    <w:rsid w:val="00E0722A"/>
    <w:rsid w:val="00E072BB"/>
    <w:rsid w:val="00E072FC"/>
    <w:rsid w:val="00E07354"/>
    <w:rsid w:val="00E0738B"/>
    <w:rsid w:val="00E075C1"/>
    <w:rsid w:val="00E0776E"/>
    <w:rsid w:val="00E0779E"/>
    <w:rsid w:val="00E07914"/>
    <w:rsid w:val="00E07AC4"/>
    <w:rsid w:val="00E07C10"/>
    <w:rsid w:val="00E07C3F"/>
    <w:rsid w:val="00E07D90"/>
    <w:rsid w:val="00E07DA9"/>
    <w:rsid w:val="00E07DF2"/>
    <w:rsid w:val="00E07E58"/>
    <w:rsid w:val="00E07F24"/>
    <w:rsid w:val="00E07F7B"/>
    <w:rsid w:val="00E07FB8"/>
    <w:rsid w:val="00E10055"/>
    <w:rsid w:val="00E10096"/>
    <w:rsid w:val="00E10119"/>
    <w:rsid w:val="00E10356"/>
    <w:rsid w:val="00E10471"/>
    <w:rsid w:val="00E104CD"/>
    <w:rsid w:val="00E10503"/>
    <w:rsid w:val="00E10578"/>
    <w:rsid w:val="00E10595"/>
    <w:rsid w:val="00E10639"/>
    <w:rsid w:val="00E107C1"/>
    <w:rsid w:val="00E1084E"/>
    <w:rsid w:val="00E108D7"/>
    <w:rsid w:val="00E10985"/>
    <w:rsid w:val="00E10A0E"/>
    <w:rsid w:val="00E10BED"/>
    <w:rsid w:val="00E10CF1"/>
    <w:rsid w:val="00E10D52"/>
    <w:rsid w:val="00E10D56"/>
    <w:rsid w:val="00E10DC6"/>
    <w:rsid w:val="00E10DDA"/>
    <w:rsid w:val="00E10F53"/>
    <w:rsid w:val="00E10F77"/>
    <w:rsid w:val="00E10FF1"/>
    <w:rsid w:val="00E110B8"/>
    <w:rsid w:val="00E1117C"/>
    <w:rsid w:val="00E111E0"/>
    <w:rsid w:val="00E11373"/>
    <w:rsid w:val="00E113A0"/>
    <w:rsid w:val="00E11519"/>
    <w:rsid w:val="00E11589"/>
    <w:rsid w:val="00E115E5"/>
    <w:rsid w:val="00E117A1"/>
    <w:rsid w:val="00E117B4"/>
    <w:rsid w:val="00E117DD"/>
    <w:rsid w:val="00E117DF"/>
    <w:rsid w:val="00E1198F"/>
    <w:rsid w:val="00E11B11"/>
    <w:rsid w:val="00E11C22"/>
    <w:rsid w:val="00E11D13"/>
    <w:rsid w:val="00E11D62"/>
    <w:rsid w:val="00E11E0A"/>
    <w:rsid w:val="00E11F13"/>
    <w:rsid w:val="00E11FC0"/>
    <w:rsid w:val="00E11FCF"/>
    <w:rsid w:val="00E12132"/>
    <w:rsid w:val="00E1227A"/>
    <w:rsid w:val="00E123C9"/>
    <w:rsid w:val="00E1246E"/>
    <w:rsid w:val="00E12576"/>
    <w:rsid w:val="00E12636"/>
    <w:rsid w:val="00E12688"/>
    <w:rsid w:val="00E1271A"/>
    <w:rsid w:val="00E127C4"/>
    <w:rsid w:val="00E127D5"/>
    <w:rsid w:val="00E128B1"/>
    <w:rsid w:val="00E128B2"/>
    <w:rsid w:val="00E12B4C"/>
    <w:rsid w:val="00E12BCA"/>
    <w:rsid w:val="00E12D2B"/>
    <w:rsid w:val="00E12EF5"/>
    <w:rsid w:val="00E12FDA"/>
    <w:rsid w:val="00E13036"/>
    <w:rsid w:val="00E13048"/>
    <w:rsid w:val="00E130AC"/>
    <w:rsid w:val="00E130F8"/>
    <w:rsid w:val="00E1311D"/>
    <w:rsid w:val="00E1314C"/>
    <w:rsid w:val="00E13482"/>
    <w:rsid w:val="00E1349B"/>
    <w:rsid w:val="00E13503"/>
    <w:rsid w:val="00E13595"/>
    <w:rsid w:val="00E135E8"/>
    <w:rsid w:val="00E13614"/>
    <w:rsid w:val="00E13690"/>
    <w:rsid w:val="00E13705"/>
    <w:rsid w:val="00E138F0"/>
    <w:rsid w:val="00E1392F"/>
    <w:rsid w:val="00E139D1"/>
    <w:rsid w:val="00E13A53"/>
    <w:rsid w:val="00E13B0D"/>
    <w:rsid w:val="00E13B77"/>
    <w:rsid w:val="00E13BCC"/>
    <w:rsid w:val="00E13C40"/>
    <w:rsid w:val="00E13D60"/>
    <w:rsid w:val="00E13DA3"/>
    <w:rsid w:val="00E13E17"/>
    <w:rsid w:val="00E13ED9"/>
    <w:rsid w:val="00E13F71"/>
    <w:rsid w:val="00E13FCF"/>
    <w:rsid w:val="00E13FE1"/>
    <w:rsid w:val="00E140DB"/>
    <w:rsid w:val="00E140DF"/>
    <w:rsid w:val="00E140FA"/>
    <w:rsid w:val="00E14117"/>
    <w:rsid w:val="00E14249"/>
    <w:rsid w:val="00E1427A"/>
    <w:rsid w:val="00E142D5"/>
    <w:rsid w:val="00E142DC"/>
    <w:rsid w:val="00E14350"/>
    <w:rsid w:val="00E143DD"/>
    <w:rsid w:val="00E14513"/>
    <w:rsid w:val="00E146D8"/>
    <w:rsid w:val="00E1478F"/>
    <w:rsid w:val="00E149CB"/>
    <w:rsid w:val="00E149F8"/>
    <w:rsid w:val="00E14AAB"/>
    <w:rsid w:val="00E14B53"/>
    <w:rsid w:val="00E14BAE"/>
    <w:rsid w:val="00E14BE1"/>
    <w:rsid w:val="00E14BE3"/>
    <w:rsid w:val="00E14D5D"/>
    <w:rsid w:val="00E14D68"/>
    <w:rsid w:val="00E14D70"/>
    <w:rsid w:val="00E14D85"/>
    <w:rsid w:val="00E14EB6"/>
    <w:rsid w:val="00E14FDA"/>
    <w:rsid w:val="00E150B9"/>
    <w:rsid w:val="00E151CD"/>
    <w:rsid w:val="00E1520B"/>
    <w:rsid w:val="00E15260"/>
    <w:rsid w:val="00E15307"/>
    <w:rsid w:val="00E153A0"/>
    <w:rsid w:val="00E153BF"/>
    <w:rsid w:val="00E153E2"/>
    <w:rsid w:val="00E154E8"/>
    <w:rsid w:val="00E15521"/>
    <w:rsid w:val="00E1558D"/>
    <w:rsid w:val="00E15751"/>
    <w:rsid w:val="00E1577D"/>
    <w:rsid w:val="00E15812"/>
    <w:rsid w:val="00E1585D"/>
    <w:rsid w:val="00E1593F"/>
    <w:rsid w:val="00E15944"/>
    <w:rsid w:val="00E15AF5"/>
    <w:rsid w:val="00E15BAA"/>
    <w:rsid w:val="00E15C2E"/>
    <w:rsid w:val="00E15C9E"/>
    <w:rsid w:val="00E15CCE"/>
    <w:rsid w:val="00E15D5F"/>
    <w:rsid w:val="00E15D6A"/>
    <w:rsid w:val="00E15DF2"/>
    <w:rsid w:val="00E15F04"/>
    <w:rsid w:val="00E16026"/>
    <w:rsid w:val="00E1605C"/>
    <w:rsid w:val="00E16294"/>
    <w:rsid w:val="00E162C6"/>
    <w:rsid w:val="00E162C9"/>
    <w:rsid w:val="00E1641F"/>
    <w:rsid w:val="00E16447"/>
    <w:rsid w:val="00E16527"/>
    <w:rsid w:val="00E16562"/>
    <w:rsid w:val="00E165CF"/>
    <w:rsid w:val="00E1661B"/>
    <w:rsid w:val="00E16665"/>
    <w:rsid w:val="00E166F3"/>
    <w:rsid w:val="00E1679D"/>
    <w:rsid w:val="00E168EF"/>
    <w:rsid w:val="00E1698E"/>
    <w:rsid w:val="00E169DE"/>
    <w:rsid w:val="00E16A54"/>
    <w:rsid w:val="00E16ACD"/>
    <w:rsid w:val="00E16C28"/>
    <w:rsid w:val="00E16DF2"/>
    <w:rsid w:val="00E16E39"/>
    <w:rsid w:val="00E16F11"/>
    <w:rsid w:val="00E17030"/>
    <w:rsid w:val="00E17094"/>
    <w:rsid w:val="00E17182"/>
    <w:rsid w:val="00E171CB"/>
    <w:rsid w:val="00E172BC"/>
    <w:rsid w:val="00E172C5"/>
    <w:rsid w:val="00E172CC"/>
    <w:rsid w:val="00E172EB"/>
    <w:rsid w:val="00E1743A"/>
    <w:rsid w:val="00E1743C"/>
    <w:rsid w:val="00E174E7"/>
    <w:rsid w:val="00E17666"/>
    <w:rsid w:val="00E17915"/>
    <w:rsid w:val="00E17945"/>
    <w:rsid w:val="00E17950"/>
    <w:rsid w:val="00E179AD"/>
    <w:rsid w:val="00E17CDD"/>
    <w:rsid w:val="00E17D49"/>
    <w:rsid w:val="00E17DAE"/>
    <w:rsid w:val="00E17E38"/>
    <w:rsid w:val="00E20012"/>
    <w:rsid w:val="00E20089"/>
    <w:rsid w:val="00E20148"/>
    <w:rsid w:val="00E2017E"/>
    <w:rsid w:val="00E201BB"/>
    <w:rsid w:val="00E20251"/>
    <w:rsid w:val="00E20252"/>
    <w:rsid w:val="00E20369"/>
    <w:rsid w:val="00E20627"/>
    <w:rsid w:val="00E2074F"/>
    <w:rsid w:val="00E2078A"/>
    <w:rsid w:val="00E20A7B"/>
    <w:rsid w:val="00E20B17"/>
    <w:rsid w:val="00E20BBE"/>
    <w:rsid w:val="00E20C8E"/>
    <w:rsid w:val="00E20CE8"/>
    <w:rsid w:val="00E20D97"/>
    <w:rsid w:val="00E20DF3"/>
    <w:rsid w:val="00E20E6D"/>
    <w:rsid w:val="00E20EE8"/>
    <w:rsid w:val="00E2103C"/>
    <w:rsid w:val="00E21135"/>
    <w:rsid w:val="00E21171"/>
    <w:rsid w:val="00E21343"/>
    <w:rsid w:val="00E21413"/>
    <w:rsid w:val="00E214BF"/>
    <w:rsid w:val="00E21510"/>
    <w:rsid w:val="00E21716"/>
    <w:rsid w:val="00E2171E"/>
    <w:rsid w:val="00E21864"/>
    <w:rsid w:val="00E21895"/>
    <w:rsid w:val="00E21939"/>
    <w:rsid w:val="00E2197B"/>
    <w:rsid w:val="00E21A43"/>
    <w:rsid w:val="00E21AE8"/>
    <w:rsid w:val="00E21D01"/>
    <w:rsid w:val="00E21E32"/>
    <w:rsid w:val="00E21EBD"/>
    <w:rsid w:val="00E21EDA"/>
    <w:rsid w:val="00E22083"/>
    <w:rsid w:val="00E22187"/>
    <w:rsid w:val="00E221F3"/>
    <w:rsid w:val="00E22219"/>
    <w:rsid w:val="00E22341"/>
    <w:rsid w:val="00E22354"/>
    <w:rsid w:val="00E223BC"/>
    <w:rsid w:val="00E22407"/>
    <w:rsid w:val="00E225E7"/>
    <w:rsid w:val="00E22681"/>
    <w:rsid w:val="00E226D0"/>
    <w:rsid w:val="00E22754"/>
    <w:rsid w:val="00E22771"/>
    <w:rsid w:val="00E2286C"/>
    <w:rsid w:val="00E228B2"/>
    <w:rsid w:val="00E228B9"/>
    <w:rsid w:val="00E22B91"/>
    <w:rsid w:val="00E22C1A"/>
    <w:rsid w:val="00E22C8B"/>
    <w:rsid w:val="00E22EC2"/>
    <w:rsid w:val="00E23145"/>
    <w:rsid w:val="00E23219"/>
    <w:rsid w:val="00E23305"/>
    <w:rsid w:val="00E23317"/>
    <w:rsid w:val="00E2345E"/>
    <w:rsid w:val="00E23519"/>
    <w:rsid w:val="00E236E4"/>
    <w:rsid w:val="00E23746"/>
    <w:rsid w:val="00E2379D"/>
    <w:rsid w:val="00E237C0"/>
    <w:rsid w:val="00E23805"/>
    <w:rsid w:val="00E23823"/>
    <w:rsid w:val="00E23998"/>
    <w:rsid w:val="00E23A1B"/>
    <w:rsid w:val="00E23A49"/>
    <w:rsid w:val="00E23A84"/>
    <w:rsid w:val="00E23B16"/>
    <w:rsid w:val="00E23C86"/>
    <w:rsid w:val="00E23CB3"/>
    <w:rsid w:val="00E23CF0"/>
    <w:rsid w:val="00E23D8E"/>
    <w:rsid w:val="00E23D91"/>
    <w:rsid w:val="00E23DC0"/>
    <w:rsid w:val="00E23F28"/>
    <w:rsid w:val="00E24182"/>
    <w:rsid w:val="00E24232"/>
    <w:rsid w:val="00E24284"/>
    <w:rsid w:val="00E242BD"/>
    <w:rsid w:val="00E243F2"/>
    <w:rsid w:val="00E24488"/>
    <w:rsid w:val="00E2450F"/>
    <w:rsid w:val="00E24514"/>
    <w:rsid w:val="00E24536"/>
    <w:rsid w:val="00E2453B"/>
    <w:rsid w:val="00E245A2"/>
    <w:rsid w:val="00E245C3"/>
    <w:rsid w:val="00E24601"/>
    <w:rsid w:val="00E2470E"/>
    <w:rsid w:val="00E2471C"/>
    <w:rsid w:val="00E248C5"/>
    <w:rsid w:val="00E24984"/>
    <w:rsid w:val="00E2498B"/>
    <w:rsid w:val="00E24992"/>
    <w:rsid w:val="00E24ADF"/>
    <w:rsid w:val="00E24B60"/>
    <w:rsid w:val="00E24C1E"/>
    <w:rsid w:val="00E24E57"/>
    <w:rsid w:val="00E24E93"/>
    <w:rsid w:val="00E25093"/>
    <w:rsid w:val="00E2509F"/>
    <w:rsid w:val="00E2518B"/>
    <w:rsid w:val="00E2521C"/>
    <w:rsid w:val="00E25417"/>
    <w:rsid w:val="00E25438"/>
    <w:rsid w:val="00E254D6"/>
    <w:rsid w:val="00E256DF"/>
    <w:rsid w:val="00E256EB"/>
    <w:rsid w:val="00E2575E"/>
    <w:rsid w:val="00E2577A"/>
    <w:rsid w:val="00E257C1"/>
    <w:rsid w:val="00E258F4"/>
    <w:rsid w:val="00E25A22"/>
    <w:rsid w:val="00E25C5F"/>
    <w:rsid w:val="00E25CD9"/>
    <w:rsid w:val="00E25E52"/>
    <w:rsid w:val="00E25E6F"/>
    <w:rsid w:val="00E25F9A"/>
    <w:rsid w:val="00E25FFD"/>
    <w:rsid w:val="00E26055"/>
    <w:rsid w:val="00E2614E"/>
    <w:rsid w:val="00E261AF"/>
    <w:rsid w:val="00E26443"/>
    <w:rsid w:val="00E26494"/>
    <w:rsid w:val="00E265FE"/>
    <w:rsid w:val="00E267AD"/>
    <w:rsid w:val="00E267B6"/>
    <w:rsid w:val="00E267DC"/>
    <w:rsid w:val="00E26804"/>
    <w:rsid w:val="00E26874"/>
    <w:rsid w:val="00E26965"/>
    <w:rsid w:val="00E2697B"/>
    <w:rsid w:val="00E26A27"/>
    <w:rsid w:val="00E26AAB"/>
    <w:rsid w:val="00E26B20"/>
    <w:rsid w:val="00E26D5C"/>
    <w:rsid w:val="00E26D9C"/>
    <w:rsid w:val="00E26E23"/>
    <w:rsid w:val="00E26FE7"/>
    <w:rsid w:val="00E27042"/>
    <w:rsid w:val="00E2708F"/>
    <w:rsid w:val="00E2712E"/>
    <w:rsid w:val="00E27141"/>
    <w:rsid w:val="00E2717A"/>
    <w:rsid w:val="00E27288"/>
    <w:rsid w:val="00E274DE"/>
    <w:rsid w:val="00E27526"/>
    <w:rsid w:val="00E27539"/>
    <w:rsid w:val="00E2766D"/>
    <w:rsid w:val="00E2767A"/>
    <w:rsid w:val="00E2767E"/>
    <w:rsid w:val="00E276F4"/>
    <w:rsid w:val="00E277A7"/>
    <w:rsid w:val="00E277E6"/>
    <w:rsid w:val="00E2785F"/>
    <w:rsid w:val="00E27CD5"/>
    <w:rsid w:val="00E27D27"/>
    <w:rsid w:val="00E27D62"/>
    <w:rsid w:val="00E27DA4"/>
    <w:rsid w:val="00E27E11"/>
    <w:rsid w:val="00E27E5E"/>
    <w:rsid w:val="00E27E7D"/>
    <w:rsid w:val="00E30049"/>
    <w:rsid w:val="00E30061"/>
    <w:rsid w:val="00E30094"/>
    <w:rsid w:val="00E3022A"/>
    <w:rsid w:val="00E30590"/>
    <w:rsid w:val="00E305F6"/>
    <w:rsid w:val="00E3071E"/>
    <w:rsid w:val="00E3078E"/>
    <w:rsid w:val="00E308CD"/>
    <w:rsid w:val="00E309B1"/>
    <w:rsid w:val="00E309C6"/>
    <w:rsid w:val="00E30BEC"/>
    <w:rsid w:val="00E30C37"/>
    <w:rsid w:val="00E30E6D"/>
    <w:rsid w:val="00E30EFE"/>
    <w:rsid w:val="00E30F74"/>
    <w:rsid w:val="00E30F8D"/>
    <w:rsid w:val="00E30F9B"/>
    <w:rsid w:val="00E30FCE"/>
    <w:rsid w:val="00E31030"/>
    <w:rsid w:val="00E31082"/>
    <w:rsid w:val="00E310A3"/>
    <w:rsid w:val="00E311AE"/>
    <w:rsid w:val="00E31298"/>
    <w:rsid w:val="00E312CE"/>
    <w:rsid w:val="00E312F3"/>
    <w:rsid w:val="00E31309"/>
    <w:rsid w:val="00E3132F"/>
    <w:rsid w:val="00E31365"/>
    <w:rsid w:val="00E31377"/>
    <w:rsid w:val="00E313DA"/>
    <w:rsid w:val="00E3145E"/>
    <w:rsid w:val="00E314C2"/>
    <w:rsid w:val="00E314F8"/>
    <w:rsid w:val="00E3154D"/>
    <w:rsid w:val="00E3170B"/>
    <w:rsid w:val="00E3173C"/>
    <w:rsid w:val="00E3179F"/>
    <w:rsid w:val="00E31899"/>
    <w:rsid w:val="00E319A4"/>
    <w:rsid w:val="00E31BF2"/>
    <w:rsid w:val="00E31D70"/>
    <w:rsid w:val="00E31DF2"/>
    <w:rsid w:val="00E31F42"/>
    <w:rsid w:val="00E31FA8"/>
    <w:rsid w:val="00E31FF0"/>
    <w:rsid w:val="00E3201C"/>
    <w:rsid w:val="00E32047"/>
    <w:rsid w:val="00E32095"/>
    <w:rsid w:val="00E32233"/>
    <w:rsid w:val="00E322D6"/>
    <w:rsid w:val="00E32302"/>
    <w:rsid w:val="00E32318"/>
    <w:rsid w:val="00E32329"/>
    <w:rsid w:val="00E3236C"/>
    <w:rsid w:val="00E32390"/>
    <w:rsid w:val="00E32459"/>
    <w:rsid w:val="00E324F2"/>
    <w:rsid w:val="00E3256A"/>
    <w:rsid w:val="00E325E2"/>
    <w:rsid w:val="00E326CC"/>
    <w:rsid w:val="00E327B6"/>
    <w:rsid w:val="00E327D9"/>
    <w:rsid w:val="00E32822"/>
    <w:rsid w:val="00E32B4D"/>
    <w:rsid w:val="00E32B76"/>
    <w:rsid w:val="00E32C19"/>
    <w:rsid w:val="00E32D7B"/>
    <w:rsid w:val="00E32E06"/>
    <w:rsid w:val="00E32E28"/>
    <w:rsid w:val="00E32E48"/>
    <w:rsid w:val="00E32EB3"/>
    <w:rsid w:val="00E32F51"/>
    <w:rsid w:val="00E3301A"/>
    <w:rsid w:val="00E3303D"/>
    <w:rsid w:val="00E33060"/>
    <w:rsid w:val="00E33063"/>
    <w:rsid w:val="00E33076"/>
    <w:rsid w:val="00E3309A"/>
    <w:rsid w:val="00E330D5"/>
    <w:rsid w:val="00E33168"/>
    <w:rsid w:val="00E33194"/>
    <w:rsid w:val="00E33278"/>
    <w:rsid w:val="00E33284"/>
    <w:rsid w:val="00E33392"/>
    <w:rsid w:val="00E3342E"/>
    <w:rsid w:val="00E3346A"/>
    <w:rsid w:val="00E33547"/>
    <w:rsid w:val="00E3355D"/>
    <w:rsid w:val="00E3366C"/>
    <w:rsid w:val="00E3396B"/>
    <w:rsid w:val="00E33AA2"/>
    <w:rsid w:val="00E33AE1"/>
    <w:rsid w:val="00E33BB2"/>
    <w:rsid w:val="00E33CF1"/>
    <w:rsid w:val="00E33E21"/>
    <w:rsid w:val="00E33E98"/>
    <w:rsid w:val="00E33EAF"/>
    <w:rsid w:val="00E33EB3"/>
    <w:rsid w:val="00E33EF7"/>
    <w:rsid w:val="00E33F97"/>
    <w:rsid w:val="00E340CC"/>
    <w:rsid w:val="00E34357"/>
    <w:rsid w:val="00E34378"/>
    <w:rsid w:val="00E343B1"/>
    <w:rsid w:val="00E343F6"/>
    <w:rsid w:val="00E34476"/>
    <w:rsid w:val="00E34660"/>
    <w:rsid w:val="00E34667"/>
    <w:rsid w:val="00E3468F"/>
    <w:rsid w:val="00E346CF"/>
    <w:rsid w:val="00E3483C"/>
    <w:rsid w:val="00E348B5"/>
    <w:rsid w:val="00E34B26"/>
    <w:rsid w:val="00E34C2B"/>
    <w:rsid w:val="00E34D12"/>
    <w:rsid w:val="00E34E41"/>
    <w:rsid w:val="00E34E7E"/>
    <w:rsid w:val="00E34F92"/>
    <w:rsid w:val="00E35003"/>
    <w:rsid w:val="00E3511B"/>
    <w:rsid w:val="00E3518C"/>
    <w:rsid w:val="00E351E9"/>
    <w:rsid w:val="00E3523F"/>
    <w:rsid w:val="00E3524B"/>
    <w:rsid w:val="00E35364"/>
    <w:rsid w:val="00E354AE"/>
    <w:rsid w:val="00E354E6"/>
    <w:rsid w:val="00E355DB"/>
    <w:rsid w:val="00E35639"/>
    <w:rsid w:val="00E35665"/>
    <w:rsid w:val="00E35705"/>
    <w:rsid w:val="00E35875"/>
    <w:rsid w:val="00E35992"/>
    <w:rsid w:val="00E35A0A"/>
    <w:rsid w:val="00E35B8C"/>
    <w:rsid w:val="00E35C18"/>
    <w:rsid w:val="00E35E31"/>
    <w:rsid w:val="00E363CF"/>
    <w:rsid w:val="00E3653C"/>
    <w:rsid w:val="00E3660E"/>
    <w:rsid w:val="00E36692"/>
    <w:rsid w:val="00E36704"/>
    <w:rsid w:val="00E36708"/>
    <w:rsid w:val="00E367A5"/>
    <w:rsid w:val="00E3683B"/>
    <w:rsid w:val="00E3686A"/>
    <w:rsid w:val="00E368E3"/>
    <w:rsid w:val="00E368F2"/>
    <w:rsid w:val="00E36953"/>
    <w:rsid w:val="00E36AF3"/>
    <w:rsid w:val="00E36B44"/>
    <w:rsid w:val="00E36C29"/>
    <w:rsid w:val="00E36CC1"/>
    <w:rsid w:val="00E36E54"/>
    <w:rsid w:val="00E36F7F"/>
    <w:rsid w:val="00E3709E"/>
    <w:rsid w:val="00E3729F"/>
    <w:rsid w:val="00E373AE"/>
    <w:rsid w:val="00E37407"/>
    <w:rsid w:val="00E375FB"/>
    <w:rsid w:val="00E37743"/>
    <w:rsid w:val="00E378C7"/>
    <w:rsid w:val="00E379DB"/>
    <w:rsid w:val="00E37A0D"/>
    <w:rsid w:val="00E37A2D"/>
    <w:rsid w:val="00E37A95"/>
    <w:rsid w:val="00E37D6C"/>
    <w:rsid w:val="00E37E06"/>
    <w:rsid w:val="00E37EA3"/>
    <w:rsid w:val="00E37EA5"/>
    <w:rsid w:val="00E37EB2"/>
    <w:rsid w:val="00E40072"/>
    <w:rsid w:val="00E401A7"/>
    <w:rsid w:val="00E401BA"/>
    <w:rsid w:val="00E40216"/>
    <w:rsid w:val="00E4026C"/>
    <w:rsid w:val="00E40399"/>
    <w:rsid w:val="00E403B2"/>
    <w:rsid w:val="00E40447"/>
    <w:rsid w:val="00E40570"/>
    <w:rsid w:val="00E40683"/>
    <w:rsid w:val="00E40759"/>
    <w:rsid w:val="00E40766"/>
    <w:rsid w:val="00E408DA"/>
    <w:rsid w:val="00E40937"/>
    <w:rsid w:val="00E40A56"/>
    <w:rsid w:val="00E40E0B"/>
    <w:rsid w:val="00E40FC1"/>
    <w:rsid w:val="00E40FEF"/>
    <w:rsid w:val="00E4101A"/>
    <w:rsid w:val="00E410FC"/>
    <w:rsid w:val="00E41158"/>
    <w:rsid w:val="00E411E6"/>
    <w:rsid w:val="00E41263"/>
    <w:rsid w:val="00E4128C"/>
    <w:rsid w:val="00E412D3"/>
    <w:rsid w:val="00E41360"/>
    <w:rsid w:val="00E41362"/>
    <w:rsid w:val="00E41456"/>
    <w:rsid w:val="00E41579"/>
    <w:rsid w:val="00E415BA"/>
    <w:rsid w:val="00E415BB"/>
    <w:rsid w:val="00E41676"/>
    <w:rsid w:val="00E41859"/>
    <w:rsid w:val="00E4191A"/>
    <w:rsid w:val="00E4198F"/>
    <w:rsid w:val="00E41A3C"/>
    <w:rsid w:val="00E41A69"/>
    <w:rsid w:val="00E41A78"/>
    <w:rsid w:val="00E41AB3"/>
    <w:rsid w:val="00E41B3D"/>
    <w:rsid w:val="00E41B41"/>
    <w:rsid w:val="00E41BFB"/>
    <w:rsid w:val="00E41BFE"/>
    <w:rsid w:val="00E41C6D"/>
    <w:rsid w:val="00E41C7E"/>
    <w:rsid w:val="00E41D34"/>
    <w:rsid w:val="00E41E8B"/>
    <w:rsid w:val="00E41F97"/>
    <w:rsid w:val="00E41FB6"/>
    <w:rsid w:val="00E420C9"/>
    <w:rsid w:val="00E421F5"/>
    <w:rsid w:val="00E42314"/>
    <w:rsid w:val="00E423F8"/>
    <w:rsid w:val="00E42712"/>
    <w:rsid w:val="00E4287C"/>
    <w:rsid w:val="00E429B4"/>
    <w:rsid w:val="00E42A55"/>
    <w:rsid w:val="00E42AE9"/>
    <w:rsid w:val="00E42B78"/>
    <w:rsid w:val="00E42BA3"/>
    <w:rsid w:val="00E42CE4"/>
    <w:rsid w:val="00E42CEA"/>
    <w:rsid w:val="00E42E5A"/>
    <w:rsid w:val="00E4302A"/>
    <w:rsid w:val="00E43064"/>
    <w:rsid w:val="00E430A1"/>
    <w:rsid w:val="00E431CA"/>
    <w:rsid w:val="00E43224"/>
    <w:rsid w:val="00E43241"/>
    <w:rsid w:val="00E43291"/>
    <w:rsid w:val="00E433A1"/>
    <w:rsid w:val="00E433A5"/>
    <w:rsid w:val="00E433B0"/>
    <w:rsid w:val="00E433D4"/>
    <w:rsid w:val="00E434A8"/>
    <w:rsid w:val="00E43563"/>
    <w:rsid w:val="00E435DA"/>
    <w:rsid w:val="00E43683"/>
    <w:rsid w:val="00E436E4"/>
    <w:rsid w:val="00E43804"/>
    <w:rsid w:val="00E43828"/>
    <w:rsid w:val="00E43888"/>
    <w:rsid w:val="00E438C9"/>
    <w:rsid w:val="00E438E1"/>
    <w:rsid w:val="00E43A1F"/>
    <w:rsid w:val="00E43D98"/>
    <w:rsid w:val="00E43DC9"/>
    <w:rsid w:val="00E43DD6"/>
    <w:rsid w:val="00E43E8C"/>
    <w:rsid w:val="00E43EEA"/>
    <w:rsid w:val="00E43F79"/>
    <w:rsid w:val="00E43F84"/>
    <w:rsid w:val="00E43FB6"/>
    <w:rsid w:val="00E4401E"/>
    <w:rsid w:val="00E44191"/>
    <w:rsid w:val="00E44333"/>
    <w:rsid w:val="00E44338"/>
    <w:rsid w:val="00E44391"/>
    <w:rsid w:val="00E445DC"/>
    <w:rsid w:val="00E44725"/>
    <w:rsid w:val="00E447A4"/>
    <w:rsid w:val="00E447B7"/>
    <w:rsid w:val="00E4489F"/>
    <w:rsid w:val="00E44928"/>
    <w:rsid w:val="00E44A11"/>
    <w:rsid w:val="00E44AB1"/>
    <w:rsid w:val="00E44AD4"/>
    <w:rsid w:val="00E44C13"/>
    <w:rsid w:val="00E44F23"/>
    <w:rsid w:val="00E45043"/>
    <w:rsid w:val="00E45261"/>
    <w:rsid w:val="00E453AF"/>
    <w:rsid w:val="00E4548A"/>
    <w:rsid w:val="00E454C9"/>
    <w:rsid w:val="00E456F8"/>
    <w:rsid w:val="00E45759"/>
    <w:rsid w:val="00E457EB"/>
    <w:rsid w:val="00E4586A"/>
    <w:rsid w:val="00E4597A"/>
    <w:rsid w:val="00E45A29"/>
    <w:rsid w:val="00E45A86"/>
    <w:rsid w:val="00E45AA8"/>
    <w:rsid w:val="00E45B27"/>
    <w:rsid w:val="00E45C78"/>
    <w:rsid w:val="00E45CDB"/>
    <w:rsid w:val="00E45CE5"/>
    <w:rsid w:val="00E45E87"/>
    <w:rsid w:val="00E45ECE"/>
    <w:rsid w:val="00E45F00"/>
    <w:rsid w:val="00E4603B"/>
    <w:rsid w:val="00E46157"/>
    <w:rsid w:val="00E46161"/>
    <w:rsid w:val="00E46167"/>
    <w:rsid w:val="00E462ED"/>
    <w:rsid w:val="00E4632C"/>
    <w:rsid w:val="00E463B6"/>
    <w:rsid w:val="00E46496"/>
    <w:rsid w:val="00E4650E"/>
    <w:rsid w:val="00E46521"/>
    <w:rsid w:val="00E46538"/>
    <w:rsid w:val="00E465E6"/>
    <w:rsid w:val="00E46663"/>
    <w:rsid w:val="00E4668A"/>
    <w:rsid w:val="00E467EC"/>
    <w:rsid w:val="00E4685F"/>
    <w:rsid w:val="00E46885"/>
    <w:rsid w:val="00E468CE"/>
    <w:rsid w:val="00E468E0"/>
    <w:rsid w:val="00E469BB"/>
    <w:rsid w:val="00E46A04"/>
    <w:rsid w:val="00E46A2D"/>
    <w:rsid w:val="00E46A3F"/>
    <w:rsid w:val="00E46ADA"/>
    <w:rsid w:val="00E46B35"/>
    <w:rsid w:val="00E46B99"/>
    <w:rsid w:val="00E46CAB"/>
    <w:rsid w:val="00E46D5A"/>
    <w:rsid w:val="00E46DB1"/>
    <w:rsid w:val="00E46DEB"/>
    <w:rsid w:val="00E46E56"/>
    <w:rsid w:val="00E4704B"/>
    <w:rsid w:val="00E4705B"/>
    <w:rsid w:val="00E47069"/>
    <w:rsid w:val="00E470A3"/>
    <w:rsid w:val="00E47120"/>
    <w:rsid w:val="00E47146"/>
    <w:rsid w:val="00E471AC"/>
    <w:rsid w:val="00E47286"/>
    <w:rsid w:val="00E47321"/>
    <w:rsid w:val="00E4737D"/>
    <w:rsid w:val="00E473EC"/>
    <w:rsid w:val="00E47468"/>
    <w:rsid w:val="00E4766A"/>
    <w:rsid w:val="00E47670"/>
    <w:rsid w:val="00E4767D"/>
    <w:rsid w:val="00E476AE"/>
    <w:rsid w:val="00E476CD"/>
    <w:rsid w:val="00E4779C"/>
    <w:rsid w:val="00E479A8"/>
    <w:rsid w:val="00E47B45"/>
    <w:rsid w:val="00E47B6B"/>
    <w:rsid w:val="00E47BAA"/>
    <w:rsid w:val="00E47E21"/>
    <w:rsid w:val="00E47E3C"/>
    <w:rsid w:val="00E47F13"/>
    <w:rsid w:val="00E47FC6"/>
    <w:rsid w:val="00E50016"/>
    <w:rsid w:val="00E5002C"/>
    <w:rsid w:val="00E5012F"/>
    <w:rsid w:val="00E50186"/>
    <w:rsid w:val="00E5019C"/>
    <w:rsid w:val="00E502B2"/>
    <w:rsid w:val="00E503A6"/>
    <w:rsid w:val="00E5049C"/>
    <w:rsid w:val="00E504B1"/>
    <w:rsid w:val="00E5052B"/>
    <w:rsid w:val="00E50681"/>
    <w:rsid w:val="00E506F9"/>
    <w:rsid w:val="00E50768"/>
    <w:rsid w:val="00E50783"/>
    <w:rsid w:val="00E50787"/>
    <w:rsid w:val="00E507BD"/>
    <w:rsid w:val="00E50800"/>
    <w:rsid w:val="00E5084C"/>
    <w:rsid w:val="00E50854"/>
    <w:rsid w:val="00E50870"/>
    <w:rsid w:val="00E508E2"/>
    <w:rsid w:val="00E50914"/>
    <w:rsid w:val="00E50963"/>
    <w:rsid w:val="00E509EA"/>
    <w:rsid w:val="00E50A0F"/>
    <w:rsid w:val="00E50AFF"/>
    <w:rsid w:val="00E50B98"/>
    <w:rsid w:val="00E50C45"/>
    <w:rsid w:val="00E50C56"/>
    <w:rsid w:val="00E50F80"/>
    <w:rsid w:val="00E51055"/>
    <w:rsid w:val="00E51073"/>
    <w:rsid w:val="00E51076"/>
    <w:rsid w:val="00E51256"/>
    <w:rsid w:val="00E51278"/>
    <w:rsid w:val="00E5129B"/>
    <w:rsid w:val="00E512E7"/>
    <w:rsid w:val="00E5139B"/>
    <w:rsid w:val="00E51412"/>
    <w:rsid w:val="00E5142D"/>
    <w:rsid w:val="00E51514"/>
    <w:rsid w:val="00E51517"/>
    <w:rsid w:val="00E51528"/>
    <w:rsid w:val="00E516A5"/>
    <w:rsid w:val="00E516BD"/>
    <w:rsid w:val="00E5175C"/>
    <w:rsid w:val="00E517A4"/>
    <w:rsid w:val="00E517AB"/>
    <w:rsid w:val="00E517CF"/>
    <w:rsid w:val="00E519DC"/>
    <w:rsid w:val="00E51A54"/>
    <w:rsid w:val="00E51A63"/>
    <w:rsid w:val="00E51B3B"/>
    <w:rsid w:val="00E51BD6"/>
    <w:rsid w:val="00E51CC6"/>
    <w:rsid w:val="00E51CCA"/>
    <w:rsid w:val="00E51D07"/>
    <w:rsid w:val="00E51E08"/>
    <w:rsid w:val="00E522D7"/>
    <w:rsid w:val="00E52311"/>
    <w:rsid w:val="00E52396"/>
    <w:rsid w:val="00E524CB"/>
    <w:rsid w:val="00E524D5"/>
    <w:rsid w:val="00E5251F"/>
    <w:rsid w:val="00E525A7"/>
    <w:rsid w:val="00E52645"/>
    <w:rsid w:val="00E5284D"/>
    <w:rsid w:val="00E52A10"/>
    <w:rsid w:val="00E52AE3"/>
    <w:rsid w:val="00E52B46"/>
    <w:rsid w:val="00E52B8E"/>
    <w:rsid w:val="00E52BEB"/>
    <w:rsid w:val="00E52D11"/>
    <w:rsid w:val="00E52D31"/>
    <w:rsid w:val="00E52D44"/>
    <w:rsid w:val="00E52D6E"/>
    <w:rsid w:val="00E52E18"/>
    <w:rsid w:val="00E52ECB"/>
    <w:rsid w:val="00E53008"/>
    <w:rsid w:val="00E53083"/>
    <w:rsid w:val="00E53233"/>
    <w:rsid w:val="00E53262"/>
    <w:rsid w:val="00E53263"/>
    <w:rsid w:val="00E532B1"/>
    <w:rsid w:val="00E5345F"/>
    <w:rsid w:val="00E53640"/>
    <w:rsid w:val="00E53676"/>
    <w:rsid w:val="00E536C9"/>
    <w:rsid w:val="00E536E4"/>
    <w:rsid w:val="00E53757"/>
    <w:rsid w:val="00E53790"/>
    <w:rsid w:val="00E53796"/>
    <w:rsid w:val="00E537B5"/>
    <w:rsid w:val="00E5381E"/>
    <w:rsid w:val="00E5387D"/>
    <w:rsid w:val="00E53988"/>
    <w:rsid w:val="00E539F1"/>
    <w:rsid w:val="00E53AC8"/>
    <w:rsid w:val="00E53BB5"/>
    <w:rsid w:val="00E53CA6"/>
    <w:rsid w:val="00E53D8D"/>
    <w:rsid w:val="00E53DB5"/>
    <w:rsid w:val="00E53F46"/>
    <w:rsid w:val="00E53F5F"/>
    <w:rsid w:val="00E53FD3"/>
    <w:rsid w:val="00E54013"/>
    <w:rsid w:val="00E540BE"/>
    <w:rsid w:val="00E54143"/>
    <w:rsid w:val="00E5414E"/>
    <w:rsid w:val="00E5419E"/>
    <w:rsid w:val="00E541D5"/>
    <w:rsid w:val="00E54271"/>
    <w:rsid w:val="00E54274"/>
    <w:rsid w:val="00E54287"/>
    <w:rsid w:val="00E542AE"/>
    <w:rsid w:val="00E54369"/>
    <w:rsid w:val="00E54393"/>
    <w:rsid w:val="00E54413"/>
    <w:rsid w:val="00E54788"/>
    <w:rsid w:val="00E547F2"/>
    <w:rsid w:val="00E54A1A"/>
    <w:rsid w:val="00E54A31"/>
    <w:rsid w:val="00E54CB4"/>
    <w:rsid w:val="00E54D9D"/>
    <w:rsid w:val="00E54DDF"/>
    <w:rsid w:val="00E54E4F"/>
    <w:rsid w:val="00E54E8F"/>
    <w:rsid w:val="00E54F03"/>
    <w:rsid w:val="00E55020"/>
    <w:rsid w:val="00E5503D"/>
    <w:rsid w:val="00E55045"/>
    <w:rsid w:val="00E55133"/>
    <w:rsid w:val="00E551FD"/>
    <w:rsid w:val="00E552FE"/>
    <w:rsid w:val="00E5533D"/>
    <w:rsid w:val="00E55355"/>
    <w:rsid w:val="00E556C8"/>
    <w:rsid w:val="00E556EC"/>
    <w:rsid w:val="00E557E9"/>
    <w:rsid w:val="00E55A45"/>
    <w:rsid w:val="00E55B2E"/>
    <w:rsid w:val="00E55BDA"/>
    <w:rsid w:val="00E55D0E"/>
    <w:rsid w:val="00E55DD3"/>
    <w:rsid w:val="00E55EE5"/>
    <w:rsid w:val="00E55F6A"/>
    <w:rsid w:val="00E56214"/>
    <w:rsid w:val="00E5622C"/>
    <w:rsid w:val="00E5629E"/>
    <w:rsid w:val="00E56448"/>
    <w:rsid w:val="00E56491"/>
    <w:rsid w:val="00E56542"/>
    <w:rsid w:val="00E56556"/>
    <w:rsid w:val="00E565B0"/>
    <w:rsid w:val="00E566AE"/>
    <w:rsid w:val="00E56797"/>
    <w:rsid w:val="00E567E4"/>
    <w:rsid w:val="00E568D8"/>
    <w:rsid w:val="00E56968"/>
    <w:rsid w:val="00E56974"/>
    <w:rsid w:val="00E56A77"/>
    <w:rsid w:val="00E56A93"/>
    <w:rsid w:val="00E56B17"/>
    <w:rsid w:val="00E56B1C"/>
    <w:rsid w:val="00E56B44"/>
    <w:rsid w:val="00E56BD2"/>
    <w:rsid w:val="00E56BFE"/>
    <w:rsid w:val="00E56D64"/>
    <w:rsid w:val="00E56FB8"/>
    <w:rsid w:val="00E570C1"/>
    <w:rsid w:val="00E57151"/>
    <w:rsid w:val="00E571ED"/>
    <w:rsid w:val="00E5729B"/>
    <w:rsid w:val="00E572E7"/>
    <w:rsid w:val="00E57342"/>
    <w:rsid w:val="00E57365"/>
    <w:rsid w:val="00E573A4"/>
    <w:rsid w:val="00E573AE"/>
    <w:rsid w:val="00E574C2"/>
    <w:rsid w:val="00E5753F"/>
    <w:rsid w:val="00E575CB"/>
    <w:rsid w:val="00E5774A"/>
    <w:rsid w:val="00E5776C"/>
    <w:rsid w:val="00E5777B"/>
    <w:rsid w:val="00E577B8"/>
    <w:rsid w:val="00E57891"/>
    <w:rsid w:val="00E57898"/>
    <w:rsid w:val="00E57950"/>
    <w:rsid w:val="00E57AE0"/>
    <w:rsid w:val="00E57C88"/>
    <w:rsid w:val="00E57D35"/>
    <w:rsid w:val="00E57D3E"/>
    <w:rsid w:val="00E60049"/>
    <w:rsid w:val="00E60062"/>
    <w:rsid w:val="00E602E4"/>
    <w:rsid w:val="00E6035E"/>
    <w:rsid w:val="00E60457"/>
    <w:rsid w:val="00E6052A"/>
    <w:rsid w:val="00E6052D"/>
    <w:rsid w:val="00E60587"/>
    <w:rsid w:val="00E6058D"/>
    <w:rsid w:val="00E605D7"/>
    <w:rsid w:val="00E6083E"/>
    <w:rsid w:val="00E60B68"/>
    <w:rsid w:val="00E60D45"/>
    <w:rsid w:val="00E60D4A"/>
    <w:rsid w:val="00E60E63"/>
    <w:rsid w:val="00E60E8B"/>
    <w:rsid w:val="00E61013"/>
    <w:rsid w:val="00E61067"/>
    <w:rsid w:val="00E610A5"/>
    <w:rsid w:val="00E61511"/>
    <w:rsid w:val="00E6160B"/>
    <w:rsid w:val="00E61789"/>
    <w:rsid w:val="00E61814"/>
    <w:rsid w:val="00E61888"/>
    <w:rsid w:val="00E6191C"/>
    <w:rsid w:val="00E61AA9"/>
    <w:rsid w:val="00E61B1B"/>
    <w:rsid w:val="00E61C7A"/>
    <w:rsid w:val="00E61CB0"/>
    <w:rsid w:val="00E61D9E"/>
    <w:rsid w:val="00E61F2F"/>
    <w:rsid w:val="00E61F4D"/>
    <w:rsid w:val="00E61F86"/>
    <w:rsid w:val="00E61FEA"/>
    <w:rsid w:val="00E6216D"/>
    <w:rsid w:val="00E621F2"/>
    <w:rsid w:val="00E622B5"/>
    <w:rsid w:val="00E622C9"/>
    <w:rsid w:val="00E6232C"/>
    <w:rsid w:val="00E6238E"/>
    <w:rsid w:val="00E623D1"/>
    <w:rsid w:val="00E62404"/>
    <w:rsid w:val="00E62417"/>
    <w:rsid w:val="00E62483"/>
    <w:rsid w:val="00E625D0"/>
    <w:rsid w:val="00E626A1"/>
    <w:rsid w:val="00E62770"/>
    <w:rsid w:val="00E62790"/>
    <w:rsid w:val="00E6279B"/>
    <w:rsid w:val="00E628FE"/>
    <w:rsid w:val="00E62915"/>
    <w:rsid w:val="00E62A1A"/>
    <w:rsid w:val="00E62AD7"/>
    <w:rsid w:val="00E62B95"/>
    <w:rsid w:val="00E62CF0"/>
    <w:rsid w:val="00E62DB4"/>
    <w:rsid w:val="00E62E3E"/>
    <w:rsid w:val="00E62E61"/>
    <w:rsid w:val="00E62EB6"/>
    <w:rsid w:val="00E63076"/>
    <w:rsid w:val="00E6308E"/>
    <w:rsid w:val="00E630D0"/>
    <w:rsid w:val="00E63274"/>
    <w:rsid w:val="00E6338B"/>
    <w:rsid w:val="00E636DB"/>
    <w:rsid w:val="00E63725"/>
    <w:rsid w:val="00E6385B"/>
    <w:rsid w:val="00E6392A"/>
    <w:rsid w:val="00E63992"/>
    <w:rsid w:val="00E63A5C"/>
    <w:rsid w:val="00E63A5F"/>
    <w:rsid w:val="00E63C05"/>
    <w:rsid w:val="00E63C34"/>
    <w:rsid w:val="00E63C4A"/>
    <w:rsid w:val="00E63CE8"/>
    <w:rsid w:val="00E63DC0"/>
    <w:rsid w:val="00E63DC2"/>
    <w:rsid w:val="00E63E19"/>
    <w:rsid w:val="00E63E79"/>
    <w:rsid w:val="00E63EF4"/>
    <w:rsid w:val="00E63F19"/>
    <w:rsid w:val="00E64194"/>
    <w:rsid w:val="00E641D2"/>
    <w:rsid w:val="00E641D7"/>
    <w:rsid w:val="00E64210"/>
    <w:rsid w:val="00E64233"/>
    <w:rsid w:val="00E64247"/>
    <w:rsid w:val="00E64326"/>
    <w:rsid w:val="00E644D7"/>
    <w:rsid w:val="00E6456A"/>
    <w:rsid w:val="00E6464D"/>
    <w:rsid w:val="00E646EC"/>
    <w:rsid w:val="00E64868"/>
    <w:rsid w:val="00E648B0"/>
    <w:rsid w:val="00E649C4"/>
    <w:rsid w:val="00E64A41"/>
    <w:rsid w:val="00E64AFD"/>
    <w:rsid w:val="00E64C8A"/>
    <w:rsid w:val="00E64D70"/>
    <w:rsid w:val="00E64DCF"/>
    <w:rsid w:val="00E64DEA"/>
    <w:rsid w:val="00E64E05"/>
    <w:rsid w:val="00E64EC9"/>
    <w:rsid w:val="00E64F5A"/>
    <w:rsid w:val="00E64F76"/>
    <w:rsid w:val="00E65105"/>
    <w:rsid w:val="00E65122"/>
    <w:rsid w:val="00E6513F"/>
    <w:rsid w:val="00E6516F"/>
    <w:rsid w:val="00E654F1"/>
    <w:rsid w:val="00E655F9"/>
    <w:rsid w:val="00E65646"/>
    <w:rsid w:val="00E656D9"/>
    <w:rsid w:val="00E65719"/>
    <w:rsid w:val="00E657B6"/>
    <w:rsid w:val="00E6581E"/>
    <w:rsid w:val="00E6584B"/>
    <w:rsid w:val="00E65875"/>
    <w:rsid w:val="00E658C7"/>
    <w:rsid w:val="00E65AEE"/>
    <w:rsid w:val="00E65B51"/>
    <w:rsid w:val="00E65B89"/>
    <w:rsid w:val="00E65B95"/>
    <w:rsid w:val="00E65C07"/>
    <w:rsid w:val="00E65CFE"/>
    <w:rsid w:val="00E65D48"/>
    <w:rsid w:val="00E65D94"/>
    <w:rsid w:val="00E66025"/>
    <w:rsid w:val="00E6605A"/>
    <w:rsid w:val="00E661C9"/>
    <w:rsid w:val="00E661EC"/>
    <w:rsid w:val="00E6621C"/>
    <w:rsid w:val="00E66240"/>
    <w:rsid w:val="00E66434"/>
    <w:rsid w:val="00E66623"/>
    <w:rsid w:val="00E6663A"/>
    <w:rsid w:val="00E666BD"/>
    <w:rsid w:val="00E667DF"/>
    <w:rsid w:val="00E668B4"/>
    <w:rsid w:val="00E66A35"/>
    <w:rsid w:val="00E66AB8"/>
    <w:rsid w:val="00E66ACC"/>
    <w:rsid w:val="00E66B0B"/>
    <w:rsid w:val="00E66B2C"/>
    <w:rsid w:val="00E66BE8"/>
    <w:rsid w:val="00E66D2F"/>
    <w:rsid w:val="00E66EA0"/>
    <w:rsid w:val="00E67028"/>
    <w:rsid w:val="00E67139"/>
    <w:rsid w:val="00E671BC"/>
    <w:rsid w:val="00E672D4"/>
    <w:rsid w:val="00E67388"/>
    <w:rsid w:val="00E674F6"/>
    <w:rsid w:val="00E6771E"/>
    <w:rsid w:val="00E6775A"/>
    <w:rsid w:val="00E678C4"/>
    <w:rsid w:val="00E679F4"/>
    <w:rsid w:val="00E67A05"/>
    <w:rsid w:val="00E67A32"/>
    <w:rsid w:val="00E67A55"/>
    <w:rsid w:val="00E67A66"/>
    <w:rsid w:val="00E67B24"/>
    <w:rsid w:val="00E67C24"/>
    <w:rsid w:val="00E67DB8"/>
    <w:rsid w:val="00E67EC4"/>
    <w:rsid w:val="00E67F6C"/>
    <w:rsid w:val="00E70159"/>
    <w:rsid w:val="00E701A0"/>
    <w:rsid w:val="00E70267"/>
    <w:rsid w:val="00E703C0"/>
    <w:rsid w:val="00E704C3"/>
    <w:rsid w:val="00E7058A"/>
    <w:rsid w:val="00E705A1"/>
    <w:rsid w:val="00E70606"/>
    <w:rsid w:val="00E70686"/>
    <w:rsid w:val="00E706EA"/>
    <w:rsid w:val="00E70794"/>
    <w:rsid w:val="00E70811"/>
    <w:rsid w:val="00E70860"/>
    <w:rsid w:val="00E709A5"/>
    <w:rsid w:val="00E709DC"/>
    <w:rsid w:val="00E70A4D"/>
    <w:rsid w:val="00E70AA1"/>
    <w:rsid w:val="00E70B60"/>
    <w:rsid w:val="00E70BEC"/>
    <w:rsid w:val="00E70C4B"/>
    <w:rsid w:val="00E70CA4"/>
    <w:rsid w:val="00E70F1F"/>
    <w:rsid w:val="00E71218"/>
    <w:rsid w:val="00E714C2"/>
    <w:rsid w:val="00E71512"/>
    <w:rsid w:val="00E7161B"/>
    <w:rsid w:val="00E716B5"/>
    <w:rsid w:val="00E7171B"/>
    <w:rsid w:val="00E71766"/>
    <w:rsid w:val="00E717F2"/>
    <w:rsid w:val="00E71930"/>
    <w:rsid w:val="00E71A90"/>
    <w:rsid w:val="00E71BBF"/>
    <w:rsid w:val="00E71D2C"/>
    <w:rsid w:val="00E71D9F"/>
    <w:rsid w:val="00E71DD0"/>
    <w:rsid w:val="00E71E21"/>
    <w:rsid w:val="00E71E5A"/>
    <w:rsid w:val="00E71E62"/>
    <w:rsid w:val="00E71EEC"/>
    <w:rsid w:val="00E71F06"/>
    <w:rsid w:val="00E72186"/>
    <w:rsid w:val="00E72204"/>
    <w:rsid w:val="00E723DD"/>
    <w:rsid w:val="00E723FB"/>
    <w:rsid w:val="00E72431"/>
    <w:rsid w:val="00E72875"/>
    <w:rsid w:val="00E72897"/>
    <w:rsid w:val="00E728D3"/>
    <w:rsid w:val="00E7296E"/>
    <w:rsid w:val="00E72AAE"/>
    <w:rsid w:val="00E72AB1"/>
    <w:rsid w:val="00E72B04"/>
    <w:rsid w:val="00E72B5C"/>
    <w:rsid w:val="00E72C65"/>
    <w:rsid w:val="00E72C89"/>
    <w:rsid w:val="00E72F66"/>
    <w:rsid w:val="00E72FE9"/>
    <w:rsid w:val="00E7300E"/>
    <w:rsid w:val="00E73024"/>
    <w:rsid w:val="00E73043"/>
    <w:rsid w:val="00E73076"/>
    <w:rsid w:val="00E7307C"/>
    <w:rsid w:val="00E730AE"/>
    <w:rsid w:val="00E73275"/>
    <w:rsid w:val="00E7337B"/>
    <w:rsid w:val="00E7340B"/>
    <w:rsid w:val="00E734AD"/>
    <w:rsid w:val="00E734F2"/>
    <w:rsid w:val="00E73601"/>
    <w:rsid w:val="00E73672"/>
    <w:rsid w:val="00E736D3"/>
    <w:rsid w:val="00E736DD"/>
    <w:rsid w:val="00E73710"/>
    <w:rsid w:val="00E737EB"/>
    <w:rsid w:val="00E73824"/>
    <w:rsid w:val="00E73972"/>
    <w:rsid w:val="00E73A13"/>
    <w:rsid w:val="00E73A24"/>
    <w:rsid w:val="00E73AD8"/>
    <w:rsid w:val="00E73B4C"/>
    <w:rsid w:val="00E73BAE"/>
    <w:rsid w:val="00E73BC0"/>
    <w:rsid w:val="00E73C5C"/>
    <w:rsid w:val="00E73CA8"/>
    <w:rsid w:val="00E73E57"/>
    <w:rsid w:val="00E73EE8"/>
    <w:rsid w:val="00E73F0E"/>
    <w:rsid w:val="00E74000"/>
    <w:rsid w:val="00E74183"/>
    <w:rsid w:val="00E741E2"/>
    <w:rsid w:val="00E74299"/>
    <w:rsid w:val="00E74353"/>
    <w:rsid w:val="00E743D2"/>
    <w:rsid w:val="00E74461"/>
    <w:rsid w:val="00E7452A"/>
    <w:rsid w:val="00E74617"/>
    <w:rsid w:val="00E74691"/>
    <w:rsid w:val="00E746B5"/>
    <w:rsid w:val="00E74733"/>
    <w:rsid w:val="00E7475F"/>
    <w:rsid w:val="00E74877"/>
    <w:rsid w:val="00E74888"/>
    <w:rsid w:val="00E7499A"/>
    <w:rsid w:val="00E74A9E"/>
    <w:rsid w:val="00E74B51"/>
    <w:rsid w:val="00E74B90"/>
    <w:rsid w:val="00E74D38"/>
    <w:rsid w:val="00E74DAB"/>
    <w:rsid w:val="00E74E9F"/>
    <w:rsid w:val="00E74F6F"/>
    <w:rsid w:val="00E74FCE"/>
    <w:rsid w:val="00E750AC"/>
    <w:rsid w:val="00E75277"/>
    <w:rsid w:val="00E75284"/>
    <w:rsid w:val="00E752E9"/>
    <w:rsid w:val="00E75327"/>
    <w:rsid w:val="00E7534F"/>
    <w:rsid w:val="00E7539B"/>
    <w:rsid w:val="00E75424"/>
    <w:rsid w:val="00E757E6"/>
    <w:rsid w:val="00E758B0"/>
    <w:rsid w:val="00E7590C"/>
    <w:rsid w:val="00E75A63"/>
    <w:rsid w:val="00E75B3B"/>
    <w:rsid w:val="00E75C2C"/>
    <w:rsid w:val="00E75E08"/>
    <w:rsid w:val="00E75E11"/>
    <w:rsid w:val="00E75E2C"/>
    <w:rsid w:val="00E75F81"/>
    <w:rsid w:val="00E7605F"/>
    <w:rsid w:val="00E76186"/>
    <w:rsid w:val="00E76396"/>
    <w:rsid w:val="00E7643C"/>
    <w:rsid w:val="00E764D7"/>
    <w:rsid w:val="00E7680D"/>
    <w:rsid w:val="00E768E9"/>
    <w:rsid w:val="00E76A09"/>
    <w:rsid w:val="00E76B87"/>
    <w:rsid w:val="00E76BB8"/>
    <w:rsid w:val="00E76C85"/>
    <w:rsid w:val="00E76C8B"/>
    <w:rsid w:val="00E76D9F"/>
    <w:rsid w:val="00E76F87"/>
    <w:rsid w:val="00E76FBA"/>
    <w:rsid w:val="00E77026"/>
    <w:rsid w:val="00E770AE"/>
    <w:rsid w:val="00E7714F"/>
    <w:rsid w:val="00E77249"/>
    <w:rsid w:val="00E773ED"/>
    <w:rsid w:val="00E774E1"/>
    <w:rsid w:val="00E775EF"/>
    <w:rsid w:val="00E7765B"/>
    <w:rsid w:val="00E77760"/>
    <w:rsid w:val="00E77999"/>
    <w:rsid w:val="00E779D9"/>
    <w:rsid w:val="00E77A38"/>
    <w:rsid w:val="00E77AD0"/>
    <w:rsid w:val="00E77B02"/>
    <w:rsid w:val="00E77B08"/>
    <w:rsid w:val="00E77B09"/>
    <w:rsid w:val="00E77C3C"/>
    <w:rsid w:val="00E77C67"/>
    <w:rsid w:val="00E77D98"/>
    <w:rsid w:val="00E77F1A"/>
    <w:rsid w:val="00E800CC"/>
    <w:rsid w:val="00E802BA"/>
    <w:rsid w:val="00E80450"/>
    <w:rsid w:val="00E804D3"/>
    <w:rsid w:val="00E80543"/>
    <w:rsid w:val="00E805F3"/>
    <w:rsid w:val="00E8068C"/>
    <w:rsid w:val="00E80795"/>
    <w:rsid w:val="00E8088F"/>
    <w:rsid w:val="00E808A1"/>
    <w:rsid w:val="00E80918"/>
    <w:rsid w:val="00E8097D"/>
    <w:rsid w:val="00E80A2C"/>
    <w:rsid w:val="00E80A70"/>
    <w:rsid w:val="00E80AB1"/>
    <w:rsid w:val="00E80B09"/>
    <w:rsid w:val="00E80B1B"/>
    <w:rsid w:val="00E80B47"/>
    <w:rsid w:val="00E80BD2"/>
    <w:rsid w:val="00E80C1D"/>
    <w:rsid w:val="00E80C38"/>
    <w:rsid w:val="00E80C58"/>
    <w:rsid w:val="00E80C6E"/>
    <w:rsid w:val="00E80CDB"/>
    <w:rsid w:val="00E80D26"/>
    <w:rsid w:val="00E80FAA"/>
    <w:rsid w:val="00E812B4"/>
    <w:rsid w:val="00E8145C"/>
    <w:rsid w:val="00E814B4"/>
    <w:rsid w:val="00E81557"/>
    <w:rsid w:val="00E81598"/>
    <w:rsid w:val="00E815E4"/>
    <w:rsid w:val="00E8164E"/>
    <w:rsid w:val="00E816A4"/>
    <w:rsid w:val="00E816D5"/>
    <w:rsid w:val="00E81729"/>
    <w:rsid w:val="00E81867"/>
    <w:rsid w:val="00E819E4"/>
    <w:rsid w:val="00E81A97"/>
    <w:rsid w:val="00E81AAF"/>
    <w:rsid w:val="00E81B7B"/>
    <w:rsid w:val="00E81B7C"/>
    <w:rsid w:val="00E81BAA"/>
    <w:rsid w:val="00E81CCD"/>
    <w:rsid w:val="00E81D20"/>
    <w:rsid w:val="00E81E3B"/>
    <w:rsid w:val="00E81EE8"/>
    <w:rsid w:val="00E821B0"/>
    <w:rsid w:val="00E8224C"/>
    <w:rsid w:val="00E8240A"/>
    <w:rsid w:val="00E82575"/>
    <w:rsid w:val="00E82586"/>
    <w:rsid w:val="00E825BF"/>
    <w:rsid w:val="00E8266F"/>
    <w:rsid w:val="00E82673"/>
    <w:rsid w:val="00E826F9"/>
    <w:rsid w:val="00E826FE"/>
    <w:rsid w:val="00E82862"/>
    <w:rsid w:val="00E828CD"/>
    <w:rsid w:val="00E82917"/>
    <w:rsid w:val="00E82A17"/>
    <w:rsid w:val="00E82B6C"/>
    <w:rsid w:val="00E82BC0"/>
    <w:rsid w:val="00E82C73"/>
    <w:rsid w:val="00E82CB7"/>
    <w:rsid w:val="00E82DBB"/>
    <w:rsid w:val="00E82EFA"/>
    <w:rsid w:val="00E82F43"/>
    <w:rsid w:val="00E82FB3"/>
    <w:rsid w:val="00E83146"/>
    <w:rsid w:val="00E83383"/>
    <w:rsid w:val="00E83548"/>
    <w:rsid w:val="00E835B6"/>
    <w:rsid w:val="00E835CF"/>
    <w:rsid w:val="00E83688"/>
    <w:rsid w:val="00E836F4"/>
    <w:rsid w:val="00E8391B"/>
    <w:rsid w:val="00E8394F"/>
    <w:rsid w:val="00E83A47"/>
    <w:rsid w:val="00E83AC6"/>
    <w:rsid w:val="00E83B81"/>
    <w:rsid w:val="00E83BAF"/>
    <w:rsid w:val="00E83C4B"/>
    <w:rsid w:val="00E83C8D"/>
    <w:rsid w:val="00E83CD7"/>
    <w:rsid w:val="00E83F87"/>
    <w:rsid w:val="00E83FBD"/>
    <w:rsid w:val="00E8400C"/>
    <w:rsid w:val="00E8402C"/>
    <w:rsid w:val="00E84036"/>
    <w:rsid w:val="00E840B2"/>
    <w:rsid w:val="00E840E1"/>
    <w:rsid w:val="00E842B5"/>
    <w:rsid w:val="00E844B3"/>
    <w:rsid w:val="00E84624"/>
    <w:rsid w:val="00E8465C"/>
    <w:rsid w:val="00E846CE"/>
    <w:rsid w:val="00E846E3"/>
    <w:rsid w:val="00E847FC"/>
    <w:rsid w:val="00E84872"/>
    <w:rsid w:val="00E84B27"/>
    <w:rsid w:val="00E84B92"/>
    <w:rsid w:val="00E84BEB"/>
    <w:rsid w:val="00E84D34"/>
    <w:rsid w:val="00E84D41"/>
    <w:rsid w:val="00E84DE6"/>
    <w:rsid w:val="00E84E9A"/>
    <w:rsid w:val="00E84F17"/>
    <w:rsid w:val="00E850A5"/>
    <w:rsid w:val="00E850BA"/>
    <w:rsid w:val="00E850EC"/>
    <w:rsid w:val="00E85225"/>
    <w:rsid w:val="00E85258"/>
    <w:rsid w:val="00E85394"/>
    <w:rsid w:val="00E85484"/>
    <w:rsid w:val="00E854B4"/>
    <w:rsid w:val="00E85708"/>
    <w:rsid w:val="00E857AA"/>
    <w:rsid w:val="00E85844"/>
    <w:rsid w:val="00E8590F"/>
    <w:rsid w:val="00E85975"/>
    <w:rsid w:val="00E85979"/>
    <w:rsid w:val="00E85AB2"/>
    <w:rsid w:val="00E85B9F"/>
    <w:rsid w:val="00E85BA0"/>
    <w:rsid w:val="00E85C20"/>
    <w:rsid w:val="00E85D4D"/>
    <w:rsid w:val="00E85D85"/>
    <w:rsid w:val="00E85E6A"/>
    <w:rsid w:val="00E85EF5"/>
    <w:rsid w:val="00E85F55"/>
    <w:rsid w:val="00E86024"/>
    <w:rsid w:val="00E860EA"/>
    <w:rsid w:val="00E862F9"/>
    <w:rsid w:val="00E862FA"/>
    <w:rsid w:val="00E862FE"/>
    <w:rsid w:val="00E863C7"/>
    <w:rsid w:val="00E8643A"/>
    <w:rsid w:val="00E86488"/>
    <w:rsid w:val="00E864C4"/>
    <w:rsid w:val="00E864FA"/>
    <w:rsid w:val="00E86569"/>
    <w:rsid w:val="00E8668D"/>
    <w:rsid w:val="00E8671C"/>
    <w:rsid w:val="00E86774"/>
    <w:rsid w:val="00E867EC"/>
    <w:rsid w:val="00E8680F"/>
    <w:rsid w:val="00E868BA"/>
    <w:rsid w:val="00E86909"/>
    <w:rsid w:val="00E869EA"/>
    <w:rsid w:val="00E86A9A"/>
    <w:rsid w:val="00E86B39"/>
    <w:rsid w:val="00E86BC2"/>
    <w:rsid w:val="00E86C7E"/>
    <w:rsid w:val="00E86CED"/>
    <w:rsid w:val="00E86E2A"/>
    <w:rsid w:val="00E86E32"/>
    <w:rsid w:val="00E86F7C"/>
    <w:rsid w:val="00E871E6"/>
    <w:rsid w:val="00E8720A"/>
    <w:rsid w:val="00E872F7"/>
    <w:rsid w:val="00E87417"/>
    <w:rsid w:val="00E874C8"/>
    <w:rsid w:val="00E87594"/>
    <w:rsid w:val="00E87657"/>
    <w:rsid w:val="00E87A63"/>
    <w:rsid w:val="00E87C0D"/>
    <w:rsid w:val="00E87C22"/>
    <w:rsid w:val="00E87CAF"/>
    <w:rsid w:val="00E87D19"/>
    <w:rsid w:val="00E87E10"/>
    <w:rsid w:val="00E90174"/>
    <w:rsid w:val="00E90226"/>
    <w:rsid w:val="00E9027F"/>
    <w:rsid w:val="00E9028A"/>
    <w:rsid w:val="00E902A2"/>
    <w:rsid w:val="00E90384"/>
    <w:rsid w:val="00E90448"/>
    <w:rsid w:val="00E905C9"/>
    <w:rsid w:val="00E906F6"/>
    <w:rsid w:val="00E907AA"/>
    <w:rsid w:val="00E907B8"/>
    <w:rsid w:val="00E909E1"/>
    <w:rsid w:val="00E90B7D"/>
    <w:rsid w:val="00E90B87"/>
    <w:rsid w:val="00E90C64"/>
    <w:rsid w:val="00E90C75"/>
    <w:rsid w:val="00E90CA9"/>
    <w:rsid w:val="00E90D4E"/>
    <w:rsid w:val="00E90F23"/>
    <w:rsid w:val="00E90F58"/>
    <w:rsid w:val="00E90FB8"/>
    <w:rsid w:val="00E90FBC"/>
    <w:rsid w:val="00E91007"/>
    <w:rsid w:val="00E91050"/>
    <w:rsid w:val="00E9107A"/>
    <w:rsid w:val="00E910B3"/>
    <w:rsid w:val="00E91130"/>
    <w:rsid w:val="00E911C3"/>
    <w:rsid w:val="00E91260"/>
    <w:rsid w:val="00E91514"/>
    <w:rsid w:val="00E9166A"/>
    <w:rsid w:val="00E917F2"/>
    <w:rsid w:val="00E9185A"/>
    <w:rsid w:val="00E9188C"/>
    <w:rsid w:val="00E91966"/>
    <w:rsid w:val="00E91BA2"/>
    <w:rsid w:val="00E91C21"/>
    <w:rsid w:val="00E91DBA"/>
    <w:rsid w:val="00E91E59"/>
    <w:rsid w:val="00E91EEA"/>
    <w:rsid w:val="00E91FE4"/>
    <w:rsid w:val="00E9200A"/>
    <w:rsid w:val="00E9219C"/>
    <w:rsid w:val="00E921A0"/>
    <w:rsid w:val="00E921AA"/>
    <w:rsid w:val="00E921BE"/>
    <w:rsid w:val="00E92248"/>
    <w:rsid w:val="00E9231C"/>
    <w:rsid w:val="00E9232C"/>
    <w:rsid w:val="00E9233D"/>
    <w:rsid w:val="00E92771"/>
    <w:rsid w:val="00E927C5"/>
    <w:rsid w:val="00E928D2"/>
    <w:rsid w:val="00E929A0"/>
    <w:rsid w:val="00E92A01"/>
    <w:rsid w:val="00E92ADD"/>
    <w:rsid w:val="00E92B18"/>
    <w:rsid w:val="00E92B2D"/>
    <w:rsid w:val="00E92B8A"/>
    <w:rsid w:val="00E92C4E"/>
    <w:rsid w:val="00E92CC7"/>
    <w:rsid w:val="00E92D0F"/>
    <w:rsid w:val="00E92D53"/>
    <w:rsid w:val="00E92E58"/>
    <w:rsid w:val="00E92F00"/>
    <w:rsid w:val="00E92F06"/>
    <w:rsid w:val="00E92F08"/>
    <w:rsid w:val="00E92F34"/>
    <w:rsid w:val="00E930D6"/>
    <w:rsid w:val="00E93209"/>
    <w:rsid w:val="00E9322C"/>
    <w:rsid w:val="00E93245"/>
    <w:rsid w:val="00E93302"/>
    <w:rsid w:val="00E93372"/>
    <w:rsid w:val="00E93392"/>
    <w:rsid w:val="00E933D9"/>
    <w:rsid w:val="00E93403"/>
    <w:rsid w:val="00E93746"/>
    <w:rsid w:val="00E93758"/>
    <w:rsid w:val="00E9375F"/>
    <w:rsid w:val="00E9383C"/>
    <w:rsid w:val="00E938A4"/>
    <w:rsid w:val="00E93A57"/>
    <w:rsid w:val="00E93A6D"/>
    <w:rsid w:val="00E93B2F"/>
    <w:rsid w:val="00E93D8B"/>
    <w:rsid w:val="00E93DDD"/>
    <w:rsid w:val="00E93EAB"/>
    <w:rsid w:val="00E93F35"/>
    <w:rsid w:val="00E93F86"/>
    <w:rsid w:val="00E94057"/>
    <w:rsid w:val="00E94084"/>
    <w:rsid w:val="00E940CE"/>
    <w:rsid w:val="00E94136"/>
    <w:rsid w:val="00E94185"/>
    <w:rsid w:val="00E94194"/>
    <w:rsid w:val="00E94201"/>
    <w:rsid w:val="00E942A8"/>
    <w:rsid w:val="00E942C2"/>
    <w:rsid w:val="00E943DD"/>
    <w:rsid w:val="00E944FA"/>
    <w:rsid w:val="00E94720"/>
    <w:rsid w:val="00E94801"/>
    <w:rsid w:val="00E94837"/>
    <w:rsid w:val="00E94934"/>
    <w:rsid w:val="00E94A85"/>
    <w:rsid w:val="00E94ABD"/>
    <w:rsid w:val="00E94AE7"/>
    <w:rsid w:val="00E94AEF"/>
    <w:rsid w:val="00E94B6C"/>
    <w:rsid w:val="00E94BB7"/>
    <w:rsid w:val="00E94BF2"/>
    <w:rsid w:val="00E94C68"/>
    <w:rsid w:val="00E94D10"/>
    <w:rsid w:val="00E94E87"/>
    <w:rsid w:val="00E94ECE"/>
    <w:rsid w:val="00E950CF"/>
    <w:rsid w:val="00E950DE"/>
    <w:rsid w:val="00E95153"/>
    <w:rsid w:val="00E951AD"/>
    <w:rsid w:val="00E951F3"/>
    <w:rsid w:val="00E95215"/>
    <w:rsid w:val="00E95216"/>
    <w:rsid w:val="00E952FD"/>
    <w:rsid w:val="00E9542B"/>
    <w:rsid w:val="00E95498"/>
    <w:rsid w:val="00E9554F"/>
    <w:rsid w:val="00E956B8"/>
    <w:rsid w:val="00E95734"/>
    <w:rsid w:val="00E958C9"/>
    <w:rsid w:val="00E958D4"/>
    <w:rsid w:val="00E959B2"/>
    <w:rsid w:val="00E95B58"/>
    <w:rsid w:val="00E95BF1"/>
    <w:rsid w:val="00E95CFD"/>
    <w:rsid w:val="00E95D4B"/>
    <w:rsid w:val="00E9605E"/>
    <w:rsid w:val="00E9609A"/>
    <w:rsid w:val="00E96127"/>
    <w:rsid w:val="00E961A1"/>
    <w:rsid w:val="00E961B9"/>
    <w:rsid w:val="00E963A2"/>
    <w:rsid w:val="00E96623"/>
    <w:rsid w:val="00E9680C"/>
    <w:rsid w:val="00E96A7C"/>
    <w:rsid w:val="00E96AB6"/>
    <w:rsid w:val="00E96B30"/>
    <w:rsid w:val="00E96B38"/>
    <w:rsid w:val="00E96B77"/>
    <w:rsid w:val="00E96C8A"/>
    <w:rsid w:val="00E96D20"/>
    <w:rsid w:val="00E96D63"/>
    <w:rsid w:val="00E96DA8"/>
    <w:rsid w:val="00E96E7A"/>
    <w:rsid w:val="00E96FDF"/>
    <w:rsid w:val="00E97015"/>
    <w:rsid w:val="00E9710B"/>
    <w:rsid w:val="00E971BD"/>
    <w:rsid w:val="00E972E7"/>
    <w:rsid w:val="00E97360"/>
    <w:rsid w:val="00E97973"/>
    <w:rsid w:val="00E97A0A"/>
    <w:rsid w:val="00E97A3A"/>
    <w:rsid w:val="00E97B54"/>
    <w:rsid w:val="00E97DFE"/>
    <w:rsid w:val="00E97F7D"/>
    <w:rsid w:val="00EA0055"/>
    <w:rsid w:val="00EA0120"/>
    <w:rsid w:val="00EA01EC"/>
    <w:rsid w:val="00EA02E5"/>
    <w:rsid w:val="00EA04C4"/>
    <w:rsid w:val="00EA055A"/>
    <w:rsid w:val="00EA05EC"/>
    <w:rsid w:val="00EA0610"/>
    <w:rsid w:val="00EA0647"/>
    <w:rsid w:val="00EA0690"/>
    <w:rsid w:val="00EA06F4"/>
    <w:rsid w:val="00EA077E"/>
    <w:rsid w:val="00EA08E7"/>
    <w:rsid w:val="00EA0936"/>
    <w:rsid w:val="00EA0952"/>
    <w:rsid w:val="00EA09A1"/>
    <w:rsid w:val="00EA09B5"/>
    <w:rsid w:val="00EA09F9"/>
    <w:rsid w:val="00EA0AAE"/>
    <w:rsid w:val="00EA0B02"/>
    <w:rsid w:val="00EA0BFA"/>
    <w:rsid w:val="00EA0BFD"/>
    <w:rsid w:val="00EA0D0D"/>
    <w:rsid w:val="00EA1155"/>
    <w:rsid w:val="00EA12AE"/>
    <w:rsid w:val="00EA1549"/>
    <w:rsid w:val="00EA161F"/>
    <w:rsid w:val="00EA1664"/>
    <w:rsid w:val="00EA16D4"/>
    <w:rsid w:val="00EA1A9A"/>
    <w:rsid w:val="00EA1B2E"/>
    <w:rsid w:val="00EA1C6C"/>
    <w:rsid w:val="00EA1D73"/>
    <w:rsid w:val="00EA1E53"/>
    <w:rsid w:val="00EA1FAB"/>
    <w:rsid w:val="00EA1FAC"/>
    <w:rsid w:val="00EA2126"/>
    <w:rsid w:val="00EA213A"/>
    <w:rsid w:val="00EA21CE"/>
    <w:rsid w:val="00EA2207"/>
    <w:rsid w:val="00EA2306"/>
    <w:rsid w:val="00EA23E8"/>
    <w:rsid w:val="00EA249F"/>
    <w:rsid w:val="00EA2A1D"/>
    <w:rsid w:val="00EA2AF0"/>
    <w:rsid w:val="00EA2B6D"/>
    <w:rsid w:val="00EA2C05"/>
    <w:rsid w:val="00EA2C2C"/>
    <w:rsid w:val="00EA2CD9"/>
    <w:rsid w:val="00EA2D86"/>
    <w:rsid w:val="00EA3237"/>
    <w:rsid w:val="00EA33E7"/>
    <w:rsid w:val="00EA3474"/>
    <w:rsid w:val="00EA353A"/>
    <w:rsid w:val="00EA3586"/>
    <w:rsid w:val="00EA386D"/>
    <w:rsid w:val="00EA389F"/>
    <w:rsid w:val="00EA397C"/>
    <w:rsid w:val="00EA3BF0"/>
    <w:rsid w:val="00EA3C2B"/>
    <w:rsid w:val="00EA3CF1"/>
    <w:rsid w:val="00EA3D2F"/>
    <w:rsid w:val="00EA3E4B"/>
    <w:rsid w:val="00EA3F04"/>
    <w:rsid w:val="00EA40E0"/>
    <w:rsid w:val="00EA41ED"/>
    <w:rsid w:val="00EA4229"/>
    <w:rsid w:val="00EA42C8"/>
    <w:rsid w:val="00EA430C"/>
    <w:rsid w:val="00EA438A"/>
    <w:rsid w:val="00EA451D"/>
    <w:rsid w:val="00EA454C"/>
    <w:rsid w:val="00EA45C9"/>
    <w:rsid w:val="00EA46D6"/>
    <w:rsid w:val="00EA46ED"/>
    <w:rsid w:val="00EA46FC"/>
    <w:rsid w:val="00EA473D"/>
    <w:rsid w:val="00EA47B3"/>
    <w:rsid w:val="00EA48C2"/>
    <w:rsid w:val="00EA4974"/>
    <w:rsid w:val="00EA4AE1"/>
    <w:rsid w:val="00EA4B8C"/>
    <w:rsid w:val="00EA4C3E"/>
    <w:rsid w:val="00EA4CE4"/>
    <w:rsid w:val="00EA4DC0"/>
    <w:rsid w:val="00EA4DFA"/>
    <w:rsid w:val="00EA502E"/>
    <w:rsid w:val="00EA5033"/>
    <w:rsid w:val="00EA504C"/>
    <w:rsid w:val="00EA5065"/>
    <w:rsid w:val="00EA50BB"/>
    <w:rsid w:val="00EA52F4"/>
    <w:rsid w:val="00EA5357"/>
    <w:rsid w:val="00EA5480"/>
    <w:rsid w:val="00EA54DF"/>
    <w:rsid w:val="00EA55D5"/>
    <w:rsid w:val="00EA5674"/>
    <w:rsid w:val="00EA56A3"/>
    <w:rsid w:val="00EA56BF"/>
    <w:rsid w:val="00EA5816"/>
    <w:rsid w:val="00EA5826"/>
    <w:rsid w:val="00EA5895"/>
    <w:rsid w:val="00EA5AFA"/>
    <w:rsid w:val="00EA5BDC"/>
    <w:rsid w:val="00EA5D27"/>
    <w:rsid w:val="00EA5E5E"/>
    <w:rsid w:val="00EA5E92"/>
    <w:rsid w:val="00EA5FDB"/>
    <w:rsid w:val="00EA6073"/>
    <w:rsid w:val="00EA60E7"/>
    <w:rsid w:val="00EA61ED"/>
    <w:rsid w:val="00EA61F5"/>
    <w:rsid w:val="00EA6269"/>
    <w:rsid w:val="00EA62EE"/>
    <w:rsid w:val="00EA6348"/>
    <w:rsid w:val="00EA636C"/>
    <w:rsid w:val="00EA6395"/>
    <w:rsid w:val="00EA647B"/>
    <w:rsid w:val="00EA64F9"/>
    <w:rsid w:val="00EA6695"/>
    <w:rsid w:val="00EA66EF"/>
    <w:rsid w:val="00EA6701"/>
    <w:rsid w:val="00EA6709"/>
    <w:rsid w:val="00EA672F"/>
    <w:rsid w:val="00EA6886"/>
    <w:rsid w:val="00EA6941"/>
    <w:rsid w:val="00EA6994"/>
    <w:rsid w:val="00EA69A6"/>
    <w:rsid w:val="00EA6AD9"/>
    <w:rsid w:val="00EA6BC9"/>
    <w:rsid w:val="00EA6C0C"/>
    <w:rsid w:val="00EA6CDC"/>
    <w:rsid w:val="00EA6CF0"/>
    <w:rsid w:val="00EA6D8B"/>
    <w:rsid w:val="00EA6F6F"/>
    <w:rsid w:val="00EA6F8D"/>
    <w:rsid w:val="00EA6FA8"/>
    <w:rsid w:val="00EA6FAA"/>
    <w:rsid w:val="00EA705F"/>
    <w:rsid w:val="00EA7210"/>
    <w:rsid w:val="00EA7235"/>
    <w:rsid w:val="00EA72E5"/>
    <w:rsid w:val="00EA7523"/>
    <w:rsid w:val="00EA7671"/>
    <w:rsid w:val="00EA7A34"/>
    <w:rsid w:val="00EA7C7B"/>
    <w:rsid w:val="00EA7CE0"/>
    <w:rsid w:val="00EA7D4F"/>
    <w:rsid w:val="00EA7D9F"/>
    <w:rsid w:val="00EA7E08"/>
    <w:rsid w:val="00EA7EDD"/>
    <w:rsid w:val="00EB002D"/>
    <w:rsid w:val="00EB005D"/>
    <w:rsid w:val="00EB00F3"/>
    <w:rsid w:val="00EB01DC"/>
    <w:rsid w:val="00EB025B"/>
    <w:rsid w:val="00EB042E"/>
    <w:rsid w:val="00EB044F"/>
    <w:rsid w:val="00EB0524"/>
    <w:rsid w:val="00EB0869"/>
    <w:rsid w:val="00EB09BB"/>
    <w:rsid w:val="00EB09C1"/>
    <w:rsid w:val="00EB09C8"/>
    <w:rsid w:val="00EB0A23"/>
    <w:rsid w:val="00EB0A6D"/>
    <w:rsid w:val="00EB0B8A"/>
    <w:rsid w:val="00EB0BE5"/>
    <w:rsid w:val="00EB0C70"/>
    <w:rsid w:val="00EB0DAD"/>
    <w:rsid w:val="00EB0E4A"/>
    <w:rsid w:val="00EB0E65"/>
    <w:rsid w:val="00EB0F73"/>
    <w:rsid w:val="00EB10C9"/>
    <w:rsid w:val="00EB1165"/>
    <w:rsid w:val="00EB11D8"/>
    <w:rsid w:val="00EB1252"/>
    <w:rsid w:val="00EB1373"/>
    <w:rsid w:val="00EB158A"/>
    <w:rsid w:val="00EB15D2"/>
    <w:rsid w:val="00EB165A"/>
    <w:rsid w:val="00EB18C7"/>
    <w:rsid w:val="00EB19F7"/>
    <w:rsid w:val="00EB1B4D"/>
    <w:rsid w:val="00EB1BA9"/>
    <w:rsid w:val="00EB1C3A"/>
    <w:rsid w:val="00EB1C78"/>
    <w:rsid w:val="00EB1C7B"/>
    <w:rsid w:val="00EB1CD0"/>
    <w:rsid w:val="00EB1DE6"/>
    <w:rsid w:val="00EB1E10"/>
    <w:rsid w:val="00EB1EBC"/>
    <w:rsid w:val="00EB1EDA"/>
    <w:rsid w:val="00EB2083"/>
    <w:rsid w:val="00EB2133"/>
    <w:rsid w:val="00EB219D"/>
    <w:rsid w:val="00EB2205"/>
    <w:rsid w:val="00EB220A"/>
    <w:rsid w:val="00EB22B0"/>
    <w:rsid w:val="00EB2391"/>
    <w:rsid w:val="00EB241F"/>
    <w:rsid w:val="00EB259E"/>
    <w:rsid w:val="00EB25BE"/>
    <w:rsid w:val="00EB25C3"/>
    <w:rsid w:val="00EB2643"/>
    <w:rsid w:val="00EB270B"/>
    <w:rsid w:val="00EB2831"/>
    <w:rsid w:val="00EB28D4"/>
    <w:rsid w:val="00EB2930"/>
    <w:rsid w:val="00EB2969"/>
    <w:rsid w:val="00EB29A0"/>
    <w:rsid w:val="00EB29B8"/>
    <w:rsid w:val="00EB2A02"/>
    <w:rsid w:val="00EB2A33"/>
    <w:rsid w:val="00EB2A63"/>
    <w:rsid w:val="00EB2C23"/>
    <w:rsid w:val="00EB2CDE"/>
    <w:rsid w:val="00EB2D55"/>
    <w:rsid w:val="00EB2E6F"/>
    <w:rsid w:val="00EB305D"/>
    <w:rsid w:val="00EB307F"/>
    <w:rsid w:val="00EB30E9"/>
    <w:rsid w:val="00EB316A"/>
    <w:rsid w:val="00EB3212"/>
    <w:rsid w:val="00EB3216"/>
    <w:rsid w:val="00EB33F4"/>
    <w:rsid w:val="00EB3459"/>
    <w:rsid w:val="00EB34E1"/>
    <w:rsid w:val="00EB3567"/>
    <w:rsid w:val="00EB35FE"/>
    <w:rsid w:val="00EB362F"/>
    <w:rsid w:val="00EB36E6"/>
    <w:rsid w:val="00EB378C"/>
    <w:rsid w:val="00EB37D3"/>
    <w:rsid w:val="00EB3816"/>
    <w:rsid w:val="00EB384B"/>
    <w:rsid w:val="00EB3899"/>
    <w:rsid w:val="00EB3900"/>
    <w:rsid w:val="00EB39EE"/>
    <w:rsid w:val="00EB3A39"/>
    <w:rsid w:val="00EB3A3B"/>
    <w:rsid w:val="00EB3A52"/>
    <w:rsid w:val="00EB3AA1"/>
    <w:rsid w:val="00EB3AB6"/>
    <w:rsid w:val="00EB3ABE"/>
    <w:rsid w:val="00EB3D46"/>
    <w:rsid w:val="00EB3D73"/>
    <w:rsid w:val="00EB3DD5"/>
    <w:rsid w:val="00EB3EB6"/>
    <w:rsid w:val="00EB401A"/>
    <w:rsid w:val="00EB4068"/>
    <w:rsid w:val="00EB40DE"/>
    <w:rsid w:val="00EB42DA"/>
    <w:rsid w:val="00EB4323"/>
    <w:rsid w:val="00EB438E"/>
    <w:rsid w:val="00EB4484"/>
    <w:rsid w:val="00EB44BE"/>
    <w:rsid w:val="00EB44DD"/>
    <w:rsid w:val="00EB452B"/>
    <w:rsid w:val="00EB4591"/>
    <w:rsid w:val="00EB4607"/>
    <w:rsid w:val="00EB463B"/>
    <w:rsid w:val="00EB46CF"/>
    <w:rsid w:val="00EB4761"/>
    <w:rsid w:val="00EB4816"/>
    <w:rsid w:val="00EB4825"/>
    <w:rsid w:val="00EB4946"/>
    <w:rsid w:val="00EB4BB1"/>
    <w:rsid w:val="00EB4CB3"/>
    <w:rsid w:val="00EB4CBF"/>
    <w:rsid w:val="00EB4CCB"/>
    <w:rsid w:val="00EB4CDE"/>
    <w:rsid w:val="00EB4D64"/>
    <w:rsid w:val="00EB5130"/>
    <w:rsid w:val="00EB5178"/>
    <w:rsid w:val="00EB51E2"/>
    <w:rsid w:val="00EB5258"/>
    <w:rsid w:val="00EB527E"/>
    <w:rsid w:val="00EB52C2"/>
    <w:rsid w:val="00EB5309"/>
    <w:rsid w:val="00EB5401"/>
    <w:rsid w:val="00EB5428"/>
    <w:rsid w:val="00EB543E"/>
    <w:rsid w:val="00EB5442"/>
    <w:rsid w:val="00EB552D"/>
    <w:rsid w:val="00EB5569"/>
    <w:rsid w:val="00EB55BA"/>
    <w:rsid w:val="00EB5680"/>
    <w:rsid w:val="00EB5681"/>
    <w:rsid w:val="00EB56C7"/>
    <w:rsid w:val="00EB5716"/>
    <w:rsid w:val="00EB5757"/>
    <w:rsid w:val="00EB57C5"/>
    <w:rsid w:val="00EB584A"/>
    <w:rsid w:val="00EB58CC"/>
    <w:rsid w:val="00EB59C8"/>
    <w:rsid w:val="00EB59E6"/>
    <w:rsid w:val="00EB5A35"/>
    <w:rsid w:val="00EB5A57"/>
    <w:rsid w:val="00EB5AAC"/>
    <w:rsid w:val="00EB5B93"/>
    <w:rsid w:val="00EB5C2A"/>
    <w:rsid w:val="00EB5D40"/>
    <w:rsid w:val="00EB5D45"/>
    <w:rsid w:val="00EB5D83"/>
    <w:rsid w:val="00EB5EB5"/>
    <w:rsid w:val="00EB5EB7"/>
    <w:rsid w:val="00EB5EC1"/>
    <w:rsid w:val="00EB5F5E"/>
    <w:rsid w:val="00EB5F65"/>
    <w:rsid w:val="00EB5FB1"/>
    <w:rsid w:val="00EB6096"/>
    <w:rsid w:val="00EB60E1"/>
    <w:rsid w:val="00EB610D"/>
    <w:rsid w:val="00EB6246"/>
    <w:rsid w:val="00EB6582"/>
    <w:rsid w:val="00EB658D"/>
    <w:rsid w:val="00EB6679"/>
    <w:rsid w:val="00EB6701"/>
    <w:rsid w:val="00EB6711"/>
    <w:rsid w:val="00EB6782"/>
    <w:rsid w:val="00EB678E"/>
    <w:rsid w:val="00EB67F5"/>
    <w:rsid w:val="00EB68DF"/>
    <w:rsid w:val="00EB6902"/>
    <w:rsid w:val="00EB6911"/>
    <w:rsid w:val="00EB6A52"/>
    <w:rsid w:val="00EB6C80"/>
    <w:rsid w:val="00EB6C8F"/>
    <w:rsid w:val="00EB6CB7"/>
    <w:rsid w:val="00EB6D77"/>
    <w:rsid w:val="00EB6EA2"/>
    <w:rsid w:val="00EB6F5D"/>
    <w:rsid w:val="00EB6FA9"/>
    <w:rsid w:val="00EB7119"/>
    <w:rsid w:val="00EB737C"/>
    <w:rsid w:val="00EB7433"/>
    <w:rsid w:val="00EB75CD"/>
    <w:rsid w:val="00EB761D"/>
    <w:rsid w:val="00EB76FE"/>
    <w:rsid w:val="00EB78D1"/>
    <w:rsid w:val="00EB7A80"/>
    <w:rsid w:val="00EB7CA9"/>
    <w:rsid w:val="00EB7D63"/>
    <w:rsid w:val="00EB7E90"/>
    <w:rsid w:val="00EC012B"/>
    <w:rsid w:val="00EC01B2"/>
    <w:rsid w:val="00EC020A"/>
    <w:rsid w:val="00EC0279"/>
    <w:rsid w:val="00EC0313"/>
    <w:rsid w:val="00EC0442"/>
    <w:rsid w:val="00EC04E4"/>
    <w:rsid w:val="00EC0506"/>
    <w:rsid w:val="00EC059F"/>
    <w:rsid w:val="00EC05C9"/>
    <w:rsid w:val="00EC06A8"/>
    <w:rsid w:val="00EC06D2"/>
    <w:rsid w:val="00EC06DE"/>
    <w:rsid w:val="00EC06EB"/>
    <w:rsid w:val="00EC076A"/>
    <w:rsid w:val="00EC0784"/>
    <w:rsid w:val="00EC0790"/>
    <w:rsid w:val="00EC07BE"/>
    <w:rsid w:val="00EC07ED"/>
    <w:rsid w:val="00EC08D9"/>
    <w:rsid w:val="00EC0991"/>
    <w:rsid w:val="00EC09EB"/>
    <w:rsid w:val="00EC0DB6"/>
    <w:rsid w:val="00EC0E55"/>
    <w:rsid w:val="00EC0E82"/>
    <w:rsid w:val="00EC0EAF"/>
    <w:rsid w:val="00EC0F42"/>
    <w:rsid w:val="00EC1022"/>
    <w:rsid w:val="00EC1102"/>
    <w:rsid w:val="00EC1239"/>
    <w:rsid w:val="00EC1251"/>
    <w:rsid w:val="00EC1390"/>
    <w:rsid w:val="00EC1522"/>
    <w:rsid w:val="00EC15F3"/>
    <w:rsid w:val="00EC163A"/>
    <w:rsid w:val="00EC1719"/>
    <w:rsid w:val="00EC1727"/>
    <w:rsid w:val="00EC173B"/>
    <w:rsid w:val="00EC1792"/>
    <w:rsid w:val="00EC1BEE"/>
    <w:rsid w:val="00EC1CFE"/>
    <w:rsid w:val="00EC1D8B"/>
    <w:rsid w:val="00EC1E4E"/>
    <w:rsid w:val="00EC1ECD"/>
    <w:rsid w:val="00EC1F69"/>
    <w:rsid w:val="00EC1FD6"/>
    <w:rsid w:val="00EC2060"/>
    <w:rsid w:val="00EC2170"/>
    <w:rsid w:val="00EC21BE"/>
    <w:rsid w:val="00EC2284"/>
    <w:rsid w:val="00EC24BF"/>
    <w:rsid w:val="00EC25FD"/>
    <w:rsid w:val="00EC2618"/>
    <w:rsid w:val="00EC262C"/>
    <w:rsid w:val="00EC270E"/>
    <w:rsid w:val="00EC2793"/>
    <w:rsid w:val="00EC2815"/>
    <w:rsid w:val="00EC283A"/>
    <w:rsid w:val="00EC2871"/>
    <w:rsid w:val="00EC28B6"/>
    <w:rsid w:val="00EC2ABB"/>
    <w:rsid w:val="00EC2B94"/>
    <w:rsid w:val="00EC2BA6"/>
    <w:rsid w:val="00EC2D62"/>
    <w:rsid w:val="00EC2E8D"/>
    <w:rsid w:val="00EC2EBC"/>
    <w:rsid w:val="00EC302E"/>
    <w:rsid w:val="00EC30F9"/>
    <w:rsid w:val="00EC3118"/>
    <w:rsid w:val="00EC3284"/>
    <w:rsid w:val="00EC32F3"/>
    <w:rsid w:val="00EC3398"/>
    <w:rsid w:val="00EC359C"/>
    <w:rsid w:val="00EC36EB"/>
    <w:rsid w:val="00EC36FF"/>
    <w:rsid w:val="00EC3720"/>
    <w:rsid w:val="00EC374E"/>
    <w:rsid w:val="00EC3752"/>
    <w:rsid w:val="00EC3771"/>
    <w:rsid w:val="00EC37DD"/>
    <w:rsid w:val="00EC381A"/>
    <w:rsid w:val="00EC3A4C"/>
    <w:rsid w:val="00EC3A52"/>
    <w:rsid w:val="00EC3B45"/>
    <w:rsid w:val="00EC3B76"/>
    <w:rsid w:val="00EC3BBC"/>
    <w:rsid w:val="00EC3C5D"/>
    <w:rsid w:val="00EC3DB8"/>
    <w:rsid w:val="00EC3ECD"/>
    <w:rsid w:val="00EC41EA"/>
    <w:rsid w:val="00EC42D4"/>
    <w:rsid w:val="00EC4468"/>
    <w:rsid w:val="00EC44F0"/>
    <w:rsid w:val="00EC451C"/>
    <w:rsid w:val="00EC45FA"/>
    <w:rsid w:val="00EC486C"/>
    <w:rsid w:val="00EC495D"/>
    <w:rsid w:val="00EC49EE"/>
    <w:rsid w:val="00EC4A6B"/>
    <w:rsid w:val="00EC4A94"/>
    <w:rsid w:val="00EC4AD6"/>
    <w:rsid w:val="00EC4B48"/>
    <w:rsid w:val="00EC4CC1"/>
    <w:rsid w:val="00EC4F4B"/>
    <w:rsid w:val="00EC50C4"/>
    <w:rsid w:val="00EC51DB"/>
    <w:rsid w:val="00EC5221"/>
    <w:rsid w:val="00EC526A"/>
    <w:rsid w:val="00EC53B8"/>
    <w:rsid w:val="00EC5406"/>
    <w:rsid w:val="00EC545E"/>
    <w:rsid w:val="00EC5634"/>
    <w:rsid w:val="00EC5664"/>
    <w:rsid w:val="00EC57FC"/>
    <w:rsid w:val="00EC582D"/>
    <w:rsid w:val="00EC5913"/>
    <w:rsid w:val="00EC596E"/>
    <w:rsid w:val="00EC59E3"/>
    <w:rsid w:val="00EC59EA"/>
    <w:rsid w:val="00EC5A41"/>
    <w:rsid w:val="00EC5AB9"/>
    <w:rsid w:val="00EC5B21"/>
    <w:rsid w:val="00EC5C42"/>
    <w:rsid w:val="00EC5C5D"/>
    <w:rsid w:val="00EC5CEF"/>
    <w:rsid w:val="00EC5D73"/>
    <w:rsid w:val="00EC5DEA"/>
    <w:rsid w:val="00EC5E1A"/>
    <w:rsid w:val="00EC5EA8"/>
    <w:rsid w:val="00EC5F31"/>
    <w:rsid w:val="00EC5F70"/>
    <w:rsid w:val="00EC611C"/>
    <w:rsid w:val="00EC61D7"/>
    <w:rsid w:val="00EC61FE"/>
    <w:rsid w:val="00EC63E4"/>
    <w:rsid w:val="00EC6410"/>
    <w:rsid w:val="00EC65BE"/>
    <w:rsid w:val="00EC65FF"/>
    <w:rsid w:val="00EC6689"/>
    <w:rsid w:val="00EC66AF"/>
    <w:rsid w:val="00EC673A"/>
    <w:rsid w:val="00EC6957"/>
    <w:rsid w:val="00EC69CA"/>
    <w:rsid w:val="00EC6A07"/>
    <w:rsid w:val="00EC6A82"/>
    <w:rsid w:val="00EC6B3C"/>
    <w:rsid w:val="00EC6B94"/>
    <w:rsid w:val="00EC6B9A"/>
    <w:rsid w:val="00EC6CAA"/>
    <w:rsid w:val="00EC6D83"/>
    <w:rsid w:val="00EC6DE3"/>
    <w:rsid w:val="00EC6E58"/>
    <w:rsid w:val="00EC6FE6"/>
    <w:rsid w:val="00EC7034"/>
    <w:rsid w:val="00EC7062"/>
    <w:rsid w:val="00EC706A"/>
    <w:rsid w:val="00EC708C"/>
    <w:rsid w:val="00EC711D"/>
    <w:rsid w:val="00EC71D2"/>
    <w:rsid w:val="00EC721C"/>
    <w:rsid w:val="00EC7226"/>
    <w:rsid w:val="00EC72CC"/>
    <w:rsid w:val="00EC730C"/>
    <w:rsid w:val="00EC7315"/>
    <w:rsid w:val="00EC7347"/>
    <w:rsid w:val="00EC7455"/>
    <w:rsid w:val="00EC7944"/>
    <w:rsid w:val="00EC7A58"/>
    <w:rsid w:val="00EC7B1A"/>
    <w:rsid w:val="00EC7B5C"/>
    <w:rsid w:val="00EC7D8D"/>
    <w:rsid w:val="00EC7ED2"/>
    <w:rsid w:val="00ED0057"/>
    <w:rsid w:val="00ED0063"/>
    <w:rsid w:val="00ED0175"/>
    <w:rsid w:val="00ED01B8"/>
    <w:rsid w:val="00ED020D"/>
    <w:rsid w:val="00ED0443"/>
    <w:rsid w:val="00ED04E5"/>
    <w:rsid w:val="00ED0579"/>
    <w:rsid w:val="00ED06DD"/>
    <w:rsid w:val="00ED06E6"/>
    <w:rsid w:val="00ED06ED"/>
    <w:rsid w:val="00ED06F2"/>
    <w:rsid w:val="00ED0701"/>
    <w:rsid w:val="00ED07C8"/>
    <w:rsid w:val="00ED08BB"/>
    <w:rsid w:val="00ED098B"/>
    <w:rsid w:val="00ED09AB"/>
    <w:rsid w:val="00ED09D3"/>
    <w:rsid w:val="00ED0A9E"/>
    <w:rsid w:val="00ED0D3B"/>
    <w:rsid w:val="00ED103B"/>
    <w:rsid w:val="00ED1176"/>
    <w:rsid w:val="00ED1194"/>
    <w:rsid w:val="00ED1383"/>
    <w:rsid w:val="00ED139F"/>
    <w:rsid w:val="00ED1484"/>
    <w:rsid w:val="00ED15E1"/>
    <w:rsid w:val="00ED17E7"/>
    <w:rsid w:val="00ED18F6"/>
    <w:rsid w:val="00ED1AB2"/>
    <w:rsid w:val="00ED1AFA"/>
    <w:rsid w:val="00ED1BE9"/>
    <w:rsid w:val="00ED1CB8"/>
    <w:rsid w:val="00ED1CC4"/>
    <w:rsid w:val="00ED1D99"/>
    <w:rsid w:val="00ED1F2C"/>
    <w:rsid w:val="00ED2005"/>
    <w:rsid w:val="00ED200C"/>
    <w:rsid w:val="00ED2119"/>
    <w:rsid w:val="00ED24B3"/>
    <w:rsid w:val="00ED2565"/>
    <w:rsid w:val="00ED25F0"/>
    <w:rsid w:val="00ED2754"/>
    <w:rsid w:val="00ED28BA"/>
    <w:rsid w:val="00ED2909"/>
    <w:rsid w:val="00ED296F"/>
    <w:rsid w:val="00ED29C6"/>
    <w:rsid w:val="00ED29D7"/>
    <w:rsid w:val="00ED2B44"/>
    <w:rsid w:val="00ED2BE2"/>
    <w:rsid w:val="00ED2CC8"/>
    <w:rsid w:val="00ED2D4B"/>
    <w:rsid w:val="00ED2DA6"/>
    <w:rsid w:val="00ED2E18"/>
    <w:rsid w:val="00ED2E54"/>
    <w:rsid w:val="00ED3036"/>
    <w:rsid w:val="00ED3043"/>
    <w:rsid w:val="00ED31A9"/>
    <w:rsid w:val="00ED32AC"/>
    <w:rsid w:val="00ED3387"/>
    <w:rsid w:val="00ED33C0"/>
    <w:rsid w:val="00ED3493"/>
    <w:rsid w:val="00ED34AC"/>
    <w:rsid w:val="00ED34D5"/>
    <w:rsid w:val="00ED34E3"/>
    <w:rsid w:val="00ED34E4"/>
    <w:rsid w:val="00ED34F9"/>
    <w:rsid w:val="00ED36D1"/>
    <w:rsid w:val="00ED3750"/>
    <w:rsid w:val="00ED37C0"/>
    <w:rsid w:val="00ED3827"/>
    <w:rsid w:val="00ED3949"/>
    <w:rsid w:val="00ED3959"/>
    <w:rsid w:val="00ED3989"/>
    <w:rsid w:val="00ED3B96"/>
    <w:rsid w:val="00ED3D19"/>
    <w:rsid w:val="00ED3D95"/>
    <w:rsid w:val="00ED3E51"/>
    <w:rsid w:val="00ED3EA2"/>
    <w:rsid w:val="00ED3EAD"/>
    <w:rsid w:val="00ED3EB8"/>
    <w:rsid w:val="00ED3EFF"/>
    <w:rsid w:val="00ED3F77"/>
    <w:rsid w:val="00ED4127"/>
    <w:rsid w:val="00ED4162"/>
    <w:rsid w:val="00ED41FB"/>
    <w:rsid w:val="00ED42EA"/>
    <w:rsid w:val="00ED4427"/>
    <w:rsid w:val="00ED45D4"/>
    <w:rsid w:val="00ED4613"/>
    <w:rsid w:val="00ED46DB"/>
    <w:rsid w:val="00ED475D"/>
    <w:rsid w:val="00ED480B"/>
    <w:rsid w:val="00ED4900"/>
    <w:rsid w:val="00ED4983"/>
    <w:rsid w:val="00ED49D9"/>
    <w:rsid w:val="00ED4A87"/>
    <w:rsid w:val="00ED4ADE"/>
    <w:rsid w:val="00ED4AF0"/>
    <w:rsid w:val="00ED4B0F"/>
    <w:rsid w:val="00ED4BAB"/>
    <w:rsid w:val="00ED4D0F"/>
    <w:rsid w:val="00ED4DB5"/>
    <w:rsid w:val="00ED4DD4"/>
    <w:rsid w:val="00ED4E16"/>
    <w:rsid w:val="00ED4E1B"/>
    <w:rsid w:val="00ED4E9E"/>
    <w:rsid w:val="00ED4EAA"/>
    <w:rsid w:val="00ED4ED4"/>
    <w:rsid w:val="00ED4ED9"/>
    <w:rsid w:val="00ED5031"/>
    <w:rsid w:val="00ED5052"/>
    <w:rsid w:val="00ED50CA"/>
    <w:rsid w:val="00ED51B6"/>
    <w:rsid w:val="00ED53FC"/>
    <w:rsid w:val="00ED540A"/>
    <w:rsid w:val="00ED5514"/>
    <w:rsid w:val="00ED56A2"/>
    <w:rsid w:val="00ED56C9"/>
    <w:rsid w:val="00ED583A"/>
    <w:rsid w:val="00ED58DA"/>
    <w:rsid w:val="00ED592D"/>
    <w:rsid w:val="00ED594F"/>
    <w:rsid w:val="00ED5AB3"/>
    <w:rsid w:val="00ED5B3F"/>
    <w:rsid w:val="00ED5BC5"/>
    <w:rsid w:val="00ED5E1E"/>
    <w:rsid w:val="00ED5EBE"/>
    <w:rsid w:val="00ED5EC6"/>
    <w:rsid w:val="00ED5F24"/>
    <w:rsid w:val="00ED6056"/>
    <w:rsid w:val="00ED60F4"/>
    <w:rsid w:val="00ED6233"/>
    <w:rsid w:val="00ED62DB"/>
    <w:rsid w:val="00ED6391"/>
    <w:rsid w:val="00ED6528"/>
    <w:rsid w:val="00ED6602"/>
    <w:rsid w:val="00ED668F"/>
    <w:rsid w:val="00ED6717"/>
    <w:rsid w:val="00ED6820"/>
    <w:rsid w:val="00ED68C4"/>
    <w:rsid w:val="00ED692A"/>
    <w:rsid w:val="00ED6BC3"/>
    <w:rsid w:val="00ED6C15"/>
    <w:rsid w:val="00ED6C2D"/>
    <w:rsid w:val="00ED6DD1"/>
    <w:rsid w:val="00ED6E50"/>
    <w:rsid w:val="00ED6FE3"/>
    <w:rsid w:val="00ED72E1"/>
    <w:rsid w:val="00ED74D1"/>
    <w:rsid w:val="00ED754C"/>
    <w:rsid w:val="00ED7553"/>
    <w:rsid w:val="00ED765E"/>
    <w:rsid w:val="00ED7755"/>
    <w:rsid w:val="00ED7792"/>
    <w:rsid w:val="00ED78DE"/>
    <w:rsid w:val="00ED7A68"/>
    <w:rsid w:val="00ED7BDF"/>
    <w:rsid w:val="00ED7C26"/>
    <w:rsid w:val="00ED7CA7"/>
    <w:rsid w:val="00ED7CAE"/>
    <w:rsid w:val="00ED7D3F"/>
    <w:rsid w:val="00ED7E79"/>
    <w:rsid w:val="00ED7F31"/>
    <w:rsid w:val="00ED7F92"/>
    <w:rsid w:val="00ED7F93"/>
    <w:rsid w:val="00EE0232"/>
    <w:rsid w:val="00EE039D"/>
    <w:rsid w:val="00EE0517"/>
    <w:rsid w:val="00EE05D8"/>
    <w:rsid w:val="00EE0624"/>
    <w:rsid w:val="00EE06E6"/>
    <w:rsid w:val="00EE070A"/>
    <w:rsid w:val="00EE07FE"/>
    <w:rsid w:val="00EE0811"/>
    <w:rsid w:val="00EE0839"/>
    <w:rsid w:val="00EE0A97"/>
    <w:rsid w:val="00EE0AD0"/>
    <w:rsid w:val="00EE0B36"/>
    <w:rsid w:val="00EE0C00"/>
    <w:rsid w:val="00EE0C3E"/>
    <w:rsid w:val="00EE0CC6"/>
    <w:rsid w:val="00EE0D1A"/>
    <w:rsid w:val="00EE0D21"/>
    <w:rsid w:val="00EE0DD3"/>
    <w:rsid w:val="00EE0E74"/>
    <w:rsid w:val="00EE0E90"/>
    <w:rsid w:val="00EE0E98"/>
    <w:rsid w:val="00EE10CE"/>
    <w:rsid w:val="00EE10F8"/>
    <w:rsid w:val="00EE1224"/>
    <w:rsid w:val="00EE12B2"/>
    <w:rsid w:val="00EE1396"/>
    <w:rsid w:val="00EE13E7"/>
    <w:rsid w:val="00EE1423"/>
    <w:rsid w:val="00EE1565"/>
    <w:rsid w:val="00EE15DC"/>
    <w:rsid w:val="00EE1604"/>
    <w:rsid w:val="00EE16A7"/>
    <w:rsid w:val="00EE171E"/>
    <w:rsid w:val="00EE18C3"/>
    <w:rsid w:val="00EE18F8"/>
    <w:rsid w:val="00EE19D3"/>
    <w:rsid w:val="00EE1A73"/>
    <w:rsid w:val="00EE1B1A"/>
    <w:rsid w:val="00EE1D3A"/>
    <w:rsid w:val="00EE1D62"/>
    <w:rsid w:val="00EE1DD4"/>
    <w:rsid w:val="00EE1E85"/>
    <w:rsid w:val="00EE1F05"/>
    <w:rsid w:val="00EE1FCB"/>
    <w:rsid w:val="00EE243C"/>
    <w:rsid w:val="00EE247E"/>
    <w:rsid w:val="00EE2482"/>
    <w:rsid w:val="00EE25E6"/>
    <w:rsid w:val="00EE2735"/>
    <w:rsid w:val="00EE273E"/>
    <w:rsid w:val="00EE285E"/>
    <w:rsid w:val="00EE2912"/>
    <w:rsid w:val="00EE29FD"/>
    <w:rsid w:val="00EE2A34"/>
    <w:rsid w:val="00EE2A90"/>
    <w:rsid w:val="00EE2AA9"/>
    <w:rsid w:val="00EE2BEB"/>
    <w:rsid w:val="00EE2C0D"/>
    <w:rsid w:val="00EE2CBF"/>
    <w:rsid w:val="00EE2E54"/>
    <w:rsid w:val="00EE2F47"/>
    <w:rsid w:val="00EE2FB6"/>
    <w:rsid w:val="00EE3001"/>
    <w:rsid w:val="00EE3048"/>
    <w:rsid w:val="00EE3095"/>
    <w:rsid w:val="00EE309C"/>
    <w:rsid w:val="00EE3368"/>
    <w:rsid w:val="00EE33FB"/>
    <w:rsid w:val="00EE355F"/>
    <w:rsid w:val="00EE35CC"/>
    <w:rsid w:val="00EE3649"/>
    <w:rsid w:val="00EE368C"/>
    <w:rsid w:val="00EE380F"/>
    <w:rsid w:val="00EE385B"/>
    <w:rsid w:val="00EE3870"/>
    <w:rsid w:val="00EE3875"/>
    <w:rsid w:val="00EE3884"/>
    <w:rsid w:val="00EE3B27"/>
    <w:rsid w:val="00EE3B8F"/>
    <w:rsid w:val="00EE3BAA"/>
    <w:rsid w:val="00EE3BC1"/>
    <w:rsid w:val="00EE3C10"/>
    <w:rsid w:val="00EE3C56"/>
    <w:rsid w:val="00EE3C70"/>
    <w:rsid w:val="00EE3D2F"/>
    <w:rsid w:val="00EE40A1"/>
    <w:rsid w:val="00EE40CB"/>
    <w:rsid w:val="00EE41A0"/>
    <w:rsid w:val="00EE41B4"/>
    <w:rsid w:val="00EE4265"/>
    <w:rsid w:val="00EE4431"/>
    <w:rsid w:val="00EE4464"/>
    <w:rsid w:val="00EE45C7"/>
    <w:rsid w:val="00EE4604"/>
    <w:rsid w:val="00EE4607"/>
    <w:rsid w:val="00EE48CC"/>
    <w:rsid w:val="00EE493C"/>
    <w:rsid w:val="00EE4AE1"/>
    <w:rsid w:val="00EE4C09"/>
    <w:rsid w:val="00EE4EE6"/>
    <w:rsid w:val="00EE4F77"/>
    <w:rsid w:val="00EE4F84"/>
    <w:rsid w:val="00EE4FFD"/>
    <w:rsid w:val="00EE5133"/>
    <w:rsid w:val="00EE52F9"/>
    <w:rsid w:val="00EE540F"/>
    <w:rsid w:val="00EE54F4"/>
    <w:rsid w:val="00EE5514"/>
    <w:rsid w:val="00EE5539"/>
    <w:rsid w:val="00EE5641"/>
    <w:rsid w:val="00EE564B"/>
    <w:rsid w:val="00EE58F2"/>
    <w:rsid w:val="00EE595F"/>
    <w:rsid w:val="00EE5983"/>
    <w:rsid w:val="00EE59FA"/>
    <w:rsid w:val="00EE5AA0"/>
    <w:rsid w:val="00EE5AEF"/>
    <w:rsid w:val="00EE5E75"/>
    <w:rsid w:val="00EE5F87"/>
    <w:rsid w:val="00EE5FA4"/>
    <w:rsid w:val="00EE6154"/>
    <w:rsid w:val="00EE61AD"/>
    <w:rsid w:val="00EE61B8"/>
    <w:rsid w:val="00EE61BC"/>
    <w:rsid w:val="00EE626B"/>
    <w:rsid w:val="00EE62C8"/>
    <w:rsid w:val="00EE63BC"/>
    <w:rsid w:val="00EE63FE"/>
    <w:rsid w:val="00EE6414"/>
    <w:rsid w:val="00EE6551"/>
    <w:rsid w:val="00EE6656"/>
    <w:rsid w:val="00EE6662"/>
    <w:rsid w:val="00EE6695"/>
    <w:rsid w:val="00EE66BD"/>
    <w:rsid w:val="00EE6721"/>
    <w:rsid w:val="00EE6842"/>
    <w:rsid w:val="00EE6964"/>
    <w:rsid w:val="00EE697A"/>
    <w:rsid w:val="00EE6AF3"/>
    <w:rsid w:val="00EE6B32"/>
    <w:rsid w:val="00EE6BBC"/>
    <w:rsid w:val="00EE6BEA"/>
    <w:rsid w:val="00EE6BEB"/>
    <w:rsid w:val="00EE6C9B"/>
    <w:rsid w:val="00EE6DF0"/>
    <w:rsid w:val="00EE6E38"/>
    <w:rsid w:val="00EE704D"/>
    <w:rsid w:val="00EE7066"/>
    <w:rsid w:val="00EE70F5"/>
    <w:rsid w:val="00EE7142"/>
    <w:rsid w:val="00EE716A"/>
    <w:rsid w:val="00EE7232"/>
    <w:rsid w:val="00EE72AA"/>
    <w:rsid w:val="00EE74B7"/>
    <w:rsid w:val="00EE7527"/>
    <w:rsid w:val="00EE7680"/>
    <w:rsid w:val="00EE770B"/>
    <w:rsid w:val="00EE7A6B"/>
    <w:rsid w:val="00EE7A93"/>
    <w:rsid w:val="00EE7BB8"/>
    <w:rsid w:val="00EE7C4E"/>
    <w:rsid w:val="00EE7CC6"/>
    <w:rsid w:val="00EE7D11"/>
    <w:rsid w:val="00EE7E01"/>
    <w:rsid w:val="00EE7E4E"/>
    <w:rsid w:val="00EF0093"/>
    <w:rsid w:val="00EF015A"/>
    <w:rsid w:val="00EF0409"/>
    <w:rsid w:val="00EF04BD"/>
    <w:rsid w:val="00EF0530"/>
    <w:rsid w:val="00EF06B0"/>
    <w:rsid w:val="00EF074B"/>
    <w:rsid w:val="00EF079E"/>
    <w:rsid w:val="00EF08C7"/>
    <w:rsid w:val="00EF0A47"/>
    <w:rsid w:val="00EF0B40"/>
    <w:rsid w:val="00EF0B9F"/>
    <w:rsid w:val="00EF0C2E"/>
    <w:rsid w:val="00EF0C56"/>
    <w:rsid w:val="00EF0C5F"/>
    <w:rsid w:val="00EF0D44"/>
    <w:rsid w:val="00EF0DC3"/>
    <w:rsid w:val="00EF0E8F"/>
    <w:rsid w:val="00EF0F08"/>
    <w:rsid w:val="00EF0F76"/>
    <w:rsid w:val="00EF0FD7"/>
    <w:rsid w:val="00EF1193"/>
    <w:rsid w:val="00EF1290"/>
    <w:rsid w:val="00EF134D"/>
    <w:rsid w:val="00EF171D"/>
    <w:rsid w:val="00EF1833"/>
    <w:rsid w:val="00EF1871"/>
    <w:rsid w:val="00EF196A"/>
    <w:rsid w:val="00EF1975"/>
    <w:rsid w:val="00EF19B2"/>
    <w:rsid w:val="00EF1B78"/>
    <w:rsid w:val="00EF1BE3"/>
    <w:rsid w:val="00EF1E06"/>
    <w:rsid w:val="00EF1EFB"/>
    <w:rsid w:val="00EF1F01"/>
    <w:rsid w:val="00EF1F82"/>
    <w:rsid w:val="00EF1FAE"/>
    <w:rsid w:val="00EF1FBC"/>
    <w:rsid w:val="00EF1FFF"/>
    <w:rsid w:val="00EF21D6"/>
    <w:rsid w:val="00EF2361"/>
    <w:rsid w:val="00EF237F"/>
    <w:rsid w:val="00EF2398"/>
    <w:rsid w:val="00EF2403"/>
    <w:rsid w:val="00EF2533"/>
    <w:rsid w:val="00EF2576"/>
    <w:rsid w:val="00EF267D"/>
    <w:rsid w:val="00EF26BA"/>
    <w:rsid w:val="00EF26FB"/>
    <w:rsid w:val="00EF2710"/>
    <w:rsid w:val="00EF2824"/>
    <w:rsid w:val="00EF28F8"/>
    <w:rsid w:val="00EF294B"/>
    <w:rsid w:val="00EF2ABC"/>
    <w:rsid w:val="00EF2C65"/>
    <w:rsid w:val="00EF2CA3"/>
    <w:rsid w:val="00EF2D59"/>
    <w:rsid w:val="00EF2D87"/>
    <w:rsid w:val="00EF2F5A"/>
    <w:rsid w:val="00EF2FA0"/>
    <w:rsid w:val="00EF317C"/>
    <w:rsid w:val="00EF320B"/>
    <w:rsid w:val="00EF32A3"/>
    <w:rsid w:val="00EF338B"/>
    <w:rsid w:val="00EF344C"/>
    <w:rsid w:val="00EF34DE"/>
    <w:rsid w:val="00EF3504"/>
    <w:rsid w:val="00EF37B1"/>
    <w:rsid w:val="00EF37D5"/>
    <w:rsid w:val="00EF396A"/>
    <w:rsid w:val="00EF3985"/>
    <w:rsid w:val="00EF3987"/>
    <w:rsid w:val="00EF3996"/>
    <w:rsid w:val="00EF3A71"/>
    <w:rsid w:val="00EF3ABF"/>
    <w:rsid w:val="00EF3AEE"/>
    <w:rsid w:val="00EF3B60"/>
    <w:rsid w:val="00EF3CBE"/>
    <w:rsid w:val="00EF3F02"/>
    <w:rsid w:val="00EF402F"/>
    <w:rsid w:val="00EF4082"/>
    <w:rsid w:val="00EF4125"/>
    <w:rsid w:val="00EF4163"/>
    <w:rsid w:val="00EF4442"/>
    <w:rsid w:val="00EF4484"/>
    <w:rsid w:val="00EF466D"/>
    <w:rsid w:val="00EF4731"/>
    <w:rsid w:val="00EF4749"/>
    <w:rsid w:val="00EF4765"/>
    <w:rsid w:val="00EF488D"/>
    <w:rsid w:val="00EF49F0"/>
    <w:rsid w:val="00EF4A67"/>
    <w:rsid w:val="00EF4A71"/>
    <w:rsid w:val="00EF4AF6"/>
    <w:rsid w:val="00EF4CB2"/>
    <w:rsid w:val="00EF4CC9"/>
    <w:rsid w:val="00EF4CEB"/>
    <w:rsid w:val="00EF4D26"/>
    <w:rsid w:val="00EF4DCD"/>
    <w:rsid w:val="00EF4E1F"/>
    <w:rsid w:val="00EF4E57"/>
    <w:rsid w:val="00EF5018"/>
    <w:rsid w:val="00EF5023"/>
    <w:rsid w:val="00EF50E8"/>
    <w:rsid w:val="00EF51E7"/>
    <w:rsid w:val="00EF5293"/>
    <w:rsid w:val="00EF52BF"/>
    <w:rsid w:val="00EF5356"/>
    <w:rsid w:val="00EF543B"/>
    <w:rsid w:val="00EF548B"/>
    <w:rsid w:val="00EF5555"/>
    <w:rsid w:val="00EF559E"/>
    <w:rsid w:val="00EF560B"/>
    <w:rsid w:val="00EF5617"/>
    <w:rsid w:val="00EF561C"/>
    <w:rsid w:val="00EF57C5"/>
    <w:rsid w:val="00EF5825"/>
    <w:rsid w:val="00EF5856"/>
    <w:rsid w:val="00EF5879"/>
    <w:rsid w:val="00EF591D"/>
    <w:rsid w:val="00EF5922"/>
    <w:rsid w:val="00EF5ACD"/>
    <w:rsid w:val="00EF5CC8"/>
    <w:rsid w:val="00EF5D75"/>
    <w:rsid w:val="00EF5D77"/>
    <w:rsid w:val="00EF5FC9"/>
    <w:rsid w:val="00EF6039"/>
    <w:rsid w:val="00EF606B"/>
    <w:rsid w:val="00EF60C5"/>
    <w:rsid w:val="00EF6227"/>
    <w:rsid w:val="00EF6349"/>
    <w:rsid w:val="00EF6370"/>
    <w:rsid w:val="00EF63C1"/>
    <w:rsid w:val="00EF667B"/>
    <w:rsid w:val="00EF6730"/>
    <w:rsid w:val="00EF6786"/>
    <w:rsid w:val="00EF682D"/>
    <w:rsid w:val="00EF6836"/>
    <w:rsid w:val="00EF6931"/>
    <w:rsid w:val="00EF6A4D"/>
    <w:rsid w:val="00EF6B74"/>
    <w:rsid w:val="00EF6C35"/>
    <w:rsid w:val="00EF6C78"/>
    <w:rsid w:val="00EF6D0D"/>
    <w:rsid w:val="00EF6DFA"/>
    <w:rsid w:val="00EF6DFC"/>
    <w:rsid w:val="00EF6E37"/>
    <w:rsid w:val="00EF6E71"/>
    <w:rsid w:val="00EF6EA7"/>
    <w:rsid w:val="00EF701A"/>
    <w:rsid w:val="00EF7037"/>
    <w:rsid w:val="00EF7039"/>
    <w:rsid w:val="00EF7109"/>
    <w:rsid w:val="00EF719C"/>
    <w:rsid w:val="00EF77BC"/>
    <w:rsid w:val="00EF7864"/>
    <w:rsid w:val="00EF789A"/>
    <w:rsid w:val="00EF789C"/>
    <w:rsid w:val="00EF78C5"/>
    <w:rsid w:val="00EF79AB"/>
    <w:rsid w:val="00EF7A2B"/>
    <w:rsid w:val="00EF7C29"/>
    <w:rsid w:val="00EF7C3F"/>
    <w:rsid w:val="00EF7C4A"/>
    <w:rsid w:val="00EF7CD3"/>
    <w:rsid w:val="00EF7D67"/>
    <w:rsid w:val="00EF7D6E"/>
    <w:rsid w:val="00EF7D71"/>
    <w:rsid w:val="00EF7E3E"/>
    <w:rsid w:val="00EF7EEB"/>
    <w:rsid w:val="00EF7F64"/>
    <w:rsid w:val="00F00023"/>
    <w:rsid w:val="00F00209"/>
    <w:rsid w:val="00F00221"/>
    <w:rsid w:val="00F0026D"/>
    <w:rsid w:val="00F002D5"/>
    <w:rsid w:val="00F00370"/>
    <w:rsid w:val="00F00379"/>
    <w:rsid w:val="00F00394"/>
    <w:rsid w:val="00F004A6"/>
    <w:rsid w:val="00F0056E"/>
    <w:rsid w:val="00F00585"/>
    <w:rsid w:val="00F0084F"/>
    <w:rsid w:val="00F008EB"/>
    <w:rsid w:val="00F00A56"/>
    <w:rsid w:val="00F00BA3"/>
    <w:rsid w:val="00F00BBF"/>
    <w:rsid w:val="00F00BD2"/>
    <w:rsid w:val="00F00C30"/>
    <w:rsid w:val="00F00C80"/>
    <w:rsid w:val="00F00CA3"/>
    <w:rsid w:val="00F00DBF"/>
    <w:rsid w:val="00F00E55"/>
    <w:rsid w:val="00F010EB"/>
    <w:rsid w:val="00F01193"/>
    <w:rsid w:val="00F01255"/>
    <w:rsid w:val="00F0125D"/>
    <w:rsid w:val="00F01365"/>
    <w:rsid w:val="00F013AF"/>
    <w:rsid w:val="00F013EA"/>
    <w:rsid w:val="00F0147F"/>
    <w:rsid w:val="00F014DA"/>
    <w:rsid w:val="00F014E9"/>
    <w:rsid w:val="00F0158C"/>
    <w:rsid w:val="00F0160B"/>
    <w:rsid w:val="00F01673"/>
    <w:rsid w:val="00F01748"/>
    <w:rsid w:val="00F018BE"/>
    <w:rsid w:val="00F018DB"/>
    <w:rsid w:val="00F0193E"/>
    <w:rsid w:val="00F01B1D"/>
    <w:rsid w:val="00F01BBC"/>
    <w:rsid w:val="00F01CCC"/>
    <w:rsid w:val="00F01CFA"/>
    <w:rsid w:val="00F01DF3"/>
    <w:rsid w:val="00F01E27"/>
    <w:rsid w:val="00F01F3B"/>
    <w:rsid w:val="00F01F93"/>
    <w:rsid w:val="00F020D9"/>
    <w:rsid w:val="00F02119"/>
    <w:rsid w:val="00F0219E"/>
    <w:rsid w:val="00F0222D"/>
    <w:rsid w:val="00F022B7"/>
    <w:rsid w:val="00F02343"/>
    <w:rsid w:val="00F02386"/>
    <w:rsid w:val="00F02476"/>
    <w:rsid w:val="00F024A6"/>
    <w:rsid w:val="00F024B5"/>
    <w:rsid w:val="00F02533"/>
    <w:rsid w:val="00F0256B"/>
    <w:rsid w:val="00F026C6"/>
    <w:rsid w:val="00F0276E"/>
    <w:rsid w:val="00F029A8"/>
    <w:rsid w:val="00F02A1E"/>
    <w:rsid w:val="00F02A60"/>
    <w:rsid w:val="00F02B06"/>
    <w:rsid w:val="00F02B76"/>
    <w:rsid w:val="00F02BD5"/>
    <w:rsid w:val="00F02BE2"/>
    <w:rsid w:val="00F02C7E"/>
    <w:rsid w:val="00F02CCA"/>
    <w:rsid w:val="00F02CDB"/>
    <w:rsid w:val="00F02EBA"/>
    <w:rsid w:val="00F02F6A"/>
    <w:rsid w:val="00F02FE3"/>
    <w:rsid w:val="00F03193"/>
    <w:rsid w:val="00F03237"/>
    <w:rsid w:val="00F03256"/>
    <w:rsid w:val="00F0333A"/>
    <w:rsid w:val="00F033B5"/>
    <w:rsid w:val="00F033F6"/>
    <w:rsid w:val="00F03484"/>
    <w:rsid w:val="00F034D9"/>
    <w:rsid w:val="00F03547"/>
    <w:rsid w:val="00F03633"/>
    <w:rsid w:val="00F03782"/>
    <w:rsid w:val="00F03835"/>
    <w:rsid w:val="00F03A4C"/>
    <w:rsid w:val="00F03CA1"/>
    <w:rsid w:val="00F03D4E"/>
    <w:rsid w:val="00F03D9D"/>
    <w:rsid w:val="00F03EF1"/>
    <w:rsid w:val="00F0409F"/>
    <w:rsid w:val="00F041EF"/>
    <w:rsid w:val="00F0432F"/>
    <w:rsid w:val="00F04486"/>
    <w:rsid w:val="00F044A2"/>
    <w:rsid w:val="00F044D3"/>
    <w:rsid w:val="00F046AE"/>
    <w:rsid w:val="00F046C2"/>
    <w:rsid w:val="00F047A7"/>
    <w:rsid w:val="00F047DA"/>
    <w:rsid w:val="00F048C2"/>
    <w:rsid w:val="00F04AB3"/>
    <w:rsid w:val="00F04ACF"/>
    <w:rsid w:val="00F04BA0"/>
    <w:rsid w:val="00F04C3A"/>
    <w:rsid w:val="00F04C90"/>
    <w:rsid w:val="00F04CB7"/>
    <w:rsid w:val="00F04E36"/>
    <w:rsid w:val="00F04F9F"/>
    <w:rsid w:val="00F04FB7"/>
    <w:rsid w:val="00F05081"/>
    <w:rsid w:val="00F051CE"/>
    <w:rsid w:val="00F05218"/>
    <w:rsid w:val="00F0526F"/>
    <w:rsid w:val="00F0534C"/>
    <w:rsid w:val="00F053D3"/>
    <w:rsid w:val="00F05414"/>
    <w:rsid w:val="00F054A0"/>
    <w:rsid w:val="00F054CC"/>
    <w:rsid w:val="00F054DC"/>
    <w:rsid w:val="00F05576"/>
    <w:rsid w:val="00F05585"/>
    <w:rsid w:val="00F055DE"/>
    <w:rsid w:val="00F0564E"/>
    <w:rsid w:val="00F05755"/>
    <w:rsid w:val="00F05815"/>
    <w:rsid w:val="00F0592D"/>
    <w:rsid w:val="00F059C4"/>
    <w:rsid w:val="00F05A5A"/>
    <w:rsid w:val="00F05A5F"/>
    <w:rsid w:val="00F05A7E"/>
    <w:rsid w:val="00F05BB5"/>
    <w:rsid w:val="00F05BBF"/>
    <w:rsid w:val="00F05BEE"/>
    <w:rsid w:val="00F05BF7"/>
    <w:rsid w:val="00F05C5B"/>
    <w:rsid w:val="00F05EDC"/>
    <w:rsid w:val="00F05F17"/>
    <w:rsid w:val="00F05F3D"/>
    <w:rsid w:val="00F06150"/>
    <w:rsid w:val="00F0622B"/>
    <w:rsid w:val="00F06237"/>
    <w:rsid w:val="00F06299"/>
    <w:rsid w:val="00F064C5"/>
    <w:rsid w:val="00F0657A"/>
    <w:rsid w:val="00F065BD"/>
    <w:rsid w:val="00F066DC"/>
    <w:rsid w:val="00F06790"/>
    <w:rsid w:val="00F0679A"/>
    <w:rsid w:val="00F067B6"/>
    <w:rsid w:val="00F0682C"/>
    <w:rsid w:val="00F068EB"/>
    <w:rsid w:val="00F0695D"/>
    <w:rsid w:val="00F06A6C"/>
    <w:rsid w:val="00F06A8A"/>
    <w:rsid w:val="00F06AE9"/>
    <w:rsid w:val="00F06B25"/>
    <w:rsid w:val="00F06B58"/>
    <w:rsid w:val="00F06B83"/>
    <w:rsid w:val="00F06E5A"/>
    <w:rsid w:val="00F06F0F"/>
    <w:rsid w:val="00F06F62"/>
    <w:rsid w:val="00F06F7D"/>
    <w:rsid w:val="00F07082"/>
    <w:rsid w:val="00F070E4"/>
    <w:rsid w:val="00F070ED"/>
    <w:rsid w:val="00F07138"/>
    <w:rsid w:val="00F0717D"/>
    <w:rsid w:val="00F071D8"/>
    <w:rsid w:val="00F0725E"/>
    <w:rsid w:val="00F072FA"/>
    <w:rsid w:val="00F0742C"/>
    <w:rsid w:val="00F074B5"/>
    <w:rsid w:val="00F074CD"/>
    <w:rsid w:val="00F075BA"/>
    <w:rsid w:val="00F07617"/>
    <w:rsid w:val="00F07659"/>
    <w:rsid w:val="00F078AF"/>
    <w:rsid w:val="00F078DA"/>
    <w:rsid w:val="00F07ADC"/>
    <w:rsid w:val="00F07B13"/>
    <w:rsid w:val="00F07B75"/>
    <w:rsid w:val="00F07BDD"/>
    <w:rsid w:val="00F07CC9"/>
    <w:rsid w:val="00F07CE1"/>
    <w:rsid w:val="00F07D28"/>
    <w:rsid w:val="00F07D40"/>
    <w:rsid w:val="00F07D72"/>
    <w:rsid w:val="00F100B5"/>
    <w:rsid w:val="00F100D5"/>
    <w:rsid w:val="00F1014A"/>
    <w:rsid w:val="00F101A5"/>
    <w:rsid w:val="00F101C7"/>
    <w:rsid w:val="00F1023E"/>
    <w:rsid w:val="00F10327"/>
    <w:rsid w:val="00F10351"/>
    <w:rsid w:val="00F10395"/>
    <w:rsid w:val="00F10429"/>
    <w:rsid w:val="00F10601"/>
    <w:rsid w:val="00F10672"/>
    <w:rsid w:val="00F10967"/>
    <w:rsid w:val="00F10A07"/>
    <w:rsid w:val="00F10A10"/>
    <w:rsid w:val="00F10A8B"/>
    <w:rsid w:val="00F10CC6"/>
    <w:rsid w:val="00F10CDC"/>
    <w:rsid w:val="00F10D31"/>
    <w:rsid w:val="00F10FDA"/>
    <w:rsid w:val="00F11080"/>
    <w:rsid w:val="00F11272"/>
    <w:rsid w:val="00F11513"/>
    <w:rsid w:val="00F11736"/>
    <w:rsid w:val="00F118C9"/>
    <w:rsid w:val="00F1190C"/>
    <w:rsid w:val="00F1190E"/>
    <w:rsid w:val="00F11998"/>
    <w:rsid w:val="00F11A6B"/>
    <w:rsid w:val="00F11BE3"/>
    <w:rsid w:val="00F11C0E"/>
    <w:rsid w:val="00F11DDD"/>
    <w:rsid w:val="00F11EC9"/>
    <w:rsid w:val="00F12194"/>
    <w:rsid w:val="00F12209"/>
    <w:rsid w:val="00F12339"/>
    <w:rsid w:val="00F12449"/>
    <w:rsid w:val="00F12489"/>
    <w:rsid w:val="00F1252E"/>
    <w:rsid w:val="00F12791"/>
    <w:rsid w:val="00F1284D"/>
    <w:rsid w:val="00F1287D"/>
    <w:rsid w:val="00F12899"/>
    <w:rsid w:val="00F12966"/>
    <w:rsid w:val="00F129F7"/>
    <w:rsid w:val="00F12B73"/>
    <w:rsid w:val="00F12B9A"/>
    <w:rsid w:val="00F12C47"/>
    <w:rsid w:val="00F12D7F"/>
    <w:rsid w:val="00F12E2E"/>
    <w:rsid w:val="00F12E54"/>
    <w:rsid w:val="00F12E6A"/>
    <w:rsid w:val="00F12EA0"/>
    <w:rsid w:val="00F12EE6"/>
    <w:rsid w:val="00F12F2F"/>
    <w:rsid w:val="00F12F42"/>
    <w:rsid w:val="00F1300D"/>
    <w:rsid w:val="00F130CB"/>
    <w:rsid w:val="00F13126"/>
    <w:rsid w:val="00F131E3"/>
    <w:rsid w:val="00F13316"/>
    <w:rsid w:val="00F1333F"/>
    <w:rsid w:val="00F133A4"/>
    <w:rsid w:val="00F133A9"/>
    <w:rsid w:val="00F13416"/>
    <w:rsid w:val="00F134F8"/>
    <w:rsid w:val="00F13522"/>
    <w:rsid w:val="00F135A7"/>
    <w:rsid w:val="00F136A6"/>
    <w:rsid w:val="00F1370F"/>
    <w:rsid w:val="00F1373B"/>
    <w:rsid w:val="00F13A66"/>
    <w:rsid w:val="00F13BF3"/>
    <w:rsid w:val="00F13C28"/>
    <w:rsid w:val="00F13C46"/>
    <w:rsid w:val="00F13EF1"/>
    <w:rsid w:val="00F13F60"/>
    <w:rsid w:val="00F13F7A"/>
    <w:rsid w:val="00F13FB7"/>
    <w:rsid w:val="00F14005"/>
    <w:rsid w:val="00F14032"/>
    <w:rsid w:val="00F1424B"/>
    <w:rsid w:val="00F143C5"/>
    <w:rsid w:val="00F14466"/>
    <w:rsid w:val="00F14607"/>
    <w:rsid w:val="00F149A6"/>
    <w:rsid w:val="00F14C16"/>
    <w:rsid w:val="00F14DD8"/>
    <w:rsid w:val="00F14E83"/>
    <w:rsid w:val="00F14F69"/>
    <w:rsid w:val="00F14F84"/>
    <w:rsid w:val="00F15047"/>
    <w:rsid w:val="00F15208"/>
    <w:rsid w:val="00F1541D"/>
    <w:rsid w:val="00F1549E"/>
    <w:rsid w:val="00F154F6"/>
    <w:rsid w:val="00F15526"/>
    <w:rsid w:val="00F155B2"/>
    <w:rsid w:val="00F155C1"/>
    <w:rsid w:val="00F1568B"/>
    <w:rsid w:val="00F156EA"/>
    <w:rsid w:val="00F15827"/>
    <w:rsid w:val="00F15852"/>
    <w:rsid w:val="00F15A10"/>
    <w:rsid w:val="00F15A41"/>
    <w:rsid w:val="00F15AB5"/>
    <w:rsid w:val="00F15AB6"/>
    <w:rsid w:val="00F15ACB"/>
    <w:rsid w:val="00F15B1A"/>
    <w:rsid w:val="00F15B48"/>
    <w:rsid w:val="00F15C11"/>
    <w:rsid w:val="00F15C42"/>
    <w:rsid w:val="00F15C95"/>
    <w:rsid w:val="00F15CD0"/>
    <w:rsid w:val="00F15D41"/>
    <w:rsid w:val="00F15DE0"/>
    <w:rsid w:val="00F15DF4"/>
    <w:rsid w:val="00F1605D"/>
    <w:rsid w:val="00F1634C"/>
    <w:rsid w:val="00F1655D"/>
    <w:rsid w:val="00F16671"/>
    <w:rsid w:val="00F166BB"/>
    <w:rsid w:val="00F167D8"/>
    <w:rsid w:val="00F167E0"/>
    <w:rsid w:val="00F16815"/>
    <w:rsid w:val="00F168AF"/>
    <w:rsid w:val="00F169DB"/>
    <w:rsid w:val="00F16A21"/>
    <w:rsid w:val="00F16A76"/>
    <w:rsid w:val="00F16B57"/>
    <w:rsid w:val="00F16DBB"/>
    <w:rsid w:val="00F16DF6"/>
    <w:rsid w:val="00F16E14"/>
    <w:rsid w:val="00F16E20"/>
    <w:rsid w:val="00F16E45"/>
    <w:rsid w:val="00F16EE8"/>
    <w:rsid w:val="00F16F3B"/>
    <w:rsid w:val="00F17123"/>
    <w:rsid w:val="00F17180"/>
    <w:rsid w:val="00F1719A"/>
    <w:rsid w:val="00F1722D"/>
    <w:rsid w:val="00F17293"/>
    <w:rsid w:val="00F1732C"/>
    <w:rsid w:val="00F17331"/>
    <w:rsid w:val="00F1733E"/>
    <w:rsid w:val="00F17354"/>
    <w:rsid w:val="00F1738E"/>
    <w:rsid w:val="00F17404"/>
    <w:rsid w:val="00F1745D"/>
    <w:rsid w:val="00F175B9"/>
    <w:rsid w:val="00F175DA"/>
    <w:rsid w:val="00F176BD"/>
    <w:rsid w:val="00F176DD"/>
    <w:rsid w:val="00F177E1"/>
    <w:rsid w:val="00F17A15"/>
    <w:rsid w:val="00F17A6A"/>
    <w:rsid w:val="00F17B2E"/>
    <w:rsid w:val="00F17B93"/>
    <w:rsid w:val="00F17B97"/>
    <w:rsid w:val="00F17C03"/>
    <w:rsid w:val="00F17C92"/>
    <w:rsid w:val="00F17C9B"/>
    <w:rsid w:val="00F17D40"/>
    <w:rsid w:val="00F17D9F"/>
    <w:rsid w:val="00F17DB4"/>
    <w:rsid w:val="00F17E93"/>
    <w:rsid w:val="00F17F2E"/>
    <w:rsid w:val="00F17FE6"/>
    <w:rsid w:val="00F200B5"/>
    <w:rsid w:val="00F2011F"/>
    <w:rsid w:val="00F201E5"/>
    <w:rsid w:val="00F2022C"/>
    <w:rsid w:val="00F202D0"/>
    <w:rsid w:val="00F202E2"/>
    <w:rsid w:val="00F20547"/>
    <w:rsid w:val="00F20635"/>
    <w:rsid w:val="00F206C5"/>
    <w:rsid w:val="00F2071F"/>
    <w:rsid w:val="00F2077E"/>
    <w:rsid w:val="00F207F3"/>
    <w:rsid w:val="00F20BB2"/>
    <w:rsid w:val="00F20C5A"/>
    <w:rsid w:val="00F20EDE"/>
    <w:rsid w:val="00F20EFB"/>
    <w:rsid w:val="00F20F5F"/>
    <w:rsid w:val="00F20FEC"/>
    <w:rsid w:val="00F20FF3"/>
    <w:rsid w:val="00F21037"/>
    <w:rsid w:val="00F210D2"/>
    <w:rsid w:val="00F210D5"/>
    <w:rsid w:val="00F211F8"/>
    <w:rsid w:val="00F2134B"/>
    <w:rsid w:val="00F213EC"/>
    <w:rsid w:val="00F214AD"/>
    <w:rsid w:val="00F216B2"/>
    <w:rsid w:val="00F21725"/>
    <w:rsid w:val="00F21902"/>
    <w:rsid w:val="00F2197D"/>
    <w:rsid w:val="00F219B4"/>
    <w:rsid w:val="00F21DE5"/>
    <w:rsid w:val="00F21F8E"/>
    <w:rsid w:val="00F21FCA"/>
    <w:rsid w:val="00F21FF1"/>
    <w:rsid w:val="00F22045"/>
    <w:rsid w:val="00F22100"/>
    <w:rsid w:val="00F221AE"/>
    <w:rsid w:val="00F222E0"/>
    <w:rsid w:val="00F223DF"/>
    <w:rsid w:val="00F223F7"/>
    <w:rsid w:val="00F22506"/>
    <w:rsid w:val="00F2257C"/>
    <w:rsid w:val="00F22633"/>
    <w:rsid w:val="00F226D3"/>
    <w:rsid w:val="00F227B0"/>
    <w:rsid w:val="00F227D7"/>
    <w:rsid w:val="00F22819"/>
    <w:rsid w:val="00F228C9"/>
    <w:rsid w:val="00F228E3"/>
    <w:rsid w:val="00F22972"/>
    <w:rsid w:val="00F22978"/>
    <w:rsid w:val="00F22ACF"/>
    <w:rsid w:val="00F22B2A"/>
    <w:rsid w:val="00F22BEE"/>
    <w:rsid w:val="00F22C3E"/>
    <w:rsid w:val="00F22DED"/>
    <w:rsid w:val="00F22EC7"/>
    <w:rsid w:val="00F22F2C"/>
    <w:rsid w:val="00F22F34"/>
    <w:rsid w:val="00F22F35"/>
    <w:rsid w:val="00F22F5F"/>
    <w:rsid w:val="00F22F88"/>
    <w:rsid w:val="00F22FC2"/>
    <w:rsid w:val="00F2303C"/>
    <w:rsid w:val="00F2303F"/>
    <w:rsid w:val="00F23051"/>
    <w:rsid w:val="00F230E1"/>
    <w:rsid w:val="00F23145"/>
    <w:rsid w:val="00F23191"/>
    <w:rsid w:val="00F23196"/>
    <w:rsid w:val="00F2332B"/>
    <w:rsid w:val="00F233DD"/>
    <w:rsid w:val="00F233F3"/>
    <w:rsid w:val="00F23420"/>
    <w:rsid w:val="00F23555"/>
    <w:rsid w:val="00F23619"/>
    <w:rsid w:val="00F2370F"/>
    <w:rsid w:val="00F23745"/>
    <w:rsid w:val="00F237CF"/>
    <w:rsid w:val="00F2399A"/>
    <w:rsid w:val="00F239AF"/>
    <w:rsid w:val="00F239C7"/>
    <w:rsid w:val="00F23A21"/>
    <w:rsid w:val="00F23A54"/>
    <w:rsid w:val="00F23BD5"/>
    <w:rsid w:val="00F23D6A"/>
    <w:rsid w:val="00F23E4C"/>
    <w:rsid w:val="00F23F8B"/>
    <w:rsid w:val="00F23FF0"/>
    <w:rsid w:val="00F24086"/>
    <w:rsid w:val="00F2428E"/>
    <w:rsid w:val="00F242F8"/>
    <w:rsid w:val="00F24334"/>
    <w:rsid w:val="00F2435E"/>
    <w:rsid w:val="00F2437D"/>
    <w:rsid w:val="00F243C9"/>
    <w:rsid w:val="00F24401"/>
    <w:rsid w:val="00F2451F"/>
    <w:rsid w:val="00F247E1"/>
    <w:rsid w:val="00F247E8"/>
    <w:rsid w:val="00F248A6"/>
    <w:rsid w:val="00F248D0"/>
    <w:rsid w:val="00F2499D"/>
    <w:rsid w:val="00F24A88"/>
    <w:rsid w:val="00F24AFB"/>
    <w:rsid w:val="00F24B52"/>
    <w:rsid w:val="00F24F06"/>
    <w:rsid w:val="00F24F63"/>
    <w:rsid w:val="00F24FC1"/>
    <w:rsid w:val="00F24FCD"/>
    <w:rsid w:val="00F24FEB"/>
    <w:rsid w:val="00F25013"/>
    <w:rsid w:val="00F250EA"/>
    <w:rsid w:val="00F25136"/>
    <w:rsid w:val="00F2514F"/>
    <w:rsid w:val="00F252B3"/>
    <w:rsid w:val="00F25411"/>
    <w:rsid w:val="00F25528"/>
    <w:rsid w:val="00F255EE"/>
    <w:rsid w:val="00F256AB"/>
    <w:rsid w:val="00F257ED"/>
    <w:rsid w:val="00F258A7"/>
    <w:rsid w:val="00F258F2"/>
    <w:rsid w:val="00F2591F"/>
    <w:rsid w:val="00F25A1C"/>
    <w:rsid w:val="00F25B7A"/>
    <w:rsid w:val="00F25B80"/>
    <w:rsid w:val="00F25E3A"/>
    <w:rsid w:val="00F2602E"/>
    <w:rsid w:val="00F2608C"/>
    <w:rsid w:val="00F26215"/>
    <w:rsid w:val="00F26387"/>
    <w:rsid w:val="00F26389"/>
    <w:rsid w:val="00F26588"/>
    <w:rsid w:val="00F265DC"/>
    <w:rsid w:val="00F2663D"/>
    <w:rsid w:val="00F2663F"/>
    <w:rsid w:val="00F26761"/>
    <w:rsid w:val="00F267C0"/>
    <w:rsid w:val="00F26838"/>
    <w:rsid w:val="00F26891"/>
    <w:rsid w:val="00F26A41"/>
    <w:rsid w:val="00F26A82"/>
    <w:rsid w:val="00F26B0C"/>
    <w:rsid w:val="00F26CA3"/>
    <w:rsid w:val="00F26CF2"/>
    <w:rsid w:val="00F26D26"/>
    <w:rsid w:val="00F26DE2"/>
    <w:rsid w:val="00F26EB2"/>
    <w:rsid w:val="00F26F64"/>
    <w:rsid w:val="00F26FA8"/>
    <w:rsid w:val="00F270B0"/>
    <w:rsid w:val="00F270C8"/>
    <w:rsid w:val="00F27260"/>
    <w:rsid w:val="00F27313"/>
    <w:rsid w:val="00F2733A"/>
    <w:rsid w:val="00F2747B"/>
    <w:rsid w:val="00F27491"/>
    <w:rsid w:val="00F2755E"/>
    <w:rsid w:val="00F2765F"/>
    <w:rsid w:val="00F27850"/>
    <w:rsid w:val="00F278AD"/>
    <w:rsid w:val="00F27A43"/>
    <w:rsid w:val="00F27A7A"/>
    <w:rsid w:val="00F27EB2"/>
    <w:rsid w:val="00F27FB9"/>
    <w:rsid w:val="00F27FF3"/>
    <w:rsid w:val="00F3000A"/>
    <w:rsid w:val="00F3016C"/>
    <w:rsid w:val="00F301A8"/>
    <w:rsid w:val="00F302D9"/>
    <w:rsid w:val="00F30555"/>
    <w:rsid w:val="00F30591"/>
    <w:rsid w:val="00F305C3"/>
    <w:rsid w:val="00F30692"/>
    <w:rsid w:val="00F306C1"/>
    <w:rsid w:val="00F30798"/>
    <w:rsid w:val="00F3095E"/>
    <w:rsid w:val="00F30991"/>
    <w:rsid w:val="00F30A98"/>
    <w:rsid w:val="00F30D24"/>
    <w:rsid w:val="00F30DEA"/>
    <w:rsid w:val="00F30E9D"/>
    <w:rsid w:val="00F30F21"/>
    <w:rsid w:val="00F31015"/>
    <w:rsid w:val="00F3101E"/>
    <w:rsid w:val="00F31124"/>
    <w:rsid w:val="00F312C1"/>
    <w:rsid w:val="00F312E2"/>
    <w:rsid w:val="00F3138A"/>
    <w:rsid w:val="00F31396"/>
    <w:rsid w:val="00F3145C"/>
    <w:rsid w:val="00F314AD"/>
    <w:rsid w:val="00F3151B"/>
    <w:rsid w:val="00F315D5"/>
    <w:rsid w:val="00F31618"/>
    <w:rsid w:val="00F317F9"/>
    <w:rsid w:val="00F318A4"/>
    <w:rsid w:val="00F318F4"/>
    <w:rsid w:val="00F319FF"/>
    <w:rsid w:val="00F31A4B"/>
    <w:rsid w:val="00F31AF5"/>
    <w:rsid w:val="00F31B2C"/>
    <w:rsid w:val="00F31C52"/>
    <w:rsid w:val="00F31E82"/>
    <w:rsid w:val="00F31E97"/>
    <w:rsid w:val="00F31F50"/>
    <w:rsid w:val="00F31F76"/>
    <w:rsid w:val="00F31F85"/>
    <w:rsid w:val="00F31FF1"/>
    <w:rsid w:val="00F3203C"/>
    <w:rsid w:val="00F32196"/>
    <w:rsid w:val="00F32281"/>
    <w:rsid w:val="00F322AE"/>
    <w:rsid w:val="00F322C2"/>
    <w:rsid w:val="00F3240E"/>
    <w:rsid w:val="00F32453"/>
    <w:rsid w:val="00F32500"/>
    <w:rsid w:val="00F32505"/>
    <w:rsid w:val="00F32569"/>
    <w:rsid w:val="00F32691"/>
    <w:rsid w:val="00F3270C"/>
    <w:rsid w:val="00F32911"/>
    <w:rsid w:val="00F3297E"/>
    <w:rsid w:val="00F329DA"/>
    <w:rsid w:val="00F32AD9"/>
    <w:rsid w:val="00F32B24"/>
    <w:rsid w:val="00F32B40"/>
    <w:rsid w:val="00F32BD1"/>
    <w:rsid w:val="00F32C1E"/>
    <w:rsid w:val="00F32C9D"/>
    <w:rsid w:val="00F32D3D"/>
    <w:rsid w:val="00F32DD6"/>
    <w:rsid w:val="00F32F53"/>
    <w:rsid w:val="00F32F78"/>
    <w:rsid w:val="00F32F93"/>
    <w:rsid w:val="00F33100"/>
    <w:rsid w:val="00F331B9"/>
    <w:rsid w:val="00F331BC"/>
    <w:rsid w:val="00F33272"/>
    <w:rsid w:val="00F3329C"/>
    <w:rsid w:val="00F3335A"/>
    <w:rsid w:val="00F333E4"/>
    <w:rsid w:val="00F33407"/>
    <w:rsid w:val="00F334C4"/>
    <w:rsid w:val="00F3354E"/>
    <w:rsid w:val="00F33661"/>
    <w:rsid w:val="00F33682"/>
    <w:rsid w:val="00F3382D"/>
    <w:rsid w:val="00F3383F"/>
    <w:rsid w:val="00F33840"/>
    <w:rsid w:val="00F33BE1"/>
    <w:rsid w:val="00F33BE4"/>
    <w:rsid w:val="00F33C28"/>
    <w:rsid w:val="00F33E4A"/>
    <w:rsid w:val="00F33E5B"/>
    <w:rsid w:val="00F33E6E"/>
    <w:rsid w:val="00F33EB7"/>
    <w:rsid w:val="00F33F04"/>
    <w:rsid w:val="00F33F3A"/>
    <w:rsid w:val="00F33F9B"/>
    <w:rsid w:val="00F33FAA"/>
    <w:rsid w:val="00F3414F"/>
    <w:rsid w:val="00F341A8"/>
    <w:rsid w:val="00F341C6"/>
    <w:rsid w:val="00F343A3"/>
    <w:rsid w:val="00F343A6"/>
    <w:rsid w:val="00F34633"/>
    <w:rsid w:val="00F34688"/>
    <w:rsid w:val="00F34809"/>
    <w:rsid w:val="00F34919"/>
    <w:rsid w:val="00F349E8"/>
    <w:rsid w:val="00F34A90"/>
    <w:rsid w:val="00F34C90"/>
    <w:rsid w:val="00F34CCB"/>
    <w:rsid w:val="00F34DBA"/>
    <w:rsid w:val="00F3513E"/>
    <w:rsid w:val="00F35419"/>
    <w:rsid w:val="00F35820"/>
    <w:rsid w:val="00F358ED"/>
    <w:rsid w:val="00F359AC"/>
    <w:rsid w:val="00F359EC"/>
    <w:rsid w:val="00F35B94"/>
    <w:rsid w:val="00F35C25"/>
    <w:rsid w:val="00F35CCD"/>
    <w:rsid w:val="00F35DBA"/>
    <w:rsid w:val="00F35E0E"/>
    <w:rsid w:val="00F35E88"/>
    <w:rsid w:val="00F35EA7"/>
    <w:rsid w:val="00F35EF7"/>
    <w:rsid w:val="00F35F08"/>
    <w:rsid w:val="00F36058"/>
    <w:rsid w:val="00F360F8"/>
    <w:rsid w:val="00F361C1"/>
    <w:rsid w:val="00F3631B"/>
    <w:rsid w:val="00F3652A"/>
    <w:rsid w:val="00F36672"/>
    <w:rsid w:val="00F3669D"/>
    <w:rsid w:val="00F366FE"/>
    <w:rsid w:val="00F36893"/>
    <w:rsid w:val="00F36989"/>
    <w:rsid w:val="00F369AD"/>
    <w:rsid w:val="00F36B80"/>
    <w:rsid w:val="00F36B9B"/>
    <w:rsid w:val="00F36BD0"/>
    <w:rsid w:val="00F36BD5"/>
    <w:rsid w:val="00F36BE7"/>
    <w:rsid w:val="00F36E9D"/>
    <w:rsid w:val="00F36EEE"/>
    <w:rsid w:val="00F37072"/>
    <w:rsid w:val="00F371BE"/>
    <w:rsid w:val="00F37278"/>
    <w:rsid w:val="00F37473"/>
    <w:rsid w:val="00F374EA"/>
    <w:rsid w:val="00F37502"/>
    <w:rsid w:val="00F37537"/>
    <w:rsid w:val="00F3756B"/>
    <w:rsid w:val="00F37623"/>
    <w:rsid w:val="00F37632"/>
    <w:rsid w:val="00F37699"/>
    <w:rsid w:val="00F3770F"/>
    <w:rsid w:val="00F37746"/>
    <w:rsid w:val="00F37B9E"/>
    <w:rsid w:val="00F37C54"/>
    <w:rsid w:val="00F37CA1"/>
    <w:rsid w:val="00F37D0A"/>
    <w:rsid w:val="00F37D9D"/>
    <w:rsid w:val="00F37DDB"/>
    <w:rsid w:val="00F4003E"/>
    <w:rsid w:val="00F400FA"/>
    <w:rsid w:val="00F4017A"/>
    <w:rsid w:val="00F40207"/>
    <w:rsid w:val="00F4021F"/>
    <w:rsid w:val="00F40244"/>
    <w:rsid w:val="00F403B3"/>
    <w:rsid w:val="00F403C6"/>
    <w:rsid w:val="00F4053E"/>
    <w:rsid w:val="00F406DB"/>
    <w:rsid w:val="00F40899"/>
    <w:rsid w:val="00F4089A"/>
    <w:rsid w:val="00F409DC"/>
    <w:rsid w:val="00F40B6D"/>
    <w:rsid w:val="00F40BE0"/>
    <w:rsid w:val="00F40D18"/>
    <w:rsid w:val="00F40DA3"/>
    <w:rsid w:val="00F40DCA"/>
    <w:rsid w:val="00F40DEC"/>
    <w:rsid w:val="00F40EC7"/>
    <w:rsid w:val="00F40F04"/>
    <w:rsid w:val="00F40F08"/>
    <w:rsid w:val="00F40F47"/>
    <w:rsid w:val="00F40FAF"/>
    <w:rsid w:val="00F410E0"/>
    <w:rsid w:val="00F41168"/>
    <w:rsid w:val="00F41170"/>
    <w:rsid w:val="00F4120B"/>
    <w:rsid w:val="00F4121E"/>
    <w:rsid w:val="00F414B8"/>
    <w:rsid w:val="00F41558"/>
    <w:rsid w:val="00F415F2"/>
    <w:rsid w:val="00F415FD"/>
    <w:rsid w:val="00F416E6"/>
    <w:rsid w:val="00F41832"/>
    <w:rsid w:val="00F41955"/>
    <w:rsid w:val="00F419F8"/>
    <w:rsid w:val="00F41B19"/>
    <w:rsid w:val="00F41B52"/>
    <w:rsid w:val="00F41BC7"/>
    <w:rsid w:val="00F41DBD"/>
    <w:rsid w:val="00F41F02"/>
    <w:rsid w:val="00F41F97"/>
    <w:rsid w:val="00F42192"/>
    <w:rsid w:val="00F42215"/>
    <w:rsid w:val="00F42290"/>
    <w:rsid w:val="00F42300"/>
    <w:rsid w:val="00F4230C"/>
    <w:rsid w:val="00F42320"/>
    <w:rsid w:val="00F42416"/>
    <w:rsid w:val="00F424A7"/>
    <w:rsid w:val="00F42516"/>
    <w:rsid w:val="00F425C2"/>
    <w:rsid w:val="00F42A1B"/>
    <w:rsid w:val="00F42A3E"/>
    <w:rsid w:val="00F42A70"/>
    <w:rsid w:val="00F42A9A"/>
    <w:rsid w:val="00F42CF4"/>
    <w:rsid w:val="00F42D63"/>
    <w:rsid w:val="00F42E77"/>
    <w:rsid w:val="00F42F0D"/>
    <w:rsid w:val="00F42F54"/>
    <w:rsid w:val="00F43039"/>
    <w:rsid w:val="00F430AC"/>
    <w:rsid w:val="00F431F4"/>
    <w:rsid w:val="00F431F9"/>
    <w:rsid w:val="00F432A2"/>
    <w:rsid w:val="00F434CD"/>
    <w:rsid w:val="00F43544"/>
    <w:rsid w:val="00F435F5"/>
    <w:rsid w:val="00F4360E"/>
    <w:rsid w:val="00F43629"/>
    <w:rsid w:val="00F43702"/>
    <w:rsid w:val="00F439D8"/>
    <w:rsid w:val="00F43AD6"/>
    <w:rsid w:val="00F43AF1"/>
    <w:rsid w:val="00F43CD9"/>
    <w:rsid w:val="00F43EAE"/>
    <w:rsid w:val="00F4409F"/>
    <w:rsid w:val="00F440D1"/>
    <w:rsid w:val="00F44298"/>
    <w:rsid w:val="00F4447E"/>
    <w:rsid w:val="00F444D0"/>
    <w:rsid w:val="00F4461F"/>
    <w:rsid w:val="00F4469F"/>
    <w:rsid w:val="00F44713"/>
    <w:rsid w:val="00F44714"/>
    <w:rsid w:val="00F4486F"/>
    <w:rsid w:val="00F44926"/>
    <w:rsid w:val="00F44A69"/>
    <w:rsid w:val="00F44B3B"/>
    <w:rsid w:val="00F44B43"/>
    <w:rsid w:val="00F44C26"/>
    <w:rsid w:val="00F44EE4"/>
    <w:rsid w:val="00F44F66"/>
    <w:rsid w:val="00F4519D"/>
    <w:rsid w:val="00F453CF"/>
    <w:rsid w:val="00F45447"/>
    <w:rsid w:val="00F4549B"/>
    <w:rsid w:val="00F454F0"/>
    <w:rsid w:val="00F4559D"/>
    <w:rsid w:val="00F45626"/>
    <w:rsid w:val="00F45668"/>
    <w:rsid w:val="00F456E4"/>
    <w:rsid w:val="00F457D8"/>
    <w:rsid w:val="00F458AB"/>
    <w:rsid w:val="00F4596D"/>
    <w:rsid w:val="00F45A32"/>
    <w:rsid w:val="00F45B2F"/>
    <w:rsid w:val="00F45B38"/>
    <w:rsid w:val="00F45B73"/>
    <w:rsid w:val="00F45D70"/>
    <w:rsid w:val="00F45D89"/>
    <w:rsid w:val="00F45DC7"/>
    <w:rsid w:val="00F45E9F"/>
    <w:rsid w:val="00F45EAA"/>
    <w:rsid w:val="00F45FFF"/>
    <w:rsid w:val="00F46051"/>
    <w:rsid w:val="00F460CC"/>
    <w:rsid w:val="00F4617E"/>
    <w:rsid w:val="00F46303"/>
    <w:rsid w:val="00F46326"/>
    <w:rsid w:val="00F4632B"/>
    <w:rsid w:val="00F463E1"/>
    <w:rsid w:val="00F4640C"/>
    <w:rsid w:val="00F46617"/>
    <w:rsid w:val="00F468CE"/>
    <w:rsid w:val="00F4697C"/>
    <w:rsid w:val="00F46A21"/>
    <w:rsid w:val="00F46A59"/>
    <w:rsid w:val="00F46A69"/>
    <w:rsid w:val="00F46A71"/>
    <w:rsid w:val="00F46B43"/>
    <w:rsid w:val="00F46CC0"/>
    <w:rsid w:val="00F46D84"/>
    <w:rsid w:val="00F46DFA"/>
    <w:rsid w:val="00F46E55"/>
    <w:rsid w:val="00F46F02"/>
    <w:rsid w:val="00F4712E"/>
    <w:rsid w:val="00F471AE"/>
    <w:rsid w:val="00F471DF"/>
    <w:rsid w:val="00F47252"/>
    <w:rsid w:val="00F47350"/>
    <w:rsid w:val="00F47484"/>
    <w:rsid w:val="00F47645"/>
    <w:rsid w:val="00F47841"/>
    <w:rsid w:val="00F47895"/>
    <w:rsid w:val="00F47978"/>
    <w:rsid w:val="00F47A34"/>
    <w:rsid w:val="00F47A8C"/>
    <w:rsid w:val="00F47AD5"/>
    <w:rsid w:val="00F47AFB"/>
    <w:rsid w:val="00F47B80"/>
    <w:rsid w:val="00F47BFC"/>
    <w:rsid w:val="00F47F05"/>
    <w:rsid w:val="00F47F20"/>
    <w:rsid w:val="00F50077"/>
    <w:rsid w:val="00F500A6"/>
    <w:rsid w:val="00F50350"/>
    <w:rsid w:val="00F5048E"/>
    <w:rsid w:val="00F5057C"/>
    <w:rsid w:val="00F505A3"/>
    <w:rsid w:val="00F5063E"/>
    <w:rsid w:val="00F50650"/>
    <w:rsid w:val="00F50655"/>
    <w:rsid w:val="00F50746"/>
    <w:rsid w:val="00F5076E"/>
    <w:rsid w:val="00F5081D"/>
    <w:rsid w:val="00F50882"/>
    <w:rsid w:val="00F508B7"/>
    <w:rsid w:val="00F50A72"/>
    <w:rsid w:val="00F50A73"/>
    <w:rsid w:val="00F50C32"/>
    <w:rsid w:val="00F50C3A"/>
    <w:rsid w:val="00F50D66"/>
    <w:rsid w:val="00F50F21"/>
    <w:rsid w:val="00F50F80"/>
    <w:rsid w:val="00F51016"/>
    <w:rsid w:val="00F51104"/>
    <w:rsid w:val="00F5110B"/>
    <w:rsid w:val="00F5124C"/>
    <w:rsid w:val="00F51376"/>
    <w:rsid w:val="00F51582"/>
    <w:rsid w:val="00F51815"/>
    <w:rsid w:val="00F51932"/>
    <w:rsid w:val="00F51945"/>
    <w:rsid w:val="00F51988"/>
    <w:rsid w:val="00F519C7"/>
    <w:rsid w:val="00F51B3F"/>
    <w:rsid w:val="00F51BEA"/>
    <w:rsid w:val="00F51C18"/>
    <w:rsid w:val="00F51C59"/>
    <w:rsid w:val="00F51DAF"/>
    <w:rsid w:val="00F51FCD"/>
    <w:rsid w:val="00F52156"/>
    <w:rsid w:val="00F52183"/>
    <w:rsid w:val="00F52296"/>
    <w:rsid w:val="00F522DF"/>
    <w:rsid w:val="00F522F6"/>
    <w:rsid w:val="00F5231F"/>
    <w:rsid w:val="00F5234E"/>
    <w:rsid w:val="00F52379"/>
    <w:rsid w:val="00F523DC"/>
    <w:rsid w:val="00F52417"/>
    <w:rsid w:val="00F5267B"/>
    <w:rsid w:val="00F52746"/>
    <w:rsid w:val="00F5274A"/>
    <w:rsid w:val="00F52780"/>
    <w:rsid w:val="00F5279F"/>
    <w:rsid w:val="00F527EC"/>
    <w:rsid w:val="00F5283B"/>
    <w:rsid w:val="00F52849"/>
    <w:rsid w:val="00F52861"/>
    <w:rsid w:val="00F52862"/>
    <w:rsid w:val="00F52963"/>
    <w:rsid w:val="00F52A67"/>
    <w:rsid w:val="00F52A89"/>
    <w:rsid w:val="00F52E2A"/>
    <w:rsid w:val="00F52E67"/>
    <w:rsid w:val="00F52FE3"/>
    <w:rsid w:val="00F5309A"/>
    <w:rsid w:val="00F53183"/>
    <w:rsid w:val="00F5323F"/>
    <w:rsid w:val="00F532ED"/>
    <w:rsid w:val="00F53327"/>
    <w:rsid w:val="00F533C5"/>
    <w:rsid w:val="00F533DE"/>
    <w:rsid w:val="00F5342C"/>
    <w:rsid w:val="00F5345F"/>
    <w:rsid w:val="00F5359E"/>
    <w:rsid w:val="00F53678"/>
    <w:rsid w:val="00F5376F"/>
    <w:rsid w:val="00F537B7"/>
    <w:rsid w:val="00F537D4"/>
    <w:rsid w:val="00F538D3"/>
    <w:rsid w:val="00F538DA"/>
    <w:rsid w:val="00F53922"/>
    <w:rsid w:val="00F53947"/>
    <w:rsid w:val="00F53A6F"/>
    <w:rsid w:val="00F53BC2"/>
    <w:rsid w:val="00F53D98"/>
    <w:rsid w:val="00F53FB9"/>
    <w:rsid w:val="00F53FEA"/>
    <w:rsid w:val="00F54051"/>
    <w:rsid w:val="00F540FC"/>
    <w:rsid w:val="00F54188"/>
    <w:rsid w:val="00F5429A"/>
    <w:rsid w:val="00F54316"/>
    <w:rsid w:val="00F543A4"/>
    <w:rsid w:val="00F543F3"/>
    <w:rsid w:val="00F54485"/>
    <w:rsid w:val="00F5458F"/>
    <w:rsid w:val="00F54600"/>
    <w:rsid w:val="00F5466A"/>
    <w:rsid w:val="00F54822"/>
    <w:rsid w:val="00F549A8"/>
    <w:rsid w:val="00F54C4D"/>
    <w:rsid w:val="00F54C5D"/>
    <w:rsid w:val="00F54D29"/>
    <w:rsid w:val="00F54DF1"/>
    <w:rsid w:val="00F54E5B"/>
    <w:rsid w:val="00F54FD5"/>
    <w:rsid w:val="00F5503C"/>
    <w:rsid w:val="00F55092"/>
    <w:rsid w:val="00F55189"/>
    <w:rsid w:val="00F551DB"/>
    <w:rsid w:val="00F553B5"/>
    <w:rsid w:val="00F554C7"/>
    <w:rsid w:val="00F554DC"/>
    <w:rsid w:val="00F555C9"/>
    <w:rsid w:val="00F556F3"/>
    <w:rsid w:val="00F557C6"/>
    <w:rsid w:val="00F55812"/>
    <w:rsid w:val="00F55823"/>
    <w:rsid w:val="00F55990"/>
    <w:rsid w:val="00F559D8"/>
    <w:rsid w:val="00F55ACE"/>
    <w:rsid w:val="00F55AD0"/>
    <w:rsid w:val="00F55B81"/>
    <w:rsid w:val="00F55BC4"/>
    <w:rsid w:val="00F55CF3"/>
    <w:rsid w:val="00F55DC5"/>
    <w:rsid w:val="00F55E76"/>
    <w:rsid w:val="00F55E9E"/>
    <w:rsid w:val="00F55EC7"/>
    <w:rsid w:val="00F55F2D"/>
    <w:rsid w:val="00F5617F"/>
    <w:rsid w:val="00F561D6"/>
    <w:rsid w:val="00F561E6"/>
    <w:rsid w:val="00F56262"/>
    <w:rsid w:val="00F562CC"/>
    <w:rsid w:val="00F5631D"/>
    <w:rsid w:val="00F563C3"/>
    <w:rsid w:val="00F563DB"/>
    <w:rsid w:val="00F564DF"/>
    <w:rsid w:val="00F565DF"/>
    <w:rsid w:val="00F566EA"/>
    <w:rsid w:val="00F56A92"/>
    <w:rsid w:val="00F56AA9"/>
    <w:rsid w:val="00F56C66"/>
    <w:rsid w:val="00F56CA3"/>
    <w:rsid w:val="00F56E9A"/>
    <w:rsid w:val="00F56EAC"/>
    <w:rsid w:val="00F56ED2"/>
    <w:rsid w:val="00F56F79"/>
    <w:rsid w:val="00F57059"/>
    <w:rsid w:val="00F57078"/>
    <w:rsid w:val="00F5715C"/>
    <w:rsid w:val="00F57172"/>
    <w:rsid w:val="00F571B5"/>
    <w:rsid w:val="00F572A6"/>
    <w:rsid w:val="00F57349"/>
    <w:rsid w:val="00F573C7"/>
    <w:rsid w:val="00F574B2"/>
    <w:rsid w:val="00F575D0"/>
    <w:rsid w:val="00F5762C"/>
    <w:rsid w:val="00F576B0"/>
    <w:rsid w:val="00F576F2"/>
    <w:rsid w:val="00F57819"/>
    <w:rsid w:val="00F57975"/>
    <w:rsid w:val="00F57A6F"/>
    <w:rsid w:val="00F57B77"/>
    <w:rsid w:val="00F57CFC"/>
    <w:rsid w:val="00F57DC2"/>
    <w:rsid w:val="00F57F00"/>
    <w:rsid w:val="00F57FA0"/>
    <w:rsid w:val="00F57FF4"/>
    <w:rsid w:val="00F60091"/>
    <w:rsid w:val="00F60098"/>
    <w:rsid w:val="00F600A4"/>
    <w:rsid w:val="00F6022E"/>
    <w:rsid w:val="00F602D8"/>
    <w:rsid w:val="00F603C1"/>
    <w:rsid w:val="00F606C1"/>
    <w:rsid w:val="00F606F2"/>
    <w:rsid w:val="00F6071D"/>
    <w:rsid w:val="00F6072B"/>
    <w:rsid w:val="00F6092F"/>
    <w:rsid w:val="00F60942"/>
    <w:rsid w:val="00F60A98"/>
    <w:rsid w:val="00F60AC4"/>
    <w:rsid w:val="00F60CC5"/>
    <w:rsid w:val="00F60D9A"/>
    <w:rsid w:val="00F60E14"/>
    <w:rsid w:val="00F61093"/>
    <w:rsid w:val="00F6117B"/>
    <w:rsid w:val="00F61185"/>
    <w:rsid w:val="00F61224"/>
    <w:rsid w:val="00F6143E"/>
    <w:rsid w:val="00F614DF"/>
    <w:rsid w:val="00F61538"/>
    <w:rsid w:val="00F6153E"/>
    <w:rsid w:val="00F6156C"/>
    <w:rsid w:val="00F61579"/>
    <w:rsid w:val="00F61691"/>
    <w:rsid w:val="00F616E8"/>
    <w:rsid w:val="00F616EB"/>
    <w:rsid w:val="00F61746"/>
    <w:rsid w:val="00F61850"/>
    <w:rsid w:val="00F6186E"/>
    <w:rsid w:val="00F61899"/>
    <w:rsid w:val="00F61B4B"/>
    <w:rsid w:val="00F61C68"/>
    <w:rsid w:val="00F61CE1"/>
    <w:rsid w:val="00F61DB7"/>
    <w:rsid w:val="00F61EA1"/>
    <w:rsid w:val="00F61FBE"/>
    <w:rsid w:val="00F6200C"/>
    <w:rsid w:val="00F62121"/>
    <w:rsid w:val="00F6219B"/>
    <w:rsid w:val="00F62246"/>
    <w:rsid w:val="00F62323"/>
    <w:rsid w:val="00F62417"/>
    <w:rsid w:val="00F624CF"/>
    <w:rsid w:val="00F625B1"/>
    <w:rsid w:val="00F625CD"/>
    <w:rsid w:val="00F6283D"/>
    <w:rsid w:val="00F6288C"/>
    <w:rsid w:val="00F62919"/>
    <w:rsid w:val="00F629F2"/>
    <w:rsid w:val="00F62A8C"/>
    <w:rsid w:val="00F62A9C"/>
    <w:rsid w:val="00F62B17"/>
    <w:rsid w:val="00F62B35"/>
    <w:rsid w:val="00F62C7F"/>
    <w:rsid w:val="00F62D8F"/>
    <w:rsid w:val="00F62E26"/>
    <w:rsid w:val="00F62F51"/>
    <w:rsid w:val="00F63016"/>
    <w:rsid w:val="00F6304A"/>
    <w:rsid w:val="00F6307F"/>
    <w:rsid w:val="00F630D4"/>
    <w:rsid w:val="00F63155"/>
    <w:rsid w:val="00F6322B"/>
    <w:rsid w:val="00F632A2"/>
    <w:rsid w:val="00F6335C"/>
    <w:rsid w:val="00F6342E"/>
    <w:rsid w:val="00F6365E"/>
    <w:rsid w:val="00F63741"/>
    <w:rsid w:val="00F63B6B"/>
    <w:rsid w:val="00F63B78"/>
    <w:rsid w:val="00F63C3D"/>
    <w:rsid w:val="00F63CFF"/>
    <w:rsid w:val="00F63D61"/>
    <w:rsid w:val="00F63D8F"/>
    <w:rsid w:val="00F63F72"/>
    <w:rsid w:val="00F64055"/>
    <w:rsid w:val="00F64082"/>
    <w:rsid w:val="00F64178"/>
    <w:rsid w:val="00F6428F"/>
    <w:rsid w:val="00F643FE"/>
    <w:rsid w:val="00F64409"/>
    <w:rsid w:val="00F64467"/>
    <w:rsid w:val="00F64656"/>
    <w:rsid w:val="00F646A1"/>
    <w:rsid w:val="00F646A3"/>
    <w:rsid w:val="00F646F4"/>
    <w:rsid w:val="00F64778"/>
    <w:rsid w:val="00F647AE"/>
    <w:rsid w:val="00F649D4"/>
    <w:rsid w:val="00F649EF"/>
    <w:rsid w:val="00F64C9A"/>
    <w:rsid w:val="00F64CDA"/>
    <w:rsid w:val="00F64CE2"/>
    <w:rsid w:val="00F64D26"/>
    <w:rsid w:val="00F64EE8"/>
    <w:rsid w:val="00F64FB1"/>
    <w:rsid w:val="00F64FDF"/>
    <w:rsid w:val="00F64FFD"/>
    <w:rsid w:val="00F65017"/>
    <w:rsid w:val="00F65033"/>
    <w:rsid w:val="00F6507B"/>
    <w:rsid w:val="00F65083"/>
    <w:rsid w:val="00F650FB"/>
    <w:rsid w:val="00F65156"/>
    <w:rsid w:val="00F653A7"/>
    <w:rsid w:val="00F653ED"/>
    <w:rsid w:val="00F6556A"/>
    <w:rsid w:val="00F65616"/>
    <w:rsid w:val="00F65672"/>
    <w:rsid w:val="00F656A6"/>
    <w:rsid w:val="00F65846"/>
    <w:rsid w:val="00F65894"/>
    <w:rsid w:val="00F658B4"/>
    <w:rsid w:val="00F65927"/>
    <w:rsid w:val="00F65AD0"/>
    <w:rsid w:val="00F65C30"/>
    <w:rsid w:val="00F65CE1"/>
    <w:rsid w:val="00F65D83"/>
    <w:rsid w:val="00F65DFD"/>
    <w:rsid w:val="00F65E58"/>
    <w:rsid w:val="00F65F47"/>
    <w:rsid w:val="00F65F48"/>
    <w:rsid w:val="00F65F9D"/>
    <w:rsid w:val="00F66035"/>
    <w:rsid w:val="00F66127"/>
    <w:rsid w:val="00F661A1"/>
    <w:rsid w:val="00F662B9"/>
    <w:rsid w:val="00F662C6"/>
    <w:rsid w:val="00F6635C"/>
    <w:rsid w:val="00F66409"/>
    <w:rsid w:val="00F664C5"/>
    <w:rsid w:val="00F66511"/>
    <w:rsid w:val="00F66570"/>
    <w:rsid w:val="00F665AF"/>
    <w:rsid w:val="00F665F0"/>
    <w:rsid w:val="00F66654"/>
    <w:rsid w:val="00F666C7"/>
    <w:rsid w:val="00F66750"/>
    <w:rsid w:val="00F6684B"/>
    <w:rsid w:val="00F66852"/>
    <w:rsid w:val="00F668F0"/>
    <w:rsid w:val="00F66990"/>
    <w:rsid w:val="00F66B12"/>
    <w:rsid w:val="00F66BE1"/>
    <w:rsid w:val="00F66C29"/>
    <w:rsid w:val="00F66D6D"/>
    <w:rsid w:val="00F66E53"/>
    <w:rsid w:val="00F66E66"/>
    <w:rsid w:val="00F66EC6"/>
    <w:rsid w:val="00F66F00"/>
    <w:rsid w:val="00F66F34"/>
    <w:rsid w:val="00F67079"/>
    <w:rsid w:val="00F670A7"/>
    <w:rsid w:val="00F67123"/>
    <w:rsid w:val="00F67159"/>
    <w:rsid w:val="00F67264"/>
    <w:rsid w:val="00F6758B"/>
    <w:rsid w:val="00F6761A"/>
    <w:rsid w:val="00F67661"/>
    <w:rsid w:val="00F6769E"/>
    <w:rsid w:val="00F676FD"/>
    <w:rsid w:val="00F67720"/>
    <w:rsid w:val="00F6773F"/>
    <w:rsid w:val="00F67944"/>
    <w:rsid w:val="00F67960"/>
    <w:rsid w:val="00F67A51"/>
    <w:rsid w:val="00F67AA1"/>
    <w:rsid w:val="00F67B0B"/>
    <w:rsid w:val="00F67BCB"/>
    <w:rsid w:val="00F67C6E"/>
    <w:rsid w:val="00F67D1E"/>
    <w:rsid w:val="00F67D62"/>
    <w:rsid w:val="00F67DEA"/>
    <w:rsid w:val="00F67E23"/>
    <w:rsid w:val="00F67E4C"/>
    <w:rsid w:val="00F67E5F"/>
    <w:rsid w:val="00F67FE7"/>
    <w:rsid w:val="00F70000"/>
    <w:rsid w:val="00F700E3"/>
    <w:rsid w:val="00F7031C"/>
    <w:rsid w:val="00F70334"/>
    <w:rsid w:val="00F7041F"/>
    <w:rsid w:val="00F704BC"/>
    <w:rsid w:val="00F70575"/>
    <w:rsid w:val="00F7073A"/>
    <w:rsid w:val="00F7074B"/>
    <w:rsid w:val="00F7078E"/>
    <w:rsid w:val="00F707F3"/>
    <w:rsid w:val="00F70914"/>
    <w:rsid w:val="00F709AD"/>
    <w:rsid w:val="00F70A71"/>
    <w:rsid w:val="00F70CA6"/>
    <w:rsid w:val="00F70D3E"/>
    <w:rsid w:val="00F70E61"/>
    <w:rsid w:val="00F70F84"/>
    <w:rsid w:val="00F710C3"/>
    <w:rsid w:val="00F710D1"/>
    <w:rsid w:val="00F71141"/>
    <w:rsid w:val="00F712AE"/>
    <w:rsid w:val="00F71477"/>
    <w:rsid w:val="00F714DA"/>
    <w:rsid w:val="00F715E1"/>
    <w:rsid w:val="00F7164D"/>
    <w:rsid w:val="00F718A7"/>
    <w:rsid w:val="00F719ED"/>
    <w:rsid w:val="00F71C2C"/>
    <w:rsid w:val="00F71E8D"/>
    <w:rsid w:val="00F71EB7"/>
    <w:rsid w:val="00F71F0E"/>
    <w:rsid w:val="00F71FEE"/>
    <w:rsid w:val="00F72009"/>
    <w:rsid w:val="00F7202C"/>
    <w:rsid w:val="00F722C0"/>
    <w:rsid w:val="00F72343"/>
    <w:rsid w:val="00F724C4"/>
    <w:rsid w:val="00F725E1"/>
    <w:rsid w:val="00F725FA"/>
    <w:rsid w:val="00F727D7"/>
    <w:rsid w:val="00F72861"/>
    <w:rsid w:val="00F728B7"/>
    <w:rsid w:val="00F729D9"/>
    <w:rsid w:val="00F72B72"/>
    <w:rsid w:val="00F72B76"/>
    <w:rsid w:val="00F72BBF"/>
    <w:rsid w:val="00F72CA4"/>
    <w:rsid w:val="00F72CE0"/>
    <w:rsid w:val="00F72D3C"/>
    <w:rsid w:val="00F72DDE"/>
    <w:rsid w:val="00F72DFA"/>
    <w:rsid w:val="00F7314A"/>
    <w:rsid w:val="00F73213"/>
    <w:rsid w:val="00F73348"/>
    <w:rsid w:val="00F7339B"/>
    <w:rsid w:val="00F73417"/>
    <w:rsid w:val="00F734CD"/>
    <w:rsid w:val="00F7353D"/>
    <w:rsid w:val="00F736C8"/>
    <w:rsid w:val="00F736EA"/>
    <w:rsid w:val="00F7370C"/>
    <w:rsid w:val="00F73734"/>
    <w:rsid w:val="00F7375C"/>
    <w:rsid w:val="00F73765"/>
    <w:rsid w:val="00F73933"/>
    <w:rsid w:val="00F7398A"/>
    <w:rsid w:val="00F73B4A"/>
    <w:rsid w:val="00F73B53"/>
    <w:rsid w:val="00F73BF3"/>
    <w:rsid w:val="00F73D6B"/>
    <w:rsid w:val="00F73EC0"/>
    <w:rsid w:val="00F73F25"/>
    <w:rsid w:val="00F7407A"/>
    <w:rsid w:val="00F7417D"/>
    <w:rsid w:val="00F7425A"/>
    <w:rsid w:val="00F74379"/>
    <w:rsid w:val="00F743BB"/>
    <w:rsid w:val="00F7440F"/>
    <w:rsid w:val="00F74459"/>
    <w:rsid w:val="00F7458E"/>
    <w:rsid w:val="00F745EF"/>
    <w:rsid w:val="00F74630"/>
    <w:rsid w:val="00F74631"/>
    <w:rsid w:val="00F747D3"/>
    <w:rsid w:val="00F74850"/>
    <w:rsid w:val="00F749BB"/>
    <w:rsid w:val="00F749C6"/>
    <w:rsid w:val="00F749F1"/>
    <w:rsid w:val="00F749F6"/>
    <w:rsid w:val="00F74A35"/>
    <w:rsid w:val="00F74AFA"/>
    <w:rsid w:val="00F74BDB"/>
    <w:rsid w:val="00F74CDC"/>
    <w:rsid w:val="00F74D85"/>
    <w:rsid w:val="00F74DB0"/>
    <w:rsid w:val="00F74F89"/>
    <w:rsid w:val="00F75038"/>
    <w:rsid w:val="00F75056"/>
    <w:rsid w:val="00F7522F"/>
    <w:rsid w:val="00F75263"/>
    <w:rsid w:val="00F7541D"/>
    <w:rsid w:val="00F754C1"/>
    <w:rsid w:val="00F75596"/>
    <w:rsid w:val="00F755E1"/>
    <w:rsid w:val="00F7567F"/>
    <w:rsid w:val="00F758E1"/>
    <w:rsid w:val="00F75BB8"/>
    <w:rsid w:val="00F75C9A"/>
    <w:rsid w:val="00F75CA2"/>
    <w:rsid w:val="00F75CC6"/>
    <w:rsid w:val="00F75CC7"/>
    <w:rsid w:val="00F75CD0"/>
    <w:rsid w:val="00F75D31"/>
    <w:rsid w:val="00F75D8F"/>
    <w:rsid w:val="00F75F34"/>
    <w:rsid w:val="00F76027"/>
    <w:rsid w:val="00F76180"/>
    <w:rsid w:val="00F76222"/>
    <w:rsid w:val="00F762DD"/>
    <w:rsid w:val="00F7636E"/>
    <w:rsid w:val="00F7638B"/>
    <w:rsid w:val="00F763B8"/>
    <w:rsid w:val="00F7644A"/>
    <w:rsid w:val="00F7651A"/>
    <w:rsid w:val="00F7653F"/>
    <w:rsid w:val="00F76797"/>
    <w:rsid w:val="00F767B8"/>
    <w:rsid w:val="00F767FA"/>
    <w:rsid w:val="00F768D4"/>
    <w:rsid w:val="00F768E8"/>
    <w:rsid w:val="00F76922"/>
    <w:rsid w:val="00F76951"/>
    <w:rsid w:val="00F76B1D"/>
    <w:rsid w:val="00F76C3A"/>
    <w:rsid w:val="00F76D31"/>
    <w:rsid w:val="00F76EAC"/>
    <w:rsid w:val="00F76FA1"/>
    <w:rsid w:val="00F77119"/>
    <w:rsid w:val="00F7720B"/>
    <w:rsid w:val="00F7727B"/>
    <w:rsid w:val="00F77307"/>
    <w:rsid w:val="00F77372"/>
    <w:rsid w:val="00F7749A"/>
    <w:rsid w:val="00F774CC"/>
    <w:rsid w:val="00F77572"/>
    <w:rsid w:val="00F77588"/>
    <w:rsid w:val="00F775D3"/>
    <w:rsid w:val="00F7765E"/>
    <w:rsid w:val="00F776B9"/>
    <w:rsid w:val="00F77757"/>
    <w:rsid w:val="00F77785"/>
    <w:rsid w:val="00F77842"/>
    <w:rsid w:val="00F77A20"/>
    <w:rsid w:val="00F77DA6"/>
    <w:rsid w:val="00F77DCD"/>
    <w:rsid w:val="00F77F6E"/>
    <w:rsid w:val="00F77FF3"/>
    <w:rsid w:val="00F8018F"/>
    <w:rsid w:val="00F80203"/>
    <w:rsid w:val="00F80321"/>
    <w:rsid w:val="00F80348"/>
    <w:rsid w:val="00F803AA"/>
    <w:rsid w:val="00F803BE"/>
    <w:rsid w:val="00F803C3"/>
    <w:rsid w:val="00F80446"/>
    <w:rsid w:val="00F8048C"/>
    <w:rsid w:val="00F80523"/>
    <w:rsid w:val="00F80662"/>
    <w:rsid w:val="00F80769"/>
    <w:rsid w:val="00F807A5"/>
    <w:rsid w:val="00F807C7"/>
    <w:rsid w:val="00F80804"/>
    <w:rsid w:val="00F80A28"/>
    <w:rsid w:val="00F80A46"/>
    <w:rsid w:val="00F80C8B"/>
    <w:rsid w:val="00F80CC1"/>
    <w:rsid w:val="00F80D29"/>
    <w:rsid w:val="00F80E2A"/>
    <w:rsid w:val="00F81007"/>
    <w:rsid w:val="00F8103C"/>
    <w:rsid w:val="00F81058"/>
    <w:rsid w:val="00F81331"/>
    <w:rsid w:val="00F814B3"/>
    <w:rsid w:val="00F814BF"/>
    <w:rsid w:val="00F81535"/>
    <w:rsid w:val="00F815E6"/>
    <w:rsid w:val="00F817E2"/>
    <w:rsid w:val="00F8192F"/>
    <w:rsid w:val="00F81BA8"/>
    <w:rsid w:val="00F81BCA"/>
    <w:rsid w:val="00F81D0E"/>
    <w:rsid w:val="00F81DB7"/>
    <w:rsid w:val="00F81EB6"/>
    <w:rsid w:val="00F81FBA"/>
    <w:rsid w:val="00F82107"/>
    <w:rsid w:val="00F821C4"/>
    <w:rsid w:val="00F82299"/>
    <w:rsid w:val="00F82353"/>
    <w:rsid w:val="00F82580"/>
    <w:rsid w:val="00F8258E"/>
    <w:rsid w:val="00F82626"/>
    <w:rsid w:val="00F82698"/>
    <w:rsid w:val="00F8273C"/>
    <w:rsid w:val="00F828B9"/>
    <w:rsid w:val="00F829B2"/>
    <w:rsid w:val="00F82B52"/>
    <w:rsid w:val="00F82B97"/>
    <w:rsid w:val="00F82BAB"/>
    <w:rsid w:val="00F82C16"/>
    <w:rsid w:val="00F82C6E"/>
    <w:rsid w:val="00F82D06"/>
    <w:rsid w:val="00F82E2E"/>
    <w:rsid w:val="00F82EC4"/>
    <w:rsid w:val="00F82EF6"/>
    <w:rsid w:val="00F83022"/>
    <w:rsid w:val="00F83072"/>
    <w:rsid w:val="00F8308E"/>
    <w:rsid w:val="00F83163"/>
    <w:rsid w:val="00F83227"/>
    <w:rsid w:val="00F83263"/>
    <w:rsid w:val="00F83381"/>
    <w:rsid w:val="00F83430"/>
    <w:rsid w:val="00F8346D"/>
    <w:rsid w:val="00F8353E"/>
    <w:rsid w:val="00F8355E"/>
    <w:rsid w:val="00F83644"/>
    <w:rsid w:val="00F8365F"/>
    <w:rsid w:val="00F8369B"/>
    <w:rsid w:val="00F8376E"/>
    <w:rsid w:val="00F837A6"/>
    <w:rsid w:val="00F838B4"/>
    <w:rsid w:val="00F83974"/>
    <w:rsid w:val="00F83A13"/>
    <w:rsid w:val="00F83B21"/>
    <w:rsid w:val="00F83F70"/>
    <w:rsid w:val="00F84075"/>
    <w:rsid w:val="00F840CB"/>
    <w:rsid w:val="00F8422B"/>
    <w:rsid w:val="00F843C1"/>
    <w:rsid w:val="00F84420"/>
    <w:rsid w:val="00F844CC"/>
    <w:rsid w:val="00F844EC"/>
    <w:rsid w:val="00F8461A"/>
    <w:rsid w:val="00F8463C"/>
    <w:rsid w:val="00F847B2"/>
    <w:rsid w:val="00F84961"/>
    <w:rsid w:val="00F84986"/>
    <w:rsid w:val="00F84AE0"/>
    <w:rsid w:val="00F84D32"/>
    <w:rsid w:val="00F84D51"/>
    <w:rsid w:val="00F84D6B"/>
    <w:rsid w:val="00F84DDC"/>
    <w:rsid w:val="00F85087"/>
    <w:rsid w:val="00F85094"/>
    <w:rsid w:val="00F85107"/>
    <w:rsid w:val="00F85298"/>
    <w:rsid w:val="00F852A6"/>
    <w:rsid w:val="00F85364"/>
    <w:rsid w:val="00F85550"/>
    <w:rsid w:val="00F855E6"/>
    <w:rsid w:val="00F8566B"/>
    <w:rsid w:val="00F8568A"/>
    <w:rsid w:val="00F85752"/>
    <w:rsid w:val="00F857A1"/>
    <w:rsid w:val="00F8583A"/>
    <w:rsid w:val="00F85869"/>
    <w:rsid w:val="00F8589A"/>
    <w:rsid w:val="00F85998"/>
    <w:rsid w:val="00F85CA0"/>
    <w:rsid w:val="00F85DE3"/>
    <w:rsid w:val="00F85DFF"/>
    <w:rsid w:val="00F85E26"/>
    <w:rsid w:val="00F85F0F"/>
    <w:rsid w:val="00F85FAB"/>
    <w:rsid w:val="00F860C6"/>
    <w:rsid w:val="00F86316"/>
    <w:rsid w:val="00F86341"/>
    <w:rsid w:val="00F865FE"/>
    <w:rsid w:val="00F86622"/>
    <w:rsid w:val="00F86821"/>
    <w:rsid w:val="00F86897"/>
    <w:rsid w:val="00F86964"/>
    <w:rsid w:val="00F86A06"/>
    <w:rsid w:val="00F86C1A"/>
    <w:rsid w:val="00F86C58"/>
    <w:rsid w:val="00F86CD4"/>
    <w:rsid w:val="00F86D39"/>
    <w:rsid w:val="00F86D7F"/>
    <w:rsid w:val="00F86D98"/>
    <w:rsid w:val="00F86E11"/>
    <w:rsid w:val="00F86E58"/>
    <w:rsid w:val="00F86E71"/>
    <w:rsid w:val="00F86EC7"/>
    <w:rsid w:val="00F8703A"/>
    <w:rsid w:val="00F87099"/>
    <w:rsid w:val="00F87184"/>
    <w:rsid w:val="00F873EF"/>
    <w:rsid w:val="00F87478"/>
    <w:rsid w:val="00F87497"/>
    <w:rsid w:val="00F87819"/>
    <w:rsid w:val="00F878D7"/>
    <w:rsid w:val="00F87976"/>
    <w:rsid w:val="00F87981"/>
    <w:rsid w:val="00F87A12"/>
    <w:rsid w:val="00F87AD6"/>
    <w:rsid w:val="00F87BBC"/>
    <w:rsid w:val="00F87C0D"/>
    <w:rsid w:val="00F87CA8"/>
    <w:rsid w:val="00F87D2D"/>
    <w:rsid w:val="00F87D54"/>
    <w:rsid w:val="00F87E44"/>
    <w:rsid w:val="00F900E1"/>
    <w:rsid w:val="00F90113"/>
    <w:rsid w:val="00F90131"/>
    <w:rsid w:val="00F901C5"/>
    <w:rsid w:val="00F90215"/>
    <w:rsid w:val="00F9034D"/>
    <w:rsid w:val="00F90410"/>
    <w:rsid w:val="00F9049B"/>
    <w:rsid w:val="00F90542"/>
    <w:rsid w:val="00F9057C"/>
    <w:rsid w:val="00F906A8"/>
    <w:rsid w:val="00F906C1"/>
    <w:rsid w:val="00F907EF"/>
    <w:rsid w:val="00F90880"/>
    <w:rsid w:val="00F908F6"/>
    <w:rsid w:val="00F90922"/>
    <w:rsid w:val="00F909A3"/>
    <w:rsid w:val="00F90ABF"/>
    <w:rsid w:val="00F90BFC"/>
    <w:rsid w:val="00F90CD4"/>
    <w:rsid w:val="00F90D36"/>
    <w:rsid w:val="00F90D46"/>
    <w:rsid w:val="00F90D7C"/>
    <w:rsid w:val="00F90E68"/>
    <w:rsid w:val="00F90EE0"/>
    <w:rsid w:val="00F90F7F"/>
    <w:rsid w:val="00F91012"/>
    <w:rsid w:val="00F91308"/>
    <w:rsid w:val="00F91395"/>
    <w:rsid w:val="00F9147D"/>
    <w:rsid w:val="00F914FA"/>
    <w:rsid w:val="00F9154F"/>
    <w:rsid w:val="00F916A6"/>
    <w:rsid w:val="00F916AB"/>
    <w:rsid w:val="00F916FC"/>
    <w:rsid w:val="00F917D3"/>
    <w:rsid w:val="00F9182E"/>
    <w:rsid w:val="00F919B4"/>
    <w:rsid w:val="00F91BCA"/>
    <w:rsid w:val="00F91CD9"/>
    <w:rsid w:val="00F91CFC"/>
    <w:rsid w:val="00F91D28"/>
    <w:rsid w:val="00F91EDF"/>
    <w:rsid w:val="00F92066"/>
    <w:rsid w:val="00F920EE"/>
    <w:rsid w:val="00F92114"/>
    <w:rsid w:val="00F92191"/>
    <w:rsid w:val="00F921C4"/>
    <w:rsid w:val="00F921E8"/>
    <w:rsid w:val="00F9224C"/>
    <w:rsid w:val="00F92345"/>
    <w:rsid w:val="00F92450"/>
    <w:rsid w:val="00F9277D"/>
    <w:rsid w:val="00F9279E"/>
    <w:rsid w:val="00F927A7"/>
    <w:rsid w:val="00F92924"/>
    <w:rsid w:val="00F92978"/>
    <w:rsid w:val="00F92A48"/>
    <w:rsid w:val="00F92A6F"/>
    <w:rsid w:val="00F92AC4"/>
    <w:rsid w:val="00F92ACF"/>
    <w:rsid w:val="00F92B13"/>
    <w:rsid w:val="00F92B6A"/>
    <w:rsid w:val="00F92C4F"/>
    <w:rsid w:val="00F92D0E"/>
    <w:rsid w:val="00F92DA5"/>
    <w:rsid w:val="00F92DCD"/>
    <w:rsid w:val="00F92FC8"/>
    <w:rsid w:val="00F93027"/>
    <w:rsid w:val="00F9304E"/>
    <w:rsid w:val="00F930F6"/>
    <w:rsid w:val="00F931C8"/>
    <w:rsid w:val="00F93321"/>
    <w:rsid w:val="00F93390"/>
    <w:rsid w:val="00F934DA"/>
    <w:rsid w:val="00F9378D"/>
    <w:rsid w:val="00F937A3"/>
    <w:rsid w:val="00F93899"/>
    <w:rsid w:val="00F9395D"/>
    <w:rsid w:val="00F9396A"/>
    <w:rsid w:val="00F9396D"/>
    <w:rsid w:val="00F9397F"/>
    <w:rsid w:val="00F93A82"/>
    <w:rsid w:val="00F93C3D"/>
    <w:rsid w:val="00F93C5E"/>
    <w:rsid w:val="00F93D03"/>
    <w:rsid w:val="00F93D1F"/>
    <w:rsid w:val="00F93D28"/>
    <w:rsid w:val="00F93F59"/>
    <w:rsid w:val="00F93FB5"/>
    <w:rsid w:val="00F94039"/>
    <w:rsid w:val="00F940D9"/>
    <w:rsid w:val="00F9424B"/>
    <w:rsid w:val="00F94284"/>
    <w:rsid w:val="00F94305"/>
    <w:rsid w:val="00F9440B"/>
    <w:rsid w:val="00F944E6"/>
    <w:rsid w:val="00F944F6"/>
    <w:rsid w:val="00F94521"/>
    <w:rsid w:val="00F9458C"/>
    <w:rsid w:val="00F945F5"/>
    <w:rsid w:val="00F94688"/>
    <w:rsid w:val="00F946D6"/>
    <w:rsid w:val="00F946F1"/>
    <w:rsid w:val="00F94819"/>
    <w:rsid w:val="00F949A7"/>
    <w:rsid w:val="00F949CE"/>
    <w:rsid w:val="00F94AB7"/>
    <w:rsid w:val="00F94B63"/>
    <w:rsid w:val="00F94BB8"/>
    <w:rsid w:val="00F94D2C"/>
    <w:rsid w:val="00F94E8A"/>
    <w:rsid w:val="00F94FF5"/>
    <w:rsid w:val="00F95079"/>
    <w:rsid w:val="00F951C6"/>
    <w:rsid w:val="00F953C2"/>
    <w:rsid w:val="00F9551F"/>
    <w:rsid w:val="00F9553E"/>
    <w:rsid w:val="00F95544"/>
    <w:rsid w:val="00F95573"/>
    <w:rsid w:val="00F95583"/>
    <w:rsid w:val="00F95880"/>
    <w:rsid w:val="00F95989"/>
    <w:rsid w:val="00F959AA"/>
    <w:rsid w:val="00F95A79"/>
    <w:rsid w:val="00F95B50"/>
    <w:rsid w:val="00F95B62"/>
    <w:rsid w:val="00F95BAA"/>
    <w:rsid w:val="00F95C09"/>
    <w:rsid w:val="00F95C29"/>
    <w:rsid w:val="00F95C70"/>
    <w:rsid w:val="00F95CCB"/>
    <w:rsid w:val="00F95D2D"/>
    <w:rsid w:val="00F95F51"/>
    <w:rsid w:val="00F95F7B"/>
    <w:rsid w:val="00F95FA9"/>
    <w:rsid w:val="00F9604D"/>
    <w:rsid w:val="00F960EE"/>
    <w:rsid w:val="00F960FC"/>
    <w:rsid w:val="00F960FE"/>
    <w:rsid w:val="00F96149"/>
    <w:rsid w:val="00F961F8"/>
    <w:rsid w:val="00F962E5"/>
    <w:rsid w:val="00F96539"/>
    <w:rsid w:val="00F96738"/>
    <w:rsid w:val="00F96922"/>
    <w:rsid w:val="00F969BF"/>
    <w:rsid w:val="00F96A10"/>
    <w:rsid w:val="00F96AAA"/>
    <w:rsid w:val="00F96ABD"/>
    <w:rsid w:val="00F96AEA"/>
    <w:rsid w:val="00F96BF9"/>
    <w:rsid w:val="00F96C0E"/>
    <w:rsid w:val="00F96C69"/>
    <w:rsid w:val="00F96E76"/>
    <w:rsid w:val="00F96FE2"/>
    <w:rsid w:val="00F9708C"/>
    <w:rsid w:val="00F9719D"/>
    <w:rsid w:val="00F9729C"/>
    <w:rsid w:val="00F973AE"/>
    <w:rsid w:val="00F97435"/>
    <w:rsid w:val="00F974EC"/>
    <w:rsid w:val="00F9754D"/>
    <w:rsid w:val="00F97583"/>
    <w:rsid w:val="00F97658"/>
    <w:rsid w:val="00F976BF"/>
    <w:rsid w:val="00F97727"/>
    <w:rsid w:val="00F977B1"/>
    <w:rsid w:val="00F97982"/>
    <w:rsid w:val="00F979C9"/>
    <w:rsid w:val="00F97A32"/>
    <w:rsid w:val="00F97CE6"/>
    <w:rsid w:val="00F97D05"/>
    <w:rsid w:val="00F97DAD"/>
    <w:rsid w:val="00F97DE0"/>
    <w:rsid w:val="00F97E2A"/>
    <w:rsid w:val="00F97F45"/>
    <w:rsid w:val="00F97FF6"/>
    <w:rsid w:val="00FA0388"/>
    <w:rsid w:val="00FA0621"/>
    <w:rsid w:val="00FA0672"/>
    <w:rsid w:val="00FA0733"/>
    <w:rsid w:val="00FA09DB"/>
    <w:rsid w:val="00FA0AAE"/>
    <w:rsid w:val="00FA0B79"/>
    <w:rsid w:val="00FA0C35"/>
    <w:rsid w:val="00FA0F2A"/>
    <w:rsid w:val="00FA106F"/>
    <w:rsid w:val="00FA10CD"/>
    <w:rsid w:val="00FA1190"/>
    <w:rsid w:val="00FA11F4"/>
    <w:rsid w:val="00FA1211"/>
    <w:rsid w:val="00FA12B5"/>
    <w:rsid w:val="00FA12CB"/>
    <w:rsid w:val="00FA1372"/>
    <w:rsid w:val="00FA1477"/>
    <w:rsid w:val="00FA1478"/>
    <w:rsid w:val="00FA1490"/>
    <w:rsid w:val="00FA150B"/>
    <w:rsid w:val="00FA156E"/>
    <w:rsid w:val="00FA1692"/>
    <w:rsid w:val="00FA175C"/>
    <w:rsid w:val="00FA17C6"/>
    <w:rsid w:val="00FA18DB"/>
    <w:rsid w:val="00FA1AA7"/>
    <w:rsid w:val="00FA1B43"/>
    <w:rsid w:val="00FA1B70"/>
    <w:rsid w:val="00FA1B7A"/>
    <w:rsid w:val="00FA1C29"/>
    <w:rsid w:val="00FA1C9B"/>
    <w:rsid w:val="00FA1CF8"/>
    <w:rsid w:val="00FA1DF4"/>
    <w:rsid w:val="00FA21CC"/>
    <w:rsid w:val="00FA2208"/>
    <w:rsid w:val="00FA2211"/>
    <w:rsid w:val="00FA24D7"/>
    <w:rsid w:val="00FA2525"/>
    <w:rsid w:val="00FA25FD"/>
    <w:rsid w:val="00FA2702"/>
    <w:rsid w:val="00FA28FC"/>
    <w:rsid w:val="00FA2929"/>
    <w:rsid w:val="00FA29BB"/>
    <w:rsid w:val="00FA2BD4"/>
    <w:rsid w:val="00FA2C25"/>
    <w:rsid w:val="00FA2C27"/>
    <w:rsid w:val="00FA2C80"/>
    <w:rsid w:val="00FA2CBC"/>
    <w:rsid w:val="00FA2CC4"/>
    <w:rsid w:val="00FA2D5A"/>
    <w:rsid w:val="00FA2D5B"/>
    <w:rsid w:val="00FA2D91"/>
    <w:rsid w:val="00FA2DA7"/>
    <w:rsid w:val="00FA2DF5"/>
    <w:rsid w:val="00FA2E6D"/>
    <w:rsid w:val="00FA2E7C"/>
    <w:rsid w:val="00FA30B0"/>
    <w:rsid w:val="00FA3113"/>
    <w:rsid w:val="00FA3146"/>
    <w:rsid w:val="00FA3191"/>
    <w:rsid w:val="00FA3198"/>
    <w:rsid w:val="00FA3243"/>
    <w:rsid w:val="00FA34A4"/>
    <w:rsid w:val="00FA35D1"/>
    <w:rsid w:val="00FA3700"/>
    <w:rsid w:val="00FA3974"/>
    <w:rsid w:val="00FA3982"/>
    <w:rsid w:val="00FA39A7"/>
    <w:rsid w:val="00FA39AC"/>
    <w:rsid w:val="00FA3B29"/>
    <w:rsid w:val="00FA3BCA"/>
    <w:rsid w:val="00FA3D04"/>
    <w:rsid w:val="00FA3D82"/>
    <w:rsid w:val="00FA3E60"/>
    <w:rsid w:val="00FA3F19"/>
    <w:rsid w:val="00FA3F44"/>
    <w:rsid w:val="00FA3F48"/>
    <w:rsid w:val="00FA3F7C"/>
    <w:rsid w:val="00FA40F5"/>
    <w:rsid w:val="00FA4307"/>
    <w:rsid w:val="00FA4311"/>
    <w:rsid w:val="00FA43BF"/>
    <w:rsid w:val="00FA4416"/>
    <w:rsid w:val="00FA4425"/>
    <w:rsid w:val="00FA4480"/>
    <w:rsid w:val="00FA4495"/>
    <w:rsid w:val="00FA44E2"/>
    <w:rsid w:val="00FA453A"/>
    <w:rsid w:val="00FA4565"/>
    <w:rsid w:val="00FA460A"/>
    <w:rsid w:val="00FA4672"/>
    <w:rsid w:val="00FA4691"/>
    <w:rsid w:val="00FA46ED"/>
    <w:rsid w:val="00FA472B"/>
    <w:rsid w:val="00FA47A0"/>
    <w:rsid w:val="00FA47AD"/>
    <w:rsid w:val="00FA485C"/>
    <w:rsid w:val="00FA494F"/>
    <w:rsid w:val="00FA49A1"/>
    <w:rsid w:val="00FA49AF"/>
    <w:rsid w:val="00FA49FF"/>
    <w:rsid w:val="00FA4A8B"/>
    <w:rsid w:val="00FA4B00"/>
    <w:rsid w:val="00FA4B62"/>
    <w:rsid w:val="00FA4B7E"/>
    <w:rsid w:val="00FA4B92"/>
    <w:rsid w:val="00FA4C3D"/>
    <w:rsid w:val="00FA4D21"/>
    <w:rsid w:val="00FA4D38"/>
    <w:rsid w:val="00FA4FBA"/>
    <w:rsid w:val="00FA4FCF"/>
    <w:rsid w:val="00FA5121"/>
    <w:rsid w:val="00FA519E"/>
    <w:rsid w:val="00FA51AB"/>
    <w:rsid w:val="00FA5318"/>
    <w:rsid w:val="00FA5320"/>
    <w:rsid w:val="00FA54AC"/>
    <w:rsid w:val="00FA54D7"/>
    <w:rsid w:val="00FA5568"/>
    <w:rsid w:val="00FA5702"/>
    <w:rsid w:val="00FA579F"/>
    <w:rsid w:val="00FA57F9"/>
    <w:rsid w:val="00FA591B"/>
    <w:rsid w:val="00FA599E"/>
    <w:rsid w:val="00FA59B4"/>
    <w:rsid w:val="00FA59FA"/>
    <w:rsid w:val="00FA5A71"/>
    <w:rsid w:val="00FA5B90"/>
    <w:rsid w:val="00FA5E25"/>
    <w:rsid w:val="00FA5ECC"/>
    <w:rsid w:val="00FA6006"/>
    <w:rsid w:val="00FA609C"/>
    <w:rsid w:val="00FA61A0"/>
    <w:rsid w:val="00FA6202"/>
    <w:rsid w:val="00FA62DB"/>
    <w:rsid w:val="00FA63CC"/>
    <w:rsid w:val="00FA648B"/>
    <w:rsid w:val="00FA6674"/>
    <w:rsid w:val="00FA6715"/>
    <w:rsid w:val="00FA671D"/>
    <w:rsid w:val="00FA6729"/>
    <w:rsid w:val="00FA6763"/>
    <w:rsid w:val="00FA6868"/>
    <w:rsid w:val="00FA68DC"/>
    <w:rsid w:val="00FA69C0"/>
    <w:rsid w:val="00FA6A71"/>
    <w:rsid w:val="00FA6D6B"/>
    <w:rsid w:val="00FA6DF6"/>
    <w:rsid w:val="00FA6F1B"/>
    <w:rsid w:val="00FA6F3E"/>
    <w:rsid w:val="00FA6F44"/>
    <w:rsid w:val="00FA70F6"/>
    <w:rsid w:val="00FA712D"/>
    <w:rsid w:val="00FA7136"/>
    <w:rsid w:val="00FA713C"/>
    <w:rsid w:val="00FA7208"/>
    <w:rsid w:val="00FA7252"/>
    <w:rsid w:val="00FA72BF"/>
    <w:rsid w:val="00FA73FD"/>
    <w:rsid w:val="00FA764A"/>
    <w:rsid w:val="00FA76E3"/>
    <w:rsid w:val="00FA771D"/>
    <w:rsid w:val="00FA7976"/>
    <w:rsid w:val="00FA797A"/>
    <w:rsid w:val="00FA79D6"/>
    <w:rsid w:val="00FA79EF"/>
    <w:rsid w:val="00FA7B47"/>
    <w:rsid w:val="00FA7C07"/>
    <w:rsid w:val="00FA7C37"/>
    <w:rsid w:val="00FA7C83"/>
    <w:rsid w:val="00FA7DE8"/>
    <w:rsid w:val="00FA7E1F"/>
    <w:rsid w:val="00FA7F0A"/>
    <w:rsid w:val="00FA7FF9"/>
    <w:rsid w:val="00FB0139"/>
    <w:rsid w:val="00FB0370"/>
    <w:rsid w:val="00FB03F5"/>
    <w:rsid w:val="00FB054C"/>
    <w:rsid w:val="00FB05E3"/>
    <w:rsid w:val="00FB069B"/>
    <w:rsid w:val="00FB07B4"/>
    <w:rsid w:val="00FB0872"/>
    <w:rsid w:val="00FB09AA"/>
    <w:rsid w:val="00FB0C81"/>
    <w:rsid w:val="00FB0E46"/>
    <w:rsid w:val="00FB0F8C"/>
    <w:rsid w:val="00FB0FC3"/>
    <w:rsid w:val="00FB0FF9"/>
    <w:rsid w:val="00FB1110"/>
    <w:rsid w:val="00FB1133"/>
    <w:rsid w:val="00FB1230"/>
    <w:rsid w:val="00FB12CD"/>
    <w:rsid w:val="00FB1527"/>
    <w:rsid w:val="00FB156F"/>
    <w:rsid w:val="00FB164B"/>
    <w:rsid w:val="00FB16C1"/>
    <w:rsid w:val="00FB1738"/>
    <w:rsid w:val="00FB18D0"/>
    <w:rsid w:val="00FB18F4"/>
    <w:rsid w:val="00FB1ADB"/>
    <w:rsid w:val="00FB1BFB"/>
    <w:rsid w:val="00FB1C1E"/>
    <w:rsid w:val="00FB1C2B"/>
    <w:rsid w:val="00FB1CAF"/>
    <w:rsid w:val="00FB1CDA"/>
    <w:rsid w:val="00FB1D6B"/>
    <w:rsid w:val="00FB1DC0"/>
    <w:rsid w:val="00FB1E23"/>
    <w:rsid w:val="00FB1E95"/>
    <w:rsid w:val="00FB1EC7"/>
    <w:rsid w:val="00FB1F6D"/>
    <w:rsid w:val="00FB2108"/>
    <w:rsid w:val="00FB2223"/>
    <w:rsid w:val="00FB2321"/>
    <w:rsid w:val="00FB23D1"/>
    <w:rsid w:val="00FB2492"/>
    <w:rsid w:val="00FB24C8"/>
    <w:rsid w:val="00FB25BA"/>
    <w:rsid w:val="00FB2608"/>
    <w:rsid w:val="00FB264D"/>
    <w:rsid w:val="00FB267F"/>
    <w:rsid w:val="00FB26AD"/>
    <w:rsid w:val="00FB2713"/>
    <w:rsid w:val="00FB27B7"/>
    <w:rsid w:val="00FB281E"/>
    <w:rsid w:val="00FB2960"/>
    <w:rsid w:val="00FB29BB"/>
    <w:rsid w:val="00FB2A7F"/>
    <w:rsid w:val="00FB2C9B"/>
    <w:rsid w:val="00FB303A"/>
    <w:rsid w:val="00FB30CF"/>
    <w:rsid w:val="00FB3164"/>
    <w:rsid w:val="00FB3211"/>
    <w:rsid w:val="00FB323D"/>
    <w:rsid w:val="00FB3268"/>
    <w:rsid w:val="00FB3386"/>
    <w:rsid w:val="00FB338B"/>
    <w:rsid w:val="00FB340A"/>
    <w:rsid w:val="00FB349E"/>
    <w:rsid w:val="00FB34C3"/>
    <w:rsid w:val="00FB34D6"/>
    <w:rsid w:val="00FB352D"/>
    <w:rsid w:val="00FB373E"/>
    <w:rsid w:val="00FB376C"/>
    <w:rsid w:val="00FB37C7"/>
    <w:rsid w:val="00FB37DE"/>
    <w:rsid w:val="00FB38E8"/>
    <w:rsid w:val="00FB38F6"/>
    <w:rsid w:val="00FB390F"/>
    <w:rsid w:val="00FB3A62"/>
    <w:rsid w:val="00FB3B10"/>
    <w:rsid w:val="00FB3B3A"/>
    <w:rsid w:val="00FB3B72"/>
    <w:rsid w:val="00FB3CB5"/>
    <w:rsid w:val="00FB3DD9"/>
    <w:rsid w:val="00FB3EEA"/>
    <w:rsid w:val="00FB3FBE"/>
    <w:rsid w:val="00FB3FC3"/>
    <w:rsid w:val="00FB3FEC"/>
    <w:rsid w:val="00FB402F"/>
    <w:rsid w:val="00FB4071"/>
    <w:rsid w:val="00FB40A4"/>
    <w:rsid w:val="00FB412A"/>
    <w:rsid w:val="00FB41F4"/>
    <w:rsid w:val="00FB41F6"/>
    <w:rsid w:val="00FB4263"/>
    <w:rsid w:val="00FB483F"/>
    <w:rsid w:val="00FB48AF"/>
    <w:rsid w:val="00FB4AA5"/>
    <w:rsid w:val="00FB4B80"/>
    <w:rsid w:val="00FB4BD0"/>
    <w:rsid w:val="00FB4DC4"/>
    <w:rsid w:val="00FB4DDD"/>
    <w:rsid w:val="00FB4ED3"/>
    <w:rsid w:val="00FB5015"/>
    <w:rsid w:val="00FB5052"/>
    <w:rsid w:val="00FB5068"/>
    <w:rsid w:val="00FB50CE"/>
    <w:rsid w:val="00FB50DB"/>
    <w:rsid w:val="00FB51B5"/>
    <w:rsid w:val="00FB521D"/>
    <w:rsid w:val="00FB521F"/>
    <w:rsid w:val="00FB5323"/>
    <w:rsid w:val="00FB5469"/>
    <w:rsid w:val="00FB5494"/>
    <w:rsid w:val="00FB54E2"/>
    <w:rsid w:val="00FB5648"/>
    <w:rsid w:val="00FB58FD"/>
    <w:rsid w:val="00FB5A02"/>
    <w:rsid w:val="00FB5A0E"/>
    <w:rsid w:val="00FB5BC3"/>
    <w:rsid w:val="00FB5D10"/>
    <w:rsid w:val="00FB5E14"/>
    <w:rsid w:val="00FB5E2C"/>
    <w:rsid w:val="00FB5EAA"/>
    <w:rsid w:val="00FB5F2A"/>
    <w:rsid w:val="00FB609E"/>
    <w:rsid w:val="00FB60E5"/>
    <w:rsid w:val="00FB6126"/>
    <w:rsid w:val="00FB641E"/>
    <w:rsid w:val="00FB64A0"/>
    <w:rsid w:val="00FB64FC"/>
    <w:rsid w:val="00FB65A0"/>
    <w:rsid w:val="00FB6627"/>
    <w:rsid w:val="00FB6632"/>
    <w:rsid w:val="00FB682C"/>
    <w:rsid w:val="00FB68E3"/>
    <w:rsid w:val="00FB69B7"/>
    <w:rsid w:val="00FB6AD1"/>
    <w:rsid w:val="00FB6B1B"/>
    <w:rsid w:val="00FB6B6F"/>
    <w:rsid w:val="00FB6BBA"/>
    <w:rsid w:val="00FB6BFC"/>
    <w:rsid w:val="00FB6D11"/>
    <w:rsid w:val="00FB6EA2"/>
    <w:rsid w:val="00FB6EB4"/>
    <w:rsid w:val="00FB6EE2"/>
    <w:rsid w:val="00FB6EE3"/>
    <w:rsid w:val="00FB720A"/>
    <w:rsid w:val="00FB720F"/>
    <w:rsid w:val="00FB737D"/>
    <w:rsid w:val="00FB7388"/>
    <w:rsid w:val="00FB73A8"/>
    <w:rsid w:val="00FB7643"/>
    <w:rsid w:val="00FB76A3"/>
    <w:rsid w:val="00FB76E9"/>
    <w:rsid w:val="00FB77EA"/>
    <w:rsid w:val="00FB7821"/>
    <w:rsid w:val="00FB78E4"/>
    <w:rsid w:val="00FB79D9"/>
    <w:rsid w:val="00FB79DF"/>
    <w:rsid w:val="00FB7AD9"/>
    <w:rsid w:val="00FB7AFD"/>
    <w:rsid w:val="00FB7D15"/>
    <w:rsid w:val="00FB7DD2"/>
    <w:rsid w:val="00FB7F75"/>
    <w:rsid w:val="00FB7FC1"/>
    <w:rsid w:val="00FC008C"/>
    <w:rsid w:val="00FC013B"/>
    <w:rsid w:val="00FC0153"/>
    <w:rsid w:val="00FC01B5"/>
    <w:rsid w:val="00FC0201"/>
    <w:rsid w:val="00FC0334"/>
    <w:rsid w:val="00FC0416"/>
    <w:rsid w:val="00FC041C"/>
    <w:rsid w:val="00FC0492"/>
    <w:rsid w:val="00FC0562"/>
    <w:rsid w:val="00FC057E"/>
    <w:rsid w:val="00FC0616"/>
    <w:rsid w:val="00FC0783"/>
    <w:rsid w:val="00FC079F"/>
    <w:rsid w:val="00FC08D4"/>
    <w:rsid w:val="00FC0932"/>
    <w:rsid w:val="00FC09AD"/>
    <w:rsid w:val="00FC09EF"/>
    <w:rsid w:val="00FC0A52"/>
    <w:rsid w:val="00FC0AA9"/>
    <w:rsid w:val="00FC0D21"/>
    <w:rsid w:val="00FC0FB3"/>
    <w:rsid w:val="00FC10EA"/>
    <w:rsid w:val="00FC112C"/>
    <w:rsid w:val="00FC11F8"/>
    <w:rsid w:val="00FC1283"/>
    <w:rsid w:val="00FC13E3"/>
    <w:rsid w:val="00FC13F6"/>
    <w:rsid w:val="00FC17AA"/>
    <w:rsid w:val="00FC17BC"/>
    <w:rsid w:val="00FC186C"/>
    <w:rsid w:val="00FC1932"/>
    <w:rsid w:val="00FC1A43"/>
    <w:rsid w:val="00FC1A67"/>
    <w:rsid w:val="00FC1AC8"/>
    <w:rsid w:val="00FC1B0A"/>
    <w:rsid w:val="00FC1BAE"/>
    <w:rsid w:val="00FC1DED"/>
    <w:rsid w:val="00FC1E3A"/>
    <w:rsid w:val="00FC1E89"/>
    <w:rsid w:val="00FC1EAF"/>
    <w:rsid w:val="00FC1EB2"/>
    <w:rsid w:val="00FC1EB9"/>
    <w:rsid w:val="00FC1F20"/>
    <w:rsid w:val="00FC2064"/>
    <w:rsid w:val="00FC2068"/>
    <w:rsid w:val="00FC20A2"/>
    <w:rsid w:val="00FC2187"/>
    <w:rsid w:val="00FC22F3"/>
    <w:rsid w:val="00FC2349"/>
    <w:rsid w:val="00FC23B0"/>
    <w:rsid w:val="00FC23C3"/>
    <w:rsid w:val="00FC2434"/>
    <w:rsid w:val="00FC2529"/>
    <w:rsid w:val="00FC2597"/>
    <w:rsid w:val="00FC25D5"/>
    <w:rsid w:val="00FC25FF"/>
    <w:rsid w:val="00FC260A"/>
    <w:rsid w:val="00FC263A"/>
    <w:rsid w:val="00FC267D"/>
    <w:rsid w:val="00FC26EA"/>
    <w:rsid w:val="00FC289E"/>
    <w:rsid w:val="00FC2975"/>
    <w:rsid w:val="00FC2A32"/>
    <w:rsid w:val="00FC2A63"/>
    <w:rsid w:val="00FC2B78"/>
    <w:rsid w:val="00FC2BE0"/>
    <w:rsid w:val="00FC2D35"/>
    <w:rsid w:val="00FC2E05"/>
    <w:rsid w:val="00FC2EE6"/>
    <w:rsid w:val="00FC2F05"/>
    <w:rsid w:val="00FC3117"/>
    <w:rsid w:val="00FC31A8"/>
    <w:rsid w:val="00FC3242"/>
    <w:rsid w:val="00FC337D"/>
    <w:rsid w:val="00FC33AC"/>
    <w:rsid w:val="00FC3407"/>
    <w:rsid w:val="00FC34ED"/>
    <w:rsid w:val="00FC34FF"/>
    <w:rsid w:val="00FC356F"/>
    <w:rsid w:val="00FC35A3"/>
    <w:rsid w:val="00FC35CB"/>
    <w:rsid w:val="00FC377E"/>
    <w:rsid w:val="00FC37FA"/>
    <w:rsid w:val="00FC3823"/>
    <w:rsid w:val="00FC3887"/>
    <w:rsid w:val="00FC3933"/>
    <w:rsid w:val="00FC3B52"/>
    <w:rsid w:val="00FC3BC2"/>
    <w:rsid w:val="00FC3EA2"/>
    <w:rsid w:val="00FC3F1F"/>
    <w:rsid w:val="00FC3F7B"/>
    <w:rsid w:val="00FC3FC0"/>
    <w:rsid w:val="00FC406B"/>
    <w:rsid w:val="00FC4343"/>
    <w:rsid w:val="00FC4478"/>
    <w:rsid w:val="00FC4555"/>
    <w:rsid w:val="00FC456F"/>
    <w:rsid w:val="00FC462C"/>
    <w:rsid w:val="00FC46EC"/>
    <w:rsid w:val="00FC4810"/>
    <w:rsid w:val="00FC4843"/>
    <w:rsid w:val="00FC486F"/>
    <w:rsid w:val="00FC48F3"/>
    <w:rsid w:val="00FC4B25"/>
    <w:rsid w:val="00FC4B91"/>
    <w:rsid w:val="00FC4D01"/>
    <w:rsid w:val="00FC4D12"/>
    <w:rsid w:val="00FC4D95"/>
    <w:rsid w:val="00FC4E2D"/>
    <w:rsid w:val="00FC4F90"/>
    <w:rsid w:val="00FC4FAF"/>
    <w:rsid w:val="00FC4FE9"/>
    <w:rsid w:val="00FC502F"/>
    <w:rsid w:val="00FC5250"/>
    <w:rsid w:val="00FC5346"/>
    <w:rsid w:val="00FC5348"/>
    <w:rsid w:val="00FC55E4"/>
    <w:rsid w:val="00FC56E7"/>
    <w:rsid w:val="00FC56FA"/>
    <w:rsid w:val="00FC5710"/>
    <w:rsid w:val="00FC5771"/>
    <w:rsid w:val="00FC57EB"/>
    <w:rsid w:val="00FC584F"/>
    <w:rsid w:val="00FC588E"/>
    <w:rsid w:val="00FC593E"/>
    <w:rsid w:val="00FC5991"/>
    <w:rsid w:val="00FC5AF5"/>
    <w:rsid w:val="00FC5B4B"/>
    <w:rsid w:val="00FC5C0B"/>
    <w:rsid w:val="00FC5DFC"/>
    <w:rsid w:val="00FC5E0E"/>
    <w:rsid w:val="00FC5EB3"/>
    <w:rsid w:val="00FC604A"/>
    <w:rsid w:val="00FC6131"/>
    <w:rsid w:val="00FC6202"/>
    <w:rsid w:val="00FC62DD"/>
    <w:rsid w:val="00FC63E9"/>
    <w:rsid w:val="00FC648C"/>
    <w:rsid w:val="00FC651A"/>
    <w:rsid w:val="00FC655E"/>
    <w:rsid w:val="00FC656A"/>
    <w:rsid w:val="00FC6759"/>
    <w:rsid w:val="00FC67CE"/>
    <w:rsid w:val="00FC67D1"/>
    <w:rsid w:val="00FC682F"/>
    <w:rsid w:val="00FC686D"/>
    <w:rsid w:val="00FC6889"/>
    <w:rsid w:val="00FC6A0C"/>
    <w:rsid w:val="00FC6A2B"/>
    <w:rsid w:val="00FC6A93"/>
    <w:rsid w:val="00FC6AF7"/>
    <w:rsid w:val="00FC6B19"/>
    <w:rsid w:val="00FC6BF5"/>
    <w:rsid w:val="00FC6C39"/>
    <w:rsid w:val="00FC6D89"/>
    <w:rsid w:val="00FC6E7B"/>
    <w:rsid w:val="00FC6F11"/>
    <w:rsid w:val="00FC6F6A"/>
    <w:rsid w:val="00FC701F"/>
    <w:rsid w:val="00FC7082"/>
    <w:rsid w:val="00FC70BC"/>
    <w:rsid w:val="00FC727C"/>
    <w:rsid w:val="00FC737D"/>
    <w:rsid w:val="00FC748D"/>
    <w:rsid w:val="00FC7563"/>
    <w:rsid w:val="00FC7638"/>
    <w:rsid w:val="00FC7659"/>
    <w:rsid w:val="00FC768D"/>
    <w:rsid w:val="00FC7694"/>
    <w:rsid w:val="00FC76C1"/>
    <w:rsid w:val="00FC76E9"/>
    <w:rsid w:val="00FC76F0"/>
    <w:rsid w:val="00FC7784"/>
    <w:rsid w:val="00FC7925"/>
    <w:rsid w:val="00FC792B"/>
    <w:rsid w:val="00FC7943"/>
    <w:rsid w:val="00FC797E"/>
    <w:rsid w:val="00FC79B6"/>
    <w:rsid w:val="00FC7A70"/>
    <w:rsid w:val="00FC7B23"/>
    <w:rsid w:val="00FC7C44"/>
    <w:rsid w:val="00FC7CA3"/>
    <w:rsid w:val="00FC7EAF"/>
    <w:rsid w:val="00FC7F80"/>
    <w:rsid w:val="00FD0093"/>
    <w:rsid w:val="00FD00AC"/>
    <w:rsid w:val="00FD021E"/>
    <w:rsid w:val="00FD0261"/>
    <w:rsid w:val="00FD0343"/>
    <w:rsid w:val="00FD0502"/>
    <w:rsid w:val="00FD054B"/>
    <w:rsid w:val="00FD05EB"/>
    <w:rsid w:val="00FD066F"/>
    <w:rsid w:val="00FD07DB"/>
    <w:rsid w:val="00FD08A5"/>
    <w:rsid w:val="00FD08C9"/>
    <w:rsid w:val="00FD094F"/>
    <w:rsid w:val="00FD0964"/>
    <w:rsid w:val="00FD09BC"/>
    <w:rsid w:val="00FD0B3A"/>
    <w:rsid w:val="00FD0C0C"/>
    <w:rsid w:val="00FD0C7B"/>
    <w:rsid w:val="00FD0D3F"/>
    <w:rsid w:val="00FD10D8"/>
    <w:rsid w:val="00FD138D"/>
    <w:rsid w:val="00FD15BA"/>
    <w:rsid w:val="00FD1735"/>
    <w:rsid w:val="00FD19E7"/>
    <w:rsid w:val="00FD1A34"/>
    <w:rsid w:val="00FD1A7F"/>
    <w:rsid w:val="00FD1ADA"/>
    <w:rsid w:val="00FD1C68"/>
    <w:rsid w:val="00FD1CC3"/>
    <w:rsid w:val="00FD1D29"/>
    <w:rsid w:val="00FD1D81"/>
    <w:rsid w:val="00FD1D86"/>
    <w:rsid w:val="00FD1DCE"/>
    <w:rsid w:val="00FD1F72"/>
    <w:rsid w:val="00FD2120"/>
    <w:rsid w:val="00FD21F7"/>
    <w:rsid w:val="00FD227A"/>
    <w:rsid w:val="00FD22E6"/>
    <w:rsid w:val="00FD22E8"/>
    <w:rsid w:val="00FD22F7"/>
    <w:rsid w:val="00FD2316"/>
    <w:rsid w:val="00FD248A"/>
    <w:rsid w:val="00FD24BF"/>
    <w:rsid w:val="00FD2529"/>
    <w:rsid w:val="00FD25B7"/>
    <w:rsid w:val="00FD266D"/>
    <w:rsid w:val="00FD26C0"/>
    <w:rsid w:val="00FD2795"/>
    <w:rsid w:val="00FD27F5"/>
    <w:rsid w:val="00FD2AC5"/>
    <w:rsid w:val="00FD2AF1"/>
    <w:rsid w:val="00FD2B33"/>
    <w:rsid w:val="00FD2EBB"/>
    <w:rsid w:val="00FD2F15"/>
    <w:rsid w:val="00FD2F1A"/>
    <w:rsid w:val="00FD2F32"/>
    <w:rsid w:val="00FD30D4"/>
    <w:rsid w:val="00FD31B6"/>
    <w:rsid w:val="00FD333A"/>
    <w:rsid w:val="00FD348C"/>
    <w:rsid w:val="00FD34D1"/>
    <w:rsid w:val="00FD3658"/>
    <w:rsid w:val="00FD36EE"/>
    <w:rsid w:val="00FD3702"/>
    <w:rsid w:val="00FD3729"/>
    <w:rsid w:val="00FD384C"/>
    <w:rsid w:val="00FD391C"/>
    <w:rsid w:val="00FD391E"/>
    <w:rsid w:val="00FD3A02"/>
    <w:rsid w:val="00FD3A58"/>
    <w:rsid w:val="00FD3C47"/>
    <w:rsid w:val="00FD3CA0"/>
    <w:rsid w:val="00FD3CC9"/>
    <w:rsid w:val="00FD3D00"/>
    <w:rsid w:val="00FD3EB6"/>
    <w:rsid w:val="00FD3EDD"/>
    <w:rsid w:val="00FD3F8C"/>
    <w:rsid w:val="00FD3FC2"/>
    <w:rsid w:val="00FD40BF"/>
    <w:rsid w:val="00FD4397"/>
    <w:rsid w:val="00FD450C"/>
    <w:rsid w:val="00FD454E"/>
    <w:rsid w:val="00FD45B4"/>
    <w:rsid w:val="00FD460B"/>
    <w:rsid w:val="00FD47E6"/>
    <w:rsid w:val="00FD485D"/>
    <w:rsid w:val="00FD4A08"/>
    <w:rsid w:val="00FD4BB1"/>
    <w:rsid w:val="00FD4C0C"/>
    <w:rsid w:val="00FD4E8F"/>
    <w:rsid w:val="00FD4E91"/>
    <w:rsid w:val="00FD4EAF"/>
    <w:rsid w:val="00FD4EC2"/>
    <w:rsid w:val="00FD4FCE"/>
    <w:rsid w:val="00FD5038"/>
    <w:rsid w:val="00FD50E5"/>
    <w:rsid w:val="00FD52B7"/>
    <w:rsid w:val="00FD52FD"/>
    <w:rsid w:val="00FD5306"/>
    <w:rsid w:val="00FD5313"/>
    <w:rsid w:val="00FD5316"/>
    <w:rsid w:val="00FD5338"/>
    <w:rsid w:val="00FD5418"/>
    <w:rsid w:val="00FD544F"/>
    <w:rsid w:val="00FD5495"/>
    <w:rsid w:val="00FD5533"/>
    <w:rsid w:val="00FD561C"/>
    <w:rsid w:val="00FD5633"/>
    <w:rsid w:val="00FD5649"/>
    <w:rsid w:val="00FD56FC"/>
    <w:rsid w:val="00FD5732"/>
    <w:rsid w:val="00FD57E2"/>
    <w:rsid w:val="00FD583C"/>
    <w:rsid w:val="00FD588A"/>
    <w:rsid w:val="00FD5989"/>
    <w:rsid w:val="00FD59BA"/>
    <w:rsid w:val="00FD5ABE"/>
    <w:rsid w:val="00FD5AD3"/>
    <w:rsid w:val="00FD5B93"/>
    <w:rsid w:val="00FD5C8B"/>
    <w:rsid w:val="00FD5CD1"/>
    <w:rsid w:val="00FD5F8E"/>
    <w:rsid w:val="00FD6009"/>
    <w:rsid w:val="00FD605E"/>
    <w:rsid w:val="00FD6110"/>
    <w:rsid w:val="00FD619D"/>
    <w:rsid w:val="00FD62F9"/>
    <w:rsid w:val="00FD64E5"/>
    <w:rsid w:val="00FD6662"/>
    <w:rsid w:val="00FD6682"/>
    <w:rsid w:val="00FD67D3"/>
    <w:rsid w:val="00FD686E"/>
    <w:rsid w:val="00FD68F8"/>
    <w:rsid w:val="00FD6924"/>
    <w:rsid w:val="00FD6BDE"/>
    <w:rsid w:val="00FD6BF8"/>
    <w:rsid w:val="00FD6BFA"/>
    <w:rsid w:val="00FD6C11"/>
    <w:rsid w:val="00FD6D11"/>
    <w:rsid w:val="00FD6EB6"/>
    <w:rsid w:val="00FD6FD9"/>
    <w:rsid w:val="00FD702E"/>
    <w:rsid w:val="00FD709A"/>
    <w:rsid w:val="00FD716F"/>
    <w:rsid w:val="00FD7189"/>
    <w:rsid w:val="00FD7220"/>
    <w:rsid w:val="00FD7368"/>
    <w:rsid w:val="00FD7390"/>
    <w:rsid w:val="00FD7411"/>
    <w:rsid w:val="00FD741A"/>
    <w:rsid w:val="00FD742B"/>
    <w:rsid w:val="00FD7485"/>
    <w:rsid w:val="00FD74A6"/>
    <w:rsid w:val="00FD7554"/>
    <w:rsid w:val="00FD75BF"/>
    <w:rsid w:val="00FD76FD"/>
    <w:rsid w:val="00FD7763"/>
    <w:rsid w:val="00FD783B"/>
    <w:rsid w:val="00FD7901"/>
    <w:rsid w:val="00FD79EC"/>
    <w:rsid w:val="00FD7B28"/>
    <w:rsid w:val="00FD7B9F"/>
    <w:rsid w:val="00FD7C66"/>
    <w:rsid w:val="00FD7E59"/>
    <w:rsid w:val="00FD7E7B"/>
    <w:rsid w:val="00FE0016"/>
    <w:rsid w:val="00FE0044"/>
    <w:rsid w:val="00FE0242"/>
    <w:rsid w:val="00FE02AB"/>
    <w:rsid w:val="00FE0300"/>
    <w:rsid w:val="00FE03AF"/>
    <w:rsid w:val="00FE0483"/>
    <w:rsid w:val="00FE04EF"/>
    <w:rsid w:val="00FE052B"/>
    <w:rsid w:val="00FE0588"/>
    <w:rsid w:val="00FE073C"/>
    <w:rsid w:val="00FE074B"/>
    <w:rsid w:val="00FE075C"/>
    <w:rsid w:val="00FE0761"/>
    <w:rsid w:val="00FE0783"/>
    <w:rsid w:val="00FE07DF"/>
    <w:rsid w:val="00FE095D"/>
    <w:rsid w:val="00FE09FE"/>
    <w:rsid w:val="00FE0A16"/>
    <w:rsid w:val="00FE0B73"/>
    <w:rsid w:val="00FE0BF7"/>
    <w:rsid w:val="00FE0CAE"/>
    <w:rsid w:val="00FE0CE2"/>
    <w:rsid w:val="00FE0D2E"/>
    <w:rsid w:val="00FE0D4F"/>
    <w:rsid w:val="00FE0E0F"/>
    <w:rsid w:val="00FE0E67"/>
    <w:rsid w:val="00FE0EEA"/>
    <w:rsid w:val="00FE0F14"/>
    <w:rsid w:val="00FE0FFC"/>
    <w:rsid w:val="00FE1038"/>
    <w:rsid w:val="00FE1058"/>
    <w:rsid w:val="00FE10F4"/>
    <w:rsid w:val="00FE1108"/>
    <w:rsid w:val="00FE1154"/>
    <w:rsid w:val="00FE1328"/>
    <w:rsid w:val="00FE146D"/>
    <w:rsid w:val="00FE1565"/>
    <w:rsid w:val="00FE15B6"/>
    <w:rsid w:val="00FE1625"/>
    <w:rsid w:val="00FE1636"/>
    <w:rsid w:val="00FE177F"/>
    <w:rsid w:val="00FE193B"/>
    <w:rsid w:val="00FE1984"/>
    <w:rsid w:val="00FE1A40"/>
    <w:rsid w:val="00FE1B4F"/>
    <w:rsid w:val="00FE1D2D"/>
    <w:rsid w:val="00FE1DB5"/>
    <w:rsid w:val="00FE1E87"/>
    <w:rsid w:val="00FE1F71"/>
    <w:rsid w:val="00FE20BC"/>
    <w:rsid w:val="00FE20F3"/>
    <w:rsid w:val="00FE21B7"/>
    <w:rsid w:val="00FE2236"/>
    <w:rsid w:val="00FE2264"/>
    <w:rsid w:val="00FE22BF"/>
    <w:rsid w:val="00FE2589"/>
    <w:rsid w:val="00FE25C2"/>
    <w:rsid w:val="00FE25D8"/>
    <w:rsid w:val="00FE2603"/>
    <w:rsid w:val="00FE282B"/>
    <w:rsid w:val="00FE2833"/>
    <w:rsid w:val="00FE2982"/>
    <w:rsid w:val="00FE2AA7"/>
    <w:rsid w:val="00FE2AD7"/>
    <w:rsid w:val="00FE2AE3"/>
    <w:rsid w:val="00FE2C24"/>
    <w:rsid w:val="00FE2C2B"/>
    <w:rsid w:val="00FE2C2E"/>
    <w:rsid w:val="00FE2CEE"/>
    <w:rsid w:val="00FE2D5D"/>
    <w:rsid w:val="00FE2DBA"/>
    <w:rsid w:val="00FE2E1E"/>
    <w:rsid w:val="00FE2F6A"/>
    <w:rsid w:val="00FE3204"/>
    <w:rsid w:val="00FE322A"/>
    <w:rsid w:val="00FE3267"/>
    <w:rsid w:val="00FE32DC"/>
    <w:rsid w:val="00FE331D"/>
    <w:rsid w:val="00FE33B3"/>
    <w:rsid w:val="00FE33E2"/>
    <w:rsid w:val="00FE342A"/>
    <w:rsid w:val="00FE3521"/>
    <w:rsid w:val="00FE3595"/>
    <w:rsid w:val="00FE35BB"/>
    <w:rsid w:val="00FE35CD"/>
    <w:rsid w:val="00FE360E"/>
    <w:rsid w:val="00FE380F"/>
    <w:rsid w:val="00FE3863"/>
    <w:rsid w:val="00FE3AE4"/>
    <w:rsid w:val="00FE3B2F"/>
    <w:rsid w:val="00FE3B6B"/>
    <w:rsid w:val="00FE3C2D"/>
    <w:rsid w:val="00FE3C8D"/>
    <w:rsid w:val="00FE3CD4"/>
    <w:rsid w:val="00FE3D51"/>
    <w:rsid w:val="00FE3E22"/>
    <w:rsid w:val="00FE3ED2"/>
    <w:rsid w:val="00FE3F46"/>
    <w:rsid w:val="00FE408C"/>
    <w:rsid w:val="00FE40F0"/>
    <w:rsid w:val="00FE41F9"/>
    <w:rsid w:val="00FE421E"/>
    <w:rsid w:val="00FE4286"/>
    <w:rsid w:val="00FE4317"/>
    <w:rsid w:val="00FE432E"/>
    <w:rsid w:val="00FE439A"/>
    <w:rsid w:val="00FE43BB"/>
    <w:rsid w:val="00FE44EF"/>
    <w:rsid w:val="00FE4539"/>
    <w:rsid w:val="00FE4584"/>
    <w:rsid w:val="00FE4590"/>
    <w:rsid w:val="00FE4632"/>
    <w:rsid w:val="00FE4644"/>
    <w:rsid w:val="00FE46A5"/>
    <w:rsid w:val="00FE4774"/>
    <w:rsid w:val="00FE4A46"/>
    <w:rsid w:val="00FE4B28"/>
    <w:rsid w:val="00FE4B96"/>
    <w:rsid w:val="00FE4BE1"/>
    <w:rsid w:val="00FE4CB1"/>
    <w:rsid w:val="00FE4D40"/>
    <w:rsid w:val="00FE4DB0"/>
    <w:rsid w:val="00FE4E24"/>
    <w:rsid w:val="00FE50F1"/>
    <w:rsid w:val="00FE518F"/>
    <w:rsid w:val="00FE51E3"/>
    <w:rsid w:val="00FE5343"/>
    <w:rsid w:val="00FE5388"/>
    <w:rsid w:val="00FE53BE"/>
    <w:rsid w:val="00FE53D6"/>
    <w:rsid w:val="00FE549E"/>
    <w:rsid w:val="00FE54E4"/>
    <w:rsid w:val="00FE5523"/>
    <w:rsid w:val="00FE55CF"/>
    <w:rsid w:val="00FE566B"/>
    <w:rsid w:val="00FE5916"/>
    <w:rsid w:val="00FE5C13"/>
    <w:rsid w:val="00FE5DE4"/>
    <w:rsid w:val="00FE5DF0"/>
    <w:rsid w:val="00FE5E84"/>
    <w:rsid w:val="00FE5FB3"/>
    <w:rsid w:val="00FE6080"/>
    <w:rsid w:val="00FE6093"/>
    <w:rsid w:val="00FE60CC"/>
    <w:rsid w:val="00FE6180"/>
    <w:rsid w:val="00FE6212"/>
    <w:rsid w:val="00FE622C"/>
    <w:rsid w:val="00FE6280"/>
    <w:rsid w:val="00FE642D"/>
    <w:rsid w:val="00FE654D"/>
    <w:rsid w:val="00FE657C"/>
    <w:rsid w:val="00FE65F2"/>
    <w:rsid w:val="00FE65F5"/>
    <w:rsid w:val="00FE6608"/>
    <w:rsid w:val="00FE67E7"/>
    <w:rsid w:val="00FE6943"/>
    <w:rsid w:val="00FE6968"/>
    <w:rsid w:val="00FE6A43"/>
    <w:rsid w:val="00FE6B0F"/>
    <w:rsid w:val="00FE6B2C"/>
    <w:rsid w:val="00FE6BFA"/>
    <w:rsid w:val="00FE6E9F"/>
    <w:rsid w:val="00FE6F2A"/>
    <w:rsid w:val="00FE6F34"/>
    <w:rsid w:val="00FE7000"/>
    <w:rsid w:val="00FE7156"/>
    <w:rsid w:val="00FE72E0"/>
    <w:rsid w:val="00FE732E"/>
    <w:rsid w:val="00FE7491"/>
    <w:rsid w:val="00FE76A5"/>
    <w:rsid w:val="00FE76C5"/>
    <w:rsid w:val="00FE7741"/>
    <w:rsid w:val="00FE7852"/>
    <w:rsid w:val="00FE792C"/>
    <w:rsid w:val="00FE79BF"/>
    <w:rsid w:val="00FE79E8"/>
    <w:rsid w:val="00FE7A1B"/>
    <w:rsid w:val="00FE7AB7"/>
    <w:rsid w:val="00FE7B09"/>
    <w:rsid w:val="00FE7BDB"/>
    <w:rsid w:val="00FE7D9E"/>
    <w:rsid w:val="00FE7DF2"/>
    <w:rsid w:val="00FE7F51"/>
    <w:rsid w:val="00FF0179"/>
    <w:rsid w:val="00FF0290"/>
    <w:rsid w:val="00FF02B8"/>
    <w:rsid w:val="00FF05CC"/>
    <w:rsid w:val="00FF05D0"/>
    <w:rsid w:val="00FF0763"/>
    <w:rsid w:val="00FF07B8"/>
    <w:rsid w:val="00FF08B8"/>
    <w:rsid w:val="00FF09B5"/>
    <w:rsid w:val="00FF0B0D"/>
    <w:rsid w:val="00FF0B43"/>
    <w:rsid w:val="00FF0B5D"/>
    <w:rsid w:val="00FF0B67"/>
    <w:rsid w:val="00FF0B71"/>
    <w:rsid w:val="00FF0BA7"/>
    <w:rsid w:val="00FF0CDE"/>
    <w:rsid w:val="00FF0DE6"/>
    <w:rsid w:val="00FF0E0D"/>
    <w:rsid w:val="00FF0E0F"/>
    <w:rsid w:val="00FF10AF"/>
    <w:rsid w:val="00FF1196"/>
    <w:rsid w:val="00FF11FE"/>
    <w:rsid w:val="00FF1489"/>
    <w:rsid w:val="00FF14FA"/>
    <w:rsid w:val="00FF16CF"/>
    <w:rsid w:val="00FF1732"/>
    <w:rsid w:val="00FF1800"/>
    <w:rsid w:val="00FF184F"/>
    <w:rsid w:val="00FF1972"/>
    <w:rsid w:val="00FF19D9"/>
    <w:rsid w:val="00FF19F1"/>
    <w:rsid w:val="00FF1B4D"/>
    <w:rsid w:val="00FF1B8C"/>
    <w:rsid w:val="00FF1C3C"/>
    <w:rsid w:val="00FF1D20"/>
    <w:rsid w:val="00FF1ED8"/>
    <w:rsid w:val="00FF1F30"/>
    <w:rsid w:val="00FF203E"/>
    <w:rsid w:val="00FF213E"/>
    <w:rsid w:val="00FF21A8"/>
    <w:rsid w:val="00FF2214"/>
    <w:rsid w:val="00FF22CE"/>
    <w:rsid w:val="00FF2404"/>
    <w:rsid w:val="00FF2427"/>
    <w:rsid w:val="00FF249D"/>
    <w:rsid w:val="00FF2654"/>
    <w:rsid w:val="00FF26F3"/>
    <w:rsid w:val="00FF273C"/>
    <w:rsid w:val="00FF29B6"/>
    <w:rsid w:val="00FF2A0F"/>
    <w:rsid w:val="00FF2B16"/>
    <w:rsid w:val="00FF2C22"/>
    <w:rsid w:val="00FF2C9F"/>
    <w:rsid w:val="00FF2D32"/>
    <w:rsid w:val="00FF2E4F"/>
    <w:rsid w:val="00FF2E5A"/>
    <w:rsid w:val="00FF2EF1"/>
    <w:rsid w:val="00FF2F71"/>
    <w:rsid w:val="00FF3125"/>
    <w:rsid w:val="00FF3144"/>
    <w:rsid w:val="00FF314E"/>
    <w:rsid w:val="00FF342E"/>
    <w:rsid w:val="00FF3453"/>
    <w:rsid w:val="00FF3603"/>
    <w:rsid w:val="00FF3642"/>
    <w:rsid w:val="00FF36ED"/>
    <w:rsid w:val="00FF370C"/>
    <w:rsid w:val="00FF370F"/>
    <w:rsid w:val="00FF3990"/>
    <w:rsid w:val="00FF3B5E"/>
    <w:rsid w:val="00FF3B63"/>
    <w:rsid w:val="00FF3BCB"/>
    <w:rsid w:val="00FF3C2D"/>
    <w:rsid w:val="00FF3E20"/>
    <w:rsid w:val="00FF3F29"/>
    <w:rsid w:val="00FF3F75"/>
    <w:rsid w:val="00FF404B"/>
    <w:rsid w:val="00FF40BE"/>
    <w:rsid w:val="00FF410A"/>
    <w:rsid w:val="00FF411F"/>
    <w:rsid w:val="00FF4157"/>
    <w:rsid w:val="00FF420B"/>
    <w:rsid w:val="00FF4472"/>
    <w:rsid w:val="00FF44E2"/>
    <w:rsid w:val="00FF457A"/>
    <w:rsid w:val="00FF45B8"/>
    <w:rsid w:val="00FF465D"/>
    <w:rsid w:val="00FF46A0"/>
    <w:rsid w:val="00FF46BB"/>
    <w:rsid w:val="00FF4763"/>
    <w:rsid w:val="00FF4765"/>
    <w:rsid w:val="00FF47C1"/>
    <w:rsid w:val="00FF4879"/>
    <w:rsid w:val="00FF4921"/>
    <w:rsid w:val="00FF4AD2"/>
    <w:rsid w:val="00FF4B28"/>
    <w:rsid w:val="00FF4BC2"/>
    <w:rsid w:val="00FF4CB1"/>
    <w:rsid w:val="00FF4DCF"/>
    <w:rsid w:val="00FF4F1E"/>
    <w:rsid w:val="00FF4FB3"/>
    <w:rsid w:val="00FF5032"/>
    <w:rsid w:val="00FF505C"/>
    <w:rsid w:val="00FF51A3"/>
    <w:rsid w:val="00FF52E3"/>
    <w:rsid w:val="00FF53ED"/>
    <w:rsid w:val="00FF5452"/>
    <w:rsid w:val="00FF54FD"/>
    <w:rsid w:val="00FF55A8"/>
    <w:rsid w:val="00FF55F0"/>
    <w:rsid w:val="00FF5673"/>
    <w:rsid w:val="00FF57EF"/>
    <w:rsid w:val="00FF5C4C"/>
    <w:rsid w:val="00FF5CD6"/>
    <w:rsid w:val="00FF5D43"/>
    <w:rsid w:val="00FF5F95"/>
    <w:rsid w:val="00FF6151"/>
    <w:rsid w:val="00FF6517"/>
    <w:rsid w:val="00FF6587"/>
    <w:rsid w:val="00FF65EA"/>
    <w:rsid w:val="00FF677A"/>
    <w:rsid w:val="00FF6831"/>
    <w:rsid w:val="00FF6867"/>
    <w:rsid w:val="00FF68B5"/>
    <w:rsid w:val="00FF6990"/>
    <w:rsid w:val="00FF69EB"/>
    <w:rsid w:val="00FF6C44"/>
    <w:rsid w:val="00FF700A"/>
    <w:rsid w:val="00FF706C"/>
    <w:rsid w:val="00FF7141"/>
    <w:rsid w:val="00FF7406"/>
    <w:rsid w:val="00FF7462"/>
    <w:rsid w:val="00FF748C"/>
    <w:rsid w:val="00FF752E"/>
    <w:rsid w:val="00FF75AD"/>
    <w:rsid w:val="00FF75BF"/>
    <w:rsid w:val="00FF7662"/>
    <w:rsid w:val="00FF76CD"/>
    <w:rsid w:val="00FF7719"/>
    <w:rsid w:val="00FF77B7"/>
    <w:rsid w:val="00FF788B"/>
    <w:rsid w:val="00FF788C"/>
    <w:rsid w:val="00FF78A0"/>
    <w:rsid w:val="00FF7949"/>
    <w:rsid w:val="00FF7992"/>
    <w:rsid w:val="00FF7A00"/>
    <w:rsid w:val="00FF7AC5"/>
    <w:rsid w:val="00FF7ACD"/>
    <w:rsid w:val="00FF7C2E"/>
    <w:rsid w:val="00FF7CA9"/>
    <w:rsid w:val="00FF7E05"/>
    <w:rsid w:val="00FF7F62"/>
    <w:rsid w:val="0132A672"/>
    <w:rsid w:val="0135BA1E"/>
    <w:rsid w:val="014EB335"/>
    <w:rsid w:val="0157B622"/>
    <w:rsid w:val="01887B9F"/>
    <w:rsid w:val="019FC340"/>
    <w:rsid w:val="01BC2CFA"/>
    <w:rsid w:val="01F1299A"/>
    <w:rsid w:val="020FAB2F"/>
    <w:rsid w:val="027FBC11"/>
    <w:rsid w:val="0289F8FB"/>
    <w:rsid w:val="028F1C1C"/>
    <w:rsid w:val="029340AF"/>
    <w:rsid w:val="029DD030"/>
    <w:rsid w:val="029FEE97"/>
    <w:rsid w:val="02B37B49"/>
    <w:rsid w:val="02C6FF10"/>
    <w:rsid w:val="02CAABA6"/>
    <w:rsid w:val="02CB471B"/>
    <w:rsid w:val="02CD84F8"/>
    <w:rsid w:val="02D82E1E"/>
    <w:rsid w:val="0307EC51"/>
    <w:rsid w:val="03093459"/>
    <w:rsid w:val="034EA9B8"/>
    <w:rsid w:val="03BCDF0F"/>
    <w:rsid w:val="044BB5C3"/>
    <w:rsid w:val="04DE816D"/>
    <w:rsid w:val="04F8766C"/>
    <w:rsid w:val="0546E269"/>
    <w:rsid w:val="05880379"/>
    <w:rsid w:val="05F7BF75"/>
    <w:rsid w:val="06125A30"/>
    <w:rsid w:val="061B5758"/>
    <w:rsid w:val="06354DA0"/>
    <w:rsid w:val="0649ABEE"/>
    <w:rsid w:val="06830BF6"/>
    <w:rsid w:val="06CB26BF"/>
    <w:rsid w:val="073F2054"/>
    <w:rsid w:val="07569A1F"/>
    <w:rsid w:val="0765E6D2"/>
    <w:rsid w:val="076CCA08"/>
    <w:rsid w:val="079015FE"/>
    <w:rsid w:val="07B17D0E"/>
    <w:rsid w:val="07D5245D"/>
    <w:rsid w:val="07F71D49"/>
    <w:rsid w:val="08170A3B"/>
    <w:rsid w:val="08374900"/>
    <w:rsid w:val="085C79E4"/>
    <w:rsid w:val="085E731D"/>
    <w:rsid w:val="086BA3EE"/>
    <w:rsid w:val="08770225"/>
    <w:rsid w:val="08B3382E"/>
    <w:rsid w:val="08BB7D3D"/>
    <w:rsid w:val="08C98EC5"/>
    <w:rsid w:val="08EBF8A3"/>
    <w:rsid w:val="08F0D1BB"/>
    <w:rsid w:val="091BBF25"/>
    <w:rsid w:val="093A7C44"/>
    <w:rsid w:val="09B485B2"/>
    <w:rsid w:val="09CBE78F"/>
    <w:rsid w:val="09EE23AF"/>
    <w:rsid w:val="0A3CBE0C"/>
    <w:rsid w:val="0A41DCDC"/>
    <w:rsid w:val="0A735F93"/>
    <w:rsid w:val="0A7BE283"/>
    <w:rsid w:val="0AAB007C"/>
    <w:rsid w:val="0AD2CD05"/>
    <w:rsid w:val="0AEDB8E9"/>
    <w:rsid w:val="0B0B29E2"/>
    <w:rsid w:val="0B2BDD77"/>
    <w:rsid w:val="0B2F3072"/>
    <w:rsid w:val="0B9942DC"/>
    <w:rsid w:val="0B9D9BC3"/>
    <w:rsid w:val="0CA3D3DC"/>
    <w:rsid w:val="0CA4252C"/>
    <w:rsid w:val="0CFCDF76"/>
    <w:rsid w:val="0D04CD5A"/>
    <w:rsid w:val="0D09A836"/>
    <w:rsid w:val="0D10EEAC"/>
    <w:rsid w:val="0D129698"/>
    <w:rsid w:val="0D496C8B"/>
    <w:rsid w:val="0D49AADC"/>
    <w:rsid w:val="0D4B0EF6"/>
    <w:rsid w:val="0D9E1E49"/>
    <w:rsid w:val="0DF533F3"/>
    <w:rsid w:val="0E1A0901"/>
    <w:rsid w:val="0E1DEFA2"/>
    <w:rsid w:val="0E75C51F"/>
    <w:rsid w:val="0E895C55"/>
    <w:rsid w:val="0EA5A523"/>
    <w:rsid w:val="0EBB7CB0"/>
    <w:rsid w:val="0ED509B4"/>
    <w:rsid w:val="0EDFBD15"/>
    <w:rsid w:val="0F1D6BB8"/>
    <w:rsid w:val="0F2089F6"/>
    <w:rsid w:val="0F235519"/>
    <w:rsid w:val="0F3338BF"/>
    <w:rsid w:val="0F41822D"/>
    <w:rsid w:val="0F456A8E"/>
    <w:rsid w:val="0F7C3498"/>
    <w:rsid w:val="1026328B"/>
    <w:rsid w:val="1042D47B"/>
    <w:rsid w:val="10827A8E"/>
    <w:rsid w:val="10CD75FC"/>
    <w:rsid w:val="10CE07E5"/>
    <w:rsid w:val="10D78B4A"/>
    <w:rsid w:val="10E73157"/>
    <w:rsid w:val="10F04516"/>
    <w:rsid w:val="11071534"/>
    <w:rsid w:val="110F9EDD"/>
    <w:rsid w:val="1115AD06"/>
    <w:rsid w:val="1117C0A2"/>
    <w:rsid w:val="1139F99E"/>
    <w:rsid w:val="11B6C2D5"/>
    <w:rsid w:val="11CB7DAE"/>
    <w:rsid w:val="11D728F1"/>
    <w:rsid w:val="123A5F5F"/>
    <w:rsid w:val="126171FE"/>
    <w:rsid w:val="12B490A6"/>
    <w:rsid w:val="12E6B1E3"/>
    <w:rsid w:val="13325A2C"/>
    <w:rsid w:val="135D3E2D"/>
    <w:rsid w:val="137AB75B"/>
    <w:rsid w:val="138466FA"/>
    <w:rsid w:val="13DC9812"/>
    <w:rsid w:val="140231E6"/>
    <w:rsid w:val="14089CF9"/>
    <w:rsid w:val="140B8C37"/>
    <w:rsid w:val="14205C51"/>
    <w:rsid w:val="1429DA20"/>
    <w:rsid w:val="145DA2EE"/>
    <w:rsid w:val="14A95554"/>
    <w:rsid w:val="14AB4D92"/>
    <w:rsid w:val="14B9C6DD"/>
    <w:rsid w:val="14C73F85"/>
    <w:rsid w:val="14E17DEC"/>
    <w:rsid w:val="1553DC5D"/>
    <w:rsid w:val="155E0254"/>
    <w:rsid w:val="156BF193"/>
    <w:rsid w:val="156F4938"/>
    <w:rsid w:val="15A412ED"/>
    <w:rsid w:val="15DB8C3B"/>
    <w:rsid w:val="15FDC96B"/>
    <w:rsid w:val="161852C5"/>
    <w:rsid w:val="1639340E"/>
    <w:rsid w:val="16AE0423"/>
    <w:rsid w:val="16B427B9"/>
    <w:rsid w:val="16B6BA85"/>
    <w:rsid w:val="16D43BD3"/>
    <w:rsid w:val="16D8A2D9"/>
    <w:rsid w:val="16EF852B"/>
    <w:rsid w:val="17301342"/>
    <w:rsid w:val="173366FD"/>
    <w:rsid w:val="1739DD83"/>
    <w:rsid w:val="175DED94"/>
    <w:rsid w:val="1778296D"/>
    <w:rsid w:val="1788ADCF"/>
    <w:rsid w:val="1798066C"/>
    <w:rsid w:val="17AFB4C7"/>
    <w:rsid w:val="17D293B4"/>
    <w:rsid w:val="17D8BAAE"/>
    <w:rsid w:val="18185F87"/>
    <w:rsid w:val="182CDAA3"/>
    <w:rsid w:val="183CEDA7"/>
    <w:rsid w:val="184932C3"/>
    <w:rsid w:val="1875F68E"/>
    <w:rsid w:val="18786619"/>
    <w:rsid w:val="1880C512"/>
    <w:rsid w:val="1882DC66"/>
    <w:rsid w:val="18A2D331"/>
    <w:rsid w:val="193116E7"/>
    <w:rsid w:val="19B62888"/>
    <w:rsid w:val="19C28AA2"/>
    <w:rsid w:val="1A17297C"/>
    <w:rsid w:val="1A3756BB"/>
    <w:rsid w:val="1AA4E4BD"/>
    <w:rsid w:val="1AAAC943"/>
    <w:rsid w:val="1AB874B6"/>
    <w:rsid w:val="1AD1DF4A"/>
    <w:rsid w:val="1AD98CF2"/>
    <w:rsid w:val="1AEBC3E8"/>
    <w:rsid w:val="1AF51CCC"/>
    <w:rsid w:val="1B04588E"/>
    <w:rsid w:val="1B0B9810"/>
    <w:rsid w:val="1B1FF487"/>
    <w:rsid w:val="1B90726C"/>
    <w:rsid w:val="1B9CC342"/>
    <w:rsid w:val="1B9DFF8B"/>
    <w:rsid w:val="1BA94CE5"/>
    <w:rsid w:val="1BB972C4"/>
    <w:rsid w:val="1BEE8557"/>
    <w:rsid w:val="1C1B4313"/>
    <w:rsid w:val="1C2B4386"/>
    <w:rsid w:val="1C2C52ED"/>
    <w:rsid w:val="1C3298B7"/>
    <w:rsid w:val="1C397B7B"/>
    <w:rsid w:val="1C698E5B"/>
    <w:rsid w:val="1C90ED2D"/>
    <w:rsid w:val="1D1232F5"/>
    <w:rsid w:val="1D64F8AA"/>
    <w:rsid w:val="1D755594"/>
    <w:rsid w:val="1DD0FBDC"/>
    <w:rsid w:val="1DE0C6CE"/>
    <w:rsid w:val="1DEBBF5A"/>
    <w:rsid w:val="1DF4472C"/>
    <w:rsid w:val="1E119724"/>
    <w:rsid w:val="1E497904"/>
    <w:rsid w:val="1E4AA9AD"/>
    <w:rsid w:val="1E50379A"/>
    <w:rsid w:val="1E5BB987"/>
    <w:rsid w:val="1E5F8131"/>
    <w:rsid w:val="1E61A542"/>
    <w:rsid w:val="1E805C4A"/>
    <w:rsid w:val="1E949238"/>
    <w:rsid w:val="1EBAFBB0"/>
    <w:rsid w:val="1EC7A0B4"/>
    <w:rsid w:val="1ECAE98D"/>
    <w:rsid w:val="1ED35F9E"/>
    <w:rsid w:val="1EF909C2"/>
    <w:rsid w:val="1EFB77C9"/>
    <w:rsid w:val="1F02B5A7"/>
    <w:rsid w:val="1F1D277D"/>
    <w:rsid w:val="1F22E7A6"/>
    <w:rsid w:val="1F34050F"/>
    <w:rsid w:val="1F4B3CB4"/>
    <w:rsid w:val="1F73FBBB"/>
    <w:rsid w:val="1F8E67C6"/>
    <w:rsid w:val="1FE187FC"/>
    <w:rsid w:val="200DB0CE"/>
    <w:rsid w:val="205E9016"/>
    <w:rsid w:val="208A4DBB"/>
    <w:rsid w:val="20A0C108"/>
    <w:rsid w:val="20DF14A0"/>
    <w:rsid w:val="20F888B9"/>
    <w:rsid w:val="2120C147"/>
    <w:rsid w:val="212CC4DC"/>
    <w:rsid w:val="21672137"/>
    <w:rsid w:val="21684FC7"/>
    <w:rsid w:val="21832FF6"/>
    <w:rsid w:val="21991333"/>
    <w:rsid w:val="21A6AF66"/>
    <w:rsid w:val="21BDF159"/>
    <w:rsid w:val="21EBF2E3"/>
    <w:rsid w:val="2234A3E3"/>
    <w:rsid w:val="223F0152"/>
    <w:rsid w:val="22467403"/>
    <w:rsid w:val="226968CD"/>
    <w:rsid w:val="227B4B4D"/>
    <w:rsid w:val="228E4E1F"/>
    <w:rsid w:val="22960D32"/>
    <w:rsid w:val="22979C1F"/>
    <w:rsid w:val="2307FF21"/>
    <w:rsid w:val="2319E53F"/>
    <w:rsid w:val="231F7AA9"/>
    <w:rsid w:val="235024E0"/>
    <w:rsid w:val="23C99179"/>
    <w:rsid w:val="23E7C97B"/>
    <w:rsid w:val="23E98FBF"/>
    <w:rsid w:val="23F2E694"/>
    <w:rsid w:val="242439D2"/>
    <w:rsid w:val="24251A93"/>
    <w:rsid w:val="2480331E"/>
    <w:rsid w:val="249BDFE0"/>
    <w:rsid w:val="24BE7D44"/>
    <w:rsid w:val="24CDF16E"/>
    <w:rsid w:val="24DABA9E"/>
    <w:rsid w:val="24E558EA"/>
    <w:rsid w:val="253C0CCA"/>
    <w:rsid w:val="25583546"/>
    <w:rsid w:val="255D7022"/>
    <w:rsid w:val="257D2219"/>
    <w:rsid w:val="25845D2A"/>
    <w:rsid w:val="259D4544"/>
    <w:rsid w:val="25CCEDB3"/>
    <w:rsid w:val="25E746C4"/>
    <w:rsid w:val="25F557CE"/>
    <w:rsid w:val="25F60B45"/>
    <w:rsid w:val="26373A74"/>
    <w:rsid w:val="2643C998"/>
    <w:rsid w:val="268E24A6"/>
    <w:rsid w:val="26DC655C"/>
    <w:rsid w:val="26FC4F3A"/>
    <w:rsid w:val="270F0B53"/>
    <w:rsid w:val="27184F85"/>
    <w:rsid w:val="272532CE"/>
    <w:rsid w:val="27502FBC"/>
    <w:rsid w:val="2769A6BB"/>
    <w:rsid w:val="27830EAE"/>
    <w:rsid w:val="278C5A40"/>
    <w:rsid w:val="280D5CDE"/>
    <w:rsid w:val="28118A4B"/>
    <w:rsid w:val="281BACFF"/>
    <w:rsid w:val="28463152"/>
    <w:rsid w:val="285A0B9B"/>
    <w:rsid w:val="28A95850"/>
    <w:rsid w:val="28BC0A76"/>
    <w:rsid w:val="28C31AFA"/>
    <w:rsid w:val="28CBBE6A"/>
    <w:rsid w:val="28CD85EC"/>
    <w:rsid w:val="28D2B0F0"/>
    <w:rsid w:val="28F3944E"/>
    <w:rsid w:val="2901747F"/>
    <w:rsid w:val="290FC44A"/>
    <w:rsid w:val="29306EF8"/>
    <w:rsid w:val="293EE6DE"/>
    <w:rsid w:val="29428D02"/>
    <w:rsid w:val="2943A4E5"/>
    <w:rsid w:val="2949C49E"/>
    <w:rsid w:val="296B8E3A"/>
    <w:rsid w:val="29895689"/>
    <w:rsid w:val="29D5B975"/>
    <w:rsid w:val="29D61AC8"/>
    <w:rsid w:val="29E52A90"/>
    <w:rsid w:val="29F103BE"/>
    <w:rsid w:val="2A03400A"/>
    <w:rsid w:val="2A1556FC"/>
    <w:rsid w:val="2A314FD0"/>
    <w:rsid w:val="2A777EC7"/>
    <w:rsid w:val="2A9908CA"/>
    <w:rsid w:val="2AA56ED4"/>
    <w:rsid w:val="2AC7D119"/>
    <w:rsid w:val="2AF48483"/>
    <w:rsid w:val="2B09A9AB"/>
    <w:rsid w:val="2B132E1C"/>
    <w:rsid w:val="2B2C183A"/>
    <w:rsid w:val="2B3758E5"/>
    <w:rsid w:val="2B5CB7D4"/>
    <w:rsid w:val="2B702884"/>
    <w:rsid w:val="2B737F0D"/>
    <w:rsid w:val="2BB55C7E"/>
    <w:rsid w:val="2BBFC90A"/>
    <w:rsid w:val="2C0CEB53"/>
    <w:rsid w:val="2C36FCB9"/>
    <w:rsid w:val="2C4851EC"/>
    <w:rsid w:val="2C8FC0E6"/>
    <w:rsid w:val="2CA6821E"/>
    <w:rsid w:val="2CC35702"/>
    <w:rsid w:val="2CC9F38B"/>
    <w:rsid w:val="2E1D65FE"/>
    <w:rsid w:val="2E3A9765"/>
    <w:rsid w:val="2E45E7CE"/>
    <w:rsid w:val="2E4A38FC"/>
    <w:rsid w:val="2E53BECC"/>
    <w:rsid w:val="2EC30DAA"/>
    <w:rsid w:val="2EF651D2"/>
    <w:rsid w:val="2EF736E6"/>
    <w:rsid w:val="2F05B664"/>
    <w:rsid w:val="2F23D904"/>
    <w:rsid w:val="2F49E2F3"/>
    <w:rsid w:val="2F544B05"/>
    <w:rsid w:val="2F9CED8B"/>
    <w:rsid w:val="2FB7FB7A"/>
    <w:rsid w:val="2FDC8F6A"/>
    <w:rsid w:val="30756172"/>
    <w:rsid w:val="307CAA29"/>
    <w:rsid w:val="309DBC75"/>
    <w:rsid w:val="30AFAB70"/>
    <w:rsid w:val="30DF2DEC"/>
    <w:rsid w:val="31171785"/>
    <w:rsid w:val="313081E6"/>
    <w:rsid w:val="317D8A37"/>
    <w:rsid w:val="31AAA7C5"/>
    <w:rsid w:val="32004463"/>
    <w:rsid w:val="32249359"/>
    <w:rsid w:val="322C66D9"/>
    <w:rsid w:val="325A24F3"/>
    <w:rsid w:val="327053C5"/>
    <w:rsid w:val="32B6CF15"/>
    <w:rsid w:val="32EAF367"/>
    <w:rsid w:val="337C9BBB"/>
    <w:rsid w:val="338212FE"/>
    <w:rsid w:val="339145F7"/>
    <w:rsid w:val="339ACEDE"/>
    <w:rsid w:val="33AC6308"/>
    <w:rsid w:val="33CEB39C"/>
    <w:rsid w:val="33D955F2"/>
    <w:rsid w:val="33F36797"/>
    <w:rsid w:val="33FD1C3D"/>
    <w:rsid w:val="3408F0F9"/>
    <w:rsid w:val="34169BB7"/>
    <w:rsid w:val="341D9073"/>
    <w:rsid w:val="34701E73"/>
    <w:rsid w:val="3471C6B8"/>
    <w:rsid w:val="347F139F"/>
    <w:rsid w:val="34C9CC47"/>
    <w:rsid w:val="34CC4E9C"/>
    <w:rsid w:val="34DEE000"/>
    <w:rsid w:val="34FDD861"/>
    <w:rsid w:val="35282D65"/>
    <w:rsid w:val="354CE6EA"/>
    <w:rsid w:val="3566A686"/>
    <w:rsid w:val="358597DC"/>
    <w:rsid w:val="35D20B40"/>
    <w:rsid w:val="361D69E6"/>
    <w:rsid w:val="36250E22"/>
    <w:rsid w:val="369372FE"/>
    <w:rsid w:val="36C83BA8"/>
    <w:rsid w:val="36D19DC2"/>
    <w:rsid w:val="36F97933"/>
    <w:rsid w:val="370F8658"/>
    <w:rsid w:val="37130E58"/>
    <w:rsid w:val="377DE3CF"/>
    <w:rsid w:val="3782A763"/>
    <w:rsid w:val="37AD374D"/>
    <w:rsid w:val="37B481C6"/>
    <w:rsid w:val="37DC8B86"/>
    <w:rsid w:val="37F3795C"/>
    <w:rsid w:val="381577E4"/>
    <w:rsid w:val="382F5FFD"/>
    <w:rsid w:val="38479600"/>
    <w:rsid w:val="386A129E"/>
    <w:rsid w:val="387114EC"/>
    <w:rsid w:val="38DC303B"/>
    <w:rsid w:val="38F03303"/>
    <w:rsid w:val="38F3519B"/>
    <w:rsid w:val="394399AC"/>
    <w:rsid w:val="3950F714"/>
    <w:rsid w:val="3952A974"/>
    <w:rsid w:val="39AF5E0C"/>
    <w:rsid w:val="39F605F7"/>
    <w:rsid w:val="3A001C7B"/>
    <w:rsid w:val="3AAE3BEC"/>
    <w:rsid w:val="3AE3A368"/>
    <w:rsid w:val="3AEF0084"/>
    <w:rsid w:val="3B49430A"/>
    <w:rsid w:val="3B4D7B7E"/>
    <w:rsid w:val="3B52AE7C"/>
    <w:rsid w:val="3B724095"/>
    <w:rsid w:val="3BD24956"/>
    <w:rsid w:val="3C0A82B3"/>
    <w:rsid w:val="3C3F6CEF"/>
    <w:rsid w:val="3C4FB991"/>
    <w:rsid w:val="3C85F062"/>
    <w:rsid w:val="3C89EB70"/>
    <w:rsid w:val="3CC70D03"/>
    <w:rsid w:val="3D52884B"/>
    <w:rsid w:val="3D836984"/>
    <w:rsid w:val="3DB6C16F"/>
    <w:rsid w:val="3E1EAD10"/>
    <w:rsid w:val="3E263774"/>
    <w:rsid w:val="3E4526FA"/>
    <w:rsid w:val="3E627095"/>
    <w:rsid w:val="3E75D4D0"/>
    <w:rsid w:val="3E76B162"/>
    <w:rsid w:val="3EED8F94"/>
    <w:rsid w:val="3EFDF8CF"/>
    <w:rsid w:val="3FABB7F3"/>
    <w:rsid w:val="3FB31155"/>
    <w:rsid w:val="4019301F"/>
    <w:rsid w:val="40311F97"/>
    <w:rsid w:val="406618D0"/>
    <w:rsid w:val="40A47918"/>
    <w:rsid w:val="40AF27EE"/>
    <w:rsid w:val="40CE04BB"/>
    <w:rsid w:val="410B0C13"/>
    <w:rsid w:val="416A9FDA"/>
    <w:rsid w:val="42297C4C"/>
    <w:rsid w:val="42586EB8"/>
    <w:rsid w:val="4275BCD4"/>
    <w:rsid w:val="42A03BC6"/>
    <w:rsid w:val="430C803E"/>
    <w:rsid w:val="4351996F"/>
    <w:rsid w:val="4384AEAA"/>
    <w:rsid w:val="438563D2"/>
    <w:rsid w:val="439AAD0B"/>
    <w:rsid w:val="43F3DA72"/>
    <w:rsid w:val="442C193B"/>
    <w:rsid w:val="44868278"/>
    <w:rsid w:val="44924A2C"/>
    <w:rsid w:val="44AD7BFF"/>
    <w:rsid w:val="44B9852C"/>
    <w:rsid w:val="44D3C974"/>
    <w:rsid w:val="44DF43F4"/>
    <w:rsid w:val="450ABB33"/>
    <w:rsid w:val="45209272"/>
    <w:rsid w:val="456DC0BE"/>
    <w:rsid w:val="459E5F3A"/>
    <w:rsid w:val="45B45068"/>
    <w:rsid w:val="45EABE1B"/>
    <w:rsid w:val="45F25119"/>
    <w:rsid w:val="463749E6"/>
    <w:rsid w:val="464CF849"/>
    <w:rsid w:val="465F9A36"/>
    <w:rsid w:val="46976624"/>
    <w:rsid w:val="46B0FB57"/>
    <w:rsid w:val="46EA90DA"/>
    <w:rsid w:val="47142A72"/>
    <w:rsid w:val="472B0F49"/>
    <w:rsid w:val="473367BF"/>
    <w:rsid w:val="4741B742"/>
    <w:rsid w:val="4764647C"/>
    <w:rsid w:val="480484F3"/>
    <w:rsid w:val="480E0D2E"/>
    <w:rsid w:val="483CAEA7"/>
    <w:rsid w:val="4840530F"/>
    <w:rsid w:val="48A9C282"/>
    <w:rsid w:val="48F2AA6C"/>
    <w:rsid w:val="48F73BB7"/>
    <w:rsid w:val="492BDC28"/>
    <w:rsid w:val="494DEEA3"/>
    <w:rsid w:val="497AD80D"/>
    <w:rsid w:val="4991D923"/>
    <w:rsid w:val="49AF5D3D"/>
    <w:rsid w:val="49EDFCA6"/>
    <w:rsid w:val="4A497726"/>
    <w:rsid w:val="4A62B00B"/>
    <w:rsid w:val="4A93BA89"/>
    <w:rsid w:val="4ABDBABF"/>
    <w:rsid w:val="4B69CA8B"/>
    <w:rsid w:val="4B8F55C6"/>
    <w:rsid w:val="4B9119D8"/>
    <w:rsid w:val="4BA2264F"/>
    <w:rsid w:val="4BB39938"/>
    <w:rsid w:val="4BB9B291"/>
    <w:rsid w:val="4BC60CA9"/>
    <w:rsid w:val="4BE33F00"/>
    <w:rsid w:val="4BFA1AAF"/>
    <w:rsid w:val="4C17A4A8"/>
    <w:rsid w:val="4C562BB1"/>
    <w:rsid w:val="4C8A2D1C"/>
    <w:rsid w:val="4CA223DE"/>
    <w:rsid w:val="4CC96B6F"/>
    <w:rsid w:val="4CD29FA7"/>
    <w:rsid w:val="4CFF9649"/>
    <w:rsid w:val="4D1E9DCC"/>
    <w:rsid w:val="4D2744DB"/>
    <w:rsid w:val="4D34DEDD"/>
    <w:rsid w:val="4D38BA6C"/>
    <w:rsid w:val="4D56B817"/>
    <w:rsid w:val="4D84965A"/>
    <w:rsid w:val="4D961951"/>
    <w:rsid w:val="4DAA1154"/>
    <w:rsid w:val="4DB39AB9"/>
    <w:rsid w:val="4DC6D846"/>
    <w:rsid w:val="4DF01BDE"/>
    <w:rsid w:val="4DF84973"/>
    <w:rsid w:val="4E143C61"/>
    <w:rsid w:val="4E1AE3D6"/>
    <w:rsid w:val="4E1C29E7"/>
    <w:rsid w:val="4E23223B"/>
    <w:rsid w:val="4E417291"/>
    <w:rsid w:val="4E436857"/>
    <w:rsid w:val="4E7F1B73"/>
    <w:rsid w:val="4E8C56E9"/>
    <w:rsid w:val="4EAC823C"/>
    <w:rsid w:val="4EB5BAB6"/>
    <w:rsid w:val="4EC7D3AB"/>
    <w:rsid w:val="4EEC4C20"/>
    <w:rsid w:val="4EFD5CAB"/>
    <w:rsid w:val="4F214752"/>
    <w:rsid w:val="4F228044"/>
    <w:rsid w:val="4F24799F"/>
    <w:rsid w:val="4F33E302"/>
    <w:rsid w:val="4F666346"/>
    <w:rsid w:val="4F7AC16E"/>
    <w:rsid w:val="501427B6"/>
    <w:rsid w:val="504DCB72"/>
    <w:rsid w:val="50897C04"/>
    <w:rsid w:val="50974542"/>
    <w:rsid w:val="50B04F5C"/>
    <w:rsid w:val="50BF257E"/>
    <w:rsid w:val="50C7CEC9"/>
    <w:rsid w:val="50DEE601"/>
    <w:rsid w:val="515C6CFB"/>
    <w:rsid w:val="51859B6A"/>
    <w:rsid w:val="518C5F04"/>
    <w:rsid w:val="51946CDB"/>
    <w:rsid w:val="519FA821"/>
    <w:rsid w:val="51B47D73"/>
    <w:rsid w:val="51C30DAD"/>
    <w:rsid w:val="51E1CC5F"/>
    <w:rsid w:val="52012955"/>
    <w:rsid w:val="525988E8"/>
    <w:rsid w:val="5266D089"/>
    <w:rsid w:val="527CAA07"/>
    <w:rsid w:val="52EF9B0A"/>
    <w:rsid w:val="5302B8AB"/>
    <w:rsid w:val="5328A050"/>
    <w:rsid w:val="53394062"/>
    <w:rsid w:val="53514508"/>
    <w:rsid w:val="53628E49"/>
    <w:rsid w:val="53F07AFA"/>
    <w:rsid w:val="54099251"/>
    <w:rsid w:val="541C1B26"/>
    <w:rsid w:val="5420BBA8"/>
    <w:rsid w:val="5421B94D"/>
    <w:rsid w:val="542D2E92"/>
    <w:rsid w:val="54516005"/>
    <w:rsid w:val="54A62E12"/>
    <w:rsid w:val="5529FC89"/>
    <w:rsid w:val="555CA9C9"/>
    <w:rsid w:val="555EEBCB"/>
    <w:rsid w:val="55738A68"/>
    <w:rsid w:val="558AB596"/>
    <w:rsid w:val="55A146A9"/>
    <w:rsid w:val="55A75ADF"/>
    <w:rsid w:val="55C5369C"/>
    <w:rsid w:val="55F3E953"/>
    <w:rsid w:val="56273BCC"/>
    <w:rsid w:val="565130BA"/>
    <w:rsid w:val="56660D4F"/>
    <w:rsid w:val="56846E6C"/>
    <w:rsid w:val="5697608D"/>
    <w:rsid w:val="56C9FA71"/>
    <w:rsid w:val="56E8F4A6"/>
    <w:rsid w:val="56FEAF0B"/>
    <w:rsid w:val="57216363"/>
    <w:rsid w:val="572CBF26"/>
    <w:rsid w:val="57512CB2"/>
    <w:rsid w:val="57523CE2"/>
    <w:rsid w:val="57676DB0"/>
    <w:rsid w:val="576D5292"/>
    <w:rsid w:val="57B918A5"/>
    <w:rsid w:val="57C1C698"/>
    <w:rsid w:val="57EA4D23"/>
    <w:rsid w:val="58081AF6"/>
    <w:rsid w:val="580AE13F"/>
    <w:rsid w:val="580E78E7"/>
    <w:rsid w:val="582328B2"/>
    <w:rsid w:val="5854612C"/>
    <w:rsid w:val="586DE18F"/>
    <w:rsid w:val="58791985"/>
    <w:rsid w:val="588838AB"/>
    <w:rsid w:val="5902687E"/>
    <w:rsid w:val="593C0922"/>
    <w:rsid w:val="5956EF08"/>
    <w:rsid w:val="5A1037A4"/>
    <w:rsid w:val="5A4848C4"/>
    <w:rsid w:val="5AF9AC81"/>
    <w:rsid w:val="5AF9C414"/>
    <w:rsid w:val="5B02A815"/>
    <w:rsid w:val="5B2C4960"/>
    <w:rsid w:val="5B315A10"/>
    <w:rsid w:val="5B40624F"/>
    <w:rsid w:val="5B520987"/>
    <w:rsid w:val="5B537FC6"/>
    <w:rsid w:val="5B6EFE45"/>
    <w:rsid w:val="5BFEACEF"/>
    <w:rsid w:val="5C0357B7"/>
    <w:rsid w:val="5C2A4707"/>
    <w:rsid w:val="5C8D6F20"/>
    <w:rsid w:val="5CB4FE33"/>
    <w:rsid w:val="5CD1B2DF"/>
    <w:rsid w:val="5CDA4346"/>
    <w:rsid w:val="5CE91EF2"/>
    <w:rsid w:val="5D11EE8F"/>
    <w:rsid w:val="5D2E01D6"/>
    <w:rsid w:val="5D37F42B"/>
    <w:rsid w:val="5D3FA93F"/>
    <w:rsid w:val="5D4E1C95"/>
    <w:rsid w:val="5D596640"/>
    <w:rsid w:val="5D5EAD99"/>
    <w:rsid w:val="5D6B6CC7"/>
    <w:rsid w:val="5D974C3A"/>
    <w:rsid w:val="5D9B7B1A"/>
    <w:rsid w:val="5DA4310A"/>
    <w:rsid w:val="5DD62F1A"/>
    <w:rsid w:val="5E324DB1"/>
    <w:rsid w:val="5E79B740"/>
    <w:rsid w:val="5EA44BEA"/>
    <w:rsid w:val="5EAC9000"/>
    <w:rsid w:val="5EC25210"/>
    <w:rsid w:val="5F1068CC"/>
    <w:rsid w:val="5F46A275"/>
    <w:rsid w:val="5F581AC6"/>
    <w:rsid w:val="5F7A4847"/>
    <w:rsid w:val="5FC0D063"/>
    <w:rsid w:val="5FC3C0B8"/>
    <w:rsid w:val="60165343"/>
    <w:rsid w:val="602A0343"/>
    <w:rsid w:val="60422A3F"/>
    <w:rsid w:val="60534C24"/>
    <w:rsid w:val="6060476E"/>
    <w:rsid w:val="6071781D"/>
    <w:rsid w:val="60B9F37F"/>
    <w:rsid w:val="60DEEEB4"/>
    <w:rsid w:val="6109C8FD"/>
    <w:rsid w:val="614F3093"/>
    <w:rsid w:val="6151F1B2"/>
    <w:rsid w:val="618D7B1C"/>
    <w:rsid w:val="61A79698"/>
    <w:rsid w:val="61B924B8"/>
    <w:rsid w:val="61CF937B"/>
    <w:rsid w:val="622342A1"/>
    <w:rsid w:val="624026F9"/>
    <w:rsid w:val="627BFF78"/>
    <w:rsid w:val="62D0EA27"/>
    <w:rsid w:val="63154ED3"/>
    <w:rsid w:val="63612474"/>
    <w:rsid w:val="6367369F"/>
    <w:rsid w:val="636BD281"/>
    <w:rsid w:val="63B029FD"/>
    <w:rsid w:val="63F88E37"/>
    <w:rsid w:val="63FE6F79"/>
    <w:rsid w:val="640D8D89"/>
    <w:rsid w:val="6416C8F6"/>
    <w:rsid w:val="64AFD7A9"/>
    <w:rsid w:val="64FEEB7C"/>
    <w:rsid w:val="653C4888"/>
    <w:rsid w:val="6576CF54"/>
    <w:rsid w:val="65EFE055"/>
    <w:rsid w:val="660120A6"/>
    <w:rsid w:val="66260B0F"/>
    <w:rsid w:val="6657D621"/>
    <w:rsid w:val="66600A43"/>
    <w:rsid w:val="666ED13C"/>
    <w:rsid w:val="667FCEB8"/>
    <w:rsid w:val="66962112"/>
    <w:rsid w:val="66A5E90B"/>
    <w:rsid w:val="66D4F827"/>
    <w:rsid w:val="66DEAD4E"/>
    <w:rsid w:val="66FD631D"/>
    <w:rsid w:val="67093B8B"/>
    <w:rsid w:val="67123216"/>
    <w:rsid w:val="6716C7A0"/>
    <w:rsid w:val="676E5D12"/>
    <w:rsid w:val="6773EA1A"/>
    <w:rsid w:val="67C9B739"/>
    <w:rsid w:val="67FF38BE"/>
    <w:rsid w:val="6832D10D"/>
    <w:rsid w:val="683A4BB7"/>
    <w:rsid w:val="685764B7"/>
    <w:rsid w:val="6879C832"/>
    <w:rsid w:val="68C6B304"/>
    <w:rsid w:val="68D7B9AB"/>
    <w:rsid w:val="68F4A281"/>
    <w:rsid w:val="68F57BB7"/>
    <w:rsid w:val="69382D76"/>
    <w:rsid w:val="695F739E"/>
    <w:rsid w:val="6969CCF8"/>
    <w:rsid w:val="69A84D38"/>
    <w:rsid w:val="69D7C474"/>
    <w:rsid w:val="6A7754FD"/>
    <w:rsid w:val="6AA57789"/>
    <w:rsid w:val="6AAE44BF"/>
    <w:rsid w:val="6AD39E0A"/>
    <w:rsid w:val="6B47D8A5"/>
    <w:rsid w:val="6B643CA4"/>
    <w:rsid w:val="6B9D71B5"/>
    <w:rsid w:val="6BDAF462"/>
    <w:rsid w:val="6BDCE359"/>
    <w:rsid w:val="6C2F334E"/>
    <w:rsid w:val="6C3381F7"/>
    <w:rsid w:val="6C43AD1C"/>
    <w:rsid w:val="6C4DF800"/>
    <w:rsid w:val="6C78E502"/>
    <w:rsid w:val="6CE1F1BD"/>
    <w:rsid w:val="6CF35D83"/>
    <w:rsid w:val="6D2BEDD8"/>
    <w:rsid w:val="6D32CC03"/>
    <w:rsid w:val="6D44C782"/>
    <w:rsid w:val="6D463D7C"/>
    <w:rsid w:val="6D5069DE"/>
    <w:rsid w:val="6D6569B5"/>
    <w:rsid w:val="6D6B54E6"/>
    <w:rsid w:val="6D82F232"/>
    <w:rsid w:val="6DC31ACF"/>
    <w:rsid w:val="6DD84E80"/>
    <w:rsid w:val="6E7AFEA3"/>
    <w:rsid w:val="6E86EC5A"/>
    <w:rsid w:val="6E8B6BDD"/>
    <w:rsid w:val="6EB24D93"/>
    <w:rsid w:val="6EBECF6D"/>
    <w:rsid w:val="6EC3FBC9"/>
    <w:rsid w:val="6EDF1D12"/>
    <w:rsid w:val="6EEDFA70"/>
    <w:rsid w:val="6F771524"/>
    <w:rsid w:val="6F811646"/>
    <w:rsid w:val="6FB7889D"/>
    <w:rsid w:val="6FBC6B0A"/>
    <w:rsid w:val="6FEA1074"/>
    <w:rsid w:val="6FEC84E6"/>
    <w:rsid w:val="704DAD60"/>
    <w:rsid w:val="706D7A31"/>
    <w:rsid w:val="708A4BB4"/>
    <w:rsid w:val="70FA66C0"/>
    <w:rsid w:val="7109A077"/>
    <w:rsid w:val="710CB06F"/>
    <w:rsid w:val="7169ACE6"/>
    <w:rsid w:val="717509D7"/>
    <w:rsid w:val="72012122"/>
    <w:rsid w:val="7262FAB1"/>
    <w:rsid w:val="72A67DD0"/>
    <w:rsid w:val="72E631EA"/>
    <w:rsid w:val="731C815A"/>
    <w:rsid w:val="73458509"/>
    <w:rsid w:val="7347BE03"/>
    <w:rsid w:val="734A8D31"/>
    <w:rsid w:val="7409F25E"/>
    <w:rsid w:val="741473DA"/>
    <w:rsid w:val="74313AEC"/>
    <w:rsid w:val="74AFEC9C"/>
    <w:rsid w:val="74C36E45"/>
    <w:rsid w:val="74ED83FB"/>
    <w:rsid w:val="74F74C1E"/>
    <w:rsid w:val="750B5482"/>
    <w:rsid w:val="756DDB5A"/>
    <w:rsid w:val="7574F56B"/>
    <w:rsid w:val="75A3E9BF"/>
    <w:rsid w:val="75A4B408"/>
    <w:rsid w:val="75E1FE68"/>
    <w:rsid w:val="75F49531"/>
    <w:rsid w:val="75F7A8B3"/>
    <w:rsid w:val="76719976"/>
    <w:rsid w:val="7694BC7C"/>
    <w:rsid w:val="769DE134"/>
    <w:rsid w:val="76DB100A"/>
    <w:rsid w:val="76E1F8D2"/>
    <w:rsid w:val="76EFB40E"/>
    <w:rsid w:val="77254370"/>
    <w:rsid w:val="773A3CA7"/>
    <w:rsid w:val="774C6E9A"/>
    <w:rsid w:val="77503CC5"/>
    <w:rsid w:val="777AB9D0"/>
    <w:rsid w:val="777C7C22"/>
    <w:rsid w:val="77EC1D66"/>
    <w:rsid w:val="7819F363"/>
    <w:rsid w:val="7836DA66"/>
    <w:rsid w:val="786CCBAB"/>
    <w:rsid w:val="78782DBB"/>
    <w:rsid w:val="78BAA126"/>
    <w:rsid w:val="78C06EA3"/>
    <w:rsid w:val="791625F3"/>
    <w:rsid w:val="7940AE0C"/>
    <w:rsid w:val="797FC902"/>
    <w:rsid w:val="7997648B"/>
    <w:rsid w:val="79A5C190"/>
    <w:rsid w:val="79AF394D"/>
    <w:rsid w:val="79C5DC69"/>
    <w:rsid w:val="7A1C5D26"/>
    <w:rsid w:val="7A65ED3A"/>
    <w:rsid w:val="7A8DFE21"/>
    <w:rsid w:val="7AAEEC72"/>
    <w:rsid w:val="7ABB9A5F"/>
    <w:rsid w:val="7B149EDB"/>
    <w:rsid w:val="7B18BAF9"/>
    <w:rsid w:val="7B26B5CD"/>
    <w:rsid w:val="7BDB9EE5"/>
    <w:rsid w:val="7C384207"/>
    <w:rsid w:val="7C49450E"/>
    <w:rsid w:val="7C52B9E4"/>
    <w:rsid w:val="7C6344A8"/>
    <w:rsid w:val="7CB740F1"/>
    <w:rsid w:val="7CDC29AF"/>
    <w:rsid w:val="7CDCDBFC"/>
    <w:rsid w:val="7D094D0E"/>
    <w:rsid w:val="7D6EAA4D"/>
    <w:rsid w:val="7D764A39"/>
    <w:rsid w:val="7D799818"/>
    <w:rsid w:val="7DBC935B"/>
    <w:rsid w:val="7DD09965"/>
    <w:rsid w:val="7DD37523"/>
    <w:rsid w:val="7E3D0CF2"/>
    <w:rsid w:val="7E50DC3F"/>
    <w:rsid w:val="7EA90A77"/>
    <w:rsid w:val="7EDA7BBE"/>
    <w:rsid w:val="7EDC5CD3"/>
    <w:rsid w:val="7EEEEE8F"/>
    <w:rsid w:val="7F6C7901"/>
    <w:rsid w:val="7F9023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CD122"/>
  <w15:chartTrackingRefBased/>
  <w15:docId w15:val="{F6F17512-C3BE-4F4A-96DA-85D861D6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4"/>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A0"/>
    <w:rPr>
      <w:sz w:val="24"/>
    </w:rPr>
  </w:style>
  <w:style w:type="paragraph" w:styleId="Heading1">
    <w:name w:val="heading 1"/>
    <w:basedOn w:val="Normal"/>
    <w:next w:val="Normal"/>
    <w:link w:val="Heading1Char"/>
    <w:uiPriority w:val="9"/>
    <w:qFormat/>
    <w:rsid w:val="005B1ACE"/>
    <w:pPr>
      <w:keepNext/>
      <w:pageBreakBefore/>
      <w:numPr>
        <w:numId w:val="17"/>
      </w:numPr>
      <w:snapToGrid w:val="0"/>
      <w:spacing w:before="300" w:after="300"/>
      <w:outlineLvl w:val="0"/>
    </w:pPr>
    <w:rPr>
      <w:b/>
      <w:bCs/>
      <w:color w:val="7030A0"/>
      <w:sz w:val="28"/>
      <w:szCs w:val="28"/>
    </w:rPr>
  </w:style>
  <w:style w:type="paragraph" w:styleId="Heading2">
    <w:name w:val="heading 2"/>
    <w:basedOn w:val="Normal"/>
    <w:next w:val="Normal"/>
    <w:link w:val="Heading2Char"/>
    <w:uiPriority w:val="9"/>
    <w:unhideWhenUsed/>
    <w:qFormat/>
    <w:rsid w:val="00867E7C"/>
    <w:pPr>
      <w:keepNext/>
      <w:numPr>
        <w:ilvl w:val="1"/>
        <w:numId w:val="17"/>
      </w:numPr>
      <w:spacing w:before="3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A687D"/>
    <w:pPr>
      <w:keepNext/>
      <w:spacing w:before="200" w:after="0"/>
      <w:ind w:left="720" w:hanging="720"/>
      <w:outlineLvl w:val="2"/>
    </w:pPr>
    <w:rPr>
      <w:b/>
      <w:color w:val="6B2976"/>
      <w:szCs w:val="22"/>
    </w:rPr>
  </w:style>
  <w:style w:type="paragraph" w:styleId="Heading4">
    <w:name w:val="heading 4"/>
    <w:basedOn w:val="Normal"/>
    <w:next w:val="Normal"/>
    <w:link w:val="Heading4Char"/>
    <w:uiPriority w:val="9"/>
    <w:unhideWhenUsed/>
    <w:qFormat/>
    <w:rsid w:val="007B6FAA"/>
    <w:pPr>
      <w:numPr>
        <w:ilvl w:val="3"/>
        <w:numId w:val="17"/>
      </w:numPr>
      <w:tabs>
        <w:tab w:val="num" w:pos="360"/>
      </w:tabs>
      <w:spacing w:after="120"/>
      <w:ind w:left="0" w:firstLine="0"/>
      <w:outlineLvl w:val="3"/>
    </w:pPr>
    <w:rPr>
      <w:b/>
    </w:rPr>
  </w:style>
  <w:style w:type="paragraph" w:styleId="Heading5">
    <w:name w:val="heading 5"/>
    <w:basedOn w:val="Normal"/>
    <w:next w:val="Normal"/>
    <w:link w:val="Heading5Char"/>
    <w:uiPriority w:val="9"/>
    <w:semiHidden/>
    <w:unhideWhenUsed/>
    <w:qFormat/>
    <w:rsid w:val="00D07368"/>
    <w:pPr>
      <w:keepNext/>
      <w:keepLines/>
      <w:numPr>
        <w:ilvl w:val="4"/>
        <w:numId w:val="17"/>
      </w:numPr>
      <w:tabs>
        <w:tab w:val="num" w:pos="360"/>
      </w:tabs>
      <w:spacing w:before="40" w:after="0"/>
      <w:ind w:left="0" w:firstLine="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07368"/>
    <w:pPr>
      <w:keepNext/>
      <w:keepLines/>
      <w:numPr>
        <w:ilvl w:val="5"/>
        <w:numId w:val="17"/>
      </w:numPr>
      <w:tabs>
        <w:tab w:val="num" w:pos="360"/>
      </w:tabs>
      <w:spacing w:before="40" w:after="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07368"/>
    <w:pPr>
      <w:keepNext/>
      <w:keepLines/>
      <w:numPr>
        <w:ilvl w:val="6"/>
        <w:numId w:val="17"/>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07368"/>
    <w:pPr>
      <w:keepNext/>
      <w:keepLines/>
      <w:numPr>
        <w:ilvl w:val="7"/>
        <w:numId w:val="17"/>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7368"/>
    <w:pPr>
      <w:keepNext/>
      <w:keepLines/>
      <w:numPr>
        <w:ilvl w:val="8"/>
        <w:numId w:val="17"/>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CE"/>
    <w:rPr>
      <w:b/>
      <w:bCs/>
      <w:color w:val="7030A0"/>
      <w:sz w:val="28"/>
      <w:szCs w:val="28"/>
    </w:rPr>
  </w:style>
  <w:style w:type="character" w:customStyle="1" w:styleId="Heading2Char">
    <w:name w:val="Heading 2 Char"/>
    <w:basedOn w:val="DefaultParagraphFont"/>
    <w:link w:val="Heading2"/>
    <w:uiPriority w:val="9"/>
    <w:rsid w:val="00867E7C"/>
    <w:rPr>
      <w:rFonts w:ascii="Arial" w:eastAsiaTheme="majorEastAsia" w:hAnsi="Arial" w:cstheme="majorBidi"/>
      <w:b/>
      <w:bCs/>
      <w:color w:val="000000" w:themeColor="text1"/>
      <w:sz w:val="24"/>
      <w:szCs w:val="26"/>
      <w:lang w:val="en-US" w:eastAsia="ja-JP"/>
    </w:rPr>
  </w:style>
  <w:style w:type="character" w:customStyle="1" w:styleId="Heading3Char">
    <w:name w:val="Heading 3 Char"/>
    <w:basedOn w:val="DefaultParagraphFont"/>
    <w:link w:val="Heading3"/>
    <w:uiPriority w:val="9"/>
    <w:rsid w:val="002A687D"/>
    <w:rPr>
      <w:b/>
      <w:color w:val="6B2976"/>
      <w:szCs w:val="22"/>
    </w:rPr>
  </w:style>
  <w:style w:type="character" w:customStyle="1" w:styleId="Heading4Char">
    <w:name w:val="Heading 4 Char"/>
    <w:basedOn w:val="DefaultParagraphFont"/>
    <w:link w:val="Heading4"/>
    <w:uiPriority w:val="9"/>
    <w:rsid w:val="007B6FAA"/>
    <w:rPr>
      <w:rFonts w:ascii="Arial" w:eastAsiaTheme="minorEastAsia" w:hAnsi="Arial"/>
      <w:b/>
      <w:sz w:val="24"/>
      <w:szCs w:val="24"/>
      <w:lang w:val="en-US" w:eastAsia="ja-JP"/>
    </w:rPr>
  </w:style>
  <w:style w:type="paragraph" w:styleId="ListParagraph">
    <w:name w:val="List Paragraph"/>
    <w:basedOn w:val="Normal"/>
    <w:link w:val="ListParagraphChar"/>
    <w:uiPriority w:val="34"/>
    <w:qFormat/>
    <w:rsid w:val="007B6FAA"/>
    <w:pPr>
      <w:ind w:left="720"/>
      <w:contextualSpacing/>
    </w:pPr>
  </w:style>
  <w:style w:type="paragraph" w:styleId="Header">
    <w:name w:val="header"/>
    <w:basedOn w:val="Normal"/>
    <w:link w:val="HeaderChar"/>
    <w:uiPriority w:val="99"/>
    <w:unhideWhenUsed/>
    <w:rsid w:val="007B6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FAA"/>
    <w:rPr>
      <w:rFonts w:ascii="Arial" w:eastAsiaTheme="minorEastAsia" w:hAnsi="Arial"/>
      <w:szCs w:val="24"/>
      <w:lang w:val="en-US" w:eastAsia="ja-JP"/>
    </w:rPr>
  </w:style>
  <w:style w:type="paragraph" w:styleId="Footer">
    <w:name w:val="footer"/>
    <w:basedOn w:val="Normal"/>
    <w:link w:val="FooterChar"/>
    <w:uiPriority w:val="99"/>
    <w:unhideWhenUsed/>
    <w:rsid w:val="000577C9"/>
    <w:pPr>
      <w:framePr w:wrap="around" w:vAnchor="page" w:hAnchor="text" w:y="1"/>
      <w:pBdr>
        <w:top w:val="single" w:sz="18" w:space="1" w:color="auto"/>
      </w:pBdr>
      <w:tabs>
        <w:tab w:val="center" w:pos="4513"/>
        <w:tab w:val="right" w:pos="9026"/>
      </w:tabs>
      <w:snapToGrid w:val="0"/>
      <w:spacing w:before="40" w:after="40" w:line="240" w:lineRule="atLeast"/>
    </w:pPr>
    <w:rPr>
      <w:color w:val="000000" w:themeColor="text1"/>
      <w:sz w:val="18"/>
    </w:rPr>
  </w:style>
  <w:style w:type="character" w:customStyle="1" w:styleId="FooterChar">
    <w:name w:val="Footer Char"/>
    <w:basedOn w:val="DefaultParagraphFont"/>
    <w:link w:val="Footer"/>
    <w:uiPriority w:val="99"/>
    <w:rsid w:val="000577C9"/>
    <w:rPr>
      <w:rFonts w:ascii="Arial" w:eastAsiaTheme="minorEastAsia" w:hAnsi="Arial"/>
      <w:color w:val="000000" w:themeColor="text1"/>
      <w:sz w:val="18"/>
      <w:szCs w:val="24"/>
      <w:lang w:val="en-US" w:eastAsia="ja-JP"/>
    </w:rPr>
  </w:style>
  <w:style w:type="character" w:customStyle="1" w:styleId="Heading5Char">
    <w:name w:val="Heading 5 Char"/>
    <w:basedOn w:val="DefaultParagraphFont"/>
    <w:link w:val="Heading5"/>
    <w:uiPriority w:val="9"/>
    <w:semiHidden/>
    <w:rsid w:val="00D07368"/>
    <w:rPr>
      <w:rFonts w:asciiTheme="majorHAnsi" w:eastAsiaTheme="majorEastAsia" w:hAnsiTheme="majorHAnsi" w:cstheme="majorBidi"/>
      <w:color w:val="2F5496" w:themeColor="accent1" w:themeShade="BF"/>
      <w:szCs w:val="24"/>
      <w:lang w:val="en-US" w:eastAsia="ja-JP"/>
    </w:rPr>
  </w:style>
  <w:style w:type="character" w:styleId="SubtleReference">
    <w:name w:val="Subtle Reference"/>
    <w:basedOn w:val="DefaultParagraphFont"/>
    <w:uiPriority w:val="31"/>
    <w:rsid w:val="00D07368"/>
    <w:rPr>
      <w:smallCaps/>
      <w:color w:val="5A5A5A" w:themeColor="text1" w:themeTint="A5"/>
    </w:rPr>
  </w:style>
  <w:style w:type="paragraph" w:styleId="ListBullet">
    <w:name w:val="List Bullet"/>
    <w:basedOn w:val="Normal"/>
    <w:autoRedefine/>
    <w:uiPriority w:val="99"/>
    <w:unhideWhenUsed/>
    <w:qFormat/>
    <w:rsid w:val="007B6FAA"/>
    <w:rPr>
      <w:rFonts w:cs="Arial"/>
      <w:spacing w:val="-3"/>
      <w:kern w:val="1"/>
      <w:szCs w:val="20"/>
      <w:lang w:val="en-GB"/>
    </w:rPr>
  </w:style>
  <w:style w:type="paragraph" w:styleId="Quote">
    <w:name w:val="Quote"/>
    <w:basedOn w:val="Normal"/>
    <w:next w:val="Normal"/>
    <w:link w:val="QuoteChar"/>
    <w:uiPriority w:val="29"/>
    <w:qFormat/>
    <w:rsid w:val="00736B3B"/>
    <w:pPr>
      <w:spacing w:before="200" w:after="200"/>
      <w:ind w:left="567" w:right="567"/>
    </w:pPr>
    <w:rPr>
      <w:i/>
      <w:iCs/>
    </w:rPr>
  </w:style>
  <w:style w:type="character" w:customStyle="1" w:styleId="QuoteChar">
    <w:name w:val="Quote Char"/>
    <w:basedOn w:val="DefaultParagraphFont"/>
    <w:link w:val="Quote"/>
    <w:uiPriority w:val="29"/>
    <w:rsid w:val="00736B3B"/>
    <w:rPr>
      <w:i/>
      <w:iCs/>
    </w:rPr>
  </w:style>
  <w:style w:type="table" w:styleId="GridTable4-Accent1">
    <w:name w:val="Grid Table 4 Accent 1"/>
    <w:basedOn w:val="TableNormal"/>
    <w:uiPriority w:val="49"/>
    <w:rsid w:val="00C735C0"/>
    <w:pPr>
      <w:spacing w:before="40" w:after="40" w:line="200" w:lineRule="atLeast"/>
    </w:pPr>
    <w:rPr>
      <w:sz w:val="16"/>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B6FAA"/>
    <w:rPr>
      <w:color w:val="0563C1" w:themeColor="hyperlink"/>
      <w:u w:val="single"/>
    </w:rPr>
  </w:style>
  <w:style w:type="paragraph" w:customStyle="1" w:styleId="GuideQuestion">
    <w:name w:val="Guide  Question"/>
    <w:basedOn w:val="Normal"/>
    <w:link w:val="GuideQuestionChar"/>
    <w:qFormat/>
    <w:rsid w:val="005E1AFF"/>
  </w:style>
  <w:style w:type="character" w:customStyle="1" w:styleId="GuideQuestionChar">
    <w:name w:val="Guide  Question Char"/>
    <w:basedOn w:val="DefaultParagraphFont"/>
    <w:link w:val="GuideQuestion"/>
    <w:rsid w:val="005E1AFF"/>
    <w:rPr>
      <w:rFonts w:ascii="Arial" w:eastAsiaTheme="minorEastAsia" w:hAnsi="Arial"/>
      <w:szCs w:val="24"/>
      <w:lang w:eastAsia="ja-JP"/>
    </w:rPr>
  </w:style>
  <w:style w:type="paragraph" w:customStyle="1" w:styleId="Versionanddate">
    <w:name w:val="Version and date"/>
    <w:basedOn w:val="Normal"/>
    <w:link w:val="VersionanddateChar"/>
    <w:qFormat/>
    <w:rsid w:val="007B6FAA"/>
    <w:rPr>
      <w:color w:val="FFFFFF" w:themeColor="background1"/>
      <w:sz w:val="28"/>
      <w:szCs w:val="28"/>
    </w:rPr>
  </w:style>
  <w:style w:type="paragraph" w:customStyle="1" w:styleId="TableDescription">
    <w:name w:val="Table Description"/>
    <w:basedOn w:val="Normal"/>
    <w:link w:val="TableDescriptionChar"/>
    <w:rsid w:val="007B6FAA"/>
    <w:rPr>
      <w:b/>
    </w:rPr>
  </w:style>
  <w:style w:type="character" w:customStyle="1" w:styleId="TableDescriptionChar">
    <w:name w:val="Table Description Char"/>
    <w:basedOn w:val="DefaultParagraphFont"/>
    <w:link w:val="TableDescription"/>
    <w:rsid w:val="007B6FAA"/>
    <w:rPr>
      <w:rFonts w:ascii="Arial" w:eastAsiaTheme="minorEastAsia" w:hAnsi="Arial"/>
      <w:b/>
      <w:szCs w:val="24"/>
      <w:lang w:val="en-US" w:eastAsia="ja-JP"/>
    </w:rPr>
  </w:style>
  <w:style w:type="paragraph" w:customStyle="1" w:styleId="Website">
    <w:name w:val="Website"/>
    <w:basedOn w:val="Versionanddate"/>
    <w:link w:val="WebsiteChar"/>
    <w:qFormat/>
    <w:rsid w:val="007B6FAA"/>
    <w:pPr>
      <w:spacing w:after="60"/>
    </w:pPr>
    <w:rPr>
      <w:rFonts w:cs="Arial"/>
      <w:b/>
    </w:rPr>
  </w:style>
  <w:style w:type="character" w:customStyle="1" w:styleId="VersionanddateChar">
    <w:name w:val="Version and date Char"/>
    <w:basedOn w:val="DefaultParagraphFont"/>
    <w:link w:val="Versionanddate"/>
    <w:rsid w:val="007B6FAA"/>
    <w:rPr>
      <w:rFonts w:ascii="Arial" w:eastAsiaTheme="minorEastAsia" w:hAnsi="Arial"/>
      <w:color w:val="FFFFFF" w:themeColor="background1"/>
      <w:sz w:val="28"/>
      <w:szCs w:val="28"/>
      <w:lang w:val="en-US" w:eastAsia="ja-JP"/>
    </w:rPr>
  </w:style>
  <w:style w:type="character" w:customStyle="1" w:styleId="WebsiteChar">
    <w:name w:val="Website Char"/>
    <w:basedOn w:val="VersionanddateChar"/>
    <w:link w:val="Website"/>
    <w:rsid w:val="007B6FAA"/>
    <w:rPr>
      <w:rFonts w:ascii="Arial" w:eastAsiaTheme="minorEastAsia" w:hAnsi="Arial" w:cs="Arial"/>
      <w:b/>
      <w:color w:val="FFFFFF" w:themeColor="background1"/>
      <w:sz w:val="28"/>
      <w:szCs w:val="28"/>
      <w:lang w:val="en-US" w:eastAsia="ja-JP"/>
    </w:rPr>
  </w:style>
  <w:style w:type="character" w:customStyle="1" w:styleId="Heading6Char">
    <w:name w:val="Heading 6 Char"/>
    <w:basedOn w:val="DefaultParagraphFont"/>
    <w:link w:val="Heading6"/>
    <w:uiPriority w:val="9"/>
    <w:semiHidden/>
    <w:rsid w:val="00D07368"/>
    <w:rPr>
      <w:rFonts w:asciiTheme="majorHAnsi" w:eastAsiaTheme="majorEastAsia" w:hAnsiTheme="majorHAnsi" w:cstheme="majorBidi"/>
      <w:color w:val="1F3763" w:themeColor="accent1" w:themeShade="7F"/>
      <w:szCs w:val="24"/>
      <w:lang w:val="en-US" w:eastAsia="ja-JP"/>
    </w:rPr>
  </w:style>
  <w:style w:type="character" w:customStyle="1" w:styleId="Heading7Char">
    <w:name w:val="Heading 7 Char"/>
    <w:basedOn w:val="DefaultParagraphFont"/>
    <w:link w:val="Heading7"/>
    <w:uiPriority w:val="9"/>
    <w:semiHidden/>
    <w:rsid w:val="00D07368"/>
    <w:rPr>
      <w:rFonts w:asciiTheme="majorHAnsi" w:eastAsiaTheme="majorEastAsia" w:hAnsiTheme="majorHAnsi" w:cstheme="majorBidi"/>
      <w:i/>
      <w:iCs/>
      <w:color w:val="1F3763" w:themeColor="accent1" w:themeShade="7F"/>
      <w:szCs w:val="24"/>
      <w:lang w:val="en-US" w:eastAsia="ja-JP"/>
    </w:rPr>
  </w:style>
  <w:style w:type="character" w:customStyle="1" w:styleId="ListParagraphChar">
    <w:name w:val="List Paragraph Char"/>
    <w:link w:val="ListParagraph"/>
    <w:uiPriority w:val="34"/>
    <w:qFormat/>
    <w:locked/>
    <w:rsid w:val="0036255C"/>
    <w:rPr>
      <w:rFonts w:ascii="Arial" w:eastAsiaTheme="minorEastAsia" w:hAnsi="Arial"/>
      <w:szCs w:val="24"/>
      <w:lang w:val="en-US" w:eastAsia="ja-JP"/>
    </w:rPr>
  </w:style>
  <w:style w:type="character" w:styleId="CommentReference">
    <w:name w:val="annotation reference"/>
    <w:basedOn w:val="DefaultParagraphFont"/>
    <w:uiPriority w:val="99"/>
    <w:semiHidden/>
    <w:unhideWhenUsed/>
    <w:rsid w:val="006F1569"/>
    <w:rPr>
      <w:sz w:val="16"/>
      <w:szCs w:val="16"/>
    </w:rPr>
  </w:style>
  <w:style w:type="paragraph" w:styleId="CommentText">
    <w:name w:val="annotation text"/>
    <w:basedOn w:val="Normal"/>
    <w:link w:val="CommentTextChar"/>
    <w:uiPriority w:val="99"/>
    <w:unhideWhenUsed/>
    <w:rsid w:val="006F1569"/>
    <w:pPr>
      <w:spacing w:line="240" w:lineRule="auto"/>
    </w:pPr>
    <w:rPr>
      <w:sz w:val="20"/>
      <w:szCs w:val="20"/>
    </w:rPr>
  </w:style>
  <w:style w:type="character" w:customStyle="1" w:styleId="CommentTextChar">
    <w:name w:val="Comment Text Char"/>
    <w:basedOn w:val="DefaultParagraphFont"/>
    <w:link w:val="CommentText"/>
    <w:uiPriority w:val="99"/>
    <w:rsid w:val="006F1569"/>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6F1569"/>
    <w:rPr>
      <w:b/>
      <w:bCs/>
    </w:rPr>
  </w:style>
  <w:style w:type="character" w:customStyle="1" w:styleId="CommentSubjectChar">
    <w:name w:val="Comment Subject Char"/>
    <w:basedOn w:val="CommentTextChar"/>
    <w:link w:val="CommentSubject"/>
    <w:uiPriority w:val="99"/>
    <w:semiHidden/>
    <w:rsid w:val="006F1569"/>
    <w:rPr>
      <w:rFonts w:ascii="Arial" w:eastAsiaTheme="minorEastAsia" w:hAnsi="Arial"/>
      <w:b/>
      <w:bCs/>
      <w:sz w:val="20"/>
      <w:szCs w:val="20"/>
      <w:lang w:val="en-US" w:eastAsia="ja-JP"/>
    </w:rPr>
  </w:style>
  <w:style w:type="table" w:styleId="TableGrid">
    <w:name w:val="Table Grid"/>
    <w:basedOn w:val="TableNormal"/>
    <w:uiPriority w:val="39"/>
    <w:rsid w:val="00764536"/>
    <w:pPr>
      <w:spacing w:before="60" w:after="60" w:line="240" w:lineRule="atLeast"/>
    </w:pPr>
    <w:rPr>
      <w:rFonts w:eastAsiaTheme="minorEastAsi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locked/>
    <w:rsid w:val="00C735C0"/>
    <w:rPr>
      <w:rFonts w:cs="Arial"/>
      <w:b/>
      <w:bCs/>
      <w:smallCaps/>
      <w:color w:val="6B2976"/>
      <w:sz w:val="16"/>
      <w:szCs w:val="18"/>
    </w:rPr>
  </w:style>
  <w:style w:type="paragraph" w:styleId="Caption">
    <w:name w:val="caption"/>
    <w:basedOn w:val="Normal"/>
    <w:next w:val="Normal"/>
    <w:link w:val="CaptionChar"/>
    <w:uiPriority w:val="35"/>
    <w:unhideWhenUsed/>
    <w:qFormat/>
    <w:rsid w:val="00C735C0"/>
    <w:pPr>
      <w:keepNext/>
      <w:jc w:val="center"/>
    </w:pPr>
    <w:rPr>
      <w:rFonts w:cs="Arial"/>
      <w:b/>
      <w:bCs/>
      <w:smallCaps/>
      <w:color w:val="6B2976"/>
      <w:sz w:val="16"/>
      <w:szCs w:val="18"/>
    </w:rPr>
  </w:style>
  <w:style w:type="character" w:customStyle="1" w:styleId="DotPointChar">
    <w:name w:val="Dot Point Char"/>
    <w:basedOn w:val="DefaultParagraphFont"/>
    <w:link w:val="DotPoint"/>
    <w:locked/>
    <w:rsid w:val="007B6007"/>
    <w:rPr>
      <w:rFonts w:ascii="Arial" w:eastAsiaTheme="minorEastAsia" w:hAnsi="Arial" w:cs="Arial"/>
      <w:szCs w:val="24"/>
      <w:lang w:eastAsia="ja-JP"/>
    </w:rPr>
  </w:style>
  <w:style w:type="paragraph" w:customStyle="1" w:styleId="DotPoint">
    <w:name w:val="Dot Point"/>
    <w:basedOn w:val="Normal"/>
    <w:link w:val="DotPointChar"/>
    <w:qFormat/>
    <w:rsid w:val="007B6007"/>
    <w:pPr>
      <w:numPr>
        <w:numId w:val="1"/>
      </w:numPr>
    </w:pPr>
    <w:rPr>
      <w:rFonts w:cs="Arial"/>
    </w:rPr>
  </w:style>
  <w:style w:type="character" w:customStyle="1" w:styleId="Heading8Char">
    <w:name w:val="Heading 8 Char"/>
    <w:basedOn w:val="DefaultParagraphFont"/>
    <w:link w:val="Heading8"/>
    <w:uiPriority w:val="9"/>
    <w:semiHidden/>
    <w:rsid w:val="00D07368"/>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uiPriority w:val="9"/>
    <w:semiHidden/>
    <w:rsid w:val="00D07368"/>
    <w:rPr>
      <w:rFonts w:asciiTheme="majorHAnsi" w:eastAsiaTheme="majorEastAsia" w:hAnsiTheme="majorHAnsi" w:cstheme="majorBidi"/>
      <w:i/>
      <w:iCs/>
      <w:color w:val="272727" w:themeColor="text1" w:themeTint="D8"/>
      <w:sz w:val="21"/>
      <w:szCs w:val="21"/>
      <w:lang w:val="en-US" w:eastAsia="ja-JP"/>
    </w:rPr>
  </w:style>
  <w:style w:type="paragraph" w:styleId="NormalWeb">
    <w:name w:val="Normal (Web)"/>
    <w:basedOn w:val="Normal"/>
    <w:uiPriority w:val="99"/>
    <w:semiHidden/>
    <w:unhideWhenUsed/>
    <w:rsid w:val="009B3107"/>
    <w:pPr>
      <w:spacing w:beforeAutospacing="1"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5C25E8"/>
    <w:rPr>
      <w:rFonts w:eastAsiaTheme="minorEastAsia"/>
      <w:lang w:val="en-US" w:eastAsia="ja-JP"/>
    </w:rPr>
  </w:style>
  <w:style w:type="character" w:styleId="FollowedHyperlink">
    <w:name w:val="FollowedHyperlink"/>
    <w:basedOn w:val="DefaultParagraphFont"/>
    <w:uiPriority w:val="99"/>
    <w:semiHidden/>
    <w:unhideWhenUsed/>
    <w:rsid w:val="004739AF"/>
    <w:rPr>
      <w:color w:val="954F72" w:themeColor="followedHyperlink"/>
      <w:u w:val="single"/>
    </w:rPr>
  </w:style>
  <w:style w:type="character" w:styleId="PlaceholderText">
    <w:name w:val="Placeholder Text"/>
    <w:basedOn w:val="DefaultParagraphFont"/>
    <w:uiPriority w:val="99"/>
    <w:semiHidden/>
    <w:rsid w:val="00241154"/>
    <w:rPr>
      <w:color w:val="808080"/>
    </w:rPr>
  </w:style>
  <w:style w:type="paragraph" w:styleId="FootnoteText">
    <w:name w:val="footnote text"/>
    <w:basedOn w:val="Normal"/>
    <w:link w:val="FootnoteTextChar"/>
    <w:uiPriority w:val="99"/>
    <w:unhideWhenUsed/>
    <w:rsid w:val="00664747"/>
    <w:pPr>
      <w:spacing w:before="60" w:after="60" w:line="240" w:lineRule="atLeast"/>
      <w:ind w:left="284" w:hanging="284"/>
    </w:pPr>
    <w:rPr>
      <w:sz w:val="18"/>
      <w:szCs w:val="20"/>
    </w:rPr>
  </w:style>
  <w:style w:type="character" w:customStyle="1" w:styleId="FootnoteTextChar">
    <w:name w:val="Footnote Text Char"/>
    <w:basedOn w:val="DefaultParagraphFont"/>
    <w:link w:val="FootnoteText"/>
    <w:uiPriority w:val="99"/>
    <w:rsid w:val="00664747"/>
    <w:rPr>
      <w:rFonts w:ascii="Arial" w:eastAsiaTheme="minorEastAsia" w:hAnsi="Arial"/>
      <w:sz w:val="18"/>
      <w:szCs w:val="20"/>
      <w:lang w:val="en-US" w:eastAsia="ja-JP"/>
    </w:rPr>
  </w:style>
  <w:style w:type="character" w:styleId="FootnoteReference">
    <w:name w:val="footnote reference"/>
    <w:basedOn w:val="DefaultParagraphFont"/>
    <w:uiPriority w:val="99"/>
    <w:semiHidden/>
    <w:unhideWhenUsed/>
    <w:rsid w:val="00451D74"/>
    <w:rPr>
      <w:vertAlign w:val="superscript"/>
    </w:rPr>
  </w:style>
  <w:style w:type="paragraph" w:styleId="EndnoteText">
    <w:name w:val="endnote text"/>
    <w:basedOn w:val="Normal"/>
    <w:link w:val="EndnoteTextChar"/>
    <w:uiPriority w:val="99"/>
    <w:semiHidden/>
    <w:unhideWhenUsed/>
    <w:rsid w:val="005949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4958"/>
    <w:rPr>
      <w:rFonts w:ascii="Arial" w:eastAsiaTheme="minorEastAsia" w:hAnsi="Arial"/>
      <w:sz w:val="20"/>
      <w:szCs w:val="20"/>
      <w:lang w:val="en-US" w:eastAsia="ja-JP"/>
    </w:rPr>
  </w:style>
  <w:style w:type="character" w:styleId="EndnoteReference">
    <w:name w:val="endnote reference"/>
    <w:basedOn w:val="DefaultParagraphFont"/>
    <w:uiPriority w:val="99"/>
    <w:semiHidden/>
    <w:unhideWhenUsed/>
    <w:rsid w:val="00594958"/>
    <w:rPr>
      <w:vertAlign w:val="superscript"/>
    </w:rPr>
  </w:style>
  <w:style w:type="paragraph" w:customStyle="1" w:styleId="Footnote">
    <w:name w:val="Footnote"/>
    <w:basedOn w:val="FootnoteText"/>
    <w:link w:val="FootnoteChar"/>
    <w:qFormat/>
    <w:rsid w:val="0094037A"/>
    <w:pPr>
      <w:spacing w:after="120"/>
    </w:pPr>
    <w:rPr>
      <w:color w:val="FF0000"/>
    </w:rPr>
  </w:style>
  <w:style w:type="character" w:customStyle="1" w:styleId="FootnoteChar">
    <w:name w:val="Footnote Char"/>
    <w:basedOn w:val="FootnoteTextChar"/>
    <w:link w:val="Footnote"/>
    <w:rsid w:val="0094037A"/>
    <w:rPr>
      <w:rFonts w:ascii="Arial" w:eastAsiaTheme="minorEastAsia" w:hAnsi="Arial"/>
      <w:color w:val="FF0000"/>
      <w:sz w:val="18"/>
      <w:szCs w:val="20"/>
      <w:lang w:val="en-US" w:eastAsia="ja-JP"/>
    </w:rPr>
  </w:style>
  <w:style w:type="paragraph" w:styleId="Title">
    <w:name w:val="Title"/>
    <w:basedOn w:val="Normal"/>
    <w:next w:val="Normal"/>
    <w:link w:val="TitleChar"/>
    <w:uiPriority w:val="10"/>
    <w:rsid w:val="00301AB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AB9"/>
    <w:rPr>
      <w:rFonts w:asciiTheme="majorHAnsi" w:eastAsiaTheme="majorEastAsia" w:hAnsiTheme="majorHAnsi" w:cstheme="majorBidi"/>
      <w:spacing w:val="-10"/>
      <w:kern w:val="28"/>
      <w:sz w:val="56"/>
      <w:szCs w:val="56"/>
      <w:lang w:val="en-US" w:eastAsia="ja-JP"/>
    </w:rPr>
  </w:style>
  <w:style w:type="paragraph" w:customStyle="1" w:styleId="Heading-TableofContents">
    <w:name w:val="Heading - Table of Contents"/>
    <w:basedOn w:val="Heading1"/>
    <w:link w:val="Heading-TableofContentsChar"/>
    <w:qFormat/>
    <w:rsid w:val="00301AB9"/>
    <w:pPr>
      <w:numPr>
        <w:numId w:val="0"/>
      </w:numPr>
      <w:ind w:left="431" w:hanging="431"/>
      <w:outlineLvl w:val="9"/>
    </w:pPr>
  </w:style>
  <w:style w:type="table" w:styleId="GridTable5Dark-Accent1">
    <w:name w:val="Grid Table 5 Dark Accent 1"/>
    <w:basedOn w:val="TableGrid"/>
    <w:uiPriority w:val="50"/>
    <w:rsid w:val="00301A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TableofContentsChar">
    <w:name w:val="Heading - Table of Contents Char"/>
    <w:basedOn w:val="Heading1Char"/>
    <w:link w:val="Heading-TableofContents"/>
    <w:rsid w:val="00301AB9"/>
    <w:rPr>
      <w:rFonts w:ascii="Arial" w:eastAsiaTheme="minorEastAsia" w:hAnsi="Arial"/>
      <w:b/>
      <w:bCs/>
      <w:color w:val="7030A0"/>
      <w:sz w:val="28"/>
      <w:szCs w:val="28"/>
      <w:lang w:val="en-US" w:eastAsia="ja-JP"/>
    </w:rPr>
  </w:style>
  <w:style w:type="paragraph" w:styleId="TOC1">
    <w:name w:val="toc 1"/>
    <w:basedOn w:val="Normal"/>
    <w:next w:val="Normal"/>
    <w:autoRedefine/>
    <w:uiPriority w:val="39"/>
    <w:unhideWhenUsed/>
    <w:qFormat/>
    <w:rsid w:val="007D2F3D"/>
    <w:pPr>
      <w:keepNext/>
      <w:tabs>
        <w:tab w:val="right" w:leader="dot" w:pos="9060"/>
      </w:tabs>
      <w:spacing w:line="240" w:lineRule="atLeast"/>
      <w:ind w:left="567" w:hanging="567"/>
    </w:pPr>
    <w:rPr>
      <w:b/>
      <w:bCs/>
      <w:noProof/>
    </w:rPr>
  </w:style>
  <w:style w:type="paragraph" w:styleId="TOC2">
    <w:name w:val="toc 2"/>
    <w:basedOn w:val="Normal"/>
    <w:next w:val="Normal"/>
    <w:autoRedefine/>
    <w:uiPriority w:val="39"/>
    <w:unhideWhenUsed/>
    <w:qFormat/>
    <w:rsid w:val="002A6416"/>
    <w:pPr>
      <w:tabs>
        <w:tab w:val="right" w:leader="dot" w:pos="9060"/>
      </w:tabs>
      <w:spacing w:before="60" w:after="60" w:line="240" w:lineRule="atLeast"/>
      <w:ind w:left="1134" w:hanging="567"/>
    </w:pPr>
    <w:rPr>
      <w:noProof/>
    </w:rPr>
  </w:style>
  <w:style w:type="paragraph" w:styleId="TOC3">
    <w:name w:val="toc 3"/>
    <w:basedOn w:val="Normal"/>
    <w:next w:val="Normal"/>
    <w:autoRedefine/>
    <w:uiPriority w:val="39"/>
    <w:unhideWhenUsed/>
    <w:qFormat/>
    <w:rsid w:val="002A6416"/>
    <w:pPr>
      <w:spacing w:before="60" w:after="60" w:line="240" w:lineRule="atLeast"/>
      <w:ind w:left="1134"/>
    </w:pPr>
  </w:style>
  <w:style w:type="paragraph" w:styleId="TOC4">
    <w:name w:val="toc 4"/>
    <w:basedOn w:val="Normal"/>
    <w:next w:val="Normal"/>
    <w:autoRedefine/>
    <w:uiPriority w:val="39"/>
    <w:unhideWhenUsed/>
    <w:rsid w:val="00EF5856"/>
    <w:pPr>
      <w:spacing w:before="0" w:line="259" w:lineRule="auto"/>
      <w:ind w:left="660"/>
    </w:pPr>
    <w:rPr>
      <w:rFonts w:asciiTheme="minorHAnsi" w:hAnsiTheme="minorHAnsi"/>
      <w:szCs w:val="28"/>
      <w:lang w:eastAsia="zh-CN" w:bidi="th-TH"/>
    </w:rPr>
  </w:style>
  <w:style w:type="paragraph" w:styleId="TOC5">
    <w:name w:val="toc 5"/>
    <w:basedOn w:val="Normal"/>
    <w:next w:val="Normal"/>
    <w:autoRedefine/>
    <w:uiPriority w:val="39"/>
    <w:unhideWhenUsed/>
    <w:rsid w:val="00EF5856"/>
    <w:pPr>
      <w:spacing w:before="0" w:line="259" w:lineRule="auto"/>
      <w:ind w:left="880"/>
    </w:pPr>
    <w:rPr>
      <w:rFonts w:asciiTheme="minorHAnsi" w:hAnsiTheme="minorHAnsi"/>
      <w:szCs w:val="28"/>
      <w:lang w:eastAsia="zh-CN" w:bidi="th-TH"/>
    </w:rPr>
  </w:style>
  <w:style w:type="paragraph" w:styleId="TOC6">
    <w:name w:val="toc 6"/>
    <w:basedOn w:val="Normal"/>
    <w:next w:val="Normal"/>
    <w:autoRedefine/>
    <w:uiPriority w:val="39"/>
    <w:unhideWhenUsed/>
    <w:rsid w:val="00EF5856"/>
    <w:pPr>
      <w:spacing w:before="0" w:line="259" w:lineRule="auto"/>
      <w:ind w:left="1100"/>
    </w:pPr>
    <w:rPr>
      <w:rFonts w:asciiTheme="minorHAnsi" w:hAnsiTheme="minorHAnsi"/>
      <w:szCs w:val="28"/>
      <w:lang w:eastAsia="zh-CN" w:bidi="th-TH"/>
    </w:rPr>
  </w:style>
  <w:style w:type="paragraph" w:styleId="TOC7">
    <w:name w:val="toc 7"/>
    <w:basedOn w:val="Normal"/>
    <w:next w:val="Normal"/>
    <w:autoRedefine/>
    <w:uiPriority w:val="39"/>
    <w:unhideWhenUsed/>
    <w:rsid w:val="00EF5856"/>
    <w:pPr>
      <w:spacing w:before="0" w:line="259" w:lineRule="auto"/>
      <w:ind w:left="1320"/>
    </w:pPr>
    <w:rPr>
      <w:rFonts w:asciiTheme="minorHAnsi" w:hAnsiTheme="minorHAnsi"/>
      <w:szCs w:val="28"/>
      <w:lang w:eastAsia="zh-CN" w:bidi="th-TH"/>
    </w:rPr>
  </w:style>
  <w:style w:type="paragraph" w:styleId="TOC8">
    <w:name w:val="toc 8"/>
    <w:basedOn w:val="Normal"/>
    <w:next w:val="Normal"/>
    <w:autoRedefine/>
    <w:uiPriority w:val="39"/>
    <w:unhideWhenUsed/>
    <w:rsid w:val="00EF5856"/>
    <w:pPr>
      <w:spacing w:before="0" w:line="259" w:lineRule="auto"/>
      <w:ind w:left="1540"/>
    </w:pPr>
    <w:rPr>
      <w:rFonts w:asciiTheme="minorHAnsi" w:hAnsiTheme="minorHAnsi"/>
      <w:szCs w:val="28"/>
      <w:lang w:eastAsia="zh-CN" w:bidi="th-TH"/>
    </w:rPr>
  </w:style>
  <w:style w:type="paragraph" w:styleId="TOC9">
    <w:name w:val="toc 9"/>
    <w:basedOn w:val="Normal"/>
    <w:next w:val="Normal"/>
    <w:autoRedefine/>
    <w:uiPriority w:val="39"/>
    <w:unhideWhenUsed/>
    <w:rsid w:val="00EF5856"/>
    <w:pPr>
      <w:spacing w:before="0" w:line="259" w:lineRule="auto"/>
      <w:ind w:left="1760"/>
    </w:pPr>
    <w:rPr>
      <w:rFonts w:asciiTheme="minorHAnsi" w:hAnsiTheme="minorHAnsi"/>
      <w:szCs w:val="28"/>
      <w:lang w:eastAsia="zh-CN" w:bidi="th-TH"/>
    </w:rPr>
  </w:style>
  <w:style w:type="character" w:styleId="UnresolvedMention">
    <w:name w:val="Unresolved Mention"/>
    <w:basedOn w:val="DefaultParagraphFont"/>
    <w:uiPriority w:val="99"/>
    <w:semiHidden/>
    <w:unhideWhenUsed/>
    <w:rsid w:val="00EF5856"/>
    <w:rPr>
      <w:color w:val="605E5C"/>
      <w:shd w:val="clear" w:color="auto" w:fill="E1DFDD"/>
    </w:rPr>
  </w:style>
  <w:style w:type="character" w:styleId="Strong">
    <w:name w:val="Strong"/>
    <w:basedOn w:val="DefaultParagraphFont"/>
    <w:uiPriority w:val="22"/>
    <w:qFormat/>
    <w:rsid w:val="009E78C7"/>
    <w:rPr>
      <w:b/>
      <w:bCs/>
    </w:rPr>
  </w:style>
  <w:style w:type="table" w:styleId="GridTable4-Accent5">
    <w:name w:val="Grid Table 4 Accent 5"/>
    <w:basedOn w:val="TableNormal"/>
    <w:uiPriority w:val="49"/>
    <w:rsid w:val="00CC5A6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5C5EF8"/>
    <w:pPr>
      <w:numPr>
        <w:numId w:val="0"/>
      </w:numPr>
      <w:ind w:left="567" w:hanging="567"/>
      <w:outlineLvl w:val="9"/>
    </w:pPr>
  </w:style>
  <w:style w:type="paragraph" w:customStyle="1" w:styleId="Securitymarker">
    <w:name w:val="Security marker"/>
    <w:basedOn w:val="Normal"/>
    <w:link w:val="SecuritymarkerChar"/>
    <w:qFormat/>
    <w:rsid w:val="00EE493C"/>
    <w:pPr>
      <w:suppressAutoHyphens/>
      <w:spacing w:before="0" w:after="200" w:line="288" w:lineRule="auto"/>
    </w:pPr>
    <w:rPr>
      <w:rFonts w:asciiTheme="minorHAnsi" w:hAnsiTheme="minorHAnsi"/>
      <w:b/>
      <w:bCs/>
      <w:sz w:val="28"/>
      <w:szCs w:val="28"/>
    </w:rPr>
  </w:style>
  <w:style w:type="character" w:customStyle="1" w:styleId="SecuritymarkerChar">
    <w:name w:val="Security marker Char"/>
    <w:basedOn w:val="DefaultParagraphFont"/>
    <w:link w:val="Securitymarker"/>
    <w:rsid w:val="00EE493C"/>
    <w:rPr>
      <w:rFonts w:asciiTheme="minorHAnsi" w:hAnsiTheme="minorHAnsi"/>
      <w:b/>
      <w:bCs/>
      <w:sz w:val="28"/>
      <w:szCs w:val="28"/>
    </w:rPr>
  </w:style>
  <w:style w:type="character" w:styleId="Emphasis">
    <w:name w:val="Emphasis"/>
    <w:basedOn w:val="DefaultParagraphFont"/>
    <w:uiPriority w:val="20"/>
    <w:qFormat/>
    <w:rsid w:val="00A57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8514">
      <w:bodyDiv w:val="1"/>
      <w:marLeft w:val="0"/>
      <w:marRight w:val="0"/>
      <w:marTop w:val="0"/>
      <w:marBottom w:val="0"/>
      <w:divBdr>
        <w:top w:val="none" w:sz="0" w:space="0" w:color="auto"/>
        <w:left w:val="none" w:sz="0" w:space="0" w:color="auto"/>
        <w:bottom w:val="none" w:sz="0" w:space="0" w:color="auto"/>
        <w:right w:val="none" w:sz="0" w:space="0" w:color="auto"/>
      </w:divBdr>
    </w:div>
    <w:div w:id="116461052">
      <w:bodyDiv w:val="1"/>
      <w:marLeft w:val="0"/>
      <w:marRight w:val="0"/>
      <w:marTop w:val="0"/>
      <w:marBottom w:val="0"/>
      <w:divBdr>
        <w:top w:val="none" w:sz="0" w:space="0" w:color="auto"/>
        <w:left w:val="none" w:sz="0" w:space="0" w:color="auto"/>
        <w:bottom w:val="none" w:sz="0" w:space="0" w:color="auto"/>
        <w:right w:val="none" w:sz="0" w:space="0" w:color="auto"/>
      </w:divBdr>
    </w:div>
    <w:div w:id="185949523">
      <w:bodyDiv w:val="1"/>
      <w:marLeft w:val="0"/>
      <w:marRight w:val="0"/>
      <w:marTop w:val="0"/>
      <w:marBottom w:val="0"/>
      <w:divBdr>
        <w:top w:val="none" w:sz="0" w:space="0" w:color="auto"/>
        <w:left w:val="none" w:sz="0" w:space="0" w:color="auto"/>
        <w:bottom w:val="none" w:sz="0" w:space="0" w:color="auto"/>
        <w:right w:val="none" w:sz="0" w:space="0" w:color="auto"/>
      </w:divBdr>
    </w:div>
    <w:div w:id="409698191">
      <w:bodyDiv w:val="1"/>
      <w:marLeft w:val="0"/>
      <w:marRight w:val="0"/>
      <w:marTop w:val="0"/>
      <w:marBottom w:val="0"/>
      <w:divBdr>
        <w:top w:val="none" w:sz="0" w:space="0" w:color="auto"/>
        <w:left w:val="none" w:sz="0" w:space="0" w:color="auto"/>
        <w:bottom w:val="none" w:sz="0" w:space="0" w:color="auto"/>
        <w:right w:val="none" w:sz="0" w:space="0" w:color="auto"/>
      </w:divBdr>
    </w:div>
    <w:div w:id="439498792">
      <w:bodyDiv w:val="1"/>
      <w:marLeft w:val="0"/>
      <w:marRight w:val="0"/>
      <w:marTop w:val="0"/>
      <w:marBottom w:val="0"/>
      <w:divBdr>
        <w:top w:val="none" w:sz="0" w:space="0" w:color="auto"/>
        <w:left w:val="none" w:sz="0" w:space="0" w:color="auto"/>
        <w:bottom w:val="none" w:sz="0" w:space="0" w:color="auto"/>
        <w:right w:val="none" w:sz="0" w:space="0" w:color="auto"/>
      </w:divBdr>
    </w:div>
    <w:div w:id="634718006">
      <w:bodyDiv w:val="1"/>
      <w:marLeft w:val="0"/>
      <w:marRight w:val="0"/>
      <w:marTop w:val="0"/>
      <w:marBottom w:val="0"/>
      <w:divBdr>
        <w:top w:val="none" w:sz="0" w:space="0" w:color="auto"/>
        <w:left w:val="none" w:sz="0" w:space="0" w:color="auto"/>
        <w:bottom w:val="none" w:sz="0" w:space="0" w:color="auto"/>
        <w:right w:val="none" w:sz="0" w:space="0" w:color="auto"/>
      </w:divBdr>
    </w:div>
    <w:div w:id="778379144">
      <w:bodyDiv w:val="1"/>
      <w:marLeft w:val="0"/>
      <w:marRight w:val="0"/>
      <w:marTop w:val="0"/>
      <w:marBottom w:val="0"/>
      <w:divBdr>
        <w:top w:val="none" w:sz="0" w:space="0" w:color="auto"/>
        <w:left w:val="none" w:sz="0" w:space="0" w:color="auto"/>
        <w:bottom w:val="none" w:sz="0" w:space="0" w:color="auto"/>
        <w:right w:val="none" w:sz="0" w:space="0" w:color="auto"/>
      </w:divBdr>
    </w:div>
    <w:div w:id="789930589">
      <w:bodyDiv w:val="1"/>
      <w:marLeft w:val="0"/>
      <w:marRight w:val="0"/>
      <w:marTop w:val="0"/>
      <w:marBottom w:val="0"/>
      <w:divBdr>
        <w:top w:val="none" w:sz="0" w:space="0" w:color="auto"/>
        <w:left w:val="none" w:sz="0" w:space="0" w:color="auto"/>
        <w:bottom w:val="none" w:sz="0" w:space="0" w:color="auto"/>
        <w:right w:val="none" w:sz="0" w:space="0" w:color="auto"/>
      </w:divBdr>
    </w:div>
    <w:div w:id="1086028329">
      <w:bodyDiv w:val="1"/>
      <w:marLeft w:val="0"/>
      <w:marRight w:val="0"/>
      <w:marTop w:val="0"/>
      <w:marBottom w:val="0"/>
      <w:divBdr>
        <w:top w:val="none" w:sz="0" w:space="0" w:color="auto"/>
        <w:left w:val="none" w:sz="0" w:space="0" w:color="auto"/>
        <w:bottom w:val="none" w:sz="0" w:space="0" w:color="auto"/>
        <w:right w:val="none" w:sz="0" w:space="0" w:color="auto"/>
      </w:divBdr>
    </w:div>
    <w:div w:id="1154487413">
      <w:bodyDiv w:val="1"/>
      <w:marLeft w:val="0"/>
      <w:marRight w:val="0"/>
      <w:marTop w:val="0"/>
      <w:marBottom w:val="0"/>
      <w:divBdr>
        <w:top w:val="none" w:sz="0" w:space="0" w:color="auto"/>
        <w:left w:val="none" w:sz="0" w:space="0" w:color="auto"/>
        <w:bottom w:val="none" w:sz="0" w:space="0" w:color="auto"/>
        <w:right w:val="none" w:sz="0" w:space="0" w:color="auto"/>
      </w:divBdr>
    </w:div>
    <w:div w:id="1315837609">
      <w:bodyDiv w:val="1"/>
      <w:marLeft w:val="0"/>
      <w:marRight w:val="0"/>
      <w:marTop w:val="0"/>
      <w:marBottom w:val="0"/>
      <w:divBdr>
        <w:top w:val="none" w:sz="0" w:space="0" w:color="auto"/>
        <w:left w:val="none" w:sz="0" w:space="0" w:color="auto"/>
        <w:bottom w:val="none" w:sz="0" w:space="0" w:color="auto"/>
        <w:right w:val="none" w:sz="0" w:space="0" w:color="auto"/>
      </w:divBdr>
    </w:div>
    <w:div w:id="1343817643">
      <w:bodyDiv w:val="1"/>
      <w:marLeft w:val="0"/>
      <w:marRight w:val="0"/>
      <w:marTop w:val="0"/>
      <w:marBottom w:val="0"/>
      <w:divBdr>
        <w:top w:val="none" w:sz="0" w:space="0" w:color="auto"/>
        <w:left w:val="none" w:sz="0" w:space="0" w:color="auto"/>
        <w:bottom w:val="none" w:sz="0" w:space="0" w:color="auto"/>
        <w:right w:val="none" w:sz="0" w:space="0" w:color="auto"/>
      </w:divBdr>
    </w:div>
    <w:div w:id="1482766674">
      <w:bodyDiv w:val="1"/>
      <w:marLeft w:val="0"/>
      <w:marRight w:val="0"/>
      <w:marTop w:val="0"/>
      <w:marBottom w:val="0"/>
      <w:divBdr>
        <w:top w:val="none" w:sz="0" w:space="0" w:color="auto"/>
        <w:left w:val="none" w:sz="0" w:space="0" w:color="auto"/>
        <w:bottom w:val="none" w:sz="0" w:space="0" w:color="auto"/>
        <w:right w:val="none" w:sz="0" w:space="0" w:color="auto"/>
      </w:divBdr>
    </w:div>
    <w:div w:id="1539467993">
      <w:bodyDiv w:val="1"/>
      <w:marLeft w:val="0"/>
      <w:marRight w:val="0"/>
      <w:marTop w:val="0"/>
      <w:marBottom w:val="0"/>
      <w:divBdr>
        <w:top w:val="none" w:sz="0" w:space="0" w:color="auto"/>
        <w:left w:val="none" w:sz="0" w:space="0" w:color="auto"/>
        <w:bottom w:val="none" w:sz="0" w:space="0" w:color="auto"/>
        <w:right w:val="none" w:sz="0" w:space="0" w:color="auto"/>
      </w:divBdr>
    </w:div>
    <w:div w:id="1565137557">
      <w:bodyDiv w:val="1"/>
      <w:marLeft w:val="0"/>
      <w:marRight w:val="0"/>
      <w:marTop w:val="0"/>
      <w:marBottom w:val="0"/>
      <w:divBdr>
        <w:top w:val="none" w:sz="0" w:space="0" w:color="auto"/>
        <w:left w:val="none" w:sz="0" w:space="0" w:color="auto"/>
        <w:bottom w:val="none" w:sz="0" w:space="0" w:color="auto"/>
        <w:right w:val="none" w:sz="0" w:space="0" w:color="auto"/>
      </w:divBdr>
    </w:div>
    <w:div w:id="1583643770">
      <w:bodyDiv w:val="1"/>
      <w:marLeft w:val="0"/>
      <w:marRight w:val="0"/>
      <w:marTop w:val="0"/>
      <w:marBottom w:val="0"/>
      <w:divBdr>
        <w:top w:val="none" w:sz="0" w:space="0" w:color="auto"/>
        <w:left w:val="none" w:sz="0" w:space="0" w:color="auto"/>
        <w:bottom w:val="none" w:sz="0" w:space="0" w:color="auto"/>
        <w:right w:val="none" w:sz="0" w:space="0" w:color="auto"/>
      </w:divBdr>
    </w:div>
    <w:div w:id="1646229868">
      <w:bodyDiv w:val="1"/>
      <w:marLeft w:val="0"/>
      <w:marRight w:val="0"/>
      <w:marTop w:val="0"/>
      <w:marBottom w:val="0"/>
      <w:divBdr>
        <w:top w:val="none" w:sz="0" w:space="0" w:color="auto"/>
        <w:left w:val="none" w:sz="0" w:space="0" w:color="auto"/>
        <w:bottom w:val="none" w:sz="0" w:space="0" w:color="auto"/>
        <w:right w:val="none" w:sz="0" w:space="0" w:color="auto"/>
      </w:divBdr>
    </w:div>
    <w:div w:id="1714034032">
      <w:bodyDiv w:val="1"/>
      <w:marLeft w:val="0"/>
      <w:marRight w:val="0"/>
      <w:marTop w:val="0"/>
      <w:marBottom w:val="0"/>
      <w:divBdr>
        <w:top w:val="none" w:sz="0" w:space="0" w:color="auto"/>
        <w:left w:val="none" w:sz="0" w:space="0" w:color="auto"/>
        <w:bottom w:val="none" w:sz="0" w:space="0" w:color="auto"/>
        <w:right w:val="none" w:sz="0" w:space="0" w:color="auto"/>
      </w:divBdr>
    </w:div>
    <w:div w:id="1842087648">
      <w:bodyDiv w:val="1"/>
      <w:marLeft w:val="0"/>
      <w:marRight w:val="0"/>
      <w:marTop w:val="0"/>
      <w:marBottom w:val="0"/>
      <w:divBdr>
        <w:top w:val="none" w:sz="0" w:space="0" w:color="auto"/>
        <w:left w:val="none" w:sz="0" w:space="0" w:color="auto"/>
        <w:bottom w:val="none" w:sz="0" w:space="0" w:color="auto"/>
        <w:right w:val="none" w:sz="0" w:space="0" w:color="auto"/>
      </w:divBdr>
    </w:div>
    <w:div w:id="1977174413">
      <w:bodyDiv w:val="1"/>
      <w:marLeft w:val="0"/>
      <w:marRight w:val="0"/>
      <w:marTop w:val="0"/>
      <w:marBottom w:val="0"/>
      <w:divBdr>
        <w:top w:val="none" w:sz="0" w:space="0" w:color="auto"/>
        <w:left w:val="none" w:sz="0" w:space="0" w:color="auto"/>
        <w:bottom w:val="none" w:sz="0" w:space="0" w:color="auto"/>
        <w:right w:val="none" w:sz="0" w:space="0" w:color="auto"/>
      </w:divBdr>
    </w:div>
    <w:div w:id="2007980392">
      <w:bodyDiv w:val="1"/>
      <w:marLeft w:val="0"/>
      <w:marRight w:val="0"/>
      <w:marTop w:val="0"/>
      <w:marBottom w:val="0"/>
      <w:divBdr>
        <w:top w:val="none" w:sz="0" w:space="0" w:color="auto"/>
        <w:left w:val="none" w:sz="0" w:space="0" w:color="auto"/>
        <w:bottom w:val="none" w:sz="0" w:space="0" w:color="auto"/>
        <w:right w:val="none" w:sz="0" w:space="0" w:color="auto"/>
      </w:divBdr>
    </w:div>
    <w:div w:id="2074425504">
      <w:bodyDiv w:val="1"/>
      <w:marLeft w:val="0"/>
      <w:marRight w:val="0"/>
      <w:marTop w:val="0"/>
      <w:marBottom w:val="0"/>
      <w:divBdr>
        <w:top w:val="none" w:sz="0" w:space="0" w:color="auto"/>
        <w:left w:val="none" w:sz="0" w:space="0" w:color="auto"/>
        <w:bottom w:val="none" w:sz="0" w:space="0" w:color="auto"/>
        <w:right w:val="none" w:sz="0" w:space="0" w:color="auto"/>
      </w:divBdr>
    </w:div>
    <w:div w:id="21396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bs.gov.au/statistics/economy/price-indexes-and-inflation/consumer-price-index-australia/latest-release" TargetMode="External"/><Relationship Id="rId3" Type="http://schemas.openxmlformats.org/officeDocument/2006/relationships/customXml" Target="../customXml/item3.xml"/><Relationship Id="rId21" Type="http://schemas.openxmlformats.org/officeDocument/2006/relationships/hyperlink" Target="https://www.ndis.gov.au/media/5247/download?attach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ndis.gov.au/providers/housing-and-living-supports-and-services/specialist-disability-accommodation/sda-pricing-and-payments/sda-pricing-review"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ss.gov.au/disability-and-carers-programs-services-government-international-disability-reform-council/specialist-disability-accommodation-pricing-and-payments-framewor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www.abs.gov.au/statistics/standards/australian-statistical-geography-standard-asgs-edition-3/latest-release"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hyperlink" Target="https://www.abs.gov.au/statistics/standards/australian-statistical-geography-standard-asgs-edition-3/latest-releas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Readytopublish xmlns="62e6d7e0-8f69-4736-9de7-41af03e42e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1f0eba2961d38867fd50c48de401c2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24e614a8ec9f281dedbffdea28c06c0"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Readytopublis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Readytopublish" ma:index="24" nillable="true" ma:displayName="Ready to publish" ma:format="Dropdown" ma:internalName="Readytopublish">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5e254-9c91-472a-9754-d482cfc5ecd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CCAA-06E4-40D5-BD6F-9DE9E6FE9FEE}">
  <ds:schemaRefs>
    <ds:schemaRef ds:uri="http://schemas.microsoft.com/sharepoint/v3/contenttype/forms"/>
  </ds:schemaRefs>
</ds:datastoreItem>
</file>

<file path=customXml/itemProps2.xml><?xml version="1.0" encoding="utf-8"?>
<ds:datastoreItem xmlns:ds="http://schemas.openxmlformats.org/officeDocument/2006/customXml" ds:itemID="{0BEBE35D-8DDD-43E3-8FA6-D35F1C667746}">
  <ds:schemaRefs>
    <ds:schemaRef ds:uri="http://schemas.microsoft.com/office/2006/metadata/properties"/>
    <ds:schemaRef ds:uri="http://schemas.microsoft.com/office/infopath/2007/PartnerControls"/>
    <ds:schemaRef ds:uri="71e0e840-f8b8-45c5-beb6-63b975f2d316"/>
    <ds:schemaRef ds:uri="d54e2896-6c0a-4761-a1b5-24bdc7453e42"/>
  </ds:schemaRefs>
</ds:datastoreItem>
</file>

<file path=customXml/itemProps3.xml><?xml version="1.0" encoding="utf-8"?>
<ds:datastoreItem xmlns:ds="http://schemas.openxmlformats.org/officeDocument/2006/customXml" ds:itemID="{5471BFE8-E230-43A1-8775-F74305C62C5D}"/>
</file>

<file path=customXml/itemProps4.xml><?xml version="1.0" encoding="utf-8"?>
<ds:datastoreItem xmlns:ds="http://schemas.openxmlformats.org/officeDocument/2006/customXml" ds:itemID="{086B038A-3BBF-4B16-8C10-94B07841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103</Pages>
  <Words>37143</Words>
  <Characters>211720</Characters>
  <Application>Microsoft Office Word</Application>
  <DocSecurity>0</DocSecurity>
  <Lines>1764</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 Miftari</dc:creator>
  <cp:keywords/>
  <dc:description/>
  <cp:lastModifiedBy>Grande, Glenda</cp:lastModifiedBy>
  <cp:revision>3</cp:revision>
  <cp:lastPrinted>2023-05-26T20:09:00Z</cp:lastPrinted>
  <dcterms:created xsi:type="dcterms:W3CDTF">2023-06-16T02:31:00Z</dcterms:created>
  <dcterms:modified xsi:type="dcterms:W3CDTF">2023-06-16T02:33:00Z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ediaServiceImageTags">
    <vt:lpwstr/>
  </property>
  <property fmtid="{D5CDD505-2E9C-101B-9397-08002B2CF9AE}" pid="4" name="MSIP_Label_2b83f8d7-e91f-4eee-a336-52a8061c0503_Enabled">
    <vt:lpwstr>true</vt:lpwstr>
  </property>
  <property fmtid="{D5CDD505-2E9C-101B-9397-08002B2CF9AE}" pid="5" name="MSIP_Label_2b83f8d7-e91f-4eee-a336-52a8061c0503_SetDate">
    <vt:lpwstr>2023-06-02T01:22:43Z</vt:lpwstr>
  </property>
  <property fmtid="{D5CDD505-2E9C-101B-9397-08002B2CF9AE}" pid="6" name="MSIP_Label_2b83f8d7-e91f-4eee-a336-52a8061c0503_Method">
    <vt:lpwstr>Privileged</vt:lpwstr>
  </property>
  <property fmtid="{D5CDD505-2E9C-101B-9397-08002B2CF9AE}" pid="7" name="MSIP_Label_2b83f8d7-e91f-4eee-a336-52a8061c0503_Name">
    <vt:lpwstr>OFFICIAL</vt:lpwstr>
  </property>
  <property fmtid="{D5CDD505-2E9C-101B-9397-08002B2CF9AE}" pid="8" name="MSIP_Label_2b83f8d7-e91f-4eee-a336-52a8061c0503_SiteId">
    <vt:lpwstr>cd778b65-752d-454a-87cf-b9990fe58993</vt:lpwstr>
  </property>
  <property fmtid="{D5CDD505-2E9C-101B-9397-08002B2CF9AE}" pid="9" name="MSIP_Label_2b83f8d7-e91f-4eee-a336-52a8061c0503_ActionId">
    <vt:lpwstr>a81f06d1-922f-42ab-9bc2-6e0ab96ad337</vt:lpwstr>
  </property>
  <property fmtid="{D5CDD505-2E9C-101B-9397-08002B2CF9AE}" pid="10" name="MSIP_Label_2b83f8d7-e91f-4eee-a336-52a8061c0503_ContentBits">
    <vt:lpwstr>0</vt:lpwstr>
  </property>
</Properties>
</file>