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E652" w14:textId="2588CFD8" w:rsidR="003B3F1F" w:rsidRDefault="00DD0AD4" w:rsidP="003B3F1F">
      <w:pPr>
        <w:pStyle w:val="Heading1Reporttitletwolines"/>
      </w:pPr>
      <w:bookmarkStart w:id="0" w:name="_Toc143524918"/>
      <w:r w:rsidRPr="00DD0AD4">
        <w:t>Group-</w:t>
      </w:r>
      <w:r w:rsidR="00A81CEE">
        <w:t>B</w:t>
      </w:r>
      <w:r w:rsidRPr="00DD0AD4">
        <w:t xml:space="preserve">ased </w:t>
      </w:r>
      <w:r w:rsidR="00A81CEE">
        <w:t>S</w:t>
      </w:r>
      <w:r w:rsidRPr="00DD0AD4">
        <w:t xml:space="preserve">ocial and </w:t>
      </w:r>
      <w:r w:rsidR="00A81CEE">
        <w:t>C</w:t>
      </w:r>
      <w:r w:rsidRPr="00DD0AD4">
        <w:t xml:space="preserve">ommunity </w:t>
      </w:r>
      <w:r w:rsidR="00A81CEE">
        <w:t>P</w:t>
      </w:r>
      <w:r w:rsidRPr="00DD0AD4">
        <w:t>articipation</w:t>
      </w:r>
      <w:bookmarkEnd w:id="0"/>
    </w:p>
    <w:p w14:paraId="5B59D615" w14:textId="77777777" w:rsidR="000857BB" w:rsidRDefault="00DD0AD4" w:rsidP="003B3F1F">
      <w:pPr>
        <w:pStyle w:val="Versionanddate"/>
        <w:rPr>
          <w:sz w:val="44"/>
          <w:szCs w:val="44"/>
        </w:rPr>
      </w:pPr>
      <w:r w:rsidRPr="00DD0AD4">
        <w:rPr>
          <w:sz w:val="44"/>
          <w:szCs w:val="44"/>
        </w:rPr>
        <w:t>Guidance for pricing transition</w:t>
      </w:r>
    </w:p>
    <w:p w14:paraId="017FC7D0" w14:textId="7071DDE0" w:rsidR="00DD0AD4" w:rsidRPr="00DD0AD4" w:rsidRDefault="000857BB" w:rsidP="003B3F1F">
      <w:pPr>
        <w:pStyle w:val="Versionanddate"/>
        <w:rPr>
          <w:sz w:val="44"/>
          <w:szCs w:val="44"/>
        </w:rPr>
      </w:pPr>
      <w:r>
        <w:rPr>
          <w:sz w:val="44"/>
          <w:szCs w:val="44"/>
        </w:rPr>
        <w:t>October 2023</w:t>
      </w:r>
    </w:p>
    <w:p w14:paraId="1E2118E2" w14:textId="77777777" w:rsidR="00FA334F" w:rsidRPr="003B3F1F" w:rsidRDefault="001665A1" w:rsidP="00A81CEE">
      <w:pPr>
        <w:pStyle w:val="Versionanddate"/>
        <w:spacing w:before="960"/>
        <w:rPr>
          <w:rStyle w:val="WebsiteChar"/>
          <w:sz w:val="80"/>
          <w:szCs w:val="96"/>
          <w:lang w:val="en-AU"/>
        </w:rPr>
      </w:pPr>
      <w:r>
        <w:rPr>
          <w:b/>
        </w:rPr>
        <w:br/>
      </w:r>
      <w:r w:rsidRPr="006765FF">
        <w:rPr>
          <w:rStyle w:val="WebsiteChar"/>
        </w:rPr>
        <w:t>ndis.gov.au</w:t>
      </w:r>
    </w:p>
    <w:p w14:paraId="64614343" w14:textId="2F3003D5" w:rsidR="007219F1" w:rsidRPr="00A91802" w:rsidRDefault="003B3F1F" w:rsidP="00C75181">
      <w:pPr>
        <w:pStyle w:val="Versionanddate"/>
        <w:spacing w:after="720"/>
        <w:ind w:right="95"/>
        <w:rPr>
          <w:color w:val="auto"/>
        </w:rPr>
      </w:pPr>
      <w:r w:rsidRPr="00A63C5B">
        <w:rPr>
          <w:noProof/>
          <w:lang w:val="en-AU" w:eastAsia="en-AU"/>
        </w:rPr>
        <w:lastRenderedPageBreak/>
        <w:drawing>
          <wp:anchor distT="0" distB="0" distL="114300" distR="114300" simplePos="0" relativeHeight="251658240" behindDoc="0" locked="0" layoutInCell="1" allowOverlap="1" wp14:anchorId="20BC5642" wp14:editId="2C311962">
            <wp:simplePos x="914400" y="8705850"/>
            <wp:positionH relativeFrom="column">
              <wp:align>left</wp:align>
            </wp:positionH>
            <wp:positionV relativeFrom="paragraph">
              <wp:align>top</wp:align>
            </wp:positionV>
            <wp:extent cx="966470" cy="509270"/>
            <wp:effectExtent l="0" t="0" r="5080" b="508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6470" cy="509270"/>
                    </a:xfrm>
                    <a:prstGeom prst="rect">
                      <a:avLst/>
                    </a:prstGeom>
                    <a:noFill/>
                    <a:ln>
                      <a:noFill/>
                    </a:ln>
                  </pic:spPr>
                </pic:pic>
              </a:graphicData>
            </a:graphic>
          </wp:anchor>
        </w:drawing>
      </w:r>
      <w:r w:rsidR="00A8115A">
        <w:rPr>
          <w:b/>
          <w:color w:val="FF0000"/>
          <w:sz w:val="24"/>
          <w:szCs w:val="24"/>
        </w:rPr>
        <w:br w:type="textWrapping" w:clear="all"/>
      </w:r>
      <w:r w:rsidR="004E738B">
        <w:rPr>
          <w:color w:val="auto"/>
        </w:rPr>
        <w:br/>
      </w:r>
      <w:r w:rsidR="007219F1" w:rsidRPr="00A91802">
        <w:rPr>
          <w:color w:val="auto"/>
        </w:rPr>
        <w:t>Co</w:t>
      </w:r>
      <w:bookmarkStart w:id="1" w:name="_Hlk132709925"/>
      <w:r w:rsidR="007219F1" w:rsidRPr="00A91802">
        <w:rPr>
          <w:color w:val="auto"/>
        </w:rPr>
        <w:t>n</w:t>
      </w:r>
      <w:bookmarkEnd w:id="1"/>
      <w:r w:rsidR="007219F1" w:rsidRPr="00A91802">
        <w:rPr>
          <w:color w:val="auto"/>
        </w:rPr>
        <w:t>tent</w:t>
      </w:r>
      <w:r w:rsidR="00670716">
        <w:rPr>
          <w:color w:val="auto"/>
        </w:rPr>
        <w:softHyphen/>
      </w:r>
      <w:r w:rsidR="00670716">
        <w:rPr>
          <w:color w:val="auto"/>
        </w:rPr>
        <w:softHyphen/>
      </w:r>
      <w:r w:rsidR="00670716">
        <w:rPr>
          <w:color w:val="auto"/>
        </w:rPr>
        <w:softHyphen/>
      </w:r>
      <w:r w:rsidR="00670716">
        <w:rPr>
          <w:color w:val="auto"/>
        </w:rPr>
        <w:softHyphen/>
      </w:r>
      <w:r w:rsidR="007219F1" w:rsidRPr="00A91802">
        <w:rPr>
          <w:color w:val="auto"/>
        </w:rPr>
        <w:t>s</w:t>
      </w:r>
    </w:p>
    <w:p w14:paraId="4E846A93" w14:textId="68B10532" w:rsidR="00D3613C" w:rsidRDefault="0040062A" w:rsidP="00B96300">
      <w:pPr>
        <w:pStyle w:val="TOC1"/>
        <w:rPr>
          <w:rFonts w:asciiTheme="minorHAnsi" w:eastAsiaTheme="minorEastAsia" w:hAnsiTheme="minorHAnsi" w:cstheme="minorBidi"/>
          <w:noProof/>
          <w:kern w:val="2"/>
          <w:szCs w:val="22"/>
          <w:lang w:val="en-AU" w:eastAsia="en-AU"/>
          <w14:ligatures w14:val="standardContextual"/>
        </w:rPr>
      </w:pPr>
      <w:r>
        <w:fldChar w:fldCharType="begin"/>
      </w:r>
      <w:r>
        <w:instrText xml:space="preserve"> TOC \o "1-5" \h \z \u </w:instrText>
      </w:r>
      <w:r>
        <w:fldChar w:fldCharType="separate"/>
      </w:r>
      <w:hyperlink w:anchor="_Toc143524918" w:history="1">
        <w:r w:rsidR="00D3613C" w:rsidRPr="007C725C">
          <w:rPr>
            <w:rStyle w:val="Hyperlink"/>
            <w:noProof/>
          </w:rPr>
          <w:t>Group-Based Social and Community Participation</w:t>
        </w:r>
        <w:r w:rsidR="00D3613C">
          <w:rPr>
            <w:noProof/>
            <w:webHidden/>
          </w:rPr>
          <w:tab/>
        </w:r>
        <w:r w:rsidR="00D3613C">
          <w:rPr>
            <w:noProof/>
            <w:webHidden/>
          </w:rPr>
          <w:fldChar w:fldCharType="begin"/>
        </w:r>
        <w:r w:rsidR="00D3613C">
          <w:rPr>
            <w:noProof/>
            <w:webHidden/>
          </w:rPr>
          <w:instrText xml:space="preserve"> PAGEREF _Toc143524918 \h </w:instrText>
        </w:r>
        <w:r w:rsidR="00D3613C">
          <w:rPr>
            <w:noProof/>
            <w:webHidden/>
          </w:rPr>
        </w:r>
        <w:r w:rsidR="00D3613C">
          <w:rPr>
            <w:noProof/>
            <w:webHidden/>
          </w:rPr>
          <w:fldChar w:fldCharType="separate"/>
        </w:r>
        <w:r w:rsidR="00E93BD6">
          <w:rPr>
            <w:noProof/>
            <w:webHidden/>
          </w:rPr>
          <w:t>1</w:t>
        </w:r>
        <w:r w:rsidR="00D3613C">
          <w:rPr>
            <w:noProof/>
            <w:webHidden/>
          </w:rPr>
          <w:fldChar w:fldCharType="end"/>
        </w:r>
      </w:hyperlink>
    </w:p>
    <w:p w14:paraId="48F95C33" w14:textId="2B047797" w:rsidR="00D3613C" w:rsidRDefault="00000000" w:rsidP="003746CF">
      <w:pPr>
        <w:pStyle w:val="TOC2"/>
        <w:rPr>
          <w:rFonts w:asciiTheme="minorHAnsi" w:eastAsiaTheme="minorEastAsia" w:hAnsiTheme="minorHAnsi" w:cstheme="minorBidi"/>
          <w:noProof/>
          <w:kern w:val="2"/>
          <w:szCs w:val="22"/>
          <w:lang w:val="en-AU" w:eastAsia="en-AU"/>
          <w14:ligatures w14:val="standardContextual"/>
        </w:rPr>
      </w:pPr>
      <w:hyperlink w:anchor="_Toc143524919" w:history="1">
        <w:r w:rsidR="00D3613C" w:rsidRPr="007C725C">
          <w:rPr>
            <w:rStyle w:val="Hyperlink"/>
            <w:noProof/>
          </w:rPr>
          <w:t>Overview</w:t>
        </w:r>
        <w:r w:rsidR="00D3613C">
          <w:rPr>
            <w:noProof/>
            <w:webHidden/>
          </w:rPr>
          <w:tab/>
        </w:r>
        <w:r w:rsidR="00D3613C">
          <w:rPr>
            <w:noProof/>
            <w:webHidden/>
          </w:rPr>
          <w:fldChar w:fldCharType="begin"/>
        </w:r>
        <w:r w:rsidR="00D3613C">
          <w:rPr>
            <w:noProof/>
            <w:webHidden/>
          </w:rPr>
          <w:instrText xml:space="preserve"> PAGEREF _Toc143524919 \h </w:instrText>
        </w:r>
        <w:r w:rsidR="00D3613C">
          <w:rPr>
            <w:noProof/>
            <w:webHidden/>
          </w:rPr>
        </w:r>
        <w:r w:rsidR="00D3613C">
          <w:rPr>
            <w:noProof/>
            <w:webHidden/>
          </w:rPr>
          <w:fldChar w:fldCharType="separate"/>
        </w:r>
        <w:r w:rsidR="00E93BD6">
          <w:rPr>
            <w:noProof/>
            <w:webHidden/>
          </w:rPr>
          <w:t>4</w:t>
        </w:r>
        <w:r w:rsidR="00D3613C">
          <w:rPr>
            <w:noProof/>
            <w:webHidden/>
          </w:rPr>
          <w:fldChar w:fldCharType="end"/>
        </w:r>
      </w:hyperlink>
    </w:p>
    <w:p w14:paraId="2152DF5B" w14:textId="13A92030" w:rsidR="00D3613C" w:rsidRDefault="00000000" w:rsidP="003746CF">
      <w:pPr>
        <w:pStyle w:val="TOC2"/>
        <w:rPr>
          <w:rFonts w:asciiTheme="minorHAnsi" w:eastAsiaTheme="minorEastAsia" w:hAnsiTheme="minorHAnsi" w:cstheme="minorBidi"/>
          <w:noProof/>
          <w:kern w:val="2"/>
          <w:szCs w:val="22"/>
          <w:lang w:val="en-AU" w:eastAsia="en-AU"/>
          <w14:ligatures w14:val="standardContextual"/>
        </w:rPr>
      </w:pPr>
      <w:hyperlink w:anchor="_Toc143524920" w:history="1">
        <w:r w:rsidR="00D3613C" w:rsidRPr="007C725C">
          <w:rPr>
            <w:rStyle w:val="Hyperlink"/>
            <w:noProof/>
          </w:rPr>
          <w:t>New group-based supports pricing</w:t>
        </w:r>
        <w:r w:rsidR="00D3613C">
          <w:rPr>
            <w:noProof/>
            <w:webHidden/>
          </w:rPr>
          <w:tab/>
        </w:r>
        <w:r w:rsidR="00D3613C">
          <w:rPr>
            <w:noProof/>
            <w:webHidden/>
          </w:rPr>
          <w:fldChar w:fldCharType="begin"/>
        </w:r>
        <w:r w:rsidR="00D3613C">
          <w:rPr>
            <w:noProof/>
            <w:webHidden/>
          </w:rPr>
          <w:instrText xml:space="preserve"> PAGEREF _Toc143524920 \h </w:instrText>
        </w:r>
        <w:r w:rsidR="00D3613C">
          <w:rPr>
            <w:noProof/>
            <w:webHidden/>
          </w:rPr>
        </w:r>
        <w:r w:rsidR="00D3613C">
          <w:rPr>
            <w:noProof/>
            <w:webHidden/>
          </w:rPr>
          <w:fldChar w:fldCharType="separate"/>
        </w:r>
        <w:r w:rsidR="00E93BD6">
          <w:rPr>
            <w:noProof/>
            <w:webHidden/>
          </w:rPr>
          <w:t>5</w:t>
        </w:r>
        <w:r w:rsidR="00D3613C">
          <w:rPr>
            <w:noProof/>
            <w:webHidden/>
          </w:rPr>
          <w:fldChar w:fldCharType="end"/>
        </w:r>
      </w:hyperlink>
    </w:p>
    <w:p w14:paraId="034F5CD6" w14:textId="133E4494" w:rsidR="00D3613C" w:rsidRDefault="00000000" w:rsidP="003746CF">
      <w:pPr>
        <w:pStyle w:val="TOC2"/>
        <w:rPr>
          <w:rFonts w:asciiTheme="minorHAnsi" w:eastAsiaTheme="minorEastAsia" w:hAnsiTheme="minorHAnsi" w:cstheme="minorBidi"/>
          <w:noProof/>
          <w:kern w:val="2"/>
          <w:szCs w:val="22"/>
          <w:lang w:val="en-AU" w:eastAsia="en-AU"/>
          <w14:ligatures w14:val="standardContextual"/>
        </w:rPr>
      </w:pPr>
      <w:hyperlink w:anchor="_Toc143524921" w:history="1">
        <w:r w:rsidR="003746CF">
          <w:rPr>
            <w:noProof/>
          </w:rPr>
          <w:drawing>
            <wp:inline distT="0" distB="0" distL="0" distR="0" wp14:anchorId="25386E0F" wp14:editId="504DBD8A">
              <wp:extent cx="584200" cy="719818"/>
              <wp:effectExtent l="0" t="0" r="6350" b="4445"/>
              <wp:docPr id="13" name="Picture 13" descr="Icon - Shows this section refers to page 60 of the Pricing Arrangements and Price Limit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 - Shows this section refers to page 60 of the Pricing Arrangements and Price Limits docu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105" cy="725861"/>
                      </a:xfrm>
                      <a:prstGeom prst="rect">
                        <a:avLst/>
                      </a:prstGeom>
                      <a:noFill/>
                      <a:ln>
                        <a:noFill/>
                      </a:ln>
                    </pic:spPr>
                  </pic:pic>
                </a:graphicData>
              </a:graphic>
            </wp:inline>
          </w:drawing>
        </w:r>
        <w:r w:rsidR="00D3613C" w:rsidRPr="007C725C">
          <w:rPr>
            <w:rStyle w:val="Hyperlink"/>
            <w:noProof/>
          </w:rPr>
          <w:t>Direct (Face-to-Face) Supports</w:t>
        </w:r>
        <w:r w:rsidR="00D3613C">
          <w:rPr>
            <w:noProof/>
            <w:webHidden/>
          </w:rPr>
          <w:tab/>
        </w:r>
        <w:r w:rsidR="00D3613C">
          <w:rPr>
            <w:noProof/>
            <w:webHidden/>
          </w:rPr>
          <w:fldChar w:fldCharType="begin"/>
        </w:r>
        <w:r w:rsidR="00D3613C">
          <w:rPr>
            <w:noProof/>
            <w:webHidden/>
          </w:rPr>
          <w:instrText xml:space="preserve"> PAGEREF _Toc143524921 \h </w:instrText>
        </w:r>
        <w:r w:rsidR="00D3613C">
          <w:rPr>
            <w:noProof/>
            <w:webHidden/>
          </w:rPr>
        </w:r>
        <w:r w:rsidR="00D3613C">
          <w:rPr>
            <w:noProof/>
            <w:webHidden/>
          </w:rPr>
          <w:fldChar w:fldCharType="separate"/>
        </w:r>
        <w:r w:rsidR="00E93BD6">
          <w:rPr>
            <w:noProof/>
            <w:webHidden/>
          </w:rPr>
          <w:t>6</w:t>
        </w:r>
        <w:r w:rsidR="00D3613C">
          <w:rPr>
            <w:noProof/>
            <w:webHidden/>
          </w:rPr>
          <w:fldChar w:fldCharType="end"/>
        </w:r>
      </w:hyperlink>
    </w:p>
    <w:p w14:paraId="16A928C1" w14:textId="73F4808E"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22" w:history="1">
        <w:r w:rsidR="00D3613C" w:rsidRPr="007C725C">
          <w:rPr>
            <w:rStyle w:val="Hyperlink"/>
            <w:noProof/>
          </w:rPr>
          <w:t>How are staff costs covered if the pricing is per group and does</w:t>
        </w:r>
        <w:r w:rsidR="00A104C5">
          <w:rPr>
            <w:rStyle w:val="Hyperlink"/>
            <w:noProof/>
          </w:rPr>
          <w:t xml:space="preserve"> not</w:t>
        </w:r>
        <w:r w:rsidR="00D3613C" w:rsidRPr="007C725C">
          <w:rPr>
            <w:rStyle w:val="Hyperlink"/>
            <w:noProof/>
          </w:rPr>
          <w:t xml:space="preserve"> consider staff to participant ratios?</w:t>
        </w:r>
        <w:r w:rsidR="00D3613C">
          <w:rPr>
            <w:noProof/>
            <w:webHidden/>
          </w:rPr>
          <w:tab/>
        </w:r>
        <w:r w:rsidR="00D3613C">
          <w:rPr>
            <w:noProof/>
            <w:webHidden/>
          </w:rPr>
          <w:fldChar w:fldCharType="begin"/>
        </w:r>
        <w:r w:rsidR="00D3613C">
          <w:rPr>
            <w:noProof/>
            <w:webHidden/>
          </w:rPr>
          <w:instrText xml:space="preserve"> PAGEREF _Toc143524922 \h </w:instrText>
        </w:r>
        <w:r w:rsidR="00D3613C">
          <w:rPr>
            <w:noProof/>
            <w:webHidden/>
          </w:rPr>
        </w:r>
        <w:r w:rsidR="00D3613C">
          <w:rPr>
            <w:noProof/>
            <w:webHidden/>
          </w:rPr>
          <w:fldChar w:fldCharType="separate"/>
        </w:r>
        <w:r w:rsidR="00E93BD6">
          <w:rPr>
            <w:noProof/>
            <w:webHidden/>
          </w:rPr>
          <w:t>6</w:t>
        </w:r>
        <w:r w:rsidR="00D3613C">
          <w:rPr>
            <w:noProof/>
            <w:webHidden/>
          </w:rPr>
          <w:fldChar w:fldCharType="end"/>
        </w:r>
      </w:hyperlink>
    </w:p>
    <w:p w14:paraId="728D31A1" w14:textId="1B3BBB5D"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23" w:history="1">
        <w:r w:rsidR="00D3613C" w:rsidRPr="007C725C">
          <w:rPr>
            <w:rStyle w:val="Hyperlink"/>
            <w:rFonts w:eastAsia="SimHei"/>
            <w:noProof/>
            <w:lang w:val="en-AU" w:eastAsia="en-US"/>
          </w:rPr>
          <w:t>Do direct support costs need to be apportioned equally amongst the participants?</w:t>
        </w:r>
        <w:r w:rsidR="00D3613C">
          <w:rPr>
            <w:noProof/>
            <w:webHidden/>
          </w:rPr>
          <w:tab/>
        </w:r>
        <w:r w:rsidR="008270F1">
          <w:rPr>
            <w:noProof/>
            <w:webHidden/>
          </w:rPr>
          <w:t>7</w:t>
        </w:r>
      </w:hyperlink>
    </w:p>
    <w:p w14:paraId="2DB5E334" w14:textId="195F709E"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24" w:history="1">
        <w:r w:rsidR="00D3613C" w:rsidRPr="007C725C">
          <w:rPr>
            <w:rStyle w:val="Hyperlink"/>
            <w:noProof/>
            <w:lang w:val="en-AU"/>
          </w:rPr>
          <w:t>How is a participant charged when they need 1:1 self-care during their group-based support?</w:t>
        </w:r>
        <w:r w:rsidR="00D3613C">
          <w:rPr>
            <w:noProof/>
            <w:webHidden/>
          </w:rPr>
          <w:tab/>
        </w:r>
        <w:r w:rsidR="00D3613C">
          <w:rPr>
            <w:noProof/>
            <w:webHidden/>
          </w:rPr>
          <w:fldChar w:fldCharType="begin"/>
        </w:r>
        <w:r w:rsidR="00D3613C">
          <w:rPr>
            <w:noProof/>
            <w:webHidden/>
          </w:rPr>
          <w:instrText xml:space="preserve"> PAGEREF _Toc143524924 \h </w:instrText>
        </w:r>
        <w:r w:rsidR="00D3613C">
          <w:rPr>
            <w:noProof/>
            <w:webHidden/>
          </w:rPr>
        </w:r>
        <w:r w:rsidR="00D3613C">
          <w:rPr>
            <w:noProof/>
            <w:webHidden/>
          </w:rPr>
          <w:fldChar w:fldCharType="separate"/>
        </w:r>
        <w:r w:rsidR="00E93BD6">
          <w:rPr>
            <w:noProof/>
            <w:webHidden/>
          </w:rPr>
          <w:t>7</w:t>
        </w:r>
        <w:r w:rsidR="00D3613C">
          <w:rPr>
            <w:noProof/>
            <w:webHidden/>
          </w:rPr>
          <w:fldChar w:fldCharType="end"/>
        </w:r>
      </w:hyperlink>
    </w:p>
    <w:p w14:paraId="35DA0327" w14:textId="506C45BA" w:rsidR="00D3613C" w:rsidRDefault="00000000" w:rsidP="003746CF">
      <w:pPr>
        <w:pStyle w:val="TOC2"/>
        <w:rPr>
          <w:rFonts w:asciiTheme="minorHAnsi" w:eastAsiaTheme="minorEastAsia" w:hAnsiTheme="minorHAnsi" w:cstheme="minorBidi"/>
          <w:noProof/>
          <w:kern w:val="2"/>
          <w:szCs w:val="22"/>
          <w:lang w:val="en-AU" w:eastAsia="en-AU"/>
          <w14:ligatures w14:val="standardContextual"/>
        </w:rPr>
      </w:pPr>
      <w:hyperlink w:anchor="_Toc143524925" w:history="1">
        <w:r w:rsidR="00D3613C" w:rsidRPr="007C725C">
          <w:rPr>
            <w:rStyle w:val="Hyperlink"/>
            <w:rFonts w:eastAsia="SimHei"/>
            <w:noProof/>
            <w:lang w:eastAsia="en-US"/>
          </w:rPr>
          <w:drawing>
            <wp:inline distT="0" distB="0" distL="0" distR="0" wp14:anchorId="33837F6F" wp14:editId="53414135">
              <wp:extent cx="603250" cy="733424"/>
              <wp:effectExtent l="0" t="0" r="6350" b="0"/>
              <wp:docPr id="10" name="Picture 10" descr="Icon - Shows this section refers to page 17 of the Pricing Arrangements and Price Limit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 - Shows this section refers to page 17 of the Pricing Arrangements and Price Limits documen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501" r="9374" b="20129"/>
                      <a:stretch/>
                    </pic:blipFill>
                    <pic:spPr bwMode="auto">
                      <a:xfrm>
                        <a:off x="0" y="0"/>
                        <a:ext cx="610167" cy="741833"/>
                      </a:xfrm>
                      <a:prstGeom prst="rect">
                        <a:avLst/>
                      </a:prstGeom>
                      <a:noFill/>
                      <a:ln>
                        <a:noFill/>
                      </a:ln>
                      <a:extLst>
                        <a:ext uri="{53640926-AAD7-44D8-BBD7-CCE9431645EC}">
                          <a14:shadowObscured xmlns:a14="http://schemas.microsoft.com/office/drawing/2010/main"/>
                        </a:ext>
                      </a:extLst>
                    </pic:spPr>
                  </pic:pic>
                </a:graphicData>
              </a:graphic>
            </wp:inline>
          </w:drawing>
        </w:r>
        <w:r w:rsidR="00D3613C" w:rsidRPr="007C725C">
          <w:rPr>
            <w:rStyle w:val="Hyperlink"/>
            <w:rFonts w:eastAsia="SimHei"/>
            <w:noProof/>
            <w:lang w:val="en-AU" w:eastAsia="en-US"/>
          </w:rPr>
          <w:t>Non-Face-to-Face Supports</w:t>
        </w:r>
        <w:r w:rsidR="00D3613C">
          <w:rPr>
            <w:noProof/>
            <w:webHidden/>
          </w:rPr>
          <w:tab/>
        </w:r>
        <w:r w:rsidR="00D3613C">
          <w:rPr>
            <w:noProof/>
            <w:webHidden/>
          </w:rPr>
          <w:fldChar w:fldCharType="begin"/>
        </w:r>
        <w:r w:rsidR="00D3613C">
          <w:rPr>
            <w:noProof/>
            <w:webHidden/>
          </w:rPr>
          <w:instrText xml:space="preserve"> PAGEREF _Toc143524925 \h </w:instrText>
        </w:r>
        <w:r w:rsidR="00D3613C">
          <w:rPr>
            <w:noProof/>
            <w:webHidden/>
          </w:rPr>
        </w:r>
        <w:r w:rsidR="00D3613C">
          <w:rPr>
            <w:noProof/>
            <w:webHidden/>
          </w:rPr>
          <w:fldChar w:fldCharType="separate"/>
        </w:r>
        <w:r w:rsidR="00E93BD6">
          <w:rPr>
            <w:noProof/>
            <w:webHidden/>
          </w:rPr>
          <w:t>8</w:t>
        </w:r>
        <w:r w:rsidR="00D3613C">
          <w:rPr>
            <w:noProof/>
            <w:webHidden/>
          </w:rPr>
          <w:fldChar w:fldCharType="end"/>
        </w:r>
      </w:hyperlink>
    </w:p>
    <w:p w14:paraId="07B7D107" w14:textId="12E3B4BC"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26" w:history="1">
        <w:r w:rsidR="00D3613C" w:rsidRPr="007C725C">
          <w:rPr>
            <w:rStyle w:val="Hyperlink"/>
            <w:rFonts w:eastAsia="SimHei"/>
            <w:noProof/>
            <w:lang w:val="en-AU" w:eastAsia="en-US"/>
          </w:rPr>
          <w:t xml:space="preserve">How does </w:t>
        </w:r>
        <w:r w:rsidR="008D58EF">
          <w:rPr>
            <w:rStyle w:val="Hyperlink"/>
            <w:rFonts w:eastAsia="SimHei"/>
            <w:noProof/>
            <w:lang w:val="en-AU" w:eastAsia="en-US"/>
          </w:rPr>
          <w:t>N</w:t>
        </w:r>
        <w:r w:rsidR="00D3613C" w:rsidRPr="007C725C">
          <w:rPr>
            <w:rStyle w:val="Hyperlink"/>
            <w:rFonts w:eastAsia="SimHei"/>
            <w:noProof/>
            <w:lang w:val="en-AU" w:eastAsia="en-US"/>
          </w:rPr>
          <w:t>on-</w:t>
        </w:r>
        <w:r w:rsidR="008D58EF">
          <w:rPr>
            <w:rStyle w:val="Hyperlink"/>
            <w:rFonts w:eastAsia="SimHei"/>
            <w:noProof/>
            <w:lang w:val="en-AU" w:eastAsia="en-US"/>
          </w:rPr>
          <w:t>F</w:t>
        </w:r>
        <w:r w:rsidR="00D3613C" w:rsidRPr="007C725C">
          <w:rPr>
            <w:rStyle w:val="Hyperlink"/>
            <w:rFonts w:eastAsia="SimHei"/>
            <w:noProof/>
            <w:lang w:val="en-AU" w:eastAsia="en-US"/>
          </w:rPr>
          <w:t>ace-to-</w:t>
        </w:r>
        <w:r w:rsidR="008D58EF">
          <w:rPr>
            <w:rStyle w:val="Hyperlink"/>
            <w:rFonts w:eastAsia="SimHei"/>
            <w:noProof/>
            <w:lang w:val="en-AU" w:eastAsia="en-US"/>
          </w:rPr>
          <w:t>F</w:t>
        </w:r>
        <w:r w:rsidR="00D3613C" w:rsidRPr="007C725C">
          <w:rPr>
            <w:rStyle w:val="Hyperlink"/>
            <w:rFonts w:eastAsia="SimHei"/>
            <w:noProof/>
            <w:lang w:val="en-AU" w:eastAsia="en-US"/>
          </w:rPr>
          <w:t>ace claiming work for group-based supports?</w:t>
        </w:r>
        <w:r w:rsidR="00D3613C">
          <w:rPr>
            <w:noProof/>
            <w:webHidden/>
          </w:rPr>
          <w:tab/>
        </w:r>
        <w:r w:rsidR="00D3613C">
          <w:rPr>
            <w:noProof/>
            <w:webHidden/>
          </w:rPr>
          <w:fldChar w:fldCharType="begin"/>
        </w:r>
        <w:r w:rsidR="00D3613C">
          <w:rPr>
            <w:noProof/>
            <w:webHidden/>
          </w:rPr>
          <w:instrText xml:space="preserve"> PAGEREF _Toc143524926 \h </w:instrText>
        </w:r>
        <w:r w:rsidR="00D3613C">
          <w:rPr>
            <w:noProof/>
            <w:webHidden/>
          </w:rPr>
        </w:r>
        <w:r w:rsidR="00D3613C">
          <w:rPr>
            <w:noProof/>
            <w:webHidden/>
          </w:rPr>
          <w:fldChar w:fldCharType="separate"/>
        </w:r>
        <w:r w:rsidR="00E93BD6">
          <w:rPr>
            <w:noProof/>
            <w:webHidden/>
          </w:rPr>
          <w:t>8</w:t>
        </w:r>
        <w:r w:rsidR="00D3613C">
          <w:rPr>
            <w:noProof/>
            <w:webHidden/>
          </w:rPr>
          <w:fldChar w:fldCharType="end"/>
        </w:r>
      </w:hyperlink>
    </w:p>
    <w:p w14:paraId="31DAB590" w14:textId="47314FF2"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27" w:history="1">
        <w:r w:rsidR="00D3613C" w:rsidRPr="007C725C">
          <w:rPr>
            <w:rStyle w:val="Hyperlink"/>
            <w:rFonts w:eastAsia="SimHei"/>
            <w:noProof/>
            <w:lang w:val="en-AU" w:eastAsia="en-US"/>
          </w:rPr>
          <w:t xml:space="preserve">How are </w:t>
        </w:r>
        <w:r w:rsidR="008D58EF" w:rsidRPr="008D58EF">
          <w:rPr>
            <w:rStyle w:val="Hyperlink"/>
            <w:rFonts w:eastAsia="SimHei"/>
            <w:noProof/>
            <w:lang w:val="en-AU" w:eastAsia="en-US"/>
          </w:rPr>
          <w:t>Non-Face-to-Face</w:t>
        </w:r>
        <w:r w:rsidR="00D3613C" w:rsidRPr="007C725C">
          <w:rPr>
            <w:rStyle w:val="Hyperlink"/>
            <w:rFonts w:eastAsia="SimHei"/>
            <w:noProof/>
            <w:lang w:val="en-AU" w:eastAsia="en-US"/>
          </w:rPr>
          <w:t xml:space="preserve"> supports documented?</w:t>
        </w:r>
        <w:r w:rsidR="00D3613C">
          <w:rPr>
            <w:noProof/>
            <w:webHidden/>
          </w:rPr>
          <w:tab/>
        </w:r>
        <w:r w:rsidR="00D3613C">
          <w:rPr>
            <w:noProof/>
            <w:webHidden/>
          </w:rPr>
          <w:fldChar w:fldCharType="begin"/>
        </w:r>
        <w:r w:rsidR="00D3613C">
          <w:rPr>
            <w:noProof/>
            <w:webHidden/>
          </w:rPr>
          <w:instrText xml:space="preserve"> PAGEREF _Toc143524927 \h </w:instrText>
        </w:r>
        <w:r w:rsidR="00D3613C">
          <w:rPr>
            <w:noProof/>
            <w:webHidden/>
          </w:rPr>
        </w:r>
        <w:r w:rsidR="00D3613C">
          <w:rPr>
            <w:noProof/>
            <w:webHidden/>
          </w:rPr>
          <w:fldChar w:fldCharType="separate"/>
        </w:r>
        <w:r w:rsidR="00E93BD6">
          <w:rPr>
            <w:noProof/>
            <w:webHidden/>
          </w:rPr>
          <w:t>9</w:t>
        </w:r>
        <w:r w:rsidR="00D3613C">
          <w:rPr>
            <w:noProof/>
            <w:webHidden/>
          </w:rPr>
          <w:fldChar w:fldCharType="end"/>
        </w:r>
      </w:hyperlink>
    </w:p>
    <w:p w14:paraId="2E741BBF" w14:textId="050B85C5"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28" w:history="1">
        <w:r w:rsidR="00D3613C" w:rsidRPr="007C725C">
          <w:rPr>
            <w:rStyle w:val="Hyperlink"/>
            <w:rFonts w:eastAsia="Arial"/>
            <w:noProof/>
            <w:lang w:val="en-AU" w:eastAsia="en-US"/>
          </w:rPr>
          <w:t xml:space="preserve">What if a </w:t>
        </w:r>
        <w:r w:rsidR="008D58EF" w:rsidRPr="008D58EF">
          <w:rPr>
            <w:rStyle w:val="Hyperlink"/>
            <w:rFonts w:eastAsia="Arial"/>
            <w:noProof/>
            <w:lang w:val="en-AU" w:eastAsia="en-US"/>
          </w:rPr>
          <w:t>Non-Face-to-Face</w:t>
        </w:r>
        <w:r w:rsidR="00D3613C" w:rsidRPr="007C725C">
          <w:rPr>
            <w:rStyle w:val="Hyperlink"/>
            <w:rFonts w:eastAsia="Arial"/>
            <w:noProof/>
            <w:lang w:val="en-AU" w:eastAsia="en-US"/>
          </w:rPr>
          <w:t xml:space="preserve"> task is completed, then a participant cancels?</w:t>
        </w:r>
        <w:r w:rsidR="00D3613C">
          <w:rPr>
            <w:noProof/>
            <w:webHidden/>
          </w:rPr>
          <w:tab/>
        </w:r>
        <w:r w:rsidR="00D3613C">
          <w:rPr>
            <w:noProof/>
            <w:webHidden/>
          </w:rPr>
          <w:fldChar w:fldCharType="begin"/>
        </w:r>
        <w:r w:rsidR="00D3613C">
          <w:rPr>
            <w:noProof/>
            <w:webHidden/>
          </w:rPr>
          <w:instrText xml:space="preserve"> PAGEREF _Toc143524928 \h </w:instrText>
        </w:r>
        <w:r w:rsidR="00D3613C">
          <w:rPr>
            <w:noProof/>
            <w:webHidden/>
          </w:rPr>
        </w:r>
        <w:r w:rsidR="00D3613C">
          <w:rPr>
            <w:noProof/>
            <w:webHidden/>
          </w:rPr>
          <w:fldChar w:fldCharType="separate"/>
        </w:r>
        <w:r w:rsidR="00E93BD6">
          <w:rPr>
            <w:noProof/>
            <w:webHidden/>
          </w:rPr>
          <w:t>10</w:t>
        </w:r>
        <w:r w:rsidR="00D3613C">
          <w:rPr>
            <w:noProof/>
            <w:webHidden/>
          </w:rPr>
          <w:fldChar w:fldCharType="end"/>
        </w:r>
      </w:hyperlink>
    </w:p>
    <w:p w14:paraId="37593E56" w14:textId="71FA83F0" w:rsidR="00D3613C" w:rsidRDefault="00000000" w:rsidP="003746CF">
      <w:pPr>
        <w:pStyle w:val="TOC2"/>
        <w:rPr>
          <w:rFonts w:asciiTheme="minorHAnsi" w:eastAsiaTheme="minorEastAsia" w:hAnsiTheme="minorHAnsi" w:cstheme="minorBidi"/>
          <w:noProof/>
          <w:kern w:val="2"/>
          <w:szCs w:val="22"/>
          <w:lang w:val="en-AU" w:eastAsia="en-AU"/>
          <w14:ligatures w14:val="standardContextual"/>
        </w:rPr>
      </w:pPr>
      <w:hyperlink w:anchor="_Toc143524929" w:history="1">
        <w:r w:rsidR="00D3613C" w:rsidRPr="007C725C">
          <w:rPr>
            <w:rStyle w:val="Hyperlink"/>
            <w:rFonts w:eastAsia="SimHei"/>
            <w:noProof/>
            <w:lang w:eastAsia="en-US"/>
          </w:rPr>
          <w:drawing>
            <wp:inline distT="0" distB="0" distL="0" distR="0" wp14:anchorId="1C050D83" wp14:editId="126E1F60">
              <wp:extent cx="571407" cy="742315"/>
              <wp:effectExtent l="0" t="0" r="635" b="635"/>
              <wp:docPr id="11" name="Picture 11" descr="Icon - shows this section refers to page 30 of the Pricing Arrangements and Price Limits dco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 - shows this section refers to page 30 of the Pricing Arrangements and Price Limits dcoumen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512" r="12427" b="17837"/>
                      <a:stretch/>
                    </pic:blipFill>
                    <pic:spPr bwMode="auto">
                      <a:xfrm>
                        <a:off x="0" y="0"/>
                        <a:ext cx="575639" cy="747813"/>
                      </a:xfrm>
                      <a:prstGeom prst="rect">
                        <a:avLst/>
                      </a:prstGeom>
                      <a:noFill/>
                      <a:ln>
                        <a:noFill/>
                      </a:ln>
                      <a:extLst>
                        <a:ext uri="{53640926-AAD7-44D8-BBD7-CCE9431645EC}">
                          <a14:shadowObscured xmlns:a14="http://schemas.microsoft.com/office/drawing/2010/main"/>
                        </a:ext>
                      </a:extLst>
                    </pic:spPr>
                  </pic:pic>
                </a:graphicData>
              </a:graphic>
            </wp:inline>
          </w:drawing>
        </w:r>
        <w:r w:rsidR="00D3613C" w:rsidRPr="007C725C">
          <w:rPr>
            <w:rStyle w:val="Hyperlink"/>
            <w:rFonts w:eastAsia="SimHei"/>
            <w:noProof/>
            <w:lang w:val="en-AU" w:eastAsia="en-US"/>
          </w:rPr>
          <w:t>Centre Capital Costs</w:t>
        </w:r>
        <w:r w:rsidR="00D3613C">
          <w:rPr>
            <w:noProof/>
            <w:webHidden/>
          </w:rPr>
          <w:tab/>
        </w:r>
        <w:r w:rsidR="00D3613C">
          <w:rPr>
            <w:noProof/>
            <w:webHidden/>
          </w:rPr>
          <w:fldChar w:fldCharType="begin"/>
        </w:r>
        <w:r w:rsidR="00D3613C">
          <w:rPr>
            <w:noProof/>
            <w:webHidden/>
          </w:rPr>
          <w:instrText xml:space="preserve"> PAGEREF _Toc143524929 \h </w:instrText>
        </w:r>
        <w:r w:rsidR="00D3613C">
          <w:rPr>
            <w:noProof/>
            <w:webHidden/>
          </w:rPr>
        </w:r>
        <w:r w:rsidR="00D3613C">
          <w:rPr>
            <w:noProof/>
            <w:webHidden/>
          </w:rPr>
          <w:fldChar w:fldCharType="separate"/>
        </w:r>
        <w:r w:rsidR="00E93BD6">
          <w:rPr>
            <w:noProof/>
            <w:webHidden/>
          </w:rPr>
          <w:t>10</w:t>
        </w:r>
        <w:r w:rsidR="00D3613C">
          <w:rPr>
            <w:noProof/>
            <w:webHidden/>
          </w:rPr>
          <w:fldChar w:fldCharType="end"/>
        </w:r>
      </w:hyperlink>
    </w:p>
    <w:p w14:paraId="75B93BCF" w14:textId="6DA127F4"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30" w:history="1">
        <w:r w:rsidR="00D3613C" w:rsidRPr="007C725C">
          <w:rPr>
            <w:rStyle w:val="Hyperlink"/>
            <w:rFonts w:eastAsia="SimHei"/>
            <w:noProof/>
            <w:lang w:val="en-AU" w:eastAsia="en-US"/>
          </w:rPr>
          <w:t>What are centre capital costs?</w:t>
        </w:r>
        <w:r w:rsidR="00D3613C">
          <w:rPr>
            <w:noProof/>
            <w:webHidden/>
          </w:rPr>
          <w:tab/>
        </w:r>
        <w:r w:rsidR="00D3613C">
          <w:rPr>
            <w:noProof/>
            <w:webHidden/>
          </w:rPr>
          <w:fldChar w:fldCharType="begin"/>
        </w:r>
        <w:r w:rsidR="00D3613C">
          <w:rPr>
            <w:noProof/>
            <w:webHidden/>
          </w:rPr>
          <w:instrText xml:space="preserve"> PAGEREF _Toc143524930 \h </w:instrText>
        </w:r>
        <w:r w:rsidR="00D3613C">
          <w:rPr>
            <w:noProof/>
            <w:webHidden/>
          </w:rPr>
        </w:r>
        <w:r w:rsidR="00D3613C">
          <w:rPr>
            <w:noProof/>
            <w:webHidden/>
          </w:rPr>
          <w:fldChar w:fldCharType="separate"/>
        </w:r>
        <w:r w:rsidR="00E93BD6">
          <w:rPr>
            <w:noProof/>
            <w:webHidden/>
          </w:rPr>
          <w:t>10</w:t>
        </w:r>
        <w:r w:rsidR="00D3613C">
          <w:rPr>
            <w:noProof/>
            <w:webHidden/>
          </w:rPr>
          <w:fldChar w:fldCharType="end"/>
        </w:r>
      </w:hyperlink>
    </w:p>
    <w:p w14:paraId="5E387AD8" w14:textId="7A63275C"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31" w:history="1">
        <w:r w:rsidR="00D3613C" w:rsidRPr="007C725C">
          <w:rPr>
            <w:rStyle w:val="Hyperlink"/>
            <w:rFonts w:eastAsia="SimHei"/>
            <w:noProof/>
            <w:lang w:val="en-AU" w:eastAsia="en-US"/>
          </w:rPr>
          <w:t>Claiming when a group spends part of the time at the centre and part of the time out in the community?</w:t>
        </w:r>
        <w:r w:rsidR="00D3613C">
          <w:rPr>
            <w:noProof/>
            <w:webHidden/>
          </w:rPr>
          <w:tab/>
        </w:r>
        <w:r w:rsidR="00D3613C">
          <w:rPr>
            <w:noProof/>
            <w:webHidden/>
          </w:rPr>
          <w:fldChar w:fldCharType="begin"/>
        </w:r>
        <w:r w:rsidR="00D3613C">
          <w:rPr>
            <w:noProof/>
            <w:webHidden/>
          </w:rPr>
          <w:instrText xml:space="preserve"> PAGEREF _Toc143524931 \h </w:instrText>
        </w:r>
        <w:r w:rsidR="00D3613C">
          <w:rPr>
            <w:noProof/>
            <w:webHidden/>
          </w:rPr>
        </w:r>
        <w:r w:rsidR="00D3613C">
          <w:rPr>
            <w:noProof/>
            <w:webHidden/>
          </w:rPr>
          <w:fldChar w:fldCharType="separate"/>
        </w:r>
        <w:r w:rsidR="00E93BD6">
          <w:rPr>
            <w:noProof/>
            <w:webHidden/>
          </w:rPr>
          <w:t>10</w:t>
        </w:r>
        <w:r w:rsidR="00D3613C">
          <w:rPr>
            <w:noProof/>
            <w:webHidden/>
          </w:rPr>
          <w:fldChar w:fldCharType="end"/>
        </w:r>
      </w:hyperlink>
    </w:p>
    <w:p w14:paraId="37CD9A0B" w14:textId="4EE237E8"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32" w:history="1">
        <w:r w:rsidR="00D3613C" w:rsidRPr="007C725C">
          <w:rPr>
            <w:rStyle w:val="Hyperlink"/>
            <w:rFonts w:eastAsia="SimHei"/>
            <w:noProof/>
            <w:lang w:val="en-AU" w:eastAsia="en-US"/>
          </w:rPr>
          <w:t>Can centre capital costs be claimed for delivering a support at a community facility we have temporarily hired, such as a swimming pool?</w:t>
        </w:r>
        <w:r w:rsidR="00D3613C">
          <w:rPr>
            <w:noProof/>
            <w:webHidden/>
          </w:rPr>
          <w:tab/>
        </w:r>
        <w:r w:rsidR="00D3613C">
          <w:rPr>
            <w:noProof/>
            <w:webHidden/>
          </w:rPr>
          <w:fldChar w:fldCharType="begin"/>
        </w:r>
        <w:r w:rsidR="00D3613C">
          <w:rPr>
            <w:noProof/>
            <w:webHidden/>
          </w:rPr>
          <w:instrText xml:space="preserve"> PAGEREF _Toc143524932 \h </w:instrText>
        </w:r>
        <w:r w:rsidR="00D3613C">
          <w:rPr>
            <w:noProof/>
            <w:webHidden/>
          </w:rPr>
        </w:r>
        <w:r w:rsidR="00D3613C">
          <w:rPr>
            <w:noProof/>
            <w:webHidden/>
          </w:rPr>
          <w:fldChar w:fldCharType="separate"/>
        </w:r>
        <w:r w:rsidR="00E93BD6">
          <w:rPr>
            <w:noProof/>
            <w:webHidden/>
          </w:rPr>
          <w:t>11</w:t>
        </w:r>
        <w:r w:rsidR="00D3613C">
          <w:rPr>
            <w:noProof/>
            <w:webHidden/>
          </w:rPr>
          <w:fldChar w:fldCharType="end"/>
        </w:r>
      </w:hyperlink>
    </w:p>
    <w:p w14:paraId="659B6F36" w14:textId="0B2C07DB" w:rsidR="00D3613C" w:rsidRDefault="00000000" w:rsidP="003746CF">
      <w:pPr>
        <w:pStyle w:val="TOC2"/>
        <w:rPr>
          <w:rFonts w:asciiTheme="minorHAnsi" w:eastAsiaTheme="minorEastAsia" w:hAnsiTheme="minorHAnsi" w:cstheme="minorBidi"/>
          <w:noProof/>
          <w:kern w:val="2"/>
          <w:szCs w:val="22"/>
          <w:lang w:val="en-AU" w:eastAsia="en-AU"/>
          <w14:ligatures w14:val="standardContextual"/>
        </w:rPr>
      </w:pPr>
      <w:hyperlink w:anchor="_Toc143524933" w:history="1">
        <w:r w:rsidR="00D3613C" w:rsidRPr="007C725C">
          <w:rPr>
            <w:rStyle w:val="Hyperlink"/>
            <w:noProof/>
          </w:rPr>
          <w:drawing>
            <wp:inline distT="0" distB="0" distL="0" distR="0" wp14:anchorId="31864222" wp14:editId="44302379">
              <wp:extent cx="600075" cy="760095"/>
              <wp:effectExtent l="0" t="0" r="9525" b="1905"/>
              <wp:docPr id="12" name="Picture 12" descr="Icon - Shows this section refers to page 29 of the Pricing Arrangements and Price Limit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 - Shows this section refers to page 29 of the Pricing Arrangements and Price Limits documen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688" r="10389" b="16788"/>
                      <a:stretch/>
                    </pic:blipFill>
                    <pic:spPr bwMode="auto">
                      <a:xfrm>
                        <a:off x="0" y="0"/>
                        <a:ext cx="600857" cy="761086"/>
                      </a:xfrm>
                      <a:prstGeom prst="rect">
                        <a:avLst/>
                      </a:prstGeom>
                      <a:noFill/>
                      <a:ln>
                        <a:noFill/>
                      </a:ln>
                      <a:extLst>
                        <a:ext uri="{53640926-AAD7-44D8-BBD7-CCE9431645EC}">
                          <a14:shadowObscured xmlns:a14="http://schemas.microsoft.com/office/drawing/2010/main"/>
                        </a:ext>
                      </a:extLst>
                    </pic:spPr>
                  </pic:pic>
                </a:graphicData>
              </a:graphic>
            </wp:inline>
          </w:drawing>
        </w:r>
        <w:r w:rsidR="00D3613C" w:rsidRPr="007C725C">
          <w:rPr>
            <w:rStyle w:val="Hyperlink"/>
            <w:noProof/>
          </w:rPr>
          <w:t>Programs of Support</w:t>
        </w:r>
        <w:r w:rsidR="00D3613C">
          <w:rPr>
            <w:noProof/>
            <w:webHidden/>
          </w:rPr>
          <w:tab/>
        </w:r>
        <w:r w:rsidR="00D3613C">
          <w:rPr>
            <w:noProof/>
            <w:webHidden/>
          </w:rPr>
          <w:fldChar w:fldCharType="begin"/>
        </w:r>
        <w:r w:rsidR="00D3613C">
          <w:rPr>
            <w:noProof/>
            <w:webHidden/>
          </w:rPr>
          <w:instrText xml:space="preserve"> PAGEREF _Toc143524933 \h </w:instrText>
        </w:r>
        <w:r w:rsidR="00D3613C">
          <w:rPr>
            <w:noProof/>
            <w:webHidden/>
          </w:rPr>
        </w:r>
        <w:r w:rsidR="00D3613C">
          <w:rPr>
            <w:noProof/>
            <w:webHidden/>
          </w:rPr>
          <w:fldChar w:fldCharType="separate"/>
        </w:r>
        <w:r w:rsidR="00E93BD6">
          <w:rPr>
            <w:noProof/>
            <w:webHidden/>
          </w:rPr>
          <w:t>12</w:t>
        </w:r>
        <w:r w:rsidR="00D3613C">
          <w:rPr>
            <w:noProof/>
            <w:webHidden/>
          </w:rPr>
          <w:fldChar w:fldCharType="end"/>
        </w:r>
      </w:hyperlink>
    </w:p>
    <w:p w14:paraId="170654F1" w14:textId="3C2BD9C7"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34" w:history="1">
        <w:r w:rsidR="00D3613C" w:rsidRPr="007C725C">
          <w:rPr>
            <w:rStyle w:val="Hyperlink"/>
            <w:noProof/>
          </w:rPr>
          <w:t>What is a Program of Support?</w:t>
        </w:r>
        <w:r w:rsidR="00D3613C">
          <w:rPr>
            <w:noProof/>
            <w:webHidden/>
          </w:rPr>
          <w:tab/>
        </w:r>
        <w:r w:rsidR="00D3613C">
          <w:rPr>
            <w:noProof/>
            <w:webHidden/>
          </w:rPr>
          <w:fldChar w:fldCharType="begin"/>
        </w:r>
        <w:r w:rsidR="00D3613C">
          <w:rPr>
            <w:noProof/>
            <w:webHidden/>
          </w:rPr>
          <w:instrText xml:space="preserve"> PAGEREF _Toc143524934 \h </w:instrText>
        </w:r>
        <w:r w:rsidR="00D3613C">
          <w:rPr>
            <w:noProof/>
            <w:webHidden/>
          </w:rPr>
        </w:r>
        <w:r w:rsidR="00D3613C">
          <w:rPr>
            <w:noProof/>
            <w:webHidden/>
          </w:rPr>
          <w:fldChar w:fldCharType="separate"/>
        </w:r>
        <w:r w:rsidR="00E93BD6">
          <w:rPr>
            <w:noProof/>
            <w:webHidden/>
          </w:rPr>
          <w:t>12</w:t>
        </w:r>
        <w:r w:rsidR="00D3613C">
          <w:rPr>
            <w:noProof/>
            <w:webHidden/>
          </w:rPr>
          <w:fldChar w:fldCharType="end"/>
        </w:r>
      </w:hyperlink>
    </w:p>
    <w:p w14:paraId="68F571B9" w14:textId="53DC659A"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35" w:history="1">
        <w:r w:rsidR="00D3613C" w:rsidRPr="007C725C">
          <w:rPr>
            <w:rStyle w:val="Hyperlink"/>
            <w:noProof/>
          </w:rPr>
          <w:t>Can 1:1 supports be included in a Program of Support?</w:t>
        </w:r>
        <w:r w:rsidR="00D3613C">
          <w:rPr>
            <w:noProof/>
            <w:webHidden/>
          </w:rPr>
          <w:tab/>
        </w:r>
        <w:r w:rsidR="00D3613C">
          <w:rPr>
            <w:noProof/>
            <w:webHidden/>
          </w:rPr>
          <w:fldChar w:fldCharType="begin"/>
        </w:r>
        <w:r w:rsidR="00D3613C">
          <w:rPr>
            <w:noProof/>
            <w:webHidden/>
          </w:rPr>
          <w:instrText xml:space="preserve"> PAGEREF _Toc143524935 \h </w:instrText>
        </w:r>
        <w:r w:rsidR="00D3613C">
          <w:rPr>
            <w:noProof/>
            <w:webHidden/>
          </w:rPr>
        </w:r>
        <w:r w:rsidR="00D3613C">
          <w:rPr>
            <w:noProof/>
            <w:webHidden/>
          </w:rPr>
          <w:fldChar w:fldCharType="separate"/>
        </w:r>
        <w:r w:rsidR="00E93BD6">
          <w:rPr>
            <w:noProof/>
            <w:webHidden/>
          </w:rPr>
          <w:t>13</w:t>
        </w:r>
        <w:r w:rsidR="00D3613C">
          <w:rPr>
            <w:noProof/>
            <w:webHidden/>
          </w:rPr>
          <w:fldChar w:fldCharType="end"/>
        </w:r>
      </w:hyperlink>
    </w:p>
    <w:p w14:paraId="2B18ADAF" w14:textId="34E8A35E"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36" w:history="1">
        <w:r w:rsidR="00D3613C" w:rsidRPr="007C725C">
          <w:rPr>
            <w:rStyle w:val="Hyperlink"/>
            <w:iCs/>
            <w:noProof/>
          </w:rPr>
          <w:t xml:space="preserve">If delivering supports under a Program of Support, is a new Service Agreement required every </w:t>
        </w:r>
        <w:r w:rsidR="00D3613C" w:rsidRPr="007C725C">
          <w:rPr>
            <w:rStyle w:val="Hyperlink"/>
            <w:noProof/>
          </w:rPr>
          <w:t>6 months</w:t>
        </w:r>
        <w:r w:rsidR="00D3613C" w:rsidRPr="007C725C">
          <w:rPr>
            <w:rStyle w:val="Hyperlink"/>
            <w:iCs/>
            <w:noProof/>
          </w:rPr>
          <w:t>?</w:t>
        </w:r>
        <w:r w:rsidR="00D3613C">
          <w:rPr>
            <w:noProof/>
            <w:webHidden/>
          </w:rPr>
          <w:tab/>
        </w:r>
        <w:r w:rsidR="00D3613C">
          <w:rPr>
            <w:noProof/>
            <w:webHidden/>
          </w:rPr>
          <w:fldChar w:fldCharType="begin"/>
        </w:r>
        <w:r w:rsidR="00D3613C">
          <w:rPr>
            <w:noProof/>
            <w:webHidden/>
          </w:rPr>
          <w:instrText xml:space="preserve"> PAGEREF _Toc143524936 \h </w:instrText>
        </w:r>
        <w:r w:rsidR="00D3613C">
          <w:rPr>
            <w:noProof/>
            <w:webHidden/>
          </w:rPr>
        </w:r>
        <w:r w:rsidR="00D3613C">
          <w:rPr>
            <w:noProof/>
            <w:webHidden/>
          </w:rPr>
          <w:fldChar w:fldCharType="separate"/>
        </w:r>
        <w:r w:rsidR="00E93BD6">
          <w:rPr>
            <w:noProof/>
            <w:webHidden/>
          </w:rPr>
          <w:t>13</w:t>
        </w:r>
        <w:r w:rsidR="00D3613C">
          <w:rPr>
            <w:noProof/>
            <w:webHidden/>
          </w:rPr>
          <w:fldChar w:fldCharType="end"/>
        </w:r>
      </w:hyperlink>
    </w:p>
    <w:p w14:paraId="6CCBE67E" w14:textId="58ABA9A7"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37" w:history="1">
        <w:r w:rsidR="00D3613C" w:rsidRPr="007C725C">
          <w:rPr>
            <w:rStyle w:val="Hyperlink"/>
            <w:noProof/>
          </w:rPr>
          <w:t>What are the cancellation rules for a Program of Support?</w:t>
        </w:r>
        <w:r w:rsidR="00D3613C">
          <w:rPr>
            <w:noProof/>
            <w:webHidden/>
          </w:rPr>
          <w:tab/>
        </w:r>
        <w:r w:rsidR="00D3613C">
          <w:rPr>
            <w:noProof/>
            <w:webHidden/>
          </w:rPr>
          <w:fldChar w:fldCharType="begin"/>
        </w:r>
        <w:r w:rsidR="00D3613C">
          <w:rPr>
            <w:noProof/>
            <w:webHidden/>
          </w:rPr>
          <w:instrText xml:space="preserve"> PAGEREF _Toc143524937 \h </w:instrText>
        </w:r>
        <w:r w:rsidR="00D3613C">
          <w:rPr>
            <w:noProof/>
            <w:webHidden/>
          </w:rPr>
        </w:r>
        <w:r w:rsidR="00D3613C">
          <w:rPr>
            <w:noProof/>
            <w:webHidden/>
          </w:rPr>
          <w:fldChar w:fldCharType="separate"/>
        </w:r>
        <w:r w:rsidR="00E93BD6">
          <w:rPr>
            <w:noProof/>
            <w:webHidden/>
          </w:rPr>
          <w:t>13</w:t>
        </w:r>
        <w:r w:rsidR="00D3613C">
          <w:rPr>
            <w:noProof/>
            <w:webHidden/>
          </w:rPr>
          <w:fldChar w:fldCharType="end"/>
        </w:r>
      </w:hyperlink>
    </w:p>
    <w:p w14:paraId="65565A65" w14:textId="0C4CF442"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38" w:history="1">
        <w:r w:rsidR="00D3613C" w:rsidRPr="007C725C">
          <w:rPr>
            <w:rStyle w:val="Hyperlink"/>
            <w:noProof/>
          </w:rPr>
          <w:t>What is the notice period to exit a Program of Support?</w:t>
        </w:r>
        <w:r w:rsidR="00D3613C">
          <w:rPr>
            <w:noProof/>
            <w:webHidden/>
          </w:rPr>
          <w:tab/>
        </w:r>
        <w:r w:rsidR="00D3613C">
          <w:rPr>
            <w:noProof/>
            <w:webHidden/>
          </w:rPr>
          <w:fldChar w:fldCharType="begin"/>
        </w:r>
        <w:r w:rsidR="00D3613C">
          <w:rPr>
            <w:noProof/>
            <w:webHidden/>
          </w:rPr>
          <w:instrText xml:space="preserve"> PAGEREF _Toc143524938 \h </w:instrText>
        </w:r>
        <w:r w:rsidR="00D3613C">
          <w:rPr>
            <w:noProof/>
            <w:webHidden/>
          </w:rPr>
        </w:r>
        <w:r w:rsidR="00D3613C">
          <w:rPr>
            <w:noProof/>
            <w:webHidden/>
          </w:rPr>
          <w:fldChar w:fldCharType="separate"/>
        </w:r>
        <w:r w:rsidR="00E93BD6">
          <w:rPr>
            <w:noProof/>
            <w:webHidden/>
          </w:rPr>
          <w:t>14</w:t>
        </w:r>
        <w:r w:rsidR="00D3613C">
          <w:rPr>
            <w:noProof/>
            <w:webHidden/>
          </w:rPr>
          <w:fldChar w:fldCharType="end"/>
        </w:r>
      </w:hyperlink>
    </w:p>
    <w:p w14:paraId="3CD6C0D0" w14:textId="5397086E"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39" w:history="1">
        <w:r w:rsidR="00D3613C" w:rsidRPr="007C725C">
          <w:rPr>
            <w:rStyle w:val="Hyperlink"/>
            <w:noProof/>
          </w:rPr>
          <w:t>What is a Program of Support unplanned exit?</w:t>
        </w:r>
        <w:r w:rsidR="00D3613C">
          <w:rPr>
            <w:noProof/>
            <w:webHidden/>
          </w:rPr>
          <w:tab/>
        </w:r>
        <w:r w:rsidR="00D3613C">
          <w:rPr>
            <w:noProof/>
            <w:webHidden/>
          </w:rPr>
          <w:fldChar w:fldCharType="begin"/>
        </w:r>
        <w:r w:rsidR="00D3613C">
          <w:rPr>
            <w:noProof/>
            <w:webHidden/>
          </w:rPr>
          <w:instrText xml:space="preserve"> PAGEREF _Toc143524939 \h </w:instrText>
        </w:r>
        <w:r w:rsidR="00D3613C">
          <w:rPr>
            <w:noProof/>
            <w:webHidden/>
          </w:rPr>
        </w:r>
        <w:r w:rsidR="00D3613C">
          <w:rPr>
            <w:noProof/>
            <w:webHidden/>
          </w:rPr>
          <w:fldChar w:fldCharType="separate"/>
        </w:r>
        <w:r w:rsidR="00E93BD6">
          <w:rPr>
            <w:noProof/>
            <w:webHidden/>
          </w:rPr>
          <w:t>14</w:t>
        </w:r>
        <w:r w:rsidR="00D3613C">
          <w:rPr>
            <w:noProof/>
            <w:webHidden/>
          </w:rPr>
          <w:fldChar w:fldCharType="end"/>
        </w:r>
      </w:hyperlink>
    </w:p>
    <w:p w14:paraId="15AFC987" w14:textId="6A61ADF8"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40" w:history="1">
        <w:r w:rsidR="00D3613C" w:rsidRPr="007C725C">
          <w:rPr>
            <w:rStyle w:val="Hyperlink"/>
            <w:noProof/>
          </w:rPr>
          <w:t>If a participant exits a Program of Support, can a provider change the amount they charge the remaining participants?</w:t>
        </w:r>
        <w:r w:rsidR="00D3613C">
          <w:rPr>
            <w:noProof/>
            <w:webHidden/>
          </w:rPr>
          <w:tab/>
        </w:r>
        <w:r w:rsidR="00D3613C">
          <w:rPr>
            <w:noProof/>
            <w:webHidden/>
          </w:rPr>
          <w:fldChar w:fldCharType="begin"/>
        </w:r>
        <w:r w:rsidR="00D3613C">
          <w:rPr>
            <w:noProof/>
            <w:webHidden/>
          </w:rPr>
          <w:instrText xml:space="preserve"> PAGEREF _Toc143524940 \h </w:instrText>
        </w:r>
        <w:r w:rsidR="00D3613C">
          <w:rPr>
            <w:noProof/>
            <w:webHidden/>
          </w:rPr>
        </w:r>
        <w:r w:rsidR="00D3613C">
          <w:rPr>
            <w:noProof/>
            <w:webHidden/>
          </w:rPr>
          <w:fldChar w:fldCharType="separate"/>
        </w:r>
        <w:r w:rsidR="00E93BD6">
          <w:rPr>
            <w:noProof/>
            <w:webHidden/>
          </w:rPr>
          <w:t>14</w:t>
        </w:r>
        <w:r w:rsidR="00D3613C">
          <w:rPr>
            <w:noProof/>
            <w:webHidden/>
          </w:rPr>
          <w:fldChar w:fldCharType="end"/>
        </w:r>
      </w:hyperlink>
    </w:p>
    <w:p w14:paraId="13D2EAFB" w14:textId="233120B7" w:rsidR="00D3613C" w:rsidRDefault="00000000" w:rsidP="003746CF">
      <w:pPr>
        <w:pStyle w:val="TOC2"/>
        <w:rPr>
          <w:rFonts w:asciiTheme="minorHAnsi" w:eastAsiaTheme="minorEastAsia" w:hAnsiTheme="minorHAnsi" w:cstheme="minorBidi"/>
          <w:noProof/>
          <w:kern w:val="2"/>
          <w:szCs w:val="22"/>
          <w:lang w:val="en-AU" w:eastAsia="en-AU"/>
          <w14:ligatures w14:val="standardContextual"/>
        </w:rPr>
      </w:pPr>
      <w:hyperlink w:anchor="_Toc143524941" w:history="1">
        <w:r w:rsidR="00D3613C" w:rsidRPr="007C725C">
          <w:rPr>
            <w:rStyle w:val="Hyperlink"/>
            <w:noProof/>
          </w:rPr>
          <w:t>General Questions</w:t>
        </w:r>
        <w:r w:rsidR="00D3613C">
          <w:rPr>
            <w:noProof/>
            <w:webHidden/>
          </w:rPr>
          <w:tab/>
        </w:r>
        <w:r w:rsidR="00D3613C">
          <w:rPr>
            <w:noProof/>
            <w:webHidden/>
          </w:rPr>
          <w:fldChar w:fldCharType="begin"/>
        </w:r>
        <w:r w:rsidR="00D3613C">
          <w:rPr>
            <w:noProof/>
            <w:webHidden/>
          </w:rPr>
          <w:instrText xml:space="preserve"> PAGEREF _Toc143524941 \h </w:instrText>
        </w:r>
        <w:r w:rsidR="00D3613C">
          <w:rPr>
            <w:noProof/>
            <w:webHidden/>
          </w:rPr>
        </w:r>
        <w:r w:rsidR="00D3613C">
          <w:rPr>
            <w:noProof/>
            <w:webHidden/>
          </w:rPr>
          <w:fldChar w:fldCharType="separate"/>
        </w:r>
        <w:r w:rsidR="00E93BD6">
          <w:rPr>
            <w:noProof/>
            <w:webHidden/>
          </w:rPr>
          <w:t>14</w:t>
        </w:r>
        <w:r w:rsidR="00D3613C">
          <w:rPr>
            <w:noProof/>
            <w:webHidden/>
          </w:rPr>
          <w:fldChar w:fldCharType="end"/>
        </w:r>
      </w:hyperlink>
    </w:p>
    <w:p w14:paraId="1D8D55BC" w14:textId="39172C0C"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42" w:history="1">
        <w:r w:rsidR="00D3613C" w:rsidRPr="007C725C">
          <w:rPr>
            <w:rStyle w:val="Hyperlink"/>
            <w:rFonts w:eastAsiaTheme="minorHAnsi"/>
            <w:noProof/>
          </w:rPr>
          <w:t>Will the transition period be extended again, and can we just keep using the transitional prices?</w:t>
        </w:r>
        <w:r w:rsidR="00D3613C">
          <w:rPr>
            <w:noProof/>
            <w:webHidden/>
          </w:rPr>
          <w:tab/>
        </w:r>
        <w:r w:rsidR="00D3613C">
          <w:rPr>
            <w:noProof/>
            <w:webHidden/>
          </w:rPr>
          <w:fldChar w:fldCharType="begin"/>
        </w:r>
        <w:r w:rsidR="00D3613C">
          <w:rPr>
            <w:noProof/>
            <w:webHidden/>
          </w:rPr>
          <w:instrText xml:space="preserve"> PAGEREF _Toc143524942 \h </w:instrText>
        </w:r>
        <w:r w:rsidR="00D3613C">
          <w:rPr>
            <w:noProof/>
            <w:webHidden/>
          </w:rPr>
        </w:r>
        <w:r w:rsidR="00D3613C">
          <w:rPr>
            <w:noProof/>
            <w:webHidden/>
          </w:rPr>
          <w:fldChar w:fldCharType="separate"/>
        </w:r>
        <w:r w:rsidR="00E93BD6">
          <w:rPr>
            <w:noProof/>
            <w:webHidden/>
          </w:rPr>
          <w:t>14</w:t>
        </w:r>
        <w:r w:rsidR="00D3613C">
          <w:rPr>
            <w:noProof/>
            <w:webHidden/>
          </w:rPr>
          <w:fldChar w:fldCharType="end"/>
        </w:r>
      </w:hyperlink>
    </w:p>
    <w:p w14:paraId="521EC9C3" w14:textId="5F818725"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43" w:history="1">
        <w:r w:rsidR="00D3613C" w:rsidRPr="007C725C">
          <w:rPr>
            <w:rStyle w:val="Hyperlink"/>
            <w:noProof/>
          </w:rPr>
          <w:t>Is the NDIA adding more of an administrative focus to the Disability Support Worker role by introducing separate N</w:t>
        </w:r>
        <w:r w:rsidR="00C15B21">
          <w:rPr>
            <w:rStyle w:val="Hyperlink"/>
            <w:noProof/>
          </w:rPr>
          <w:t>on-Face-To-Face (NF</w:t>
        </w:r>
        <w:r w:rsidR="007423E6">
          <w:rPr>
            <w:rStyle w:val="Hyperlink"/>
            <w:noProof/>
          </w:rPr>
          <w:t>2F)</w:t>
        </w:r>
        <w:r w:rsidR="00D3613C" w:rsidRPr="007C725C">
          <w:rPr>
            <w:rStyle w:val="Hyperlink"/>
            <w:noProof/>
          </w:rPr>
          <w:t xml:space="preserve"> claiming?</w:t>
        </w:r>
        <w:r w:rsidR="00D3613C">
          <w:rPr>
            <w:noProof/>
            <w:webHidden/>
          </w:rPr>
          <w:tab/>
        </w:r>
        <w:r w:rsidR="00D3613C">
          <w:rPr>
            <w:noProof/>
            <w:webHidden/>
          </w:rPr>
          <w:fldChar w:fldCharType="begin"/>
        </w:r>
        <w:r w:rsidR="00D3613C">
          <w:rPr>
            <w:noProof/>
            <w:webHidden/>
          </w:rPr>
          <w:instrText xml:space="preserve"> PAGEREF _Toc143524943 \h </w:instrText>
        </w:r>
        <w:r w:rsidR="00D3613C">
          <w:rPr>
            <w:noProof/>
            <w:webHidden/>
          </w:rPr>
        </w:r>
        <w:r w:rsidR="00D3613C">
          <w:rPr>
            <w:noProof/>
            <w:webHidden/>
          </w:rPr>
          <w:fldChar w:fldCharType="separate"/>
        </w:r>
        <w:r w:rsidR="00E93BD6">
          <w:rPr>
            <w:noProof/>
            <w:webHidden/>
          </w:rPr>
          <w:t>15</w:t>
        </w:r>
        <w:r w:rsidR="00D3613C">
          <w:rPr>
            <w:noProof/>
            <w:webHidden/>
          </w:rPr>
          <w:fldChar w:fldCharType="end"/>
        </w:r>
      </w:hyperlink>
    </w:p>
    <w:p w14:paraId="022F2E16" w14:textId="04D42CCB"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44" w:history="1">
        <w:r w:rsidR="00D3613C" w:rsidRPr="007C725C">
          <w:rPr>
            <w:rStyle w:val="Hyperlink"/>
            <w:noProof/>
          </w:rPr>
          <w:t>Is the newer pricing approach designed to reduce revenue available for group-based supports?</w:t>
        </w:r>
        <w:r w:rsidR="00D3613C">
          <w:rPr>
            <w:noProof/>
            <w:webHidden/>
          </w:rPr>
          <w:tab/>
        </w:r>
        <w:r w:rsidR="00D3613C">
          <w:rPr>
            <w:noProof/>
            <w:webHidden/>
          </w:rPr>
          <w:fldChar w:fldCharType="begin"/>
        </w:r>
        <w:r w:rsidR="00D3613C">
          <w:rPr>
            <w:noProof/>
            <w:webHidden/>
          </w:rPr>
          <w:instrText xml:space="preserve"> PAGEREF _Toc143524944 \h </w:instrText>
        </w:r>
        <w:r w:rsidR="00D3613C">
          <w:rPr>
            <w:noProof/>
            <w:webHidden/>
          </w:rPr>
        </w:r>
        <w:r w:rsidR="00D3613C">
          <w:rPr>
            <w:noProof/>
            <w:webHidden/>
          </w:rPr>
          <w:fldChar w:fldCharType="separate"/>
        </w:r>
        <w:r w:rsidR="00E93BD6">
          <w:rPr>
            <w:noProof/>
            <w:webHidden/>
          </w:rPr>
          <w:t>15</w:t>
        </w:r>
        <w:r w:rsidR="00D3613C">
          <w:rPr>
            <w:noProof/>
            <w:webHidden/>
          </w:rPr>
          <w:fldChar w:fldCharType="end"/>
        </w:r>
      </w:hyperlink>
    </w:p>
    <w:p w14:paraId="6707B936" w14:textId="249CDDAC"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45" w:history="1">
        <w:r w:rsidR="00D3613C" w:rsidRPr="007C725C">
          <w:rPr>
            <w:rStyle w:val="Hyperlink"/>
            <w:noProof/>
          </w:rPr>
          <w:t>Separating out NF2F costs is an administrative burden and may be challenging for participants to understand. Are there any real benefits to participants?</w:t>
        </w:r>
        <w:r w:rsidR="00D3613C">
          <w:rPr>
            <w:noProof/>
            <w:webHidden/>
          </w:rPr>
          <w:tab/>
        </w:r>
        <w:r w:rsidR="00D3613C">
          <w:rPr>
            <w:noProof/>
            <w:webHidden/>
          </w:rPr>
          <w:fldChar w:fldCharType="begin"/>
        </w:r>
        <w:r w:rsidR="00D3613C">
          <w:rPr>
            <w:noProof/>
            <w:webHidden/>
          </w:rPr>
          <w:instrText xml:space="preserve"> PAGEREF _Toc143524945 \h </w:instrText>
        </w:r>
        <w:r w:rsidR="00D3613C">
          <w:rPr>
            <w:noProof/>
            <w:webHidden/>
          </w:rPr>
        </w:r>
        <w:r w:rsidR="00D3613C">
          <w:rPr>
            <w:noProof/>
            <w:webHidden/>
          </w:rPr>
          <w:fldChar w:fldCharType="separate"/>
        </w:r>
        <w:r w:rsidR="00E93BD6">
          <w:rPr>
            <w:noProof/>
            <w:webHidden/>
          </w:rPr>
          <w:t>16</w:t>
        </w:r>
        <w:r w:rsidR="00D3613C">
          <w:rPr>
            <w:noProof/>
            <w:webHidden/>
          </w:rPr>
          <w:fldChar w:fldCharType="end"/>
        </w:r>
      </w:hyperlink>
    </w:p>
    <w:p w14:paraId="2E5947CE" w14:textId="22E98135"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46" w:history="1">
        <w:r w:rsidR="00D3613C" w:rsidRPr="007C725C">
          <w:rPr>
            <w:rStyle w:val="Hyperlink"/>
            <w:noProof/>
          </w:rPr>
          <w:t>Will providers need to upgrade systems to transition to the new pricing approach?</w:t>
        </w:r>
        <w:r w:rsidR="00D3613C">
          <w:rPr>
            <w:noProof/>
            <w:webHidden/>
          </w:rPr>
          <w:tab/>
        </w:r>
        <w:r w:rsidR="00D3613C">
          <w:rPr>
            <w:noProof/>
            <w:webHidden/>
          </w:rPr>
          <w:fldChar w:fldCharType="begin"/>
        </w:r>
        <w:r w:rsidR="00D3613C">
          <w:rPr>
            <w:noProof/>
            <w:webHidden/>
          </w:rPr>
          <w:instrText xml:space="preserve"> PAGEREF _Toc143524946 \h </w:instrText>
        </w:r>
        <w:r w:rsidR="00D3613C">
          <w:rPr>
            <w:noProof/>
            <w:webHidden/>
          </w:rPr>
        </w:r>
        <w:r w:rsidR="00D3613C">
          <w:rPr>
            <w:noProof/>
            <w:webHidden/>
          </w:rPr>
          <w:fldChar w:fldCharType="separate"/>
        </w:r>
        <w:r w:rsidR="00E93BD6">
          <w:rPr>
            <w:noProof/>
            <w:webHidden/>
          </w:rPr>
          <w:t>17</w:t>
        </w:r>
        <w:r w:rsidR="00D3613C">
          <w:rPr>
            <w:noProof/>
            <w:webHidden/>
          </w:rPr>
          <w:fldChar w:fldCharType="end"/>
        </w:r>
      </w:hyperlink>
    </w:p>
    <w:p w14:paraId="322465A1" w14:textId="13C3B8DC"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47" w:history="1">
        <w:r w:rsidR="00D3613C" w:rsidRPr="007C725C">
          <w:rPr>
            <w:rStyle w:val="Hyperlink"/>
            <w:noProof/>
          </w:rPr>
          <w:t>Has an outcomes framework for group-based social and community participation supports been developed?</w:t>
        </w:r>
        <w:r w:rsidR="00D3613C">
          <w:rPr>
            <w:noProof/>
            <w:webHidden/>
          </w:rPr>
          <w:tab/>
        </w:r>
        <w:r w:rsidR="00D3613C">
          <w:rPr>
            <w:noProof/>
            <w:webHidden/>
          </w:rPr>
          <w:fldChar w:fldCharType="begin"/>
        </w:r>
        <w:r w:rsidR="00D3613C">
          <w:rPr>
            <w:noProof/>
            <w:webHidden/>
          </w:rPr>
          <w:instrText xml:space="preserve"> PAGEREF _Toc143524947 \h </w:instrText>
        </w:r>
        <w:r w:rsidR="00D3613C">
          <w:rPr>
            <w:noProof/>
            <w:webHidden/>
          </w:rPr>
        </w:r>
        <w:r w:rsidR="00D3613C">
          <w:rPr>
            <w:noProof/>
            <w:webHidden/>
          </w:rPr>
          <w:fldChar w:fldCharType="separate"/>
        </w:r>
        <w:r w:rsidR="00E93BD6">
          <w:rPr>
            <w:noProof/>
            <w:webHidden/>
          </w:rPr>
          <w:t>17</w:t>
        </w:r>
        <w:r w:rsidR="00D3613C">
          <w:rPr>
            <w:noProof/>
            <w:webHidden/>
          </w:rPr>
          <w:fldChar w:fldCharType="end"/>
        </w:r>
      </w:hyperlink>
    </w:p>
    <w:p w14:paraId="395BA961" w14:textId="0FA999EF"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48" w:history="1">
        <w:r w:rsidR="00D3613C" w:rsidRPr="007C725C">
          <w:rPr>
            <w:rStyle w:val="Hyperlink"/>
            <w:noProof/>
          </w:rPr>
          <w:t>What role do providers have in ensuring participants have sufficient funding in their plans?</w:t>
        </w:r>
        <w:r w:rsidR="00D3613C">
          <w:rPr>
            <w:noProof/>
            <w:webHidden/>
          </w:rPr>
          <w:tab/>
        </w:r>
        <w:r w:rsidR="00D3613C">
          <w:rPr>
            <w:noProof/>
            <w:webHidden/>
          </w:rPr>
          <w:fldChar w:fldCharType="begin"/>
        </w:r>
        <w:r w:rsidR="00D3613C">
          <w:rPr>
            <w:noProof/>
            <w:webHidden/>
          </w:rPr>
          <w:instrText xml:space="preserve"> PAGEREF _Toc143524948 \h </w:instrText>
        </w:r>
        <w:r w:rsidR="00D3613C">
          <w:rPr>
            <w:noProof/>
            <w:webHidden/>
          </w:rPr>
        </w:r>
        <w:r w:rsidR="00D3613C">
          <w:rPr>
            <w:noProof/>
            <w:webHidden/>
          </w:rPr>
          <w:fldChar w:fldCharType="separate"/>
        </w:r>
        <w:r w:rsidR="00E93BD6">
          <w:rPr>
            <w:noProof/>
            <w:webHidden/>
          </w:rPr>
          <w:t>18</w:t>
        </w:r>
        <w:r w:rsidR="00D3613C">
          <w:rPr>
            <w:noProof/>
            <w:webHidden/>
          </w:rPr>
          <w:fldChar w:fldCharType="end"/>
        </w:r>
      </w:hyperlink>
    </w:p>
    <w:p w14:paraId="0C7DCA8E" w14:textId="59B621E6"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49" w:history="1">
        <w:r w:rsidR="00D3613C" w:rsidRPr="007C725C">
          <w:rPr>
            <w:rStyle w:val="Hyperlink"/>
            <w:noProof/>
          </w:rPr>
          <w:t>How do participant goals impact group-based social and community participation supports?</w:t>
        </w:r>
        <w:r w:rsidR="00D3613C">
          <w:rPr>
            <w:noProof/>
            <w:webHidden/>
          </w:rPr>
          <w:tab/>
        </w:r>
        <w:r w:rsidR="00D3613C">
          <w:rPr>
            <w:noProof/>
            <w:webHidden/>
          </w:rPr>
          <w:fldChar w:fldCharType="begin"/>
        </w:r>
        <w:r w:rsidR="00D3613C">
          <w:rPr>
            <w:noProof/>
            <w:webHidden/>
          </w:rPr>
          <w:instrText xml:space="preserve"> PAGEREF _Toc143524949 \h </w:instrText>
        </w:r>
        <w:r w:rsidR="00D3613C">
          <w:rPr>
            <w:noProof/>
            <w:webHidden/>
          </w:rPr>
        </w:r>
        <w:r w:rsidR="00D3613C">
          <w:rPr>
            <w:noProof/>
            <w:webHidden/>
          </w:rPr>
          <w:fldChar w:fldCharType="separate"/>
        </w:r>
        <w:r w:rsidR="00E93BD6">
          <w:rPr>
            <w:noProof/>
            <w:webHidden/>
          </w:rPr>
          <w:t>18</w:t>
        </w:r>
        <w:r w:rsidR="00D3613C">
          <w:rPr>
            <w:noProof/>
            <w:webHidden/>
          </w:rPr>
          <w:fldChar w:fldCharType="end"/>
        </w:r>
      </w:hyperlink>
    </w:p>
    <w:p w14:paraId="50D054AB" w14:textId="0AF39939" w:rsidR="00D3613C" w:rsidRDefault="00000000" w:rsidP="002C063C">
      <w:pPr>
        <w:pStyle w:val="TOC3"/>
        <w:rPr>
          <w:rFonts w:asciiTheme="minorHAnsi" w:eastAsiaTheme="minorEastAsia" w:hAnsiTheme="minorHAnsi" w:cstheme="minorBidi"/>
          <w:noProof/>
          <w:kern w:val="2"/>
          <w:szCs w:val="22"/>
          <w:lang w:val="en-AU" w:eastAsia="en-AU"/>
          <w14:ligatures w14:val="standardContextual"/>
        </w:rPr>
      </w:pPr>
      <w:hyperlink w:anchor="_Toc143524950" w:history="1">
        <w:r w:rsidR="00D3613C" w:rsidRPr="007C725C">
          <w:rPr>
            <w:rStyle w:val="Hyperlink"/>
            <w:bCs/>
            <w:iCs/>
            <w:noProof/>
          </w:rPr>
          <w:t>Will there be more support for transition?</w:t>
        </w:r>
        <w:r w:rsidR="00D3613C">
          <w:rPr>
            <w:noProof/>
            <w:webHidden/>
          </w:rPr>
          <w:tab/>
        </w:r>
        <w:r w:rsidR="00D3613C">
          <w:rPr>
            <w:noProof/>
            <w:webHidden/>
          </w:rPr>
          <w:fldChar w:fldCharType="begin"/>
        </w:r>
        <w:r w:rsidR="00D3613C">
          <w:rPr>
            <w:noProof/>
            <w:webHidden/>
          </w:rPr>
          <w:instrText xml:space="preserve"> PAGEREF _Toc143524950 \h </w:instrText>
        </w:r>
        <w:r w:rsidR="00D3613C">
          <w:rPr>
            <w:noProof/>
            <w:webHidden/>
          </w:rPr>
        </w:r>
        <w:r w:rsidR="00D3613C">
          <w:rPr>
            <w:noProof/>
            <w:webHidden/>
          </w:rPr>
          <w:fldChar w:fldCharType="separate"/>
        </w:r>
        <w:r w:rsidR="00E93BD6">
          <w:rPr>
            <w:noProof/>
            <w:webHidden/>
          </w:rPr>
          <w:t>19</w:t>
        </w:r>
        <w:r w:rsidR="00D3613C">
          <w:rPr>
            <w:noProof/>
            <w:webHidden/>
          </w:rPr>
          <w:fldChar w:fldCharType="end"/>
        </w:r>
      </w:hyperlink>
    </w:p>
    <w:p w14:paraId="6BA3A08C" w14:textId="18127C0B" w:rsidR="004D32B5" w:rsidRDefault="0040062A" w:rsidP="00C75181">
      <w:r>
        <w:fldChar w:fldCharType="end"/>
      </w:r>
      <w:r w:rsidR="004D32B5">
        <w:br w:type="page"/>
      </w:r>
    </w:p>
    <w:p w14:paraId="7F531810" w14:textId="77777777" w:rsidR="00DD0AD4" w:rsidRPr="00B67269" w:rsidRDefault="00DD0AD4" w:rsidP="00A81CEE">
      <w:pPr>
        <w:shd w:val="clear" w:color="auto" w:fill="6B2976"/>
        <w:rPr>
          <w:color w:val="FFFFFF" w:themeColor="background1"/>
          <w:sz w:val="32"/>
          <w:szCs w:val="36"/>
          <w:lang w:val="en-AU"/>
        </w:rPr>
      </w:pPr>
      <w:bookmarkStart w:id="2" w:name="_Hlk115259626"/>
      <w:bookmarkStart w:id="3" w:name="_Hlk132709716"/>
      <w:r w:rsidRPr="00B67269">
        <w:rPr>
          <w:color w:val="FFFFFF" w:themeColor="background1"/>
          <w:sz w:val="32"/>
          <w:szCs w:val="36"/>
          <w:lang w:val="en-AU"/>
        </w:rPr>
        <w:lastRenderedPageBreak/>
        <w:t xml:space="preserve">The transition period to move to the new pricing arrangements for group-based supports ends 31 December 2023. </w:t>
      </w:r>
      <w:bookmarkEnd w:id="2"/>
    </w:p>
    <w:p w14:paraId="3D86671A" w14:textId="77777777" w:rsidR="00A26BFA" w:rsidRPr="00B67269" w:rsidRDefault="00DD0AD4" w:rsidP="00A26BFA">
      <w:pPr>
        <w:shd w:val="clear" w:color="auto" w:fill="6B2976"/>
        <w:rPr>
          <w:color w:val="FFFFFF" w:themeColor="background1"/>
          <w:sz w:val="32"/>
          <w:szCs w:val="36"/>
          <w:lang w:val="en-AU"/>
        </w:rPr>
      </w:pPr>
      <w:r w:rsidRPr="00B67269">
        <w:rPr>
          <w:color w:val="FFFFFF" w:themeColor="background1"/>
          <w:sz w:val="32"/>
          <w:szCs w:val="36"/>
          <w:lang w:val="en-AU"/>
        </w:rPr>
        <w:t>This guidance is designed solely for providers who deliver group-based social and community participation supports as core supports. Providers who deliver other types of group-based supports should not rely on this guidance.</w:t>
      </w:r>
    </w:p>
    <w:p w14:paraId="44A627FF" w14:textId="76EEAD97" w:rsidR="001D19F9" w:rsidRPr="00B67269" w:rsidRDefault="001D19F9" w:rsidP="00A26BFA">
      <w:pPr>
        <w:shd w:val="clear" w:color="auto" w:fill="6B2976"/>
        <w:rPr>
          <w:color w:val="FFFFFF" w:themeColor="background1"/>
          <w:sz w:val="32"/>
          <w:szCs w:val="36"/>
          <w:lang w:val="en-AU"/>
        </w:rPr>
      </w:pPr>
      <w:r w:rsidRPr="00B67269">
        <w:rPr>
          <w:color w:val="FFFFFF" w:themeColor="background1"/>
          <w:sz w:val="32"/>
          <w:szCs w:val="36"/>
          <w:lang w:val="en-AU"/>
        </w:rPr>
        <w:t>The contents are not intended to replicate or replace the information contained in the NDIS Pricing Arrangements and Price Limits.</w:t>
      </w:r>
    </w:p>
    <w:p w14:paraId="4FFBDFEA" w14:textId="76447B4D" w:rsidR="00C75181" w:rsidRDefault="00987244" w:rsidP="00D37CBF">
      <w:pPr>
        <w:pStyle w:val="Heading2"/>
        <w:numPr>
          <w:ilvl w:val="0"/>
          <w:numId w:val="0"/>
        </w:numPr>
      </w:pPr>
      <w:bookmarkStart w:id="4" w:name="_Toc143524919"/>
      <w:r w:rsidRPr="00B67269">
        <w:t>Overview</w:t>
      </w:r>
      <w:bookmarkEnd w:id="4"/>
    </w:p>
    <w:p w14:paraId="744C936E" w14:textId="1E4F7779" w:rsidR="00EB60C2" w:rsidRPr="00EB60C2" w:rsidRDefault="0055156F" w:rsidP="00EB60C2">
      <w:pPr>
        <w:rPr>
          <w:lang w:val="en-AU"/>
        </w:rPr>
      </w:pPr>
      <w:r>
        <w:rPr>
          <w:lang w:val="en-AU"/>
        </w:rPr>
        <w:t>A</w:t>
      </w:r>
      <w:r w:rsidR="00A80DDA">
        <w:rPr>
          <w:lang w:val="en-AU"/>
        </w:rPr>
        <w:t>ccording to the NDIS Act (2013),</w:t>
      </w:r>
      <w:r w:rsidR="00A80D59">
        <w:rPr>
          <w:lang w:val="en-AU"/>
        </w:rPr>
        <w:t xml:space="preserve"> key</w:t>
      </w:r>
      <w:r w:rsidR="00EB60C2" w:rsidRPr="00EB60C2">
        <w:rPr>
          <w:lang w:val="en-AU"/>
        </w:rPr>
        <w:t xml:space="preserve"> objective</w:t>
      </w:r>
      <w:r w:rsidR="00A80DDA">
        <w:rPr>
          <w:lang w:val="en-AU"/>
        </w:rPr>
        <w:t>s</w:t>
      </w:r>
      <w:r w:rsidR="00EB60C2" w:rsidRPr="00EB60C2">
        <w:rPr>
          <w:lang w:val="en-AU"/>
        </w:rPr>
        <w:t xml:space="preserve"> of the NDIS </w:t>
      </w:r>
      <w:r w:rsidR="00A80DDA">
        <w:rPr>
          <w:lang w:val="en-AU"/>
        </w:rPr>
        <w:t>are</w:t>
      </w:r>
      <w:r w:rsidR="00EB60C2" w:rsidRPr="00EB60C2">
        <w:rPr>
          <w:lang w:val="en-AU"/>
        </w:rPr>
        <w:t xml:space="preserve"> to “…support the independence and social and economic participation of people with disability, maximise a person’s inclusion in the community, and to facilitate greater community inclusion of people with disability</w:t>
      </w:r>
      <w:r w:rsidR="002F6266">
        <w:rPr>
          <w:lang w:val="en-AU"/>
        </w:rPr>
        <w:t>.</w:t>
      </w:r>
    </w:p>
    <w:p w14:paraId="38C0E197" w14:textId="52B876C8" w:rsidR="00EB60C2" w:rsidRPr="00EB60C2" w:rsidRDefault="00EB60C2" w:rsidP="00EB60C2">
      <w:pPr>
        <w:rPr>
          <w:lang w:val="en-AU"/>
        </w:rPr>
      </w:pPr>
      <w:r w:rsidRPr="00EB60C2">
        <w:rPr>
          <w:lang w:val="en-AU"/>
        </w:rPr>
        <w:t>The NDIA recently conducted resear</w:t>
      </w:r>
      <w:r w:rsidR="0009414C">
        <w:rPr>
          <w:lang w:val="en-AU"/>
        </w:rPr>
        <w:t>ch on social inclusion and community access</w:t>
      </w:r>
      <w:r w:rsidR="008524BE">
        <w:rPr>
          <w:lang w:val="en-AU"/>
        </w:rPr>
        <w:t>, which can be found on the NDIS website</w:t>
      </w:r>
      <w:r w:rsidR="0081267E">
        <w:rPr>
          <w:lang w:val="en-AU"/>
        </w:rPr>
        <w:t>:</w:t>
      </w:r>
      <w:r w:rsidR="00505254">
        <w:rPr>
          <w:lang w:val="en-AU"/>
        </w:rPr>
        <w:t xml:space="preserve"> </w:t>
      </w:r>
      <w:hyperlink r:id="rId16" w:history="1">
        <w:r w:rsidR="00505254" w:rsidRPr="00B67269">
          <w:rPr>
            <w:rStyle w:val="cf01"/>
            <w:color w:val="0000FF"/>
            <w:sz w:val="22"/>
            <w:szCs w:val="22"/>
            <w:u w:val="single"/>
          </w:rPr>
          <w:t>Social inclusion and community access research | NDIS</w:t>
        </w:r>
      </w:hyperlink>
      <w:r w:rsidR="00104241">
        <w:rPr>
          <w:rStyle w:val="cf01"/>
          <w:sz w:val="22"/>
          <w:szCs w:val="22"/>
        </w:rPr>
        <w:t xml:space="preserve">. </w:t>
      </w:r>
      <w:r w:rsidR="00104241" w:rsidRPr="00B67269">
        <w:rPr>
          <w:lang w:val="en-AU"/>
        </w:rPr>
        <w:t xml:space="preserve">As part of this research, </w:t>
      </w:r>
      <w:r w:rsidRPr="00EB60C2">
        <w:rPr>
          <w:lang w:val="en-AU"/>
        </w:rPr>
        <w:t>participants told us that community participation gave them:</w:t>
      </w:r>
    </w:p>
    <w:p w14:paraId="5A9B36CB" w14:textId="52998C87" w:rsidR="00EB60C2" w:rsidRPr="00EB60C2" w:rsidRDefault="00EB60C2" w:rsidP="00EB60C2">
      <w:pPr>
        <w:numPr>
          <w:ilvl w:val="0"/>
          <w:numId w:val="14"/>
        </w:numPr>
        <w:rPr>
          <w:lang w:val="en-AU"/>
        </w:rPr>
      </w:pPr>
      <w:r w:rsidRPr="00EB60C2">
        <w:rPr>
          <w:lang w:val="en-AU"/>
        </w:rPr>
        <w:t>A sense of belonging and connectio</w:t>
      </w:r>
      <w:r w:rsidR="00C13A40">
        <w:rPr>
          <w:lang w:val="en-AU"/>
        </w:rPr>
        <w:t>n</w:t>
      </w:r>
    </w:p>
    <w:p w14:paraId="0F91FAE4" w14:textId="67B1093B" w:rsidR="00EB60C2" w:rsidRPr="00EB60C2" w:rsidRDefault="00EB60C2" w:rsidP="00EB60C2">
      <w:pPr>
        <w:numPr>
          <w:ilvl w:val="0"/>
          <w:numId w:val="14"/>
        </w:numPr>
        <w:rPr>
          <w:lang w:val="en-AU"/>
        </w:rPr>
      </w:pPr>
      <w:r w:rsidRPr="00EB60C2">
        <w:rPr>
          <w:lang w:val="en-AU"/>
        </w:rPr>
        <w:t>Deeper relationships with friends and family</w:t>
      </w:r>
    </w:p>
    <w:p w14:paraId="6E52BAF1" w14:textId="0DBC15BF" w:rsidR="00EB60C2" w:rsidRPr="00EB60C2" w:rsidRDefault="00EB60C2" w:rsidP="00EB60C2">
      <w:pPr>
        <w:numPr>
          <w:ilvl w:val="0"/>
          <w:numId w:val="14"/>
        </w:numPr>
        <w:rPr>
          <w:lang w:val="en-AU"/>
        </w:rPr>
      </w:pPr>
      <w:r w:rsidRPr="00EB60C2">
        <w:rPr>
          <w:lang w:val="en-AU"/>
        </w:rPr>
        <w:t>Larger social networks and reduced isolation</w:t>
      </w:r>
    </w:p>
    <w:p w14:paraId="76DA9FA4" w14:textId="6DAA1562" w:rsidR="00EB60C2" w:rsidRPr="00EB60C2" w:rsidRDefault="00EB60C2" w:rsidP="00EB60C2">
      <w:pPr>
        <w:numPr>
          <w:ilvl w:val="0"/>
          <w:numId w:val="14"/>
        </w:numPr>
        <w:rPr>
          <w:lang w:val="en-AU"/>
        </w:rPr>
      </w:pPr>
      <w:r w:rsidRPr="00EB60C2">
        <w:rPr>
          <w:lang w:val="en-AU"/>
        </w:rPr>
        <w:t>Increased confidence, self-efficacy, and safety</w:t>
      </w:r>
    </w:p>
    <w:p w14:paraId="3C2B4C97" w14:textId="1985EB86" w:rsidR="00EB60C2" w:rsidRPr="00EB60C2" w:rsidRDefault="00EB60C2" w:rsidP="00EB60C2">
      <w:pPr>
        <w:numPr>
          <w:ilvl w:val="0"/>
          <w:numId w:val="14"/>
        </w:numPr>
        <w:rPr>
          <w:lang w:val="en-AU"/>
        </w:rPr>
      </w:pPr>
      <w:r w:rsidRPr="00EB60C2">
        <w:rPr>
          <w:lang w:val="en-AU"/>
        </w:rPr>
        <w:t xml:space="preserve">Increased opportunities for further community participation, </w:t>
      </w:r>
      <w:proofErr w:type="gramStart"/>
      <w:r w:rsidRPr="00EB60C2">
        <w:rPr>
          <w:lang w:val="en-AU"/>
        </w:rPr>
        <w:t>employment</w:t>
      </w:r>
      <w:proofErr w:type="gramEnd"/>
      <w:r w:rsidRPr="00EB60C2">
        <w:rPr>
          <w:lang w:val="en-AU"/>
        </w:rPr>
        <w:t xml:space="preserve"> or study.</w:t>
      </w:r>
    </w:p>
    <w:p w14:paraId="7D7AF18D" w14:textId="416D4F3F" w:rsidR="00AE5D2E" w:rsidRDefault="00BA513B" w:rsidP="0096523B">
      <w:pPr>
        <w:rPr>
          <w:lang w:val="en-AU"/>
        </w:rPr>
      </w:pPr>
      <w:r>
        <w:rPr>
          <w:lang w:val="en-AU"/>
        </w:rPr>
        <w:t>The NDIA recognises that</w:t>
      </w:r>
      <w:r w:rsidR="001E3758">
        <w:rPr>
          <w:lang w:val="en-AU"/>
        </w:rPr>
        <w:t xml:space="preserve"> p</w:t>
      </w:r>
      <w:r w:rsidR="00BD6FAA">
        <w:rPr>
          <w:lang w:val="en-AU"/>
        </w:rPr>
        <w:t xml:space="preserve">roviders delivering </w:t>
      </w:r>
      <w:r w:rsidR="001815A8">
        <w:rPr>
          <w:lang w:val="en-AU"/>
        </w:rPr>
        <w:t xml:space="preserve">social and community participation supports </w:t>
      </w:r>
      <w:r w:rsidR="00EB60C2" w:rsidRPr="00EB60C2">
        <w:rPr>
          <w:lang w:val="en-AU"/>
        </w:rPr>
        <w:t>play a significant role in enabling participants to share in these benefits.</w:t>
      </w:r>
    </w:p>
    <w:bookmarkEnd w:id="3"/>
    <w:p w14:paraId="2C15FE7D" w14:textId="77777777" w:rsidR="00C75181" w:rsidRDefault="00C75181">
      <w:pPr>
        <w:spacing w:after="0" w:line="240" w:lineRule="auto"/>
        <w:rPr>
          <w:b/>
          <w:bCs/>
          <w:color w:val="6B2976"/>
          <w:sz w:val="44"/>
          <w:szCs w:val="26"/>
        </w:rPr>
      </w:pPr>
      <w:r>
        <w:br w:type="page"/>
      </w:r>
    </w:p>
    <w:p w14:paraId="387E0490" w14:textId="608DDDA8" w:rsidR="00DD0AD4" w:rsidRDefault="00DD0AD4" w:rsidP="00044CF5">
      <w:pPr>
        <w:pStyle w:val="Heading2"/>
        <w:numPr>
          <w:ilvl w:val="0"/>
          <w:numId w:val="0"/>
        </w:numPr>
      </w:pPr>
      <w:bookmarkStart w:id="5" w:name="_Toc143524920"/>
      <w:r>
        <w:lastRenderedPageBreak/>
        <w:t>New group-based supports pricing</w:t>
      </w:r>
      <w:bookmarkEnd w:id="5"/>
      <w:r>
        <w:t xml:space="preserve"> </w:t>
      </w:r>
    </w:p>
    <w:p w14:paraId="5581EA3E" w14:textId="3F622918" w:rsidR="00DD0AD4" w:rsidRPr="00DF6096" w:rsidRDefault="00DD0AD4" w:rsidP="00DD0AD4">
      <w:pPr>
        <w:rPr>
          <w:sz w:val="24"/>
          <w:szCs w:val="28"/>
        </w:rPr>
      </w:pPr>
      <w:r w:rsidRPr="00DF6096">
        <w:rPr>
          <w:sz w:val="24"/>
          <w:szCs w:val="28"/>
        </w:rPr>
        <w:t xml:space="preserve">Both the new pricing arrangement (introduced July 2020) and the transitional pricing arrangement are based on the </w:t>
      </w:r>
      <w:r w:rsidRPr="00D3613C">
        <w:rPr>
          <w:sz w:val="24"/>
          <w:szCs w:val="28"/>
        </w:rPr>
        <w:t>Disability Support Worker (DSW) Cost Model</w:t>
      </w:r>
      <w:r w:rsidRPr="00DF6096">
        <w:rPr>
          <w:sz w:val="24"/>
          <w:szCs w:val="28"/>
        </w:rPr>
        <w:t>. Figure 1 is a visual comparison of the two arrangements, showing the indicative cost elements for each approach.</w:t>
      </w:r>
    </w:p>
    <w:p w14:paraId="740435DF" w14:textId="5149CC77" w:rsidR="00DD0AD4" w:rsidRPr="00DF6096" w:rsidRDefault="00DD0AD4" w:rsidP="00DD0AD4">
      <w:pPr>
        <w:rPr>
          <w:sz w:val="24"/>
          <w:szCs w:val="28"/>
        </w:rPr>
      </w:pPr>
      <w:r w:rsidRPr="00DF6096">
        <w:rPr>
          <w:sz w:val="24"/>
          <w:szCs w:val="28"/>
        </w:rPr>
        <w:t>The transitional pricing is a maximum rate</w:t>
      </w:r>
      <w:r w:rsidR="00ED0F3B">
        <w:rPr>
          <w:sz w:val="24"/>
          <w:szCs w:val="28"/>
        </w:rPr>
        <w:t>,</w:t>
      </w:r>
      <w:r w:rsidRPr="00DF6096">
        <w:rPr>
          <w:sz w:val="24"/>
          <w:szCs w:val="28"/>
        </w:rPr>
        <w:t xml:space="preserve"> per hour</w:t>
      </w:r>
      <w:r w:rsidR="00ED0F3B">
        <w:rPr>
          <w:sz w:val="24"/>
          <w:szCs w:val="28"/>
        </w:rPr>
        <w:t>,</w:t>
      </w:r>
      <w:r w:rsidRPr="00DF6096">
        <w:rPr>
          <w:sz w:val="24"/>
          <w:szCs w:val="28"/>
        </w:rPr>
        <w:t xml:space="preserve"> per participant</w:t>
      </w:r>
      <w:r w:rsidR="00ED0F3B">
        <w:rPr>
          <w:sz w:val="24"/>
          <w:szCs w:val="28"/>
        </w:rPr>
        <w:t>. It</w:t>
      </w:r>
      <w:r w:rsidRPr="00DF6096">
        <w:rPr>
          <w:sz w:val="24"/>
          <w:szCs w:val="28"/>
        </w:rPr>
        <w:t xml:space="preserve"> includes a standard provision for Non-Face-to-Face (NF2F) support</w:t>
      </w:r>
      <w:r w:rsidR="00867582">
        <w:rPr>
          <w:sz w:val="24"/>
          <w:szCs w:val="28"/>
        </w:rPr>
        <w:t xml:space="preserve"> for ratios ov</w:t>
      </w:r>
      <w:r w:rsidR="00912D93">
        <w:rPr>
          <w:sz w:val="24"/>
          <w:szCs w:val="28"/>
        </w:rPr>
        <w:t>er 1:1</w:t>
      </w:r>
      <w:r w:rsidRPr="00DF6096">
        <w:rPr>
          <w:sz w:val="24"/>
          <w:szCs w:val="28"/>
        </w:rPr>
        <w:t xml:space="preserve">, as well as </w:t>
      </w:r>
      <w:r w:rsidR="00A33FD8">
        <w:rPr>
          <w:sz w:val="24"/>
          <w:szCs w:val="28"/>
        </w:rPr>
        <w:t>C</w:t>
      </w:r>
      <w:r w:rsidR="00A33FD8" w:rsidRPr="00DF6096">
        <w:rPr>
          <w:sz w:val="24"/>
          <w:szCs w:val="28"/>
        </w:rPr>
        <w:t xml:space="preserve">entre </w:t>
      </w:r>
      <w:r w:rsidR="00A33FD8">
        <w:rPr>
          <w:sz w:val="24"/>
          <w:szCs w:val="28"/>
        </w:rPr>
        <w:t>C</w:t>
      </w:r>
      <w:r w:rsidR="00A33FD8" w:rsidRPr="00DF6096">
        <w:rPr>
          <w:sz w:val="24"/>
          <w:szCs w:val="28"/>
        </w:rPr>
        <w:t xml:space="preserve">apital </w:t>
      </w:r>
      <w:r w:rsidR="00A33FD8">
        <w:rPr>
          <w:sz w:val="24"/>
          <w:szCs w:val="28"/>
        </w:rPr>
        <w:t>C</w:t>
      </w:r>
      <w:r w:rsidR="00A33FD8" w:rsidRPr="00DF6096">
        <w:rPr>
          <w:sz w:val="24"/>
          <w:szCs w:val="28"/>
        </w:rPr>
        <w:t xml:space="preserve">osts </w:t>
      </w:r>
      <w:r w:rsidRPr="00DF6096">
        <w:rPr>
          <w:sz w:val="24"/>
          <w:szCs w:val="28"/>
        </w:rPr>
        <w:t>(if relevant).</w:t>
      </w:r>
    </w:p>
    <w:p w14:paraId="4BEB05AF" w14:textId="07AAACF8" w:rsidR="0013774F" w:rsidRDefault="00DD0AD4" w:rsidP="00DD0AD4">
      <w:pPr>
        <w:rPr>
          <w:sz w:val="24"/>
          <w:szCs w:val="28"/>
        </w:rPr>
      </w:pPr>
      <w:r w:rsidRPr="00DF6096">
        <w:rPr>
          <w:sz w:val="24"/>
          <w:szCs w:val="28"/>
        </w:rPr>
        <w:t>The new pricing arrangement is a maximum rate</w:t>
      </w:r>
      <w:r w:rsidR="00ED0F3B">
        <w:rPr>
          <w:sz w:val="24"/>
          <w:szCs w:val="28"/>
        </w:rPr>
        <w:t>,</w:t>
      </w:r>
      <w:r w:rsidRPr="00DF6096">
        <w:rPr>
          <w:sz w:val="24"/>
          <w:szCs w:val="28"/>
        </w:rPr>
        <w:t xml:space="preserve"> per hour</w:t>
      </w:r>
      <w:r w:rsidR="00ED0F3B">
        <w:rPr>
          <w:sz w:val="24"/>
          <w:szCs w:val="28"/>
        </w:rPr>
        <w:t>,</w:t>
      </w:r>
      <w:r w:rsidRPr="00DF6096">
        <w:rPr>
          <w:sz w:val="24"/>
          <w:szCs w:val="28"/>
        </w:rPr>
        <w:t xml:space="preserve"> </w:t>
      </w:r>
      <w:r w:rsidRPr="002C70C0">
        <w:rPr>
          <w:sz w:val="24"/>
          <w:szCs w:val="28"/>
        </w:rPr>
        <w:t>per group</w:t>
      </w:r>
      <w:r w:rsidR="00ED0F3B" w:rsidRPr="002C70C0">
        <w:rPr>
          <w:sz w:val="24"/>
          <w:szCs w:val="28"/>
        </w:rPr>
        <w:t>.</w:t>
      </w:r>
      <w:r w:rsidRPr="002C70C0">
        <w:rPr>
          <w:sz w:val="24"/>
          <w:szCs w:val="28"/>
        </w:rPr>
        <w:t xml:space="preserve"> </w:t>
      </w:r>
      <w:r w:rsidR="00A33FD8" w:rsidRPr="002C70C0">
        <w:rPr>
          <w:sz w:val="24"/>
          <w:szCs w:val="28"/>
        </w:rPr>
        <w:t>Centre Capital</w:t>
      </w:r>
      <w:r w:rsidR="00A33FD8" w:rsidRPr="00DF6096">
        <w:rPr>
          <w:sz w:val="24"/>
          <w:szCs w:val="28"/>
        </w:rPr>
        <w:t xml:space="preserve"> </w:t>
      </w:r>
      <w:r w:rsidR="00A33FD8">
        <w:rPr>
          <w:sz w:val="24"/>
          <w:szCs w:val="28"/>
        </w:rPr>
        <w:t>C</w:t>
      </w:r>
      <w:r w:rsidR="00A33FD8" w:rsidRPr="00DF6096">
        <w:rPr>
          <w:sz w:val="24"/>
          <w:szCs w:val="28"/>
        </w:rPr>
        <w:t xml:space="preserve">osts </w:t>
      </w:r>
      <w:r w:rsidRPr="00DF6096">
        <w:rPr>
          <w:sz w:val="24"/>
          <w:szCs w:val="28"/>
        </w:rPr>
        <w:t>(if relevant) are claimed separately</w:t>
      </w:r>
      <w:r w:rsidR="00ED0F3B">
        <w:rPr>
          <w:sz w:val="24"/>
          <w:szCs w:val="28"/>
        </w:rPr>
        <w:t xml:space="preserve">. </w:t>
      </w:r>
      <w:r w:rsidRPr="00DF6096">
        <w:rPr>
          <w:sz w:val="24"/>
          <w:szCs w:val="28"/>
        </w:rPr>
        <w:t>NF2F costs are now negotiated to reflect the actual needs of participants and are also claimed separately.</w:t>
      </w:r>
    </w:p>
    <w:p w14:paraId="326CC326" w14:textId="39BA6D34" w:rsidR="008E34D9" w:rsidRDefault="008E34D9" w:rsidP="00DD0AD4">
      <w:pPr>
        <w:rPr>
          <w:sz w:val="24"/>
          <w:szCs w:val="28"/>
        </w:rPr>
      </w:pPr>
    </w:p>
    <w:p w14:paraId="76DD53EA" w14:textId="0523FF64" w:rsidR="00367DB8" w:rsidRDefault="00367DB8" w:rsidP="00DD0AD4">
      <w:pPr>
        <w:rPr>
          <w:sz w:val="24"/>
          <w:szCs w:val="28"/>
        </w:rPr>
      </w:pPr>
      <w:r>
        <w:rPr>
          <w:noProof/>
        </w:rPr>
        <w:drawing>
          <wp:inline distT="0" distB="0" distL="0" distR="0" wp14:anchorId="51096011" wp14:editId="6F8C5B2F">
            <wp:extent cx="6188697" cy="2225599"/>
            <wp:effectExtent l="0" t="0" r="3175" b="3810"/>
            <wp:docPr id="1075259145" name="Picture 1" descr="This image depicts a comparison of the two pricing arrangements. On the left, the transitional pricing is depicted by a black rectangle. Inside the rectangle are three coloured rectangles. These represent Non-Face-to-Face costs in green, Centre Capital Costs in yellow and the direct support hourly rate in purple, based on the Disability Support Worker cost model. &#10;&#10;On the right of the image are three separate rectangles, depicting the new pricing arrangement. It illustrates the three categories as separate from one other. The Direct Support hourly rate under the Disability Support Worker cost model is in a purple rectangle, and the Centre Capital Costs in a separate yellow rectangle. Both of these are depicted with bold black edges. The Non-Face-to-Face costs rectangle is green, and outlined with bold black dashes, indicating this is not a fixed amount and is individualised per particip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59145" name="Picture 1" descr="This image depicts a comparison of the two pricing arrangements. On the left, the transitional pricing is depicted by a black rectangle. Inside the rectangle are three coloured rectangles. These represent Non-Face-to-Face costs in green, Centre Capital Costs in yellow and the direct support hourly rate in purple, based on the Disability Support Worker cost model. &#10;&#10;On the right of the image are three separate rectangles, depicting the new pricing arrangement. It illustrates the three categories as separate from one other. The Direct Support hourly rate under the Disability Support Worker cost model is in a purple rectangle, and the Centre Capital Costs in a separate yellow rectangle. Both of these are depicted with bold black edges. The Non-Face-to-Face costs rectangle is green, and outlined with bold black dashes, indicating this is not a fixed amount and is individualised per participant. "/>
                    <pic:cNvPicPr/>
                  </pic:nvPicPr>
                  <pic:blipFill rotWithShape="1">
                    <a:blip r:embed="rId17"/>
                    <a:srcRect l="23377" t="37893" r="3944" b="24713"/>
                    <a:stretch/>
                  </pic:blipFill>
                  <pic:spPr bwMode="auto">
                    <a:xfrm>
                      <a:off x="0" y="0"/>
                      <a:ext cx="6216906" cy="2235744"/>
                    </a:xfrm>
                    <a:prstGeom prst="rect">
                      <a:avLst/>
                    </a:prstGeom>
                    <a:ln>
                      <a:noFill/>
                    </a:ln>
                    <a:extLst>
                      <a:ext uri="{53640926-AAD7-44D8-BBD7-CCE9431645EC}">
                        <a14:shadowObscured xmlns:a14="http://schemas.microsoft.com/office/drawing/2010/main"/>
                      </a:ext>
                    </a:extLst>
                  </pic:spPr>
                </pic:pic>
              </a:graphicData>
            </a:graphic>
          </wp:inline>
        </w:drawing>
      </w:r>
    </w:p>
    <w:p w14:paraId="609394AF" w14:textId="210B5C92" w:rsidR="00DD0AD4" w:rsidRPr="00DF6096" w:rsidRDefault="00FA3547" w:rsidP="00DD0AD4">
      <w:pPr>
        <w:rPr>
          <w:sz w:val="24"/>
          <w:szCs w:val="28"/>
        </w:rPr>
      </w:pPr>
      <w:r>
        <w:rPr>
          <w:noProof/>
        </w:rPr>
        <mc:AlternateContent>
          <mc:Choice Requires="wps">
            <w:drawing>
              <wp:inline distT="0" distB="0" distL="0" distR="0" wp14:anchorId="15CEAC2A" wp14:editId="60B2F11A">
                <wp:extent cx="5731510" cy="223195"/>
                <wp:effectExtent l="0" t="0" r="2540" b="0"/>
                <wp:docPr id="5" name="Text Box 5"/>
                <wp:cNvGraphicFramePr/>
                <a:graphic xmlns:a="http://schemas.openxmlformats.org/drawingml/2006/main">
                  <a:graphicData uri="http://schemas.microsoft.com/office/word/2010/wordprocessingShape">
                    <wps:wsp>
                      <wps:cNvSpPr txBox="1"/>
                      <wps:spPr>
                        <a:xfrm>
                          <a:off x="0" y="0"/>
                          <a:ext cx="5731510" cy="223195"/>
                        </a:xfrm>
                        <a:prstGeom prst="rect">
                          <a:avLst/>
                        </a:prstGeom>
                        <a:solidFill>
                          <a:prstClr val="white"/>
                        </a:solidFill>
                        <a:ln>
                          <a:noFill/>
                        </a:ln>
                      </wps:spPr>
                      <wps:txbx>
                        <w:txbxContent>
                          <w:p w14:paraId="64798CA3" w14:textId="19FB04F5" w:rsidR="00FA3547" w:rsidRPr="00C93D3F" w:rsidRDefault="00FA3547" w:rsidP="00FA3547">
                            <w:pPr>
                              <w:pStyle w:val="Caption"/>
                              <w:rPr>
                                <w:noProof/>
                                <w:sz w:val="24"/>
                                <w:szCs w:val="24"/>
                              </w:rPr>
                            </w:pPr>
                            <w:r w:rsidRPr="00C93D3F">
                              <w:rPr>
                                <w:sz w:val="24"/>
                                <w:szCs w:val="24"/>
                              </w:rPr>
                              <w:t xml:space="preserve">Figure </w:t>
                            </w:r>
                            <w:r w:rsidRPr="00C93D3F">
                              <w:rPr>
                                <w:sz w:val="24"/>
                                <w:szCs w:val="24"/>
                              </w:rPr>
                              <w:fldChar w:fldCharType="begin"/>
                            </w:r>
                            <w:r w:rsidRPr="00C93D3F">
                              <w:rPr>
                                <w:sz w:val="24"/>
                                <w:szCs w:val="24"/>
                              </w:rPr>
                              <w:instrText xml:space="preserve"> SEQ Figure \* ARABIC </w:instrText>
                            </w:r>
                            <w:r w:rsidRPr="00C93D3F">
                              <w:rPr>
                                <w:sz w:val="24"/>
                                <w:szCs w:val="24"/>
                              </w:rPr>
                              <w:fldChar w:fldCharType="separate"/>
                            </w:r>
                            <w:r w:rsidR="00E93BD6">
                              <w:rPr>
                                <w:noProof/>
                                <w:sz w:val="24"/>
                                <w:szCs w:val="24"/>
                              </w:rPr>
                              <w:t>1</w:t>
                            </w:r>
                            <w:r w:rsidRPr="00C93D3F">
                              <w:rPr>
                                <w:sz w:val="24"/>
                                <w:szCs w:val="24"/>
                              </w:rPr>
                              <w:fldChar w:fldCharType="end"/>
                            </w:r>
                            <w:r w:rsidRPr="00C93D3F">
                              <w:rPr>
                                <w:sz w:val="24"/>
                                <w:szCs w:val="24"/>
                              </w:rPr>
                              <w:t xml:space="preserve"> - comparison of pricing arrangements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15CEAC2A" id="_x0000_t202" coordsize="21600,21600" o:spt="202" path="m,l,21600r21600,l21600,xe">
                <v:stroke joinstyle="miter"/>
                <v:path gradientshapeok="t" o:connecttype="rect"/>
              </v:shapetype>
              <v:shape id="Text Box 5" o:spid="_x0000_s1026" type="#_x0000_t202" style="width:451.3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" stroked="f">
                <v:textbox style="mso-fit-shape-to-text:t" inset="0,0,0,0">
                  <w:txbxContent>
                    <w:p w14:paraId="64798CA3" w14:textId="19FB04F5" w:rsidR="00FA3547" w:rsidRPr="00C93D3F" w:rsidRDefault="00FA3547" w:rsidP="00FA3547">
                      <w:pPr>
                        <w:pStyle w:val="Caption"/>
                        <w:rPr>
                          <w:noProof/>
                          <w:sz w:val="24"/>
                          <w:szCs w:val="24"/>
                        </w:rPr>
                      </w:pPr>
                      <w:r w:rsidRPr="00C93D3F">
                        <w:rPr>
                          <w:sz w:val="24"/>
                          <w:szCs w:val="24"/>
                        </w:rPr>
                        <w:t xml:space="preserve">Figure </w:t>
                      </w:r>
                      <w:r w:rsidRPr="00C93D3F">
                        <w:rPr>
                          <w:sz w:val="24"/>
                          <w:szCs w:val="24"/>
                        </w:rPr>
                        <w:fldChar w:fldCharType="begin"/>
                      </w:r>
                      <w:r w:rsidRPr="00C93D3F">
                        <w:rPr>
                          <w:sz w:val="24"/>
                          <w:szCs w:val="24"/>
                        </w:rPr>
                        <w:instrText xml:space="preserve"> SEQ Figure \* ARABIC </w:instrText>
                      </w:r>
                      <w:r w:rsidRPr="00C93D3F">
                        <w:rPr>
                          <w:sz w:val="24"/>
                          <w:szCs w:val="24"/>
                        </w:rPr>
                        <w:fldChar w:fldCharType="separate"/>
                      </w:r>
                      <w:r w:rsidR="00E93BD6">
                        <w:rPr>
                          <w:noProof/>
                          <w:sz w:val="24"/>
                          <w:szCs w:val="24"/>
                        </w:rPr>
                        <w:t>1</w:t>
                      </w:r>
                      <w:r w:rsidRPr="00C93D3F">
                        <w:rPr>
                          <w:sz w:val="24"/>
                          <w:szCs w:val="24"/>
                        </w:rPr>
                        <w:fldChar w:fldCharType="end"/>
                      </w:r>
                      <w:r w:rsidRPr="00C93D3F">
                        <w:rPr>
                          <w:sz w:val="24"/>
                          <w:szCs w:val="24"/>
                        </w:rPr>
                        <w:t xml:space="preserve"> - comparison of pricing arrangements</w:t>
                      </w:r>
                    </w:p>
                  </w:txbxContent>
                </v:textbox>
                <w10:anchorlock/>
              </v:shape>
            </w:pict>
          </mc:Fallback>
        </mc:AlternateContent>
      </w:r>
    </w:p>
    <w:p w14:paraId="18BBF457" w14:textId="0FE30FF9" w:rsidR="00DD0AD4" w:rsidRPr="00DF6096" w:rsidRDefault="00DD0AD4" w:rsidP="00DD0AD4">
      <w:pPr>
        <w:rPr>
          <w:sz w:val="24"/>
          <w:szCs w:val="28"/>
        </w:rPr>
      </w:pPr>
      <w:r w:rsidRPr="00DF6096">
        <w:rPr>
          <w:sz w:val="24"/>
          <w:szCs w:val="28"/>
        </w:rPr>
        <w:t xml:space="preserve">The new pricing arrangement also introduces Programs of Support (POS). The POS model allows providers and participants to agree on programs of activity up to 6 </w:t>
      </w:r>
      <w:r w:rsidR="000159F7" w:rsidRPr="00DF6096">
        <w:rPr>
          <w:sz w:val="24"/>
          <w:szCs w:val="28"/>
        </w:rPr>
        <w:t>months</w:t>
      </w:r>
      <w:r w:rsidR="00DB30A1">
        <w:rPr>
          <w:sz w:val="24"/>
          <w:szCs w:val="28"/>
        </w:rPr>
        <w:t>. This</w:t>
      </w:r>
      <w:r w:rsidRPr="00DF6096">
        <w:rPr>
          <w:sz w:val="24"/>
          <w:szCs w:val="28"/>
        </w:rPr>
        <w:t xml:space="preserve"> gives some increased certainty around the supports and participants attending</w:t>
      </w:r>
      <w:r w:rsidR="00DB30A1">
        <w:rPr>
          <w:sz w:val="24"/>
          <w:szCs w:val="28"/>
        </w:rPr>
        <w:t>,</w:t>
      </w:r>
      <w:r w:rsidRPr="00DF6096">
        <w:rPr>
          <w:sz w:val="24"/>
          <w:szCs w:val="28"/>
        </w:rPr>
        <w:t xml:space="preserve"> which can mean more certainty around costs for both participants and providers.</w:t>
      </w:r>
      <w:r w:rsidR="00D12DE5">
        <w:rPr>
          <w:sz w:val="24"/>
          <w:szCs w:val="28"/>
        </w:rPr>
        <w:t xml:space="preserve"> However, POS are not mandatory</w:t>
      </w:r>
      <w:r w:rsidR="008D6F7D">
        <w:rPr>
          <w:sz w:val="24"/>
          <w:szCs w:val="28"/>
        </w:rPr>
        <w:t xml:space="preserve">. They are simply an option that may suit providers and participants in some circumstances. </w:t>
      </w:r>
    </w:p>
    <w:p w14:paraId="3D0AF34A" w14:textId="38A57847" w:rsidR="00DB30A1" w:rsidRDefault="00DD0AD4" w:rsidP="00DD0AD4">
      <w:pPr>
        <w:rPr>
          <w:sz w:val="24"/>
          <w:szCs w:val="28"/>
        </w:rPr>
      </w:pPr>
      <w:r w:rsidRPr="00DF6096">
        <w:rPr>
          <w:sz w:val="24"/>
          <w:szCs w:val="28"/>
        </w:rPr>
        <w:t>This guidance was developed to complement the Pricing Arrangements and Price Limits (PAPL) which can be found on the NDIS website. We have developed this guidance based on questions and scenarios received since the new pricing arrangement was introduced</w:t>
      </w:r>
      <w:r w:rsidR="00DB30A1">
        <w:rPr>
          <w:sz w:val="24"/>
          <w:szCs w:val="28"/>
        </w:rPr>
        <w:t>,</w:t>
      </w:r>
      <w:r w:rsidRPr="00DF6096">
        <w:rPr>
          <w:sz w:val="24"/>
          <w:szCs w:val="28"/>
        </w:rPr>
        <w:t xml:space="preserve"> to help providers understand how the new pricing arrangement could be operationalised in different settings and contexts.</w:t>
      </w:r>
      <w:r w:rsidR="00DB30A1">
        <w:rPr>
          <w:sz w:val="24"/>
          <w:szCs w:val="28"/>
        </w:rPr>
        <w:t xml:space="preserve"> </w:t>
      </w:r>
    </w:p>
    <w:p w14:paraId="7D995D42" w14:textId="3F040586" w:rsidR="00044CF5" w:rsidRDefault="00DB30A1" w:rsidP="00DD0AD4">
      <w:pPr>
        <w:rPr>
          <w:sz w:val="24"/>
          <w:szCs w:val="28"/>
        </w:rPr>
      </w:pPr>
      <w:r>
        <w:rPr>
          <w:sz w:val="24"/>
          <w:szCs w:val="28"/>
        </w:rPr>
        <w:lastRenderedPageBreak/>
        <w:t>W</w:t>
      </w:r>
      <w:r w:rsidR="000159F7">
        <w:rPr>
          <w:sz w:val="24"/>
          <w:szCs w:val="28"/>
        </w:rPr>
        <w:t>e have referred to ‘participant’ throughout this document, but</w:t>
      </w:r>
      <w:r w:rsidR="006C66E2">
        <w:rPr>
          <w:sz w:val="24"/>
          <w:szCs w:val="28"/>
        </w:rPr>
        <w:t xml:space="preserve"> where relevant, mean</w:t>
      </w:r>
      <w:r w:rsidR="000159F7">
        <w:rPr>
          <w:sz w:val="24"/>
          <w:szCs w:val="28"/>
        </w:rPr>
        <w:t xml:space="preserve"> that to include families, carers, responsible person or nominees </w:t>
      </w:r>
      <w:r w:rsidR="006C66E2">
        <w:rPr>
          <w:sz w:val="24"/>
          <w:szCs w:val="28"/>
        </w:rPr>
        <w:t>as well.</w:t>
      </w:r>
    </w:p>
    <w:p w14:paraId="7F9B9AE5" w14:textId="77777777" w:rsidR="004D32B5" w:rsidRPr="00057665" w:rsidRDefault="00DD0AD4" w:rsidP="00057665">
      <w:pPr>
        <w:rPr>
          <w:sz w:val="24"/>
          <w:szCs w:val="28"/>
        </w:rPr>
      </w:pPr>
      <w:r w:rsidRPr="00DF6096">
        <w:rPr>
          <w:sz w:val="24"/>
          <w:szCs w:val="28"/>
        </w:rPr>
        <w:t>If any inconsistencies with the PAPL are identified in this guidance, the PAPL is the higher order document and must be complied with.</w:t>
      </w:r>
    </w:p>
    <w:p w14:paraId="0F922F04" w14:textId="20A939C8" w:rsidR="004D32B5" w:rsidRPr="00A21351" w:rsidRDefault="004B7789" w:rsidP="00057665">
      <w:pPr>
        <w:pStyle w:val="Heading2"/>
        <w:numPr>
          <w:ilvl w:val="0"/>
          <w:numId w:val="0"/>
        </w:numPr>
        <w:spacing w:before="1080"/>
      </w:pPr>
      <w:bookmarkStart w:id="6" w:name="_Toc143524921"/>
      <w:r>
        <w:rPr>
          <w:noProof/>
        </w:rPr>
        <w:drawing>
          <wp:inline distT="0" distB="0" distL="0" distR="0" wp14:anchorId="5666FC0D" wp14:editId="7454948F">
            <wp:extent cx="584200" cy="719818"/>
            <wp:effectExtent l="0" t="0" r="6350" b="4445"/>
            <wp:docPr id="14" name="Picture 14" descr="Icon - Shows this section refers to page 60 of the Pricing Arrangements and Price Limit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 - Shows this section refers to page 60 of the Pricing Arrangements and Price Limits docu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105" cy="725861"/>
                    </a:xfrm>
                    <a:prstGeom prst="rect">
                      <a:avLst/>
                    </a:prstGeom>
                    <a:noFill/>
                    <a:ln>
                      <a:noFill/>
                    </a:ln>
                  </pic:spPr>
                </pic:pic>
              </a:graphicData>
            </a:graphic>
          </wp:inline>
        </w:drawing>
      </w:r>
      <w:r w:rsidR="00057665">
        <w:tab/>
      </w:r>
      <w:r w:rsidR="0C387E55">
        <w:t>Direct (Face-to-Face) Supports</w:t>
      </w:r>
      <w:bookmarkEnd w:id="6"/>
    </w:p>
    <w:p w14:paraId="76226E9D" w14:textId="7967CDE8" w:rsidR="008D0CCC" w:rsidRPr="008D0CCC" w:rsidRDefault="008D0CCC" w:rsidP="008D0CCC">
      <w:pPr>
        <w:pStyle w:val="Heading3"/>
        <w:numPr>
          <w:ilvl w:val="0"/>
          <w:numId w:val="0"/>
        </w:numPr>
        <w:spacing w:before="360"/>
      </w:pPr>
      <w:bookmarkStart w:id="7" w:name="_Toc143524922"/>
      <w:r w:rsidRPr="008D0CCC">
        <w:t>How are staff costs covered</w:t>
      </w:r>
      <w:r w:rsidR="00DB30A1">
        <w:t>,</w:t>
      </w:r>
      <w:r w:rsidRPr="008D0CCC">
        <w:t xml:space="preserve"> if the pricing is per group and </w:t>
      </w:r>
      <w:r w:rsidR="002D411B" w:rsidRPr="008D0CCC">
        <w:t>does not</w:t>
      </w:r>
      <w:r w:rsidRPr="008D0CCC">
        <w:t xml:space="preserve"> consider staff to participant ratios?</w:t>
      </w:r>
      <w:bookmarkEnd w:id="7"/>
    </w:p>
    <w:p w14:paraId="21FA65C9" w14:textId="0B08B267" w:rsidR="008D0CCC" w:rsidRPr="008D0CCC" w:rsidRDefault="008D0CCC" w:rsidP="008D0CCC">
      <w:pPr>
        <w:rPr>
          <w:sz w:val="24"/>
          <w:szCs w:val="28"/>
        </w:rPr>
      </w:pPr>
      <w:r w:rsidRPr="008D0CCC">
        <w:rPr>
          <w:sz w:val="24"/>
          <w:szCs w:val="28"/>
        </w:rPr>
        <w:t>A core element of the Scheme is choice and control. Group-based social and community participation supports</w:t>
      </w:r>
      <w:r w:rsidR="0053652E">
        <w:rPr>
          <w:sz w:val="24"/>
          <w:szCs w:val="28"/>
        </w:rPr>
        <w:t>,</w:t>
      </w:r>
      <w:r w:rsidRPr="008D0CCC">
        <w:rPr>
          <w:sz w:val="24"/>
          <w:szCs w:val="28"/>
        </w:rPr>
        <w:t xml:space="preserve"> delivered in large groups</w:t>
      </w:r>
      <w:r w:rsidR="0053652E">
        <w:rPr>
          <w:sz w:val="24"/>
          <w:szCs w:val="28"/>
        </w:rPr>
        <w:t>,</w:t>
      </w:r>
      <w:r w:rsidRPr="008D0CCC">
        <w:rPr>
          <w:sz w:val="24"/>
          <w:szCs w:val="28"/>
        </w:rPr>
        <w:t xml:space="preserve"> can sometimes make it difficult to accommodate the preferences and interests of all people in the group.</w:t>
      </w:r>
    </w:p>
    <w:p w14:paraId="1E1FA777" w14:textId="4FE93B76" w:rsidR="008D4B76" w:rsidRDefault="008D0CCC" w:rsidP="008D0CCC">
      <w:r w:rsidRPr="00112FFE">
        <w:rPr>
          <w:sz w:val="24"/>
          <w:szCs w:val="28"/>
        </w:rPr>
        <w:t>Some providers who have transitioned to the new pricing have told us that the shift to charging per group</w:t>
      </w:r>
      <w:r w:rsidR="0053652E">
        <w:rPr>
          <w:sz w:val="24"/>
          <w:szCs w:val="28"/>
        </w:rPr>
        <w:t>,</w:t>
      </w:r>
      <w:r w:rsidRPr="00112FFE">
        <w:rPr>
          <w:sz w:val="24"/>
          <w:szCs w:val="28"/>
        </w:rPr>
        <w:t xml:space="preserve"> provided an incentive for them to think more closely about how they structure the programs they offer. They have worked with participants and </w:t>
      </w:r>
      <w:r w:rsidR="000159F7">
        <w:rPr>
          <w:sz w:val="24"/>
          <w:szCs w:val="28"/>
        </w:rPr>
        <w:t>nominees</w:t>
      </w:r>
      <w:r w:rsidRPr="00112FFE">
        <w:rPr>
          <w:sz w:val="24"/>
          <w:szCs w:val="28"/>
        </w:rPr>
        <w:t xml:space="preserve"> to ensure they have a good understanding of everyone</w:t>
      </w:r>
      <w:r w:rsidR="00763F2F">
        <w:rPr>
          <w:sz w:val="24"/>
          <w:szCs w:val="28"/>
        </w:rPr>
        <w:t>’</w:t>
      </w:r>
      <w:r w:rsidRPr="00112FFE">
        <w:rPr>
          <w:sz w:val="24"/>
          <w:szCs w:val="28"/>
        </w:rPr>
        <w:t>s interests and goals. Viewing group</w:t>
      </w:r>
      <w:r w:rsidR="00E03C8E">
        <w:rPr>
          <w:sz w:val="24"/>
          <w:szCs w:val="28"/>
        </w:rPr>
        <w:t xml:space="preserve"> </w:t>
      </w:r>
      <w:r w:rsidRPr="00112FFE">
        <w:rPr>
          <w:sz w:val="24"/>
          <w:szCs w:val="28"/>
        </w:rPr>
        <w:t>supports through the lens of smaller groups</w:t>
      </w:r>
      <w:r w:rsidR="0053652E">
        <w:rPr>
          <w:sz w:val="24"/>
          <w:szCs w:val="28"/>
        </w:rPr>
        <w:t>,</w:t>
      </w:r>
      <w:r w:rsidRPr="00112FFE">
        <w:rPr>
          <w:sz w:val="24"/>
          <w:szCs w:val="28"/>
        </w:rPr>
        <w:t xml:space="preserve"> has allowed </w:t>
      </w:r>
      <w:r w:rsidR="0053652E">
        <w:rPr>
          <w:sz w:val="24"/>
          <w:szCs w:val="28"/>
        </w:rPr>
        <w:t>providers</w:t>
      </w:r>
      <w:r w:rsidRPr="00112FFE">
        <w:rPr>
          <w:sz w:val="24"/>
          <w:szCs w:val="28"/>
        </w:rPr>
        <w:t xml:space="preserve"> to really target the support they offer to meet the needs of these participants</w:t>
      </w:r>
      <w:r w:rsidRPr="008D0CCC">
        <w:rPr>
          <w:sz w:val="24"/>
          <w:szCs w:val="28"/>
        </w:rPr>
        <w:t>.</w:t>
      </w:r>
    </w:p>
    <w:p w14:paraId="3F6832BC" w14:textId="77777777" w:rsidR="008D0CCC" w:rsidRPr="008D0CCC" w:rsidRDefault="008D0CCC" w:rsidP="00B67269">
      <w:pPr>
        <w:shd w:val="clear" w:color="auto" w:fill="EEE2F3"/>
        <w:suppressAutoHyphens/>
        <w:spacing w:before="200" w:after="160"/>
        <w:ind w:left="426" w:right="521"/>
        <w:rPr>
          <w:rFonts w:eastAsia="Arial" w:cs="Cordia New"/>
          <w:b/>
          <w:iCs/>
          <w:color w:val="000000"/>
          <w:sz w:val="24"/>
          <w:lang w:val="en-AU" w:eastAsia="en-US"/>
        </w:rPr>
      </w:pPr>
      <w:r w:rsidRPr="008D0CCC">
        <w:rPr>
          <w:rFonts w:eastAsia="Arial" w:cs="Cordia New"/>
          <w:b/>
          <w:iCs/>
          <w:color w:val="000000"/>
          <w:sz w:val="24"/>
          <w:lang w:val="en-AU" w:eastAsia="en-US"/>
        </w:rPr>
        <w:t xml:space="preserve">Example </w:t>
      </w:r>
    </w:p>
    <w:p w14:paraId="1B6F1A1C" w14:textId="4CC96791" w:rsidR="008D0CCC" w:rsidRPr="008D0CCC" w:rsidRDefault="008D0CCC" w:rsidP="00B67269">
      <w:pPr>
        <w:shd w:val="clear" w:color="auto" w:fill="EEE2F3"/>
        <w:suppressAutoHyphens/>
        <w:spacing w:before="200" w:after="160"/>
        <w:ind w:left="426" w:right="521"/>
        <w:rPr>
          <w:rFonts w:eastAsia="Arial" w:cs="Cordia New"/>
          <w:bCs/>
          <w:iCs/>
          <w:color w:val="000000"/>
          <w:sz w:val="24"/>
          <w:lang w:val="en-AU" w:eastAsia="en-US"/>
        </w:rPr>
      </w:pPr>
      <w:r w:rsidRPr="008D0CCC">
        <w:rPr>
          <w:rFonts w:eastAsia="Arial" w:cs="Cordia New"/>
          <w:bCs/>
          <w:iCs/>
          <w:color w:val="000000"/>
          <w:sz w:val="24"/>
          <w:lang w:val="en-AU" w:eastAsia="en-US"/>
        </w:rPr>
        <w:t>A provider delivers group-based supports to 20 participants in their centre. These 20 participants are supported by 4 support workers, and participants are charged under the transitional pricing</w:t>
      </w:r>
      <w:r w:rsidR="00E03C8E">
        <w:rPr>
          <w:rFonts w:eastAsia="Arial" w:cs="Cordia New"/>
          <w:bCs/>
          <w:iCs/>
          <w:color w:val="000000"/>
          <w:sz w:val="24"/>
          <w:lang w:val="en-AU" w:eastAsia="en-US"/>
        </w:rPr>
        <w:t>,</w:t>
      </w:r>
      <w:r w:rsidRPr="008D0CCC">
        <w:rPr>
          <w:rFonts w:eastAsia="Arial" w:cs="Cordia New"/>
          <w:bCs/>
          <w:iCs/>
          <w:color w:val="000000"/>
          <w:sz w:val="24"/>
          <w:lang w:val="en-AU" w:eastAsia="en-US"/>
        </w:rPr>
        <w:t xml:space="preserve"> at the 1:5 weekday</w:t>
      </w:r>
      <w:r w:rsidR="00E03C8E">
        <w:rPr>
          <w:rFonts w:eastAsia="Arial" w:cs="Cordia New"/>
          <w:bCs/>
          <w:iCs/>
          <w:color w:val="000000"/>
          <w:sz w:val="24"/>
          <w:lang w:val="en-AU" w:eastAsia="en-US"/>
        </w:rPr>
        <w:t>,</w:t>
      </w:r>
      <w:r w:rsidRPr="008D0CCC">
        <w:rPr>
          <w:rFonts w:eastAsia="Arial" w:cs="Cordia New"/>
          <w:bCs/>
          <w:iCs/>
          <w:color w:val="000000"/>
          <w:sz w:val="24"/>
          <w:lang w:val="en-AU" w:eastAsia="en-US"/>
        </w:rPr>
        <w:t xml:space="preserve"> daytime standard rate. </w:t>
      </w:r>
    </w:p>
    <w:p w14:paraId="10496669" w14:textId="05A14A25" w:rsidR="008D0CCC" w:rsidRPr="008D0CCC" w:rsidRDefault="008D0CCC" w:rsidP="00B67269">
      <w:pPr>
        <w:shd w:val="clear" w:color="auto" w:fill="EEE2F3"/>
        <w:suppressAutoHyphens/>
        <w:spacing w:before="200" w:after="160"/>
        <w:ind w:left="426" w:right="521"/>
        <w:rPr>
          <w:rFonts w:eastAsia="Arial" w:cs="Cordia New"/>
          <w:bCs/>
          <w:iCs/>
          <w:color w:val="000000"/>
          <w:sz w:val="24"/>
          <w:lang w:val="en-AU" w:eastAsia="en-US"/>
        </w:rPr>
      </w:pPr>
      <w:r w:rsidRPr="008D0CCC">
        <w:rPr>
          <w:rFonts w:eastAsia="Arial" w:cs="Cordia New"/>
          <w:bCs/>
          <w:iCs/>
          <w:color w:val="000000"/>
          <w:sz w:val="24"/>
          <w:lang w:val="en-AU" w:eastAsia="en-US"/>
        </w:rPr>
        <w:t>If the provider continues to deliver support to these participants as one large group of 20 under the new pricing arrangement, they will experience a reduction in revenue that could threaten the financial viability of the future provision of the group support.</w:t>
      </w:r>
    </w:p>
    <w:p w14:paraId="6AEA937F" w14:textId="669AEE4F" w:rsidR="008D0CCC" w:rsidRDefault="008D0CCC" w:rsidP="00B67269">
      <w:pPr>
        <w:shd w:val="clear" w:color="auto" w:fill="EEE2F3"/>
        <w:suppressAutoHyphens/>
        <w:spacing w:before="200" w:after="160"/>
        <w:ind w:left="426" w:right="521"/>
        <w:rPr>
          <w:rFonts w:eastAsia="Arial" w:cs="Cordia New"/>
          <w:bCs/>
          <w:iCs/>
          <w:color w:val="000000"/>
          <w:sz w:val="24"/>
          <w:lang w:val="en-AU" w:eastAsia="en-US"/>
        </w:rPr>
      </w:pPr>
      <w:r w:rsidRPr="008D0CCC">
        <w:rPr>
          <w:rFonts w:eastAsia="Arial" w:cs="Cordia New"/>
          <w:bCs/>
          <w:iCs/>
          <w:color w:val="000000"/>
          <w:sz w:val="24"/>
          <w:lang w:val="en-AU" w:eastAsia="en-US"/>
        </w:rPr>
        <w:t xml:space="preserve">Instead, the provider changes their service offering and splits the group into 4 groups, each with 5 participants supported by 1 support worker. Under the new pricing </w:t>
      </w:r>
      <w:r w:rsidR="000159F7" w:rsidRPr="008D0CCC">
        <w:rPr>
          <w:rFonts w:eastAsia="Arial" w:cs="Cordia New"/>
          <w:bCs/>
          <w:iCs/>
          <w:color w:val="000000"/>
          <w:sz w:val="24"/>
          <w:lang w:val="en-AU" w:eastAsia="en-US"/>
        </w:rPr>
        <w:t>arrangement,</w:t>
      </w:r>
      <w:r w:rsidRPr="008D0CCC">
        <w:rPr>
          <w:rFonts w:eastAsia="Arial" w:cs="Cordia New"/>
          <w:bCs/>
          <w:iCs/>
          <w:color w:val="000000"/>
          <w:sz w:val="24"/>
          <w:lang w:val="en-AU" w:eastAsia="en-US"/>
        </w:rPr>
        <w:t xml:space="preserve"> the hourly rate for group activities is divided by the number of participants in the group.</w:t>
      </w:r>
    </w:p>
    <w:p w14:paraId="38A3AD23" w14:textId="208CC9A9" w:rsidR="008270F1" w:rsidRDefault="004C2FCC" w:rsidP="00E61DB6">
      <w:pPr>
        <w:shd w:val="clear" w:color="auto" w:fill="EEE2F3"/>
        <w:suppressAutoHyphens/>
        <w:spacing w:before="200" w:after="160"/>
        <w:ind w:left="426" w:right="521"/>
        <w:rPr>
          <w:rFonts w:eastAsia="SimHei"/>
          <w:lang w:val="en-AU" w:eastAsia="en-US"/>
        </w:rPr>
      </w:pPr>
      <w:r>
        <w:rPr>
          <w:rFonts w:eastAsia="Arial" w:cs="Cordia New"/>
          <w:bCs/>
          <w:iCs/>
          <w:color w:val="000000"/>
          <w:sz w:val="24"/>
          <w:lang w:val="en-AU" w:eastAsia="en-US"/>
        </w:rPr>
        <w:lastRenderedPageBreak/>
        <w:t>A provider may choose to offer different activities within each group that are more targeted to the individual needs of the participants.</w:t>
      </w:r>
      <w:bookmarkStart w:id="8" w:name="_Toc143524923"/>
    </w:p>
    <w:p w14:paraId="442968AC" w14:textId="7884FCAE" w:rsidR="008D0CCC" w:rsidRPr="008D0CCC" w:rsidRDefault="008D0CCC" w:rsidP="008D0CCC">
      <w:pPr>
        <w:pStyle w:val="Heading3"/>
        <w:numPr>
          <w:ilvl w:val="0"/>
          <w:numId w:val="0"/>
        </w:numPr>
        <w:rPr>
          <w:rFonts w:eastAsia="SimHei"/>
          <w:lang w:val="en-AU" w:eastAsia="en-US"/>
        </w:rPr>
      </w:pPr>
      <w:r w:rsidRPr="008D0CCC">
        <w:rPr>
          <w:rFonts w:eastAsia="SimHei"/>
          <w:lang w:val="en-AU" w:eastAsia="en-US"/>
        </w:rPr>
        <w:t>Do direct support costs need to be apportioned equally amongst the participants?</w:t>
      </w:r>
      <w:bookmarkEnd w:id="8"/>
    </w:p>
    <w:p w14:paraId="03A159F1" w14:textId="64B52592" w:rsidR="008D0CCC" w:rsidRPr="008D0CCC" w:rsidRDefault="008D0CCC" w:rsidP="008D0CCC">
      <w:pPr>
        <w:suppressAutoHyphens/>
        <w:rPr>
          <w:rFonts w:eastAsia="Arial" w:cs="Cordia New"/>
          <w:sz w:val="24"/>
          <w:szCs w:val="28"/>
          <w:lang w:val="en-AU" w:eastAsia="en-US"/>
        </w:rPr>
      </w:pPr>
      <w:r w:rsidRPr="008D0CCC">
        <w:rPr>
          <w:rFonts w:eastAsia="Arial" w:cs="Cordia New"/>
          <w:sz w:val="24"/>
          <w:szCs w:val="28"/>
          <w:lang w:val="en-AU" w:eastAsia="en-US"/>
        </w:rPr>
        <w:t xml:space="preserve">Under the new pricing </w:t>
      </w:r>
      <w:r w:rsidR="000159F7" w:rsidRPr="008D0CCC">
        <w:rPr>
          <w:rFonts w:eastAsia="Arial" w:cs="Cordia New"/>
          <w:sz w:val="24"/>
          <w:szCs w:val="28"/>
          <w:lang w:val="en-AU" w:eastAsia="en-US"/>
        </w:rPr>
        <w:t>arrangement,</w:t>
      </w:r>
      <w:r w:rsidRPr="008D0CCC">
        <w:rPr>
          <w:rFonts w:eastAsia="Arial" w:cs="Cordia New"/>
          <w:sz w:val="24"/>
          <w:szCs w:val="28"/>
          <w:lang w:val="en-AU" w:eastAsia="en-US"/>
        </w:rPr>
        <w:t xml:space="preserve"> the hourly rate for group activities is divided evenly by the number of participants in the group. There is no provision to apportion that rate differently amongst participants in the group.</w:t>
      </w:r>
    </w:p>
    <w:p w14:paraId="0B52589E" w14:textId="03B35A94" w:rsidR="00A81CEE" w:rsidRPr="00A81CEE" w:rsidRDefault="00A81CEE" w:rsidP="00A81CEE">
      <w:pPr>
        <w:pStyle w:val="Heading3"/>
        <w:numPr>
          <w:ilvl w:val="0"/>
          <w:numId w:val="0"/>
        </w:numPr>
        <w:rPr>
          <w:lang w:val="en-AU"/>
        </w:rPr>
      </w:pPr>
      <w:bookmarkStart w:id="9" w:name="_Toc143524924"/>
      <w:r w:rsidRPr="00A81CEE">
        <w:rPr>
          <w:lang w:val="en-AU"/>
        </w:rPr>
        <w:t xml:space="preserve">How </w:t>
      </w:r>
      <w:r w:rsidR="005B2991">
        <w:rPr>
          <w:lang w:val="en-AU"/>
        </w:rPr>
        <w:t xml:space="preserve">is </w:t>
      </w:r>
      <w:r w:rsidRPr="00A81CEE">
        <w:rPr>
          <w:lang w:val="en-AU"/>
        </w:rPr>
        <w:t xml:space="preserve">a participant </w:t>
      </w:r>
      <w:r w:rsidR="005B2991">
        <w:rPr>
          <w:lang w:val="en-AU"/>
        </w:rPr>
        <w:t xml:space="preserve">charged when they </w:t>
      </w:r>
      <w:r w:rsidRPr="00A81CEE">
        <w:rPr>
          <w:lang w:val="en-AU"/>
        </w:rPr>
        <w:t>need 1:1 self-care during their group-based support?</w:t>
      </w:r>
      <w:bookmarkEnd w:id="9"/>
    </w:p>
    <w:p w14:paraId="711E4FCE" w14:textId="77777777" w:rsidR="00A81CEE" w:rsidRPr="00A81CEE" w:rsidRDefault="00A81CEE" w:rsidP="00A81CEE">
      <w:pPr>
        <w:spacing w:line="276" w:lineRule="auto"/>
        <w:rPr>
          <w:sz w:val="24"/>
          <w:szCs w:val="28"/>
          <w:lang w:val="en-AU"/>
        </w:rPr>
      </w:pPr>
      <w:r w:rsidRPr="00A81CEE">
        <w:rPr>
          <w:sz w:val="24"/>
          <w:szCs w:val="28"/>
          <w:lang w:val="en-AU"/>
        </w:rPr>
        <w:t xml:space="preserve">Ultimately this is a commercial business decision for </w:t>
      </w:r>
      <w:r w:rsidR="00112FFE">
        <w:rPr>
          <w:sz w:val="24"/>
          <w:szCs w:val="28"/>
          <w:lang w:val="en-AU"/>
        </w:rPr>
        <w:t>each provider</w:t>
      </w:r>
      <w:r w:rsidRPr="00A81CEE">
        <w:rPr>
          <w:sz w:val="24"/>
          <w:szCs w:val="28"/>
          <w:lang w:val="en-AU"/>
        </w:rPr>
        <w:t>.</w:t>
      </w:r>
    </w:p>
    <w:p w14:paraId="32E88AB2" w14:textId="77777777" w:rsidR="00A81CEE" w:rsidRPr="00A81CEE" w:rsidRDefault="00A81CEE" w:rsidP="00A81CEE">
      <w:pPr>
        <w:spacing w:line="276" w:lineRule="auto"/>
        <w:rPr>
          <w:sz w:val="24"/>
          <w:szCs w:val="28"/>
          <w:lang w:val="en-AU"/>
        </w:rPr>
      </w:pPr>
      <w:r w:rsidRPr="00A81CEE">
        <w:rPr>
          <w:sz w:val="24"/>
          <w:szCs w:val="28"/>
          <w:lang w:val="en-AU"/>
        </w:rPr>
        <w:t xml:space="preserve">Some things </w:t>
      </w:r>
      <w:r w:rsidR="00112FFE">
        <w:rPr>
          <w:sz w:val="24"/>
          <w:szCs w:val="28"/>
          <w:lang w:val="en-AU"/>
        </w:rPr>
        <w:t>providers should</w:t>
      </w:r>
      <w:r w:rsidRPr="00A81CEE">
        <w:rPr>
          <w:sz w:val="24"/>
          <w:szCs w:val="28"/>
          <w:lang w:val="en-AU"/>
        </w:rPr>
        <w:t xml:space="preserve"> consider in making a decision include:</w:t>
      </w:r>
    </w:p>
    <w:p w14:paraId="1E1DA80E" w14:textId="77777777" w:rsidR="00A81CEE" w:rsidRPr="00A81CEE" w:rsidRDefault="00A81CEE" w:rsidP="00A81CEE">
      <w:pPr>
        <w:numPr>
          <w:ilvl w:val="0"/>
          <w:numId w:val="10"/>
        </w:numPr>
        <w:spacing w:line="276" w:lineRule="auto"/>
        <w:rPr>
          <w:sz w:val="24"/>
          <w:szCs w:val="28"/>
          <w:lang w:val="en-AU"/>
        </w:rPr>
      </w:pPr>
      <w:r w:rsidRPr="00A81CEE">
        <w:rPr>
          <w:sz w:val="24"/>
          <w:szCs w:val="28"/>
          <w:lang w:val="en-AU"/>
        </w:rPr>
        <w:t>Whether the activity is resourced and available to the participant for the full group-based support, regardless of 1:1 self-care needs (i.e., if the self-care takes 20 minutes instead of 30, is the participant able to re-join the group for that extra 10 minutes);</w:t>
      </w:r>
    </w:p>
    <w:p w14:paraId="72C4EF4F" w14:textId="419B0ABD" w:rsidR="00A81CEE" w:rsidRPr="00A81CEE" w:rsidRDefault="00A81CEE" w:rsidP="00A81CEE">
      <w:pPr>
        <w:numPr>
          <w:ilvl w:val="0"/>
          <w:numId w:val="10"/>
        </w:numPr>
        <w:spacing w:line="276" w:lineRule="auto"/>
        <w:rPr>
          <w:sz w:val="24"/>
          <w:szCs w:val="28"/>
          <w:lang w:val="en-AU"/>
        </w:rPr>
      </w:pPr>
      <w:r w:rsidRPr="00A81CEE">
        <w:rPr>
          <w:sz w:val="24"/>
          <w:szCs w:val="28"/>
          <w:lang w:val="en-AU"/>
        </w:rPr>
        <w:t>Considering the same scenario for the other participants, for example</w:t>
      </w:r>
      <w:r w:rsidR="00780207">
        <w:rPr>
          <w:sz w:val="24"/>
          <w:szCs w:val="28"/>
          <w:lang w:val="en-AU"/>
        </w:rPr>
        <w:t>,</w:t>
      </w:r>
      <w:r w:rsidRPr="00A81CEE">
        <w:rPr>
          <w:sz w:val="24"/>
          <w:szCs w:val="28"/>
          <w:lang w:val="en-AU"/>
        </w:rPr>
        <w:t xml:space="preserve"> if a participant who can attend to self-care tasks unassisted spent 15 minutes in the bathroom during a 4</w:t>
      </w:r>
      <w:r w:rsidR="002F6266">
        <w:rPr>
          <w:sz w:val="24"/>
          <w:szCs w:val="28"/>
          <w:lang w:val="en-AU"/>
        </w:rPr>
        <w:t>-</w:t>
      </w:r>
      <w:r w:rsidRPr="00A81CEE">
        <w:rPr>
          <w:sz w:val="24"/>
          <w:szCs w:val="28"/>
          <w:lang w:val="en-AU"/>
        </w:rPr>
        <w:t>hour activity, would it be a reasonable expectation to charge them 3 hours</w:t>
      </w:r>
      <w:r w:rsidR="000159F7">
        <w:rPr>
          <w:sz w:val="24"/>
          <w:szCs w:val="28"/>
          <w:lang w:val="en-AU"/>
        </w:rPr>
        <w:t xml:space="preserve"> and 45 minutes</w:t>
      </w:r>
      <w:r w:rsidRPr="00A81CEE">
        <w:rPr>
          <w:sz w:val="24"/>
          <w:szCs w:val="28"/>
          <w:lang w:val="en-AU"/>
        </w:rPr>
        <w:t xml:space="preserve"> of group time instead of 4</w:t>
      </w:r>
      <w:r w:rsidR="000159F7">
        <w:rPr>
          <w:sz w:val="24"/>
          <w:szCs w:val="28"/>
          <w:lang w:val="en-AU"/>
        </w:rPr>
        <w:t xml:space="preserve"> hours</w:t>
      </w:r>
      <w:r w:rsidRPr="00A81CEE">
        <w:rPr>
          <w:sz w:val="24"/>
          <w:szCs w:val="28"/>
          <w:lang w:val="en-AU"/>
        </w:rPr>
        <w:t>?</w:t>
      </w:r>
    </w:p>
    <w:p w14:paraId="081D9BD2" w14:textId="1F31F208" w:rsidR="00A81CEE" w:rsidRPr="00A81CEE" w:rsidRDefault="00A81CEE" w:rsidP="00A81CEE">
      <w:pPr>
        <w:spacing w:line="276" w:lineRule="auto"/>
        <w:rPr>
          <w:sz w:val="24"/>
          <w:szCs w:val="28"/>
          <w:lang w:val="en-AU"/>
        </w:rPr>
      </w:pPr>
      <w:r w:rsidRPr="00A81CEE">
        <w:rPr>
          <w:sz w:val="24"/>
          <w:szCs w:val="28"/>
          <w:lang w:val="en-AU"/>
        </w:rPr>
        <w:t>Whichever approach is taken, it is expected that this is communicated clearly with the participant, and that appropriate supporting documentation is retained as evidence of support delivery.</w:t>
      </w:r>
    </w:p>
    <w:p w14:paraId="5DC77754" w14:textId="77777777" w:rsidR="00000BB4" w:rsidRDefault="00000BB4">
      <w:pPr>
        <w:spacing w:after="0" w:line="240" w:lineRule="auto"/>
        <w:rPr>
          <w:rFonts w:eastAsia="SimHei"/>
          <w:b/>
          <w:bCs/>
          <w:color w:val="6B2976"/>
          <w:sz w:val="44"/>
          <w:szCs w:val="26"/>
          <w:lang w:val="en-AU" w:eastAsia="en-US"/>
        </w:rPr>
      </w:pPr>
      <w:r>
        <w:rPr>
          <w:rFonts w:eastAsia="SimHei"/>
          <w:lang w:val="en-AU" w:eastAsia="en-US"/>
        </w:rPr>
        <w:br w:type="page"/>
      </w:r>
    </w:p>
    <w:p w14:paraId="72EF6CFA" w14:textId="5173AD2D" w:rsidR="00112FFE" w:rsidRPr="00112FFE" w:rsidRDefault="00112FFE" w:rsidP="00E53454">
      <w:pPr>
        <w:pStyle w:val="Heading2"/>
        <w:numPr>
          <w:ilvl w:val="0"/>
          <w:numId w:val="0"/>
        </w:numPr>
        <w:spacing w:before="600"/>
        <w:rPr>
          <w:rFonts w:eastAsia="SimHei"/>
          <w:lang w:val="en-AU" w:eastAsia="en-US"/>
        </w:rPr>
      </w:pPr>
      <w:bookmarkStart w:id="10" w:name="_Toc143524925"/>
      <w:r>
        <w:rPr>
          <w:rFonts w:eastAsia="SimHei"/>
          <w:noProof/>
          <w:lang w:val="en-AU" w:eastAsia="en-US"/>
        </w:rPr>
        <w:lastRenderedPageBreak/>
        <w:drawing>
          <wp:inline distT="0" distB="0" distL="0" distR="0" wp14:anchorId="199F17F7" wp14:editId="0AEA2AD7">
            <wp:extent cx="603250" cy="733424"/>
            <wp:effectExtent l="0" t="0" r="6350" b="0"/>
            <wp:docPr id="19" name="Picture 19" descr="Icon - Shows this section refers to page 17 of the Pricing Arrangements and Price Limit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 - Shows this section refers to page 17 of the Pricing Arrangements and Price Limits documen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501" r="9374" b="20129"/>
                    <a:stretch/>
                  </pic:blipFill>
                  <pic:spPr bwMode="auto">
                    <a:xfrm>
                      <a:off x="0" y="0"/>
                      <a:ext cx="610167" cy="741833"/>
                    </a:xfrm>
                    <a:prstGeom prst="rect">
                      <a:avLst/>
                    </a:prstGeom>
                    <a:noFill/>
                    <a:ln>
                      <a:noFill/>
                    </a:ln>
                    <a:extLst>
                      <a:ext uri="{53640926-AAD7-44D8-BBD7-CCE9431645EC}">
                        <a14:shadowObscured xmlns:a14="http://schemas.microsoft.com/office/drawing/2010/main"/>
                      </a:ext>
                    </a:extLst>
                  </pic:spPr>
                </pic:pic>
              </a:graphicData>
            </a:graphic>
          </wp:inline>
        </w:drawing>
      </w:r>
      <w:r w:rsidR="00A217BE">
        <w:rPr>
          <w:rFonts w:eastAsia="SimHei"/>
          <w:lang w:val="en-AU" w:eastAsia="en-US"/>
        </w:rPr>
        <w:tab/>
      </w:r>
      <w:r w:rsidRPr="00112FFE">
        <w:rPr>
          <w:rFonts w:eastAsia="SimHei"/>
          <w:lang w:val="en-AU" w:eastAsia="en-US"/>
        </w:rPr>
        <w:t>Non-Face-to-Face Supports</w:t>
      </w:r>
      <w:bookmarkEnd w:id="10"/>
    </w:p>
    <w:p w14:paraId="66349AAB" w14:textId="27CF63A5" w:rsidR="00112FFE" w:rsidRPr="00112FFE" w:rsidRDefault="00112FFE" w:rsidP="00112FFE">
      <w:pPr>
        <w:pStyle w:val="Heading3"/>
        <w:numPr>
          <w:ilvl w:val="0"/>
          <w:numId w:val="0"/>
        </w:numPr>
        <w:spacing w:before="480"/>
        <w:rPr>
          <w:rFonts w:eastAsia="SimHei"/>
          <w:lang w:val="en-AU" w:eastAsia="en-US"/>
        </w:rPr>
      </w:pPr>
      <w:bookmarkStart w:id="11" w:name="_Toc143524926"/>
      <w:r w:rsidRPr="00112FFE">
        <w:rPr>
          <w:rFonts w:eastAsia="SimHei"/>
          <w:lang w:val="en-AU" w:eastAsia="en-US"/>
        </w:rPr>
        <w:t xml:space="preserve">How does </w:t>
      </w:r>
      <w:r w:rsidR="00A33FD8">
        <w:rPr>
          <w:rFonts w:eastAsia="SimHei"/>
          <w:lang w:val="en-AU" w:eastAsia="en-US"/>
        </w:rPr>
        <w:t>N</w:t>
      </w:r>
      <w:r w:rsidR="00A33FD8" w:rsidRPr="00112FFE">
        <w:rPr>
          <w:rFonts w:eastAsia="SimHei"/>
          <w:lang w:val="en-AU" w:eastAsia="en-US"/>
        </w:rPr>
        <w:t>on</w:t>
      </w:r>
      <w:r w:rsidRPr="00112FFE">
        <w:rPr>
          <w:rFonts w:eastAsia="SimHei"/>
          <w:lang w:val="en-AU" w:eastAsia="en-US"/>
        </w:rPr>
        <w:t>-</w:t>
      </w:r>
      <w:r w:rsidR="00A33FD8">
        <w:rPr>
          <w:rFonts w:eastAsia="SimHei"/>
          <w:lang w:val="en-AU" w:eastAsia="en-US"/>
        </w:rPr>
        <w:t>F</w:t>
      </w:r>
      <w:r w:rsidR="00A33FD8" w:rsidRPr="00112FFE">
        <w:rPr>
          <w:rFonts w:eastAsia="SimHei"/>
          <w:lang w:val="en-AU" w:eastAsia="en-US"/>
        </w:rPr>
        <w:t>ace</w:t>
      </w:r>
      <w:r w:rsidRPr="00112FFE">
        <w:rPr>
          <w:rFonts w:eastAsia="SimHei"/>
          <w:lang w:val="en-AU" w:eastAsia="en-US"/>
        </w:rPr>
        <w:t>-to-</w:t>
      </w:r>
      <w:r w:rsidR="00A33FD8">
        <w:rPr>
          <w:rFonts w:eastAsia="SimHei"/>
          <w:lang w:val="en-AU" w:eastAsia="en-US"/>
        </w:rPr>
        <w:t>F</w:t>
      </w:r>
      <w:r w:rsidR="00A33FD8" w:rsidRPr="00112FFE">
        <w:rPr>
          <w:rFonts w:eastAsia="SimHei"/>
          <w:lang w:val="en-AU" w:eastAsia="en-US"/>
        </w:rPr>
        <w:t xml:space="preserve">ace </w:t>
      </w:r>
      <w:r w:rsidRPr="00112FFE">
        <w:rPr>
          <w:rFonts w:eastAsia="SimHei"/>
          <w:lang w:val="en-AU" w:eastAsia="en-US"/>
        </w:rPr>
        <w:t>claiming work for group-based supports?</w:t>
      </w:r>
      <w:bookmarkEnd w:id="11"/>
    </w:p>
    <w:p w14:paraId="0B1E8909" w14:textId="5A2C1B2F" w:rsidR="00112FFE" w:rsidRPr="00112FFE" w:rsidRDefault="00112FFE" w:rsidP="00112FFE">
      <w:pPr>
        <w:suppressAutoHyphens/>
        <w:rPr>
          <w:rFonts w:eastAsia="Arial" w:cs="Cordia New"/>
          <w:sz w:val="24"/>
          <w:szCs w:val="28"/>
          <w:lang w:val="en-AU" w:eastAsia="en-US"/>
        </w:rPr>
      </w:pPr>
      <w:r w:rsidRPr="00112FFE">
        <w:rPr>
          <w:rFonts w:eastAsia="Arial" w:cs="Cordia New"/>
          <w:sz w:val="24"/>
          <w:szCs w:val="28"/>
          <w:lang w:val="en-AU" w:eastAsia="en-US"/>
        </w:rPr>
        <w:t xml:space="preserve">Under the new pricing arrangement, providers and participants have more flexibility to agree on </w:t>
      </w:r>
      <w:r w:rsidR="00A33FD8">
        <w:rPr>
          <w:rFonts w:eastAsia="Arial" w:cs="Cordia New"/>
          <w:sz w:val="24"/>
          <w:szCs w:val="28"/>
          <w:lang w:val="en-AU" w:eastAsia="en-US"/>
        </w:rPr>
        <w:t>N</w:t>
      </w:r>
      <w:r w:rsidR="00A33FD8" w:rsidRPr="00112FFE">
        <w:rPr>
          <w:rFonts w:eastAsia="Arial" w:cs="Cordia New"/>
          <w:sz w:val="24"/>
          <w:szCs w:val="28"/>
          <w:lang w:val="en-AU" w:eastAsia="en-US"/>
        </w:rPr>
        <w:t>on</w:t>
      </w:r>
      <w:r w:rsidRPr="00112FFE">
        <w:rPr>
          <w:rFonts w:eastAsia="Arial" w:cs="Cordia New"/>
          <w:sz w:val="24"/>
          <w:szCs w:val="28"/>
          <w:lang w:val="en-AU" w:eastAsia="en-US"/>
        </w:rPr>
        <w:t>-</w:t>
      </w:r>
      <w:r w:rsidR="00A33FD8">
        <w:rPr>
          <w:rFonts w:eastAsia="Arial" w:cs="Cordia New"/>
          <w:sz w:val="24"/>
          <w:szCs w:val="28"/>
          <w:lang w:val="en-AU" w:eastAsia="en-US"/>
        </w:rPr>
        <w:t>F</w:t>
      </w:r>
      <w:r w:rsidR="00A33FD8" w:rsidRPr="00112FFE">
        <w:rPr>
          <w:rFonts w:eastAsia="Arial" w:cs="Cordia New"/>
          <w:sz w:val="24"/>
          <w:szCs w:val="28"/>
          <w:lang w:val="en-AU" w:eastAsia="en-US"/>
        </w:rPr>
        <w:t>ace</w:t>
      </w:r>
      <w:r w:rsidRPr="00112FFE">
        <w:rPr>
          <w:rFonts w:eastAsia="Arial" w:cs="Cordia New"/>
          <w:sz w:val="24"/>
          <w:szCs w:val="28"/>
          <w:lang w:val="en-AU" w:eastAsia="en-US"/>
        </w:rPr>
        <w:t>-to-</w:t>
      </w:r>
      <w:r w:rsidR="00A33FD8">
        <w:rPr>
          <w:rFonts w:eastAsia="Arial" w:cs="Cordia New"/>
          <w:sz w:val="24"/>
          <w:szCs w:val="28"/>
          <w:lang w:val="en-AU" w:eastAsia="en-US"/>
        </w:rPr>
        <w:t>F</w:t>
      </w:r>
      <w:r w:rsidR="00A33FD8" w:rsidRPr="00112FFE">
        <w:rPr>
          <w:rFonts w:eastAsia="Arial" w:cs="Cordia New"/>
          <w:sz w:val="24"/>
          <w:szCs w:val="28"/>
          <w:lang w:val="en-AU" w:eastAsia="en-US"/>
        </w:rPr>
        <w:t>ace</w:t>
      </w:r>
      <w:r w:rsidR="00A33FD8">
        <w:rPr>
          <w:rFonts w:eastAsia="Arial" w:cs="Cordia New"/>
          <w:sz w:val="24"/>
          <w:szCs w:val="28"/>
          <w:lang w:val="en-AU" w:eastAsia="en-US"/>
        </w:rPr>
        <w:t xml:space="preserve"> </w:t>
      </w:r>
      <w:r w:rsidR="0025230C">
        <w:rPr>
          <w:rFonts w:eastAsia="Arial" w:cs="Cordia New"/>
          <w:sz w:val="24"/>
          <w:szCs w:val="28"/>
          <w:lang w:val="en-AU" w:eastAsia="en-US"/>
        </w:rPr>
        <w:t>(NF2F)</w:t>
      </w:r>
      <w:r w:rsidRPr="00112FFE">
        <w:rPr>
          <w:rFonts w:eastAsia="Arial" w:cs="Cordia New"/>
          <w:sz w:val="24"/>
          <w:szCs w:val="28"/>
          <w:lang w:val="en-AU" w:eastAsia="en-US"/>
        </w:rPr>
        <w:t xml:space="preserve"> fees that reflect the cost of meeting the individual participant’s needs for a group-based support. They are claimed with the same line item as the relevant direct support; </w:t>
      </w:r>
      <w:r w:rsidR="000159F7" w:rsidRPr="00112FFE">
        <w:rPr>
          <w:rFonts w:eastAsia="Arial" w:cs="Cordia New"/>
          <w:sz w:val="24"/>
          <w:szCs w:val="28"/>
          <w:lang w:val="en-AU" w:eastAsia="en-US"/>
        </w:rPr>
        <w:t>however,</w:t>
      </w:r>
      <w:r w:rsidRPr="00112FFE">
        <w:rPr>
          <w:rFonts w:eastAsia="Arial" w:cs="Cordia New"/>
          <w:sz w:val="24"/>
          <w:szCs w:val="28"/>
          <w:lang w:val="en-AU" w:eastAsia="en-US"/>
        </w:rPr>
        <w:t xml:space="preserve"> the</w:t>
      </w:r>
      <w:r w:rsidR="00056D64">
        <w:rPr>
          <w:rFonts w:eastAsia="Arial" w:cs="Cordia New"/>
          <w:sz w:val="24"/>
          <w:szCs w:val="28"/>
          <w:lang w:val="en-AU" w:eastAsia="en-US"/>
        </w:rPr>
        <w:t xml:space="preserve"> “N</w:t>
      </w:r>
      <w:r w:rsidR="0025230C">
        <w:rPr>
          <w:rFonts w:eastAsia="Arial" w:cs="Cordia New"/>
          <w:sz w:val="24"/>
          <w:szCs w:val="28"/>
          <w:lang w:val="en-AU" w:eastAsia="en-US"/>
        </w:rPr>
        <w:t>on-</w:t>
      </w:r>
      <w:r w:rsidR="00056D64">
        <w:rPr>
          <w:rFonts w:eastAsia="Arial" w:cs="Cordia New"/>
          <w:sz w:val="24"/>
          <w:szCs w:val="28"/>
          <w:lang w:val="en-AU" w:eastAsia="en-US"/>
        </w:rPr>
        <w:t>F</w:t>
      </w:r>
      <w:r w:rsidR="0025230C">
        <w:rPr>
          <w:rFonts w:eastAsia="Arial" w:cs="Cordia New"/>
          <w:sz w:val="24"/>
          <w:szCs w:val="28"/>
          <w:lang w:val="en-AU" w:eastAsia="en-US"/>
        </w:rPr>
        <w:t>ace-to-</w:t>
      </w:r>
      <w:r w:rsidR="00056D64">
        <w:rPr>
          <w:rFonts w:eastAsia="Arial" w:cs="Cordia New"/>
          <w:sz w:val="24"/>
          <w:szCs w:val="28"/>
          <w:lang w:val="en-AU" w:eastAsia="en-US"/>
        </w:rPr>
        <w:t>F</w:t>
      </w:r>
      <w:r w:rsidR="0025230C">
        <w:rPr>
          <w:rFonts w:eastAsia="Arial" w:cs="Cordia New"/>
          <w:sz w:val="24"/>
          <w:szCs w:val="28"/>
          <w:lang w:val="en-AU" w:eastAsia="en-US"/>
        </w:rPr>
        <w:t>ace”</w:t>
      </w:r>
      <w:r w:rsidRPr="00112FFE">
        <w:rPr>
          <w:rFonts w:eastAsia="Arial" w:cs="Cordia New"/>
          <w:sz w:val="24"/>
          <w:szCs w:val="28"/>
          <w:lang w:val="en-AU" w:eastAsia="en-US"/>
        </w:rPr>
        <w:t xml:space="preserve"> claim type is selected, differentiating it from the claim</w:t>
      </w:r>
      <w:r w:rsidR="00A002D6">
        <w:rPr>
          <w:rFonts w:eastAsia="Arial" w:cs="Cordia New"/>
          <w:sz w:val="24"/>
          <w:szCs w:val="28"/>
          <w:lang w:val="en-AU" w:eastAsia="en-US"/>
        </w:rPr>
        <w:t xml:space="preserve"> for the direct support</w:t>
      </w:r>
      <w:r w:rsidRPr="00112FFE">
        <w:rPr>
          <w:rFonts w:eastAsia="Arial" w:cs="Cordia New"/>
          <w:sz w:val="24"/>
          <w:szCs w:val="28"/>
          <w:lang w:val="en-AU" w:eastAsia="en-US"/>
        </w:rPr>
        <w:t>.</w:t>
      </w:r>
      <w:r w:rsidR="00A002D6">
        <w:rPr>
          <w:rFonts w:eastAsia="Arial" w:cs="Cordia New"/>
          <w:sz w:val="24"/>
          <w:szCs w:val="28"/>
          <w:lang w:val="en-AU" w:eastAsia="en-US"/>
        </w:rPr>
        <w:t xml:space="preserve"> For more information on claiming, please see the </w:t>
      </w:r>
      <w:r w:rsidR="000159F7">
        <w:rPr>
          <w:rFonts w:eastAsia="Arial" w:cs="Cordia New"/>
          <w:sz w:val="24"/>
          <w:szCs w:val="28"/>
          <w:lang w:val="en-AU" w:eastAsia="en-US"/>
        </w:rPr>
        <w:t>“</w:t>
      </w:r>
      <w:r w:rsidR="00A002D6">
        <w:rPr>
          <w:rFonts w:eastAsia="Arial" w:cs="Cordia New"/>
          <w:sz w:val="24"/>
          <w:szCs w:val="28"/>
          <w:lang w:val="en-AU" w:eastAsia="en-US"/>
        </w:rPr>
        <w:t>Using the myplace provider portal step by step guide</w:t>
      </w:r>
      <w:r w:rsidR="000159F7">
        <w:rPr>
          <w:rFonts w:eastAsia="Arial" w:cs="Cordia New"/>
          <w:sz w:val="24"/>
          <w:szCs w:val="28"/>
          <w:lang w:val="en-AU" w:eastAsia="en-US"/>
        </w:rPr>
        <w:t xml:space="preserve">” </w:t>
      </w:r>
      <w:r w:rsidR="00A002D6">
        <w:rPr>
          <w:rFonts w:eastAsia="Arial" w:cs="Cordia New"/>
          <w:sz w:val="24"/>
          <w:szCs w:val="28"/>
          <w:lang w:val="en-AU" w:eastAsia="en-US"/>
        </w:rPr>
        <w:t xml:space="preserve">on the </w:t>
      </w:r>
      <w:hyperlink r:id="rId18" w:anchor="guides" w:history="1">
        <w:r w:rsidR="00A002D6" w:rsidRPr="00A002D6">
          <w:rPr>
            <w:rStyle w:val="Hyperlink"/>
            <w:rFonts w:eastAsia="Arial" w:cs="Cordia New"/>
            <w:sz w:val="24"/>
            <w:szCs w:val="28"/>
            <w:lang w:val="en-AU" w:eastAsia="en-US"/>
          </w:rPr>
          <w:t>NDIS website</w:t>
        </w:r>
      </w:hyperlink>
      <w:r w:rsidR="00A002D6">
        <w:rPr>
          <w:rFonts w:eastAsia="Arial" w:cs="Cordia New"/>
          <w:sz w:val="24"/>
          <w:szCs w:val="28"/>
          <w:lang w:val="en-AU" w:eastAsia="en-US"/>
        </w:rPr>
        <w:t>.</w:t>
      </w:r>
    </w:p>
    <w:p w14:paraId="0E179DB3" w14:textId="3C390406" w:rsidR="008941BB" w:rsidRDefault="0025230C" w:rsidP="00112FFE">
      <w:pPr>
        <w:suppressAutoHyphens/>
        <w:rPr>
          <w:rFonts w:eastAsia="Arial" w:cs="Cordia New"/>
          <w:sz w:val="24"/>
          <w:szCs w:val="28"/>
          <w:lang w:val="en-AU" w:eastAsia="en-US"/>
        </w:rPr>
      </w:pPr>
      <w:r>
        <w:rPr>
          <w:rFonts w:eastAsia="Arial" w:cs="Cordia New"/>
          <w:sz w:val="24"/>
          <w:szCs w:val="28"/>
          <w:lang w:val="en-AU" w:eastAsia="en-US"/>
        </w:rPr>
        <w:t>NF2F</w:t>
      </w:r>
      <w:r w:rsidR="00112FFE" w:rsidRPr="00112FFE">
        <w:rPr>
          <w:rFonts w:eastAsia="Arial" w:cs="Cordia New"/>
          <w:sz w:val="24"/>
          <w:szCs w:val="28"/>
          <w:lang w:val="en-AU" w:eastAsia="en-US"/>
        </w:rPr>
        <w:t xml:space="preserve"> </w:t>
      </w:r>
      <w:r w:rsidR="005E3353">
        <w:rPr>
          <w:rFonts w:eastAsia="Arial" w:cs="Cordia New"/>
          <w:sz w:val="24"/>
          <w:szCs w:val="28"/>
          <w:lang w:val="en-AU" w:eastAsia="en-US"/>
        </w:rPr>
        <w:t xml:space="preserve">supports </w:t>
      </w:r>
      <w:r w:rsidR="00112FFE" w:rsidRPr="00112FFE">
        <w:rPr>
          <w:rFonts w:eastAsia="Arial" w:cs="Cordia New"/>
          <w:sz w:val="24"/>
          <w:szCs w:val="28"/>
          <w:lang w:val="en-AU" w:eastAsia="en-US"/>
        </w:rPr>
        <w:t xml:space="preserve">are different from the </w:t>
      </w:r>
      <w:r w:rsidR="0011773C">
        <w:rPr>
          <w:rFonts w:eastAsia="Arial" w:cs="Cordia New"/>
          <w:sz w:val="24"/>
          <w:szCs w:val="28"/>
          <w:lang w:val="en-AU" w:eastAsia="en-US"/>
        </w:rPr>
        <w:t xml:space="preserve">types of </w:t>
      </w:r>
      <w:r w:rsidR="005E3353">
        <w:rPr>
          <w:rFonts w:eastAsia="Arial" w:cs="Cordia New"/>
          <w:sz w:val="24"/>
          <w:szCs w:val="28"/>
          <w:lang w:val="en-AU" w:eastAsia="en-US"/>
        </w:rPr>
        <w:t>tasks that</w:t>
      </w:r>
      <w:r w:rsidR="00670CBC">
        <w:rPr>
          <w:rFonts w:eastAsia="Arial" w:cs="Cordia New"/>
          <w:sz w:val="24"/>
          <w:szCs w:val="28"/>
          <w:lang w:val="en-AU" w:eastAsia="en-US"/>
        </w:rPr>
        <w:t xml:space="preserve"> are covered by the</w:t>
      </w:r>
      <w:r w:rsidR="005E3353">
        <w:rPr>
          <w:rFonts w:eastAsia="Arial" w:cs="Cordia New"/>
          <w:sz w:val="24"/>
          <w:szCs w:val="28"/>
          <w:lang w:val="en-AU" w:eastAsia="en-US"/>
        </w:rPr>
        <w:t xml:space="preserve"> </w:t>
      </w:r>
      <w:r w:rsidR="00112FFE" w:rsidRPr="00112FFE">
        <w:rPr>
          <w:rFonts w:eastAsia="Arial" w:cs="Cordia New"/>
          <w:sz w:val="24"/>
          <w:szCs w:val="28"/>
          <w:lang w:val="en-AU" w:eastAsia="en-US"/>
        </w:rPr>
        <w:t xml:space="preserve">administrative and corporate overheads </w:t>
      </w:r>
      <w:r w:rsidR="00670CBC">
        <w:rPr>
          <w:rFonts w:eastAsia="Arial" w:cs="Cordia New"/>
          <w:sz w:val="24"/>
          <w:szCs w:val="28"/>
          <w:lang w:val="en-AU" w:eastAsia="en-US"/>
        </w:rPr>
        <w:t>included</w:t>
      </w:r>
      <w:r w:rsidR="00112FFE" w:rsidRPr="00112FFE">
        <w:rPr>
          <w:rFonts w:eastAsia="Arial" w:cs="Cordia New"/>
          <w:sz w:val="24"/>
          <w:szCs w:val="28"/>
          <w:lang w:val="en-AU" w:eastAsia="en-US"/>
        </w:rPr>
        <w:t xml:space="preserve"> the </w:t>
      </w:r>
      <w:r w:rsidR="00112FFE" w:rsidRPr="000D5C72">
        <w:rPr>
          <w:rFonts w:eastAsia="Arial" w:cs="Cordia New"/>
          <w:sz w:val="24"/>
          <w:szCs w:val="28"/>
          <w:lang w:val="en-AU" w:eastAsia="en-US"/>
        </w:rPr>
        <w:t>Disability Support Worker Cost Model</w:t>
      </w:r>
      <w:r w:rsidR="00C44CCE">
        <w:rPr>
          <w:rFonts w:eastAsia="Arial" w:cs="Cordia New"/>
          <w:sz w:val="24"/>
          <w:szCs w:val="28"/>
          <w:lang w:val="en-AU" w:eastAsia="en-US"/>
        </w:rPr>
        <w:t xml:space="preserve">. These overheads account for </w:t>
      </w:r>
      <w:r w:rsidR="00C62B23">
        <w:rPr>
          <w:rFonts w:eastAsia="Arial" w:cs="Cordia New"/>
          <w:sz w:val="24"/>
          <w:szCs w:val="28"/>
          <w:lang w:val="en-AU" w:eastAsia="en-US"/>
        </w:rPr>
        <w:t xml:space="preserve">a range of tasks </w:t>
      </w:r>
      <w:r w:rsidR="000A5593">
        <w:rPr>
          <w:rFonts w:eastAsia="Arial" w:cs="Cordia New"/>
          <w:sz w:val="24"/>
          <w:szCs w:val="28"/>
          <w:lang w:val="en-AU" w:eastAsia="en-US"/>
        </w:rPr>
        <w:t>like</w:t>
      </w:r>
      <w:r w:rsidR="00F816EE">
        <w:rPr>
          <w:rFonts w:eastAsia="Arial" w:cs="Cordia New"/>
          <w:sz w:val="24"/>
          <w:szCs w:val="28"/>
          <w:lang w:val="en-AU" w:eastAsia="en-US"/>
        </w:rPr>
        <w:t xml:space="preserve"> rostering staff, </w:t>
      </w:r>
      <w:r w:rsidR="00C06FD7">
        <w:rPr>
          <w:rFonts w:eastAsia="Arial" w:cs="Cordia New"/>
          <w:sz w:val="24"/>
          <w:szCs w:val="28"/>
          <w:lang w:val="en-AU" w:eastAsia="en-US"/>
        </w:rPr>
        <w:t>general planning</w:t>
      </w:r>
      <w:r w:rsidR="000A5593">
        <w:rPr>
          <w:rFonts w:eastAsia="Arial" w:cs="Cordia New"/>
          <w:sz w:val="24"/>
          <w:szCs w:val="28"/>
          <w:lang w:val="en-AU" w:eastAsia="en-US"/>
        </w:rPr>
        <w:t xml:space="preserve"> for activities</w:t>
      </w:r>
      <w:r w:rsidR="001A3365">
        <w:rPr>
          <w:rFonts w:eastAsia="Arial" w:cs="Cordia New"/>
          <w:sz w:val="24"/>
          <w:szCs w:val="28"/>
          <w:lang w:val="en-AU" w:eastAsia="en-US"/>
        </w:rPr>
        <w:t xml:space="preserve"> or programs</w:t>
      </w:r>
      <w:r w:rsidR="00C06FD7">
        <w:rPr>
          <w:rFonts w:eastAsia="Arial" w:cs="Cordia New"/>
          <w:sz w:val="24"/>
          <w:szCs w:val="28"/>
          <w:lang w:val="en-AU" w:eastAsia="en-US"/>
        </w:rPr>
        <w:t xml:space="preserve">, </w:t>
      </w:r>
      <w:r w:rsidR="00F816EE">
        <w:rPr>
          <w:rFonts w:eastAsia="Arial" w:cs="Cordia New"/>
          <w:sz w:val="24"/>
          <w:szCs w:val="28"/>
          <w:lang w:val="en-AU" w:eastAsia="en-US"/>
        </w:rPr>
        <w:t>invoicing and claiming</w:t>
      </w:r>
      <w:r w:rsidR="00290A78">
        <w:rPr>
          <w:rFonts w:eastAsia="Arial" w:cs="Cordia New"/>
          <w:sz w:val="24"/>
          <w:szCs w:val="28"/>
          <w:lang w:val="en-AU" w:eastAsia="en-US"/>
        </w:rPr>
        <w:t>,</w:t>
      </w:r>
      <w:r w:rsidR="00C06FD7">
        <w:rPr>
          <w:rFonts w:eastAsia="Arial" w:cs="Cordia New"/>
          <w:sz w:val="24"/>
          <w:szCs w:val="28"/>
          <w:lang w:val="en-AU" w:eastAsia="en-US"/>
        </w:rPr>
        <w:t xml:space="preserve"> </w:t>
      </w:r>
      <w:r w:rsidR="00290A78">
        <w:rPr>
          <w:rFonts w:eastAsia="Arial" w:cs="Cordia New"/>
          <w:sz w:val="24"/>
          <w:szCs w:val="28"/>
          <w:lang w:val="en-AU" w:eastAsia="en-US"/>
        </w:rPr>
        <w:t xml:space="preserve">as well as </w:t>
      </w:r>
      <w:r w:rsidR="004924CF">
        <w:rPr>
          <w:rFonts w:eastAsia="Arial" w:cs="Cordia New"/>
          <w:sz w:val="24"/>
          <w:szCs w:val="28"/>
          <w:lang w:val="en-AU" w:eastAsia="en-US"/>
        </w:rPr>
        <w:t xml:space="preserve">standard </w:t>
      </w:r>
      <w:r w:rsidR="004149A4">
        <w:rPr>
          <w:rFonts w:eastAsia="Arial" w:cs="Cordia New"/>
          <w:sz w:val="24"/>
          <w:szCs w:val="28"/>
          <w:lang w:val="en-AU" w:eastAsia="en-US"/>
        </w:rPr>
        <w:t xml:space="preserve">record keeping and </w:t>
      </w:r>
      <w:r w:rsidR="00341B7B">
        <w:rPr>
          <w:rFonts w:eastAsia="Arial" w:cs="Cordia New"/>
          <w:sz w:val="24"/>
          <w:szCs w:val="28"/>
          <w:lang w:val="en-AU" w:eastAsia="en-US"/>
        </w:rPr>
        <w:t>routine communication</w:t>
      </w:r>
      <w:r w:rsidR="005728DD">
        <w:rPr>
          <w:rFonts w:eastAsia="Arial" w:cs="Cordia New"/>
          <w:sz w:val="24"/>
          <w:szCs w:val="28"/>
          <w:lang w:val="en-AU" w:eastAsia="en-US"/>
        </w:rPr>
        <w:t>.</w:t>
      </w:r>
    </w:p>
    <w:p w14:paraId="1979C36B" w14:textId="5027C2A5" w:rsidR="007B04A8" w:rsidRDefault="00AA674F" w:rsidP="00112FFE">
      <w:pPr>
        <w:suppressAutoHyphens/>
        <w:rPr>
          <w:rFonts w:eastAsia="Arial" w:cs="Cordia New"/>
          <w:sz w:val="24"/>
          <w:szCs w:val="28"/>
          <w:lang w:val="en-AU" w:eastAsia="en-US"/>
        </w:rPr>
      </w:pPr>
      <w:r w:rsidRPr="00112FFE">
        <w:rPr>
          <w:rFonts w:eastAsia="Arial" w:cs="Cordia New"/>
          <w:sz w:val="24"/>
          <w:szCs w:val="28"/>
          <w:lang w:val="en-AU" w:eastAsia="en-US"/>
        </w:rPr>
        <w:t xml:space="preserve">Claimable </w:t>
      </w:r>
      <w:r w:rsidR="0025230C">
        <w:rPr>
          <w:rFonts w:eastAsia="Arial" w:cs="Cordia New"/>
          <w:sz w:val="24"/>
          <w:szCs w:val="28"/>
          <w:lang w:val="en-AU" w:eastAsia="en-US"/>
        </w:rPr>
        <w:t>NF2F</w:t>
      </w:r>
      <w:r w:rsidRPr="00112FFE">
        <w:rPr>
          <w:rFonts w:eastAsia="Arial" w:cs="Cordia New"/>
          <w:sz w:val="24"/>
          <w:szCs w:val="28"/>
          <w:lang w:val="en-AU" w:eastAsia="en-US"/>
        </w:rPr>
        <w:t xml:space="preserve"> costs are the indirect supports specifically required to deliver group-based supports to a participant. </w:t>
      </w:r>
      <w:r w:rsidR="008941BB">
        <w:rPr>
          <w:rFonts w:eastAsia="Arial" w:cs="Cordia New"/>
          <w:sz w:val="24"/>
          <w:szCs w:val="28"/>
          <w:lang w:val="en-AU" w:eastAsia="en-US"/>
        </w:rPr>
        <w:t>There are two main types of</w:t>
      </w:r>
      <w:r w:rsidR="00373A05">
        <w:rPr>
          <w:rFonts w:eastAsia="Arial" w:cs="Cordia New"/>
          <w:sz w:val="24"/>
          <w:szCs w:val="28"/>
          <w:lang w:val="en-AU" w:eastAsia="en-US"/>
        </w:rPr>
        <w:t xml:space="preserve"> </w:t>
      </w:r>
      <w:r w:rsidR="005728DD">
        <w:rPr>
          <w:rFonts w:eastAsia="Arial" w:cs="Cordia New"/>
          <w:sz w:val="24"/>
          <w:szCs w:val="28"/>
          <w:lang w:val="en-AU" w:eastAsia="en-US"/>
        </w:rPr>
        <w:t>NF2F supports</w:t>
      </w:r>
      <w:r w:rsidR="00373A05">
        <w:rPr>
          <w:rFonts w:eastAsia="Arial" w:cs="Cordia New"/>
          <w:sz w:val="24"/>
          <w:szCs w:val="28"/>
          <w:lang w:val="en-AU" w:eastAsia="en-US"/>
        </w:rPr>
        <w:t xml:space="preserve"> </w:t>
      </w:r>
      <w:r w:rsidR="00887317">
        <w:rPr>
          <w:rFonts w:eastAsia="Arial" w:cs="Cordia New"/>
          <w:sz w:val="24"/>
          <w:szCs w:val="28"/>
          <w:lang w:val="en-AU" w:eastAsia="en-US"/>
        </w:rPr>
        <w:t>that are relevant</w:t>
      </w:r>
      <w:r w:rsidR="005B264B">
        <w:rPr>
          <w:rFonts w:eastAsia="Arial" w:cs="Cordia New"/>
          <w:sz w:val="24"/>
          <w:szCs w:val="28"/>
          <w:lang w:val="en-AU" w:eastAsia="en-US"/>
        </w:rPr>
        <w:t>. These are</w:t>
      </w:r>
      <w:r w:rsidR="007B04A8">
        <w:rPr>
          <w:rFonts w:eastAsia="Arial" w:cs="Cordia New"/>
          <w:sz w:val="24"/>
          <w:szCs w:val="28"/>
          <w:lang w:val="en-AU" w:eastAsia="en-US"/>
        </w:rPr>
        <w:t>:</w:t>
      </w:r>
    </w:p>
    <w:p w14:paraId="7D338124" w14:textId="77777777" w:rsidR="00887317" w:rsidRPr="00C772A1" w:rsidRDefault="00887317" w:rsidP="00887317">
      <w:pPr>
        <w:pStyle w:val="ListParagraph"/>
        <w:numPr>
          <w:ilvl w:val="0"/>
          <w:numId w:val="16"/>
        </w:numPr>
        <w:suppressAutoHyphens/>
        <w:rPr>
          <w:rFonts w:eastAsia="Arial" w:cs="Cordia New"/>
          <w:sz w:val="24"/>
          <w:szCs w:val="28"/>
          <w:lang w:val="en-AU" w:eastAsia="en-US"/>
        </w:rPr>
      </w:pPr>
      <w:r w:rsidRPr="00F82F36">
        <w:rPr>
          <w:rFonts w:eastAsia="Arial" w:cs="Cordia New"/>
          <w:b/>
          <w:bCs/>
          <w:sz w:val="24"/>
          <w:szCs w:val="28"/>
          <w:lang w:val="en-AU" w:eastAsia="en-US"/>
        </w:rPr>
        <w:t>Disability specific individual supports</w:t>
      </w:r>
      <w:r>
        <w:rPr>
          <w:rFonts w:eastAsia="Arial" w:cs="Cordia New"/>
          <w:sz w:val="24"/>
          <w:szCs w:val="28"/>
          <w:lang w:val="en-AU" w:eastAsia="en-US"/>
        </w:rPr>
        <w:t xml:space="preserve">, for example </w:t>
      </w:r>
      <w:r w:rsidRPr="00C772A1">
        <w:rPr>
          <w:rFonts w:eastAsia="Arial" w:cs="Cordia New"/>
          <w:sz w:val="24"/>
          <w:szCs w:val="28"/>
          <w:lang w:val="en-AU" w:eastAsia="en-US"/>
        </w:rPr>
        <w:t>adapting an activity so that a participant can safely and effectively participate</w:t>
      </w:r>
      <w:r>
        <w:rPr>
          <w:rFonts w:eastAsia="Arial" w:cs="Cordia New"/>
          <w:sz w:val="24"/>
          <w:szCs w:val="28"/>
          <w:lang w:val="en-AU" w:eastAsia="en-US"/>
        </w:rPr>
        <w:t xml:space="preserve">. </w:t>
      </w:r>
      <w:r w:rsidRPr="00C772A1">
        <w:rPr>
          <w:rFonts w:eastAsia="Arial" w:cs="Cordia New"/>
          <w:sz w:val="24"/>
          <w:szCs w:val="28"/>
          <w:lang w:val="en-AU" w:eastAsia="en-US"/>
        </w:rPr>
        <w:t>These costs</w:t>
      </w:r>
      <w:r>
        <w:rPr>
          <w:rFonts w:eastAsia="Arial" w:cs="Cordia New"/>
          <w:sz w:val="24"/>
          <w:szCs w:val="28"/>
          <w:lang w:val="en-AU" w:eastAsia="en-US"/>
        </w:rPr>
        <w:t xml:space="preserve"> would be charged only to the relevant participant.</w:t>
      </w:r>
    </w:p>
    <w:p w14:paraId="1A510849" w14:textId="2D7C96F7" w:rsidR="007B04A8" w:rsidRDefault="00647A12" w:rsidP="007B04A8">
      <w:pPr>
        <w:pStyle w:val="ListParagraph"/>
        <w:numPr>
          <w:ilvl w:val="0"/>
          <w:numId w:val="16"/>
        </w:numPr>
        <w:suppressAutoHyphens/>
        <w:rPr>
          <w:rFonts w:eastAsia="Arial" w:cs="Cordia New"/>
          <w:sz w:val="24"/>
          <w:szCs w:val="28"/>
          <w:lang w:val="en-AU" w:eastAsia="en-US"/>
        </w:rPr>
      </w:pPr>
      <w:r w:rsidRPr="00F82F36">
        <w:rPr>
          <w:rFonts w:eastAsia="Arial" w:cs="Cordia New"/>
          <w:b/>
          <w:bCs/>
          <w:sz w:val="24"/>
          <w:szCs w:val="28"/>
          <w:lang w:val="en-AU" w:eastAsia="en-US"/>
        </w:rPr>
        <w:t>General tasks</w:t>
      </w:r>
      <w:r>
        <w:rPr>
          <w:rFonts w:eastAsia="Arial" w:cs="Cordia New"/>
          <w:sz w:val="24"/>
          <w:szCs w:val="28"/>
          <w:lang w:val="en-AU" w:eastAsia="en-US"/>
        </w:rPr>
        <w:t xml:space="preserve"> that are required to facilitate a group support, and</w:t>
      </w:r>
      <w:r w:rsidR="003D4DF3">
        <w:rPr>
          <w:rFonts w:eastAsia="Arial" w:cs="Cordia New"/>
          <w:sz w:val="24"/>
          <w:szCs w:val="28"/>
          <w:lang w:val="en-AU" w:eastAsia="en-US"/>
        </w:rPr>
        <w:t xml:space="preserve"> are</w:t>
      </w:r>
      <w:r>
        <w:rPr>
          <w:rFonts w:eastAsia="Arial" w:cs="Cordia New"/>
          <w:sz w:val="24"/>
          <w:szCs w:val="28"/>
          <w:lang w:val="en-AU" w:eastAsia="en-US"/>
        </w:rPr>
        <w:t xml:space="preserve"> necessary across the </w:t>
      </w:r>
      <w:r w:rsidR="0072369D">
        <w:rPr>
          <w:rFonts w:eastAsia="Arial" w:cs="Cordia New"/>
          <w:sz w:val="24"/>
          <w:szCs w:val="28"/>
          <w:lang w:val="en-AU" w:eastAsia="en-US"/>
        </w:rPr>
        <w:t>entire group, for example setting up activity specific equipment.</w:t>
      </w:r>
      <w:r w:rsidR="001D6703">
        <w:rPr>
          <w:rFonts w:eastAsia="Arial" w:cs="Cordia New"/>
          <w:sz w:val="24"/>
          <w:szCs w:val="28"/>
          <w:lang w:val="en-AU" w:eastAsia="en-US"/>
        </w:rPr>
        <w:t xml:space="preserve"> The</w:t>
      </w:r>
      <w:r w:rsidR="00AC6ACE">
        <w:rPr>
          <w:rFonts w:eastAsia="Arial" w:cs="Cordia New"/>
          <w:sz w:val="24"/>
          <w:szCs w:val="28"/>
          <w:lang w:val="en-AU" w:eastAsia="en-US"/>
        </w:rPr>
        <w:t>se</w:t>
      </w:r>
      <w:r w:rsidR="001D6703">
        <w:rPr>
          <w:rFonts w:eastAsia="Arial" w:cs="Cordia New"/>
          <w:sz w:val="24"/>
          <w:szCs w:val="28"/>
          <w:lang w:val="en-AU" w:eastAsia="en-US"/>
        </w:rPr>
        <w:t xml:space="preserve"> </w:t>
      </w:r>
      <w:r w:rsidR="00EA3365">
        <w:rPr>
          <w:rFonts w:eastAsia="Arial" w:cs="Cordia New"/>
          <w:sz w:val="24"/>
          <w:szCs w:val="28"/>
          <w:lang w:val="en-AU" w:eastAsia="en-US"/>
        </w:rPr>
        <w:t>cost</w:t>
      </w:r>
      <w:r w:rsidR="00AC6ACE">
        <w:rPr>
          <w:rFonts w:eastAsia="Arial" w:cs="Cordia New"/>
          <w:sz w:val="24"/>
          <w:szCs w:val="28"/>
          <w:lang w:val="en-AU" w:eastAsia="en-US"/>
        </w:rPr>
        <w:t>s</w:t>
      </w:r>
      <w:r w:rsidR="001D6703">
        <w:rPr>
          <w:rFonts w:eastAsia="Arial" w:cs="Cordia New"/>
          <w:sz w:val="24"/>
          <w:szCs w:val="28"/>
          <w:lang w:val="en-AU" w:eastAsia="en-US"/>
        </w:rPr>
        <w:t xml:space="preserve"> would be shared evenly across all participants in a group.</w:t>
      </w:r>
      <w:r w:rsidR="0072369D">
        <w:rPr>
          <w:rFonts w:eastAsia="Arial" w:cs="Cordia New"/>
          <w:sz w:val="24"/>
          <w:szCs w:val="28"/>
          <w:lang w:val="en-AU" w:eastAsia="en-US"/>
        </w:rPr>
        <w:t xml:space="preserve"> </w:t>
      </w:r>
    </w:p>
    <w:p w14:paraId="2D7BDBDD" w14:textId="31C2644C" w:rsidR="00112FFE" w:rsidRPr="00112FFE" w:rsidRDefault="00AC6ACE" w:rsidP="00112FFE">
      <w:pPr>
        <w:suppressAutoHyphens/>
        <w:rPr>
          <w:rFonts w:eastAsia="Arial" w:cs="Cordia New"/>
          <w:sz w:val="24"/>
          <w:szCs w:val="28"/>
          <w:lang w:val="en-AU" w:eastAsia="en-US"/>
        </w:rPr>
      </w:pPr>
      <w:r>
        <w:rPr>
          <w:rFonts w:eastAsia="Arial" w:cs="Cordia New"/>
          <w:sz w:val="24"/>
          <w:szCs w:val="28"/>
          <w:lang w:val="en-AU" w:eastAsia="en-US"/>
        </w:rPr>
        <w:t>It</w:t>
      </w:r>
      <w:r w:rsidR="00780207">
        <w:rPr>
          <w:rFonts w:eastAsia="Arial" w:cs="Cordia New"/>
          <w:sz w:val="24"/>
          <w:szCs w:val="28"/>
          <w:lang w:val="en-AU" w:eastAsia="en-US"/>
        </w:rPr>
        <w:t>'</w:t>
      </w:r>
      <w:r>
        <w:rPr>
          <w:rFonts w:eastAsia="Arial" w:cs="Cordia New"/>
          <w:sz w:val="24"/>
          <w:szCs w:val="28"/>
          <w:lang w:val="en-AU" w:eastAsia="en-US"/>
        </w:rPr>
        <w:t>s important to note that a</w:t>
      </w:r>
      <w:r w:rsidR="00112FFE" w:rsidRPr="00112FFE">
        <w:rPr>
          <w:rFonts w:eastAsia="Arial" w:cs="Cordia New"/>
          <w:sz w:val="24"/>
          <w:szCs w:val="28"/>
          <w:lang w:val="en-AU" w:eastAsia="en-US"/>
        </w:rPr>
        <w:t xml:space="preserve">ny </w:t>
      </w:r>
      <w:r w:rsidR="00887317">
        <w:rPr>
          <w:rFonts w:eastAsia="Arial" w:cs="Cordia New"/>
          <w:sz w:val="24"/>
          <w:szCs w:val="28"/>
          <w:lang w:val="en-AU" w:eastAsia="en-US"/>
        </w:rPr>
        <w:t xml:space="preserve">NF2F </w:t>
      </w:r>
      <w:r w:rsidR="00112FFE" w:rsidRPr="00112FFE">
        <w:rPr>
          <w:rFonts w:eastAsia="Arial" w:cs="Cordia New"/>
          <w:sz w:val="24"/>
          <w:szCs w:val="28"/>
          <w:lang w:val="en-AU" w:eastAsia="en-US"/>
        </w:rPr>
        <w:t>supports</w:t>
      </w:r>
      <w:r w:rsidR="00887317">
        <w:rPr>
          <w:rFonts w:eastAsia="Arial" w:cs="Cordia New"/>
          <w:sz w:val="24"/>
          <w:szCs w:val="28"/>
          <w:lang w:val="en-AU" w:eastAsia="en-US"/>
        </w:rPr>
        <w:t xml:space="preserve"> and their cost</w:t>
      </w:r>
      <w:r w:rsidR="00112FFE" w:rsidRPr="00112FFE">
        <w:rPr>
          <w:rFonts w:eastAsia="Arial" w:cs="Cordia New"/>
          <w:sz w:val="24"/>
          <w:szCs w:val="28"/>
          <w:lang w:val="en-AU" w:eastAsia="en-US"/>
        </w:rPr>
        <w:t xml:space="preserve"> must be agreed with the Participant </w:t>
      </w:r>
      <w:r>
        <w:rPr>
          <w:rFonts w:eastAsia="Arial" w:cs="Cordia New"/>
          <w:sz w:val="24"/>
          <w:szCs w:val="28"/>
          <w:lang w:val="en-AU" w:eastAsia="en-US"/>
        </w:rPr>
        <w:t xml:space="preserve">in advance, </w:t>
      </w:r>
      <w:r w:rsidR="00112FFE" w:rsidRPr="00112FFE">
        <w:rPr>
          <w:rFonts w:eastAsia="Arial" w:cs="Cordia New"/>
          <w:sz w:val="24"/>
          <w:szCs w:val="28"/>
          <w:lang w:val="en-AU" w:eastAsia="en-US"/>
        </w:rPr>
        <w:t xml:space="preserve">and </w:t>
      </w:r>
      <w:r>
        <w:rPr>
          <w:rFonts w:eastAsia="Arial" w:cs="Cordia New"/>
          <w:sz w:val="24"/>
          <w:szCs w:val="28"/>
          <w:lang w:val="en-AU" w:eastAsia="en-US"/>
        </w:rPr>
        <w:t xml:space="preserve">must be </w:t>
      </w:r>
      <w:r w:rsidR="00112FFE" w:rsidRPr="00112FFE">
        <w:rPr>
          <w:rFonts w:eastAsia="Arial" w:cs="Cordia New"/>
          <w:sz w:val="24"/>
          <w:szCs w:val="28"/>
          <w:lang w:val="en-AU" w:eastAsia="en-US"/>
        </w:rPr>
        <w:t>in line with the</w:t>
      </w:r>
      <w:r>
        <w:rPr>
          <w:rFonts w:eastAsia="Arial" w:cs="Cordia New"/>
          <w:sz w:val="24"/>
          <w:szCs w:val="28"/>
          <w:lang w:val="en-AU" w:eastAsia="en-US"/>
        </w:rPr>
        <w:t xml:space="preserve"> requirements of the</w:t>
      </w:r>
      <w:r w:rsidR="00112FFE" w:rsidRPr="00112FFE">
        <w:rPr>
          <w:rFonts w:eastAsia="Arial" w:cs="Cordia New"/>
          <w:sz w:val="24"/>
          <w:szCs w:val="28"/>
          <w:lang w:val="en-AU" w:eastAsia="en-US"/>
        </w:rPr>
        <w:t xml:space="preserve"> </w:t>
      </w:r>
      <w:r w:rsidR="00112FFE" w:rsidRPr="00112FFE">
        <w:rPr>
          <w:rFonts w:eastAsia="Arial" w:cs="Cordia New"/>
          <w:i/>
          <w:iCs/>
          <w:sz w:val="24"/>
          <w:szCs w:val="28"/>
          <w:lang w:val="en-AU" w:eastAsia="en-US"/>
        </w:rPr>
        <w:t>Pricing Arrangements and Price Limits.</w:t>
      </w:r>
    </w:p>
    <w:p w14:paraId="03AE6C9B" w14:textId="7E51551B" w:rsidR="00112FFE" w:rsidRPr="00112FFE" w:rsidRDefault="00AA674F" w:rsidP="00112FFE">
      <w:pPr>
        <w:suppressAutoHyphens/>
        <w:rPr>
          <w:rFonts w:eastAsia="Arial" w:cs="Cordia New"/>
          <w:sz w:val="24"/>
          <w:szCs w:val="28"/>
          <w:lang w:val="en-AU" w:eastAsia="en-US"/>
        </w:rPr>
      </w:pPr>
      <w:r w:rsidRPr="00AA674F">
        <w:rPr>
          <w:rFonts w:eastAsia="Arial" w:cs="Cordia New"/>
          <w:sz w:val="24"/>
          <w:szCs w:val="28"/>
          <w:lang w:val="en-AU" w:eastAsia="en-US"/>
        </w:rPr>
        <w:t xml:space="preserve">The NDIA has not published an exhaustive list of </w:t>
      </w:r>
      <w:r w:rsidR="00D022A1">
        <w:rPr>
          <w:rFonts w:eastAsia="Arial" w:cs="Cordia New"/>
          <w:sz w:val="24"/>
          <w:szCs w:val="28"/>
          <w:lang w:val="en-AU" w:eastAsia="en-US"/>
        </w:rPr>
        <w:t>NF2F supports</w:t>
      </w:r>
      <w:r w:rsidRPr="00AA674F">
        <w:rPr>
          <w:rFonts w:eastAsia="Arial" w:cs="Cordia New"/>
          <w:sz w:val="24"/>
          <w:szCs w:val="28"/>
          <w:lang w:val="en-AU" w:eastAsia="en-US"/>
        </w:rPr>
        <w:t>, as we recognise that what is a reasonable NF2F support for one participant and activity may not be for another</w:t>
      </w:r>
      <w:r w:rsidR="00112FFE" w:rsidRPr="00112FFE">
        <w:rPr>
          <w:rFonts w:eastAsia="Arial" w:cs="Cordia New"/>
          <w:sz w:val="24"/>
          <w:szCs w:val="28"/>
          <w:lang w:val="en-AU" w:eastAsia="en-US"/>
        </w:rPr>
        <w:t>.</w:t>
      </w:r>
      <w:r w:rsidR="001F18CA">
        <w:rPr>
          <w:rFonts w:eastAsia="Arial" w:cs="Cordia New"/>
          <w:sz w:val="24"/>
          <w:szCs w:val="28"/>
          <w:lang w:val="en-AU" w:eastAsia="en-US"/>
        </w:rPr>
        <w:t xml:space="preserve"> </w:t>
      </w:r>
      <w:r w:rsidR="00112FFE" w:rsidRPr="00112FFE">
        <w:rPr>
          <w:rFonts w:eastAsia="Arial" w:cs="Cordia New"/>
          <w:sz w:val="24"/>
          <w:szCs w:val="28"/>
          <w:lang w:val="en-AU" w:eastAsia="en-US"/>
        </w:rPr>
        <w:t>Consider the following example:</w:t>
      </w:r>
    </w:p>
    <w:p w14:paraId="7BFEC054" w14:textId="77777777" w:rsidR="00A83E34" w:rsidRDefault="00A83E34">
      <w:pPr>
        <w:spacing w:after="0" w:line="240" w:lineRule="auto"/>
        <w:rPr>
          <w:rFonts w:eastAsia="Arial" w:cs="Cordia New"/>
          <w:b/>
          <w:iCs/>
          <w:color w:val="000000"/>
          <w:sz w:val="24"/>
          <w:lang w:val="en-AU" w:eastAsia="en-US"/>
        </w:rPr>
      </w:pPr>
      <w:r>
        <w:rPr>
          <w:rFonts w:eastAsia="Arial" w:cs="Cordia New"/>
          <w:b/>
          <w:iCs/>
          <w:color w:val="000000"/>
          <w:sz w:val="24"/>
          <w:lang w:val="en-AU" w:eastAsia="en-US"/>
        </w:rPr>
        <w:br w:type="page"/>
      </w:r>
    </w:p>
    <w:p w14:paraId="55891614" w14:textId="22002E59" w:rsidR="00112FFE" w:rsidRPr="00112FFE" w:rsidRDefault="006D0113" w:rsidP="003864D5">
      <w:pPr>
        <w:shd w:val="clear" w:color="auto" w:fill="EEE2F3"/>
        <w:tabs>
          <w:tab w:val="left" w:pos="8505"/>
        </w:tabs>
        <w:suppressAutoHyphens/>
        <w:spacing w:before="200" w:after="160"/>
        <w:ind w:left="426" w:right="521"/>
        <w:rPr>
          <w:rFonts w:eastAsia="Arial" w:cs="Cordia New"/>
          <w:b/>
          <w:iCs/>
          <w:color w:val="000000"/>
          <w:sz w:val="24"/>
          <w:lang w:val="en-AU" w:eastAsia="en-US"/>
        </w:rPr>
      </w:pPr>
      <w:r>
        <w:rPr>
          <w:rFonts w:eastAsia="Arial" w:cs="Cordia New"/>
          <w:b/>
          <w:iCs/>
          <w:color w:val="000000"/>
          <w:sz w:val="24"/>
          <w:lang w:val="en-AU" w:eastAsia="en-US"/>
        </w:rPr>
        <w:lastRenderedPageBreak/>
        <w:t>Scenario</w:t>
      </w:r>
    </w:p>
    <w:p w14:paraId="0720D7B5" w14:textId="77777777" w:rsidR="00112FFE" w:rsidRPr="00112FFE" w:rsidRDefault="00112FFE" w:rsidP="003864D5">
      <w:pPr>
        <w:shd w:val="clear" w:color="auto" w:fill="EEE2F3"/>
        <w:tabs>
          <w:tab w:val="left" w:pos="8505"/>
        </w:tabs>
        <w:suppressAutoHyphens/>
        <w:spacing w:before="200" w:after="160"/>
        <w:ind w:left="426" w:right="521"/>
        <w:rPr>
          <w:rFonts w:eastAsia="Arial" w:cs="Cordia New"/>
          <w:bCs/>
          <w:iCs/>
          <w:color w:val="000000"/>
          <w:sz w:val="24"/>
          <w:lang w:val="en-AU" w:eastAsia="en-US"/>
        </w:rPr>
      </w:pPr>
      <w:r w:rsidRPr="00112FFE">
        <w:rPr>
          <w:rFonts w:eastAsia="Arial" w:cs="Cordia New"/>
          <w:bCs/>
          <w:iCs/>
          <w:color w:val="000000"/>
          <w:sz w:val="24"/>
          <w:lang w:val="en-AU" w:eastAsia="en-US"/>
        </w:rPr>
        <w:t>A provider runs a cooking class as a group-based support activity. Could the time shopping for ingredients be claimable as a NF2F support?</w:t>
      </w:r>
    </w:p>
    <w:p w14:paraId="11FFF773" w14:textId="07392603" w:rsidR="00522249" w:rsidRPr="00112FFE" w:rsidRDefault="00522249" w:rsidP="003864D5">
      <w:pPr>
        <w:shd w:val="clear" w:color="auto" w:fill="EEE2F3"/>
        <w:tabs>
          <w:tab w:val="left" w:pos="8505"/>
        </w:tabs>
        <w:suppressAutoHyphens/>
        <w:spacing w:before="200" w:after="160"/>
        <w:ind w:left="426" w:right="521"/>
        <w:rPr>
          <w:rFonts w:eastAsia="Arial" w:cs="Cordia New"/>
          <w:b/>
          <w:iCs/>
          <w:color w:val="000000"/>
          <w:sz w:val="24"/>
          <w:lang w:val="en-AU" w:eastAsia="en-US"/>
        </w:rPr>
      </w:pPr>
      <w:r>
        <w:rPr>
          <w:rFonts w:eastAsia="Arial" w:cs="Cordia New"/>
          <w:b/>
          <w:iCs/>
          <w:color w:val="000000"/>
          <w:sz w:val="24"/>
          <w:lang w:val="en-AU" w:eastAsia="en-US"/>
        </w:rPr>
        <w:t>Example 1:</w:t>
      </w:r>
    </w:p>
    <w:p w14:paraId="23C4AF33" w14:textId="77777777" w:rsidR="00112FFE" w:rsidRPr="00112FFE" w:rsidRDefault="00112FFE" w:rsidP="003864D5">
      <w:pPr>
        <w:shd w:val="clear" w:color="auto" w:fill="EEE2F3"/>
        <w:tabs>
          <w:tab w:val="left" w:pos="8505"/>
        </w:tabs>
        <w:suppressAutoHyphens/>
        <w:spacing w:before="200" w:after="160"/>
        <w:ind w:left="426" w:right="521"/>
        <w:rPr>
          <w:rFonts w:eastAsia="Arial" w:cs="Cordia New"/>
          <w:bCs/>
          <w:iCs/>
          <w:color w:val="000000"/>
          <w:sz w:val="24"/>
          <w:lang w:val="en-AU" w:eastAsia="en-US"/>
        </w:rPr>
      </w:pPr>
      <w:r w:rsidRPr="00112FFE">
        <w:rPr>
          <w:rFonts w:eastAsia="Arial" w:cs="Cordia New"/>
          <w:bCs/>
          <w:iCs/>
          <w:color w:val="000000"/>
          <w:sz w:val="24"/>
          <w:lang w:val="en-AU" w:eastAsia="en-US"/>
        </w:rPr>
        <w:t>The participants goals are to increase their independent living skills so that they can move out of home in the next couple of years.</w:t>
      </w:r>
    </w:p>
    <w:p w14:paraId="4B8208C0" w14:textId="68D2B512" w:rsidR="00112FFE" w:rsidRPr="00112FFE" w:rsidRDefault="00112FFE" w:rsidP="003864D5">
      <w:pPr>
        <w:shd w:val="clear" w:color="auto" w:fill="EEE2F3"/>
        <w:tabs>
          <w:tab w:val="left" w:pos="8505"/>
        </w:tabs>
        <w:suppressAutoHyphens/>
        <w:spacing w:before="200" w:after="160"/>
        <w:ind w:left="426" w:right="521"/>
        <w:rPr>
          <w:rFonts w:eastAsia="Arial" w:cs="Cordia New"/>
          <w:bCs/>
          <w:iCs/>
          <w:color w:val="000000"/>
          <w:sz w:val="24"/>
          <w:lang w:val="en-AU" w:eastAsia="en-US"/>
        </w:rPr>
      </w:pPr>
      <w:r w:rsidRPr="00112FFE">
        <w:rPr>
          <w:rFonts w:eastAsia="Arial" w:cs="Cordia New"/>
          <w:bCs/>
          <w:iCs/>
          <w:color w:val="000000"/>
          <w:sz w:val="24"/>
          <w:lang w:val="en-AU" w:eastAsia="en-US"/>
        </w:rPr>
        <w:t>The provider estimates it will take 30 minutes to shop for ingredients. Even though this may limit the ability of the participants to cook some kinds of recipes, shopping for groceries as part of meal preparation is an independent living skill.</w:t>
      </w:r>
    </w:p>
    <w:p w14:paraId="569683B1" w14:textId="1856E22D" w:rsidR="00112FFE" w:rsidRPr="00112FFE" w:rsidRDefault="00112FFE" w:rsidP="003864D5">
      <w:pPr>
        <w:shd w:val="clear" w:color="auto" w:fill="EEE2F3"/>
        <w:tabs>
          <w:tab w:val="left" w:pos="8505"/>
        </w:tabs>
        <w:suppressAutoHyphens/>
        <w:spacing w:before="200" w:after="160"/>
        <w:ind w:left="426" w:right="521"/>
        <w:rPr>
          <w:rFonts w:eastAsia="Arial" w:cs="Cordia New"/>
          <w:bCs/>
          <w:iCs/>
          <w:color w:val="000000"/>
          <w:sz w:val="24"/>
          <w:lang w:val="en-AU" w:eastAsia="en-US"/>
        </w:rPr>
      </w:pPr>
      <w:r w:rsidRPr="00112FFE">
        <w:rPr>
          <w:rFonts w:eastAsia="Arial" w:cs="Cordia New"/>
          <w:bCs/>
          <w:iCs/>
          <w:color w:val="000000"/>
          <w:sz w:val="24"/>
          <w:lang w:val="en-AU" w:eastAsia="en-US"/>
        </w:rPr>
        <w:t>The provider and participant agree that participants will help shop for groceries as part of their face-to-face activity</w:t>
      </w:r>
      <w:r w:rsidR="00780207">
        <w:rPr>
          <w:rFonts w:eastAsia="Arial" w:cs="Cordia New"/>
          <w:bCs/>
          <w:iCs/>
          <w:color w:val="000000"/>
          <w:sz w:val="24"/>
          <w:lang w:val="en-AU" w:eastAsia="en-US"/>
        </w:rPr>
        <w:t>,</w:t>
      </w:r>
      <w:r w:rsidRPr="00112FFE">
        <w:rPr>
          <w:rFonts w:eastAsia="Arial" w:cs="Cordia New"/>
          <w:bCs/>
          <w:iCs/>
          <w:color w:val="000000"/>
          <w:sz w:val="24"/>
          <w:lang w:val="en-AU" w:eastAsia="en-US"/>
        </w:rPr>
        <w:t xml:space="preserve"> as it will better help them achieve their goals.</w:t>
      </w:r>
    </w:p>
    <w:p w14:paraId="67470440" w14:textId="176703CE" w:rsidR="00112FFE" w:rsidRPr="00112FFE" w:rsidRDefault="00522249" w:rsidP="003864D5">
      <w:pPr>
        <w:shd w:val="clear" w:color="auto" w:fill="EEE2F3"/>
        <w:tabs>
          <w:tab w:val="left" w:pos="8505"/>
        </w:tabs>
        <w:suppressAutoHyphens/>
        <w:spacing w:before="200" w:after="160"/>
        <w:ind w:left="426" w:right="521"/>
        <w:rPr>
          <w:rFonts w:eastAsia="Arial" w:cs="Cordia New"/>
          <w:bCs/>
          <w:iCs/>
          <w:color w:val="000000"/>
          <w:sz w:val="24"/>
          <w:lang w:val="en-AU" w:eastAsia="en-US"/>
        </w:rPr>
      </w:pPr>
      <w:r w:rsidRPr="00B67269">
        <w:rPr>
          <w:rFonts w:eastAsia="Arial" w:cs="Cordia New"/>
          <w:iCs/>
          <w:color w:val="000000"/>
          <w:sz w:val="24"/>
          <w:lang w:val="en-AU" w:eastAsia="en-US"/>
        </w:rPr>
        <w:t>I</w:t>
      </w:r>
      <w:r w:rsidR="00112FFE" w:rsidRPr="00112FFE">
        <w:rPr>
          <w:rFonts w:eastAsia="Arial" w:cs="Cordia New"/>
          <w:bCs/>
          <w:iCs/>
          <w:color w:val="000000"/>
          <w:sz w:val="24"/>
          <w:lang w:val="en-AU" w:eastAsia="en-US"/>
        </w:rPr>
        <w:t xml:space="preserve">n this instance they are </w:t>
      </w:r>
      <w:r w:rsidR="00112FFE" w:rsidRPr="00B67269">
        <w:rPr>
          <w:rFonts w:eastAsia="Arial" w:cs="Cordia New"/>
          <w:b/>
          <w:iCs/>
          <w:color w:val="000000"/>
          <w:sz w:val="24"/>
          <w:lang w:val="en-AU" w:eastAsia="en-US"/>
        </w:rPr>
        <w:t>not</w:t>
      </w:r>
      <w:r w:rsidR="006D0113">
        <w:rPr>
          <w:rFonts w:eastAsia="Arial" w:cs="Cordia New"/>
          <w:bCs/>
          <w:iCs/>
          <w:color w:val="000000"/>
          <w:sz w:val="24"/>
          <w:lang w:val="en-AU" w:eastAsia="en-US"/>
        </w:rPr>
        <w:t xml:space="preserve"> likely to be</w:t>
      </w:r>
      <w:r w:rsidR="00112FFE" w:rsidRPr="00112FFE">
        <w:rPr>
          <w:rFonts w:eastAsia="Arial" w:cs="Cordia New"/>
          <w:bCs/>
          <w:iCs/>
          <w:color w:val="000000"/>
          <w:sz w:val="24"/>
          <w:lang w:val="en-AU" w:eastAsia="en-US"/>
        </w:rPr>
        <w:t xml:space="preserve"> appropriate NF2F costs.</w:t>
      </w:r>
    </w:p>
    <w:p w14:paraId="4B008F01" w14:textId="77777777" w:rsidR="00D06006" w:rsidRPr="00583B40" w:rsidRDefault="00D06006" w:rsidP="003864D5">
      <w:pPr>
        <w:shd w:val="clear" w:color="auto" w:fill="EEE2F3"/>
        <w:tabs>
          <w:tab w:val="left" w:pos="8505"/>
        </w:tabs>
        <w:suppressAutoHyphens/>
        <w:spacing w:before="200" w:after="160"/>
        <w:ind w:left="426" w:right="521"/>
        <w:rPr>
          <w:rFonts w:eastAsia="Arial" w:cs="Cordia New"/>
          <w:b/>
          <w:iCs/>
          <w:color w:val="000000"/>
          <w:sz w:val="24"/>
          <w:lang w:val="en-AU" w:eastAsia="en-US"/>
        </w:rPr>
      </w:pPr>
      <w:r w:rsidRPr="00583B40">
        <w:rPr>
          <w:rFonts w:eastAsia="Arial" w:cs="Cordia New"/>
          <w:b/>
          <w:iCs/>
          <w:color w:val="000000"/>
          <w:sz w:val="24"/>
          <w:lang w:val="en-AU" w:eastAsia="en-US"/>
        </w:rPr>
        <w:t>Example 2:</w:t>
      </w:r>
    </w:p>
    <w:p w14:paraId="6F7B02C9" w14:textId="7A031472" w:rsidR="00112FFE" w:rsidRPr="00112FFE" w:rsidRDefault="00112FFE" w:rsidP="003864D5">
      <w:pPr>
        <w:shd w:val="clear" w:color="auto" w:fill="EEE2F3"/>
        <w:tabs>
          <w:tab w:val="left" w:pos="8505"/>
        </w:tabs>
        <w:suppressAutoHyphens/>
        <w:spacing w:before="200" w:after="160"/>
        <w:ind w:left="426" w:right="521"/>
        <w:rPr>
          <w:rFonts w:eastAsia="Arial" w:cs="Cordia New"/>
          <w:bCs/>
          <w:iCs/>
          <w:color w:val="000000"/>
          <w:sz w:val="24"/>
          <w:lang w:val="en-AU" w:eastAsia="en-US"/>
        </w:rPr>
      </w:pPr>
      <w:r w:rsidRPr="00112FFE">
        <w:rPr>
          <w:rFonts w:eastAsia="Arial" w:cs="Cordia New"/>
          <w:bCs/>
          <w:iCs/>
          <w:color w:val="000000"/>
          <w:sz w:val="24"/>
          <w:lang w:val="en-AU" w:eastAsia="en-US"/>
        </w:rPr>
        <w:t xml:space="preserve">The participants goals are to socialise with their friends, </w:t>
      </w:r>
      <w:r w:rsidR="006D6C19" w:rsidRPr="00112FFE">
        <w:rPr>
          <w:rFonts w:eastAsia="Arial" w:cs="Cordia New"/>
          <w:bCs/>
          <w:iCs/>
          <w:color w:val="000000"/>
          <w:sz w:val="24"/>
          <w:lang w:val="en-AU" w:eastAsia="en-US"/>
        </w:rPr>
        <w:t>some attend</w:t>
      </w:r>
      <w:r w:rsidRPr="00112FFE">
        <w:rPr>
          <w:rFonts w:eastAsia="Arial" w:cs="Cordia New"/>
          <w:bCs/>
          <w:iCs/>
          <w:color w:val="000000"/>
          <w:sz w:val="24"/>
          <w:lang w:val="en-AU" w:eastAsia="en-US"/>
        </w:rPr>
        <w:t xml:space="preserve"> the same centre for group activities for 2 hours each week.</w:t>
      </w:r>
    </w:p>
    <w:p w14:paraId="5D26C8A9" w14:textId="2D0D76F3" w:rsidR="00112FFE" w:rsidRPr="00112FFE" w:rsidRDefault="00112FFE" w:rsidP="003864D5">
      <w:pPr>
        <w:shd w:val="clear" w:color="auto" w:fill="EEE2F3"/>
        <w:tabs>
          <w:tab w:val="left" w:pos="8505"/>
        </w:tabs>
        <w:suppressAutoHyphens/>
        <w:spacing w:before="200" w:after="160"/>
        <w:ind w:left="426" w:right="521"/>
        <w:rPr>
          <w:rFonts w:eastAsia="Arial" w:cs="Cordia New"/>
          <w:bCs/>
          <w:iCs/>
          <w:color w:val="000000"/>
          <w:sz w:val="24"/>
          <w:lang w:val="en-AU" w:eastAsia="en-US"/>
        </w:rPr>
      </w:pPr>
      <w:r w:rsidRPr="00AD7736">
        <w:rPr>
          <w:rFonts w:eastAsia="Arial" w:cs="Cordia New"/>
          <w:bCs/>
          <w:iCs/>
          <w:color w:val="000000"/>
          <w:sz w:val="24"/>
          <w:lang w:val="en-AU" w:eastAsia="en-US"/>
        </w:rPr>
        <w:t xml:space="preserve">The provider estimates it will take 30 minutes to shop for ingredients. If they do this as a </w:t>
      </w:r>
      <w:r w:rsidR="00E9520B">
        <w:rPr>
          <w:rFonts w:eastAsia="Arial" w:cs="Cordia New"/>
          <w:bCs/>
          <w:iCs/>
          <w:color w:val="000000"/>
          <w:sz w:val="24"/>
          <w:lang w:val="en-AU" w:eastAsia="en-US"/>
        </w:rPr>
        <w:t xml:space="preserve">Face-to-Face </w:t>
      </w:r>
      <w:r w:rsidRPr="00AD7736">
        <w:rPr>
          <w:rFonts w:eastAsia="Arial" w:cs="Cordia New"/>
          <w:bCs/>
          <w:iCs/>
          <w:color w:val="000000"/>
          <w:sz w:val="24"/>
          <w:lang w:val="en-AU" w:eastAsia="en-US"/>
        </w:rPr>
        <w:t>support, it may limit the ability of the participants to cook some kinds of recipes during their session</w:t>
      </w:r>
      <w:r w:rsidR="00B67269">
        <w:rPr>
          <w:rFonts w:eastAsia="Arial" w:cs="Cordia New"/>
          <w:bCs/>
          <w:iCs/>
          <w:color w:val="000000"/>
          <w:sz w:val="24"/>
          <w:lang w:val="en-AU" w:eastAsia="en-US"/>
        </w:rPr>
        <w:t xml:space="preserve"> and having the DSW shop for ingredients prior to the session is preferable.</w:t>
      </w:r>
    </w:p>
    <w:p w14:paraId="33ECEE1C" w14:textId="2C184C99" w:rsidR="00112FFE" w:rsidRPr="00112FFE" w:rsidRDefault="006D0113" w:rsidP="003864D5">
      <w:pPr>
        <w:shd w:val="clear" w:color="auto" w:fill="EEE2F3"/>
        <w:tabs>
          <w:tab w:val="left" w:pos="8505"/>
        </w:tabs>
        <w:suppressAutoHyphens/>
        <w:spacing w:before="200" w:after="160"/>
        <w:ind w:left="426" w:right="521"/>
        <w:rPr>
          <w:rFonts w:eastAsia="Arial" w:cs="Cordia New"/>
          <w:bCs/>
          <w:iCs/>
          <w:color w:val="000000"/>
          <w:sz w:val="24"/>
          <w:lang w:val="en-AU" w:eastAsia="en-US"/>
        </w:rPr>
      </w:pPr>
      <w:r w:rsidRPr="00B67269">
        <w:rPr>
          <w:rFonts w:eastAsia="Arial" w:cs="Cordia New"/>
          <w:iCs/>
          <w:color w:val="000000"/>
          <w:sz w:val="24"/>
          <w:lang w:val="en-AU" w:eastAsia="en-US"/>
        </w:rPr>
        <w:t xml:space="preserve">In this instance, </w:t>
      </w:r>
      <w:r w:rsidR="00112FFE" w:rsidRPr="00112FFE">
        <w:rPr>
          <w:rFonts w:eastAsia="Arial" w:cs="Cordia New"/>
          <w:bCs/>
          <w:iCs/>
          <w:color w:val="000000"/>
          <w:sz w:val="24"/>
          <w:lang w:val="en-AU" w:eastAsia="en-US"/>
        </w:rPr>
        <w:t xml:space="preserve">If the provider and participant agree, </w:t>
      </w:r>
      <w:r>
        <w:rPr>
          <w:rFonts w:eastAsia="Arial" w:cs="Cordia New"/>
          <w:bCs/>
          <w:iCs/>
          <w:color w:val="000000"/>
          <w:sz w:val="24"/>
          <w:lang w:val="en-AU" w:eastAsia="en-US"/>
        </w:rPr>
        <w:t xml:space="preserve">it </w:t>
      </w:r>
      <w:r w:rsidRPr="00B67269">
        <w:rPr>
          <w:rFonts w:eastAsia="Arial" w:cs="Cordia New"/>
          <w:b/>
          <w:iCs/>
          <w:color w:val="000000"/>
          <w:sz w:val="24"/>
          <w:lang w:val="en-AU" w:eastAsia="en-US"/>
        </w:rPr>
        <w:t>may</w:t>
      </w:r>
      <w:r>
        <w:rPr>
          <w:rFonts w:eastAsia="Arial" w:cs="Cordia New"/>
          <w:bCs/>
          <w:iCs/>
          <w:color w:val="000000"/>
          <w:sz w:val="24"/>
          <w:lang w:val="en-AU" w:eastAsia="en-US"/>
        </w:rPr>
        <w:t xml:space="preserve"> be appropriate to</w:t>
      </w:r>
      <w:r w:rsidR="00112FFE" w:rsidRPr="00112FFE">
        <w:rPr>
          <w:rFonts w:eastAsia="Arial" w:cs="Cordia New"/>
          <w:bCs/>
          <w:iCs/>
          <w:color w:val="000000"/>
          <w:sz w:val="24"/>
          <w:lang w:val="en-AU" w:eastAsia="en-US"/>
        </w:rPr>
        <w:t xml:space="preserve"> claim the cost for the shopping as a NF2F support</w:t>
      </w:r>
      <w:r>
        <w:rPr>
          <w:rFonts w:eastAsia="Arial" w:cs="Cordia New"/>
          <w:bCs/>
          <w:iCs/>
          <w:color w:val="000000"/>
          <w:sz w:val="24"/>
          <w:lang w:val="en-AU" w:eastAsia="en-US"/>
        </w:rPr>
        <w:t xml:space="preserve">, </w:t>
      </w:r>
      <w:r w:rsidR="00112FFE" w:rsidRPr="00112FFE">
        <w:rPr>
          <w:rFonts w:eastAsia="Arial" w:cs="Cordia New"/>
          <w:bCs/>
          <w:iCs/>
          <w:color w:val="000000"/>
          <w:sz w:val="24"/>
          <w:lang w:val="en-AU" w:eastAsia="en-US"/>
        </w:rPr>
        <w:t>split between the participants who attend the group.</w:t>
      </w:r>
    </w:p>
    <w:p w14:paraId="23778589" w14:textId="6E7E3094" w:rsidR="00112FFE" w:rsidRPr="00112FFE" w:rsidRDefault="00112FFE" w:rsidP="00112FFE">
      <w:pPr>
        <w:pStyle w:val="Heading3"/>
        <w:numPr>
          <w:ilvl w:val="0"/>
          <w:numId w:val="0"/>
        </w:numPr>
        <w:ind w:left="720" w:hanging="720"/>
        <w:rPr>
          <w:rFonts w:eastAsia="SimHei"/>
          <w:lang w:val="en-AU" w:eastAsia="en-US"/>
        </w:rPr>
      </w:pPr>
      <w:bookmarkStart w:id="12" w:name="_Toc143524927"/>
      <w:r w:rsidRPr="00112FFE">
        <w:rPr>
          <w:rFonts w:eastAsia="SimHei"/>
          <w:lang w:val="en-AU" w:eastAsia="en-US"/>
        </w:rPr>
        <w:t>How are NF2F supports documented?</w:t>
      </w:r>
      <w:bookmarkEnd w:id="12"/>
    </w:p>
    <w:p w14:paraId="3B4A98AF" w14:textId="434A0DC3" w:rsidR="00112FFE" w:rsidRPr="00034A47" w:rsidRDefault="00112FFE" w:rsidP="00112FFE">
      <w:pPr>
        <w:suppressAutoHyphens/>
        <w:rPr>
          <w:rFonts w:eastAsia="Arial" w:cs="Cordia New"/>
          <w:sz w:val="24"/>
          <w:lang w:val="en-AU" w:eastAsia="en-US"/>
        </w:rPr>
      </w:pPr>
      <w:r w:rsidRPr="00034A47">
        <w:rPr>
          <w:rFonts w:eastAsia="Arial" w:cs="Cordia New"/>
          <w:sz w:val="24"/>
          <w:lang w:val="en-AU" w:eastAsia="en-US"/>
        </w:rPr>
        <w:t>Different types of NF2F costs may have different documentation requirements depending on what the NF2F cost is covering. For example, a cost shared across a group of participants could be documented with an addition to a group-roster, however a one off individual NF2F cost may need case notes or similar evidence to be retained.</w:t>
      </w:r>
      <w:r w:rsidRPr="00034A47">
        <w:rPr>
          <w:rFonts w:eastAsia="Arial" w:cs="Cordia New"/>
          <w:sz w:val="24"/>
          <w:lang w:val="en-AU" w:eastAsia="en-US"/>
        </w:rPr>
        <w:br/>
      </w:r>
      <w:r w:rsidRPr="00034A47">
        <w:rPr>
          <w:rFonts w:eastAsia="Arial" w:cs="Cordia New"/>
          <w:sz w:val="24"/>
          <w:lang w:val="en-AU" w:eastAsia="en-US"/>
        </w:rPr>
        <w:br/>
        <w:t xml:space="preserve">Please visit the NDIS website at </w:t>
      </w:r>
      <w:hyperlink r:id="rId19" w:anchor="retaining-documentation-of-support-delivery" w:history="1">
        <w:r w:rsidRPr="00034A47">
          <w:rPr>
            <w:rFonts w:eastAsia="Arial" w:cs="Cordia New"/>
            <w:color w:val="0432FF"/>
            <w:sz w:val="24"/>
            <w:u w:val="single"/>
            <w:lang w:val="en-AU" w:eastAsia="en-US"/>
          </w:rPr>
          <w:t>Getting paid | NDIS</w:t>
        </w:r>
      </w:hyperlink>
      <w:r w:rsidRPr="00034A47">
        <w:rPr>
          <w:rFonts w:eastAsia="Arial" w:cs="Cordia New"/>
          <w:sz w:val="24"/>
          <w:lang w:val="en-AU" w:eastAsia="en-US"/>
        </w:rPr>
        <w:t xml:space="preserve"> for more information about how to appropriately document NF2F supports for a particular support</w:t>
      </w:r>
      <w:r w:rsidR="005A5D19">
        <w:rPr>
          <w:rFonts w:eastAsia="Arial" w:cs="Cordia New"/>
          <w:sz w:val="24"/>
          <w:lang w:val="en-AU" w:eastAsia="en-US"/>
        </w:rPr>
        <w:t>.</w:t>
      </w:r>
    </w:p>
    <w:p w14:paraId="4B662E57" w14:textId="40FB8B27" w:rsidR="00E82208" w:rsidRDefault="00C22F2F" w:rsidP="00E61DB6">
      <w:pPr>
        <w:spacing w:after="0" w:line="240" w:lineRule="auto"/>
        <w:rPr>
          <w:rFonts w:eastAsia="Arial"/>
          <w:lang w:val="en-AU" w:eastAsia="en-US"/>
        </w:rPr>
      </w:pPr>
      <w:bookmarkStart w:id="13" w:name="_Toc143524928"/>
      <w:r w:rsidRPr="00CB3B2A">
        <w:rPr>
          <w:rFonts w:eastAsia="Arial"/>
          <w:lang w:val="en-AU" w:eastAsia="en-US"/>
        </w:rPr>
        <w:lastRenderedPageBreak/>
        <w:t>What if a NF2F task is completed, then a participant cancels?</w:t>
      </w:r>
      <w:bookmarkEnd w:id="13"/>
    </w:p>
    <w:p w14:paraId="14D7B9CF" w14:textId="33648994" w:rsidR="00C22F2F" w:rsidRPr="00034A47" w:rsidRDefault="00C22F2F" w:rsidP="00034A47">
      <w:pPr>
        <w:rPr>
          <w:rFonts w:eastAsia="Arial" w:cs="Cordia New"/>
          <w:sz w:val="24"/>
          <w:szCs w:val="28"/>
          <w:lang w:val="en-AU" w:eastAsia="en-US"/>
        </w:rPr>
      </w:pPr>
      <w:r w:rsidRPr="00034A47">
        <w:rPr>
          <w:rFonts w:eastAsia="Arial" w:cs="Cordia New"/>
          <w:sz w:val="24"/>
          <w:szCs w:val="28"/>
          <w:lang w:val="en-AU" w:eastAsia="en-US"/>
        </w:rPr>
        <w:t xml:space="preserve">If a NF2F task is completed in preparation for a session, and the participant later cancels the session associated with that task, then </w:t>
      </w:r>
      <w:r w:rsidR="00314455" w:rsidRPr="00034A47">
        <w:rPr>
          <w:rFonts w:eastAsia="Arial" w:cs="Cordia New"/>
          <w:sz w:val="24"/>
          <w:szCs w:val="28"/>
          <w:lang w:val="en-AU" w:eastAsia="en-US"/>
        </w:rPr>
        <w:t>the provider c</w:t>
      </w:r>
      <w:r w:rsidR="00141B43" w:rsidRPr="00034A47">
        <w:rPr>
          <w:rFonts w:eastAsia="Arial" w:cs="Cordia New"/>
          <w:sz w:val="24"/>
          <w:szCs w:val="28"/>
          <w:lang w:val="en-AU" w:eastAsia="en-US"/>
        </w:rPr>
        <w:t>ould choose to</w:t>
      </w:r>
      <w:r w:rsidR="00314455" w:rsidRPr="00034A47">
        <w:rPr>
          <w:rFonts w:eastAsia="Arial" w:cs="Cordia New"/>
          <w:sz w:val="24"/>
          <w:szCs w:val="28"/>
          <w:lang w:val="en-AU" w:eastAsia="en-US"/>
        </w:rPr>
        <w:t xml:space="preserve"> c</w:t>
      </w:r>
      <w:r w:rsidR="0012601A" w:rsidRPr="00034A47">
        <w:rPr>
          <w:rFonts w:eastAsia="Arial" w:cs="Cordia New"/>
          <w:sz w:val="24"/>
          <w:szCs w:val="28"/>
          <w:lang w:val="en-AU" w:eastAsia="en-US"/>
        </w:rPr>
        <w:t>laim for</w:t>
      </w:r>
      <w:r w:rsidR="00314455" w:rsidRPr="00034A47">
        <w:rPr>
          <w:rFonts w:eastAsia="Arial" w:cs="Cordia New"/>
          <w:sz w:val="24"/>
          <w:szCs w:val="28"/>
          <w:lang w:val="en-AU" w:eastAsia="en-US"/>
        </w:rPr>
        <w:t xml:space="preserve"> </w:t>
      </w:r>
      <w:r w:rsidR="00141B43" w:rsidRPr="00034A47">
        <w:rPr>
          <w:rFonts w:eastAsia="Arial" w:cs="Cordia New"/>
          <w:sz w:val="24"/>
          <w:szCs w:val="28"/>
          <w:lang w:val="en-AU" w:eastAsia="en-US"/>
        </w:rPr>
        <w:t xml:space="preserve">the NF2F </w:t>
      </w:r>
      <w:r w:rsidR="0012601A" w:rsidRPr="00034A47">
        <w:rPr>
          <w:rFonts w:eastAsia="Arial" w:cs="Cordia New"/>
          <w:sz w:val="24"/>
          <w:szCs w:val="28"/>
          <w:lang w:val="en-AU" w:eastAsia="en-US"/>
        </w:rPr>
        <w:t>activity</w:t>
      </w:r>
      <w:r w:rsidR="00750A3C" w:rsidRPr="00034A47">
        <w:rPr>
          <w:rFonts w:eastAsia="Arial" w:cs="Cordia New"/>
          <w:sz w:val="24"/>
          <w:szCs w:val="28"/>
          <w:lang w:val="en-AU" w:eastAsia="en-US"/>
        </w:rPr>
        <w:t>.</w:t>
      </w:r>
      <w:r w:rsidR="005E3924" w:rsidRPr="00034A47">
        <w:rPr>
          <w:rFonts w:eastAsia="Arial" w:cs="Cordia New"/>
          <w:sz w:val="24"/>
          <w:szCs w:val="28"/>
          <w:lang w:val="en-AU" w:eastAsia="en-US"/>
        </w:rPr>
        <w:t xml:space="preserve"> </w:t>
      </w:r>
      <w:r w:rsidR="00314455" w:rsidRPr="00034A47">
        <w:rPr>
          <w:rFonts w:eastAsia="Arial" w:cs="Cordia New"/>
          <w:sz w:val="24"/>
          <w:szCs w:val="28"/>
          <w:lang w:val="en-AU" w:eastAsia="en-US"/>
        </w:rPr>
        <w:t>However</w:t>
      </w:r>
      <w:r w:rsidR="00780207" w:rsidRPr="00034A47">
        <w:rPr>
          <w:rFonts w:eastAsia="Arial" w:cs="Cordia New"/>
          <w:sz w:val="24"/>
          <w:szCs w:val="28"/>
          <w:lang w:val="en-AU" w:eastAsia="en-US"/>
        </w:rPr>
        <w:t>,</w:t>
      </w:r>
      <w:r w:rsidR="00314455" w:rsidRPr="00034A47">
        <w:rPr>
          <w:rFonts w:eastAsia="Arial" w:cs="Cordia New"/>
          <w:sz w:val="24"/>
          <w:szCs w:val="28"/>
          <w:lang w:val="en-AU" w:eastAsia="en-US"/>
        </w:rPr>
        <w:t xml:space="preserve"> if the task has not yet been completed, it should not be charged by the provider.</w:t>
      </w:r>
    </w:p>
    <w:p w14:paraId="06B23F54" w14:textId="7D7EFFB2" w:rsidR="0004050D" w:rsidRPr="00034A47" w:rsidRDefault="006367BF" w:rsidP="00034A47">
      <w:pPr>
        <w:rPr>
          <w:rFonts w:eastAsia="Arial" w:cs="Cordia New"/>
          <w:sz w:val="24"/>
          <w:szCs w:val="28"/>
          <w:lang w:val="en-AU" w:eastAsia="en-US"/>
        </w:rPr>
      </w:pPr>
      <w:r w:rsidRPr="00034A47">
        <w:rPr>
          <w:rFonts w:eastAsia="Arial" w:cs="Cordia New"/>
          <w:sz w:val="24"/>
          <w:szCs w:val="28"/>
          <w:lang w:val="en-AU" w:eastAsia="en-US"/>
        </w:rPr>
        <w:t>Providers should ensure that their</w:t>
      </w:r>
      <w:r w:rsidR="002821E1" w:rsidRPr="00034A47">
        <w:rPr>
          <w:rFonts w:eastAsia="Arial" w:cs="Cordia New"/>
          <w:sz w:val="24"/>
          <w:szCs w:val="28"/>
          <w:lang w:val="en-AU" w:eastAsia="en-US"/>
        </w:rPr>
        <w:t xml:space="preserve"> service agreements clearly explain</w:t>
      </w:r>
      <w:r w:rsidR="00395E18" w:rsidRPr="00034A47">
        <w:rPr>
          <w:rFonts w:eastAsia="Arial" w:cs="Cordia New"/>
          <w:sz w:val="24"/>
          <w:szCs w:val="28"/>
          <w:lang w:val="en-AU" w:eastAsia="en-US"/>
        </w:rPr>
        <w:t xml:space="preserve"> the</w:t>
      </w:r>
      <w:r w:rsidR="002821E1" w:rsidRPr="00034A47">
        <w:rPr>
          <w:rFonts w:eastAsia="Arial" w:cs="Cordia New"/>
          <w:sz w:val="24"/>
          <w:szCs w:val="28"/>
          <w:lang w:val="en-AU" w:eastAsia="en-US"/>
        </w:rPr>
        <w:t xml:space="preserve"> </w:t>
      </w:r>
      <w:r w:rsidR="00724AF7" w:rsidRPr="00034A47">
        <w:rPr>
          <w:rFonts w:eastAsia="Arial" w:cs="Cordia New"/>
          <w:sz w:val="24"/>
          <w:szCs w:val="28"/>
          <w:lang w:val="en-AU" w:eastAsia="en-US"/>
        </w:rPr>
        <w:t xml:space="preserve">NF2F </w:t>
      </w:r>
      <w:r w:rsidR="00025F9C" w:rsidRPr="00034A47">
        <w:rPr>
          <w:rFonts w:eastAsia="Arial" w:cs="Cordia New"/>
          <w:sz w:val="24"/>
          <w:szCs w:val="28"/>
          <w:lang w:val="en-AU" w:eastAsia="en-US"/>
        </w:rPr>
        <w:t>cost</w:t>
      </w:r>
      <w:r w:rsidR="00724AF7" w:rsidRPr="00034A47">
        <w:rPr>
          <w:rFonts w:eastAsia="Arial" w:cs="Cordia New"/>
          <w:sz w:val="24"/>
          <w:szCs w:val="28"/>
          <w:lang w:val="en-AU" w:eastAsia="en-US"/>
        </w:rPr>
        <w:t xml:space="preserve">s </w:t>
      </w:r>
      <w:r w:rsidR="002821E1" w:rsidRPr="00034A47">
        <w:rPr>
          <w:rFonts w:eastAsia="Arial" w:cs="Cordia New"/>
          <w:sz w:val="24"/>
          <w:szCs w:val="28"/>
          <w:lang w:val="en-AU" w:eastAsia="en-US"/>
        </w:rPr>
        <w:t>whe</w:t>
      </w:r>
      <w:r w:rsidR="00F91237" w:rsidRPr="00034A47">
        <w:rPr>
          <w:rFonts w:eastAsia="Arial" w:cs="Cordia New"/>
          <w:sz w:val="24"/>
          <w:szCs w:val="28"/>
          <w:lang w:val="en-AU" w:eastAsia="en-US"/>
        </w:rPr>
        <w:t>n</w:t>
      </w:r>
      <w:r w:rsidR="002821E1" w:rsidRPr="00034A47">
        <w:rPr>
          <w:rFonts w:eastAsia="Arial" w:cs="Cordia New"/>
          <w:sz w:val="24"/>
          <w:szCs w:val="28"/>
          <w:lang w:val="en-AU" w:eastAsia="en-US"/>
        </w:rPr>
        <w:t xml:space="preserve"> the </w:t>
      </w:r>
      <w:r w:rsidR="00025F9C" w:rsidRPr="00034A47">
        <w:rPr>
          <w:rFonts w:eastAsia="Arial" w:cs="Cordia New"/>
          <w:sz w:val="24"/>
          <w:szCs w:val="28"/>
          <w:lang w:val="en-AU" w:eastAsia="en-US"/>
        </w:rPr>
        <w:t>associated direct support is</w:t>
      </w:r>
      <w:r w:rsidR="002821E1" w:rsidRPr="00034A47">
        <w:rPr>
          <w:rFonts w:eastAsia="Arial" w:cs="Cordia New"/>
          <w:sz w:val="24"/>
          <w:szCs w:val="28"/>
          <w:lang w:val="en-AU" w:eastAsia="en-US"/>
        </w:rPr>
        <w:t xml:space="preserve"> cancelled</w:t>
      </w:r>
      <w:r w:rsidR="00750A3C" w:rsidRPr="00034A47">
        <w:rPr>
          <w:rFonts w:eastAsia="Arial" w:cs="Cordia New"/>
          <w:sz w:val="24"/>
          <w:szCs w:val="28"/>
          <w:lang w:val="en-AU" w:eastAsia="en-US"/>
        </w:rPr>
        <w:t xml:space="preserve">, so that participants are aware </w:t>
      </w:r>
      <w:r w:rsidR="002D150E" w:rsidRPr="00034A47">
        <w:rPr>
          <w:rFonts w:eastAsia="Arial" w:cs="Cordia New"/>
          <w:sz w:val="24"/>
          <w:szCs w:val="28"/>
          <w:lang w:val="en-AU" w:eastAsia="en-US"/>
        </w:rPr>
        <w:t>of all costs they may be liable for upon cancellations.</w:t>
      </w:r>
    </w:p>
    <w:p w14:paraId="37D04917" w14:textId="26DCFBBD" w:rsidR="00057665" w:rsidRPr="00112FFE" w:rsidRDefault="00C65774" w:rsidP="005B2991">
      <w:pPr>
        <w:pStyle w:val="Heading2"/>
        <w:numPr>
          <w:ilvl w:val="0"/>
          <w:numId w:val="0"/>
        </w:numPr>
        <w:spacing w:before="360"/>
        <w:rPr>
          <w:rFonts w:eastAsia="SimHei"/>
          <w:lang w:val="en-AU" w:eastAsia="en-US"/>
        </w:rPr>
      </w:pPr>
      <w:bookmarkStart w:id="14" w:name="_Toc143524929"/>
      <w:r>
        <w:rPr>
          <w:rFonts w:eastAsia="SimHei"/>
          <w:noProof/>
          <w:lang w:val="en-AU" w:eastAsia="en-US"/>
        </w:rPr>
        <w:drawing>
          <wp:inline distT="0" distB="0" distL="0" distR="0" wp14:anchorId="6F8CFD33" wp14:editId="3ACB0D8D">
            <wp:extent cx="571407" cy="742315"/>
            <wp:effectExtent l="0" t="0" r="635" b="635"/>
            <wp:docPr id="6" name="Picture 6" descr="Icon - shows this section refers to page 30 of the Pricing Arrangements and Price Limit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 - shows this section refers to page 30 of the Pricing Arrangements and Price Limits documen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512" r="12427" b="17837"/>
                    <a:stretch/>
                  </pic:blipFill>
                  <pic:spPr bwMode="auto">
                    <a:xfrm>
                      <a:off x="0" y="0"/>
                      <a:ext cx="575639" cy="747813"/>
                    </a:xfrm>
                    <a:prstGeom prst="rect">
                      <a:avLst/>
                    </a:prstGeom>
                    <a:noFill/>
                    <a:ln>
                      <a:noFill/>
                    </a:ln>
                    <a:extLst>
                      <a:ext uri="{53640926-AAD7-44D8-BBD7-CCE9431645EC}">
                        <a14:shadowObscured xmlns:a14="http://schemas.microsoft.com/office/drawing/2010/main"/>
                      </a:ext>
                    </a:extLst>
                  </pic:spPr>
                </pic:pic>
              </a:graphicData>
            </a:graphic>
          </wp:inline>
        </w:drawing>
      </w:r>
      <w:r>
        <w:rPr>
          <w:rFonts w:eastAsia="SimHei"/>
          <w:lang w:val="en-AU" w:eastAsia="en-US"/>
        </w:rPr>
        <w:tab/>
      </w:r>
      <w:r w:rsidR="00057665" w:rsidRPr="00112FFE">
        <w:rPr>
          <w:rFonts w:eastAsia="SimHei"/>
          <w:lang w:val="en-AU" w:eastAsia="en-US"/>
        </w:rPr>
        <w:t>Centre Capital Costs</w:t>
      </w:r>
      <w:bookmarkEnd w:id="14"/>
    </w:p>
    <w:p w14:paraId="4C90D730" w14:textId="6F40E436" w:rsidR="00057665" w:rsidRPr="00112FFE" w:rsidRDefault="00057665" w:rsidP="00057665">
      <w:pPr>
        <w:pStyle w:val="Heading3"/>
        <w:numPr>
          <w:ilvl w:val="0"/>
          <w:numId w:val="0"/>
        </w:numPr>
        <w:spacing w:before="480"/>
        <w:ind w:left="720" w:hanging="720"/>
        <w:rPr>
          <w:rFonts w:eastAsia="SimHei"/>
          <w:lang w:val="en-AU" w:eastAsia="en-US"/>
        </w:rPr>
      </w:pPr>
      <w:bookmarkStart w:id="15" w:name="_Toc143524930"/>
      <w:r w:rsidRPr="00112FFE">
        <w:rPr>
          <w:rFonts w:eastAsia="SimHei"/>
          <w:lang w:val="en-AU" w:eastAsia="en-US"/>
        </w:rPr>
        <w:t xml:space="preserve">What are </w:t>
      </w:r>
      <w:r w:rsidR="00513294">
        <w:rPr>
          <w:rFonts w:eastAsia="SimHei"/>
          <w:lang w:val="en-AU" w:eastAsia="en-US"/>
        </w:rPr>
        <w:t>C</w:t>
      </w:r>
      <w:r w:rsidR="00513294" w:rsidRPr="00112FFE">
        <w:rPr>
          <w:rFonts w:eastAsia="SimHei"/>
          <w:lang w:val="en-AU" w:eastAsia="en-US"/>
        </w:rPr>
        <w:t xml:space="preserve">entre </w:t>
      </w:r>
      <w:r w:rsidR="00513294">
        <w:rPr>
          <w:rFonts w:eastAsia="SimHei"/>
          <w:lang w:val="en-AU" w:eastAsia="en-US"/>
        </w:rPr>
        <w:t>C</w:t>
      </w:r>
      <w:r w:rsidR="00513294" w:rsidRPr="00112FFE">
        <w:rPr>
          <w:rFonts w:eastAsia="SimHei"/>
          <w:lang w:val="en-AU" w:eastAsia="en-US"/>
        </w:rPr>
        <w:t xml:space="preserve">apital </w:t>
      </w:r>
      <w:r w:rsidR="00513294">
        <w:rPr>
          <w:rFonts w:eastAsia="SimHei"/>
          <w:lang w:val="en-AU" w:eastAsia="en-US"/>
        </w:rPr>
        <w:t>C</w:t>
      </w:r>
      <w:r w:rsidR="00513294" w:rsidRPr="00112FFE">
        <w:rPr>
          <w:rFonts w:eastAsia="SimHei"/>
          <w:lang w:val="en-AU" w:eastAsia="en-US"/>
        </w:rPr>
        <w:t>osts</w:t>
      </w:r>
      <w:r w:rsidRPr="00112FFE">
        <w:rPr>
          <w:rFonts w:eastAsia="SimHei"/>
          <w:lang w:val="en-AU" w:eastAsia="en-US"/>
        </w:rPr>
        <w:t>?</w:t>
      </w:r>
      <w:bookmarkEnd w:id="15"/>
    </w:p>
    <w:p w14:paraId="502A558B" w14:textId="762288FD" w:rsidR="00241088" w:rsidRDefault="00241088" w:rsidP="00C95BA5">
      <w:pPr>
        <w:rPr>
          <w:rFonts w:eastAsia="Arial" w:cs="Cordia New"/>
          <w:sz w:val="24"/>
          <w:szCs w:val="28"/>
          <w:lang w:val="en-AU" w:eastAsia="en-US"/>
        </w:rPr>
      </w:pPr>
      <w:r w:rsidRPr="00241088">
        <w:rPr>
          <w:rFonts w:eastAsia="Arial" w:cs="Cordia New"/>
          <w:sz w:val="24"/>
          <w:szCs w:val="28"/>
          <w:lang w:val="en-AU" w:eastAsia="en-US"/>
        </w:rPr>
        <w:t xml:space="preserve">Some social and community participation supports are delivered in centres. These centres are different to typical community </w:t>
      </w:r>
      <w:r w:rsidR="003864D5" w:rsidRPr="00241088">
        <w:rPr>
          <w:rFonts w:eastAsia="Arial" w:cs="Cordia New"/>
          <w:sz w:val="24"/>
          <w:szCs w:val="28"/>
          <w:lang w:val="en-AU" w:eastAsia="en-US"/>
        </w:rPr>
        <w:t>settings and</w:t>
      </w:r>
      <w:r w:rsidRPr="00241088">
        <w:rPr>
          <w:rFonts w:eastAsia="Arial" w:cs="Cordia New"/>
          <w:sz w:val="24"/>
          <w:szCs w:val="28"/>
          <w:lang w:val="en-AU" w:eastAsia="en-US"/>
        </w:rPr>
        <w:t xml:space="preserve"> are designed as accessible spaces for those with higher support needs.</w:t>
      </w:r>
    </w:p>
    <w:p w14:paraId="3C22AFF3" w14:textId="53FFCAC7" w:rsidR="000F16B1" w:rsidRDefault="00057665" w:rsidP="00F82F36">
      <w:pPr>
        <w:suppressAutoHyphens/>
        <w:rPr>
          <w:rFonts w:eastAsia="Arial" w:cs="Cordia New"/>
          <w:sz w:val="24"/>
          <w:szCs w:val="28"/>
          <w:lang w:val="en-AU" w:eastAsia="en-US"/>
        </w:rPr>
      </w:pPr>
      <w:r w:rsidRPr="00112FFE">
        <w:rPr>
          <w:rFonts w:eastAsia="Arial" w:cs="Cordia New"/>
          <w:sz w:val="24"/>
          <w:szCs w:val="28"/>
          <w:lang w:val="en-AU" w:eastAsia="en-US"/>
        </w:rPr>
        <w:t xml:space="preserve">The </w:t>
      </w:r>
      <w:r w:rsidR="00513294">
        <w:rPr>
          <w:rFonts w:eastAsia="Arial" w:cs="Cordia New"/>
          <w:sz w:val="24"/>
          <w:szCs w:val="28"/>
          <w:lang w:val="en-AU" w:eastAsia="en-US"/>
        </w:rPr>
        <w:t>C</w:t>
      </w:r>
      <w:r w:rsidR="00513294" w:rsidRPr="00112FFE">
        <w:rPr>
          <w:rFonts w:eastAsia="Arial" w:cs="Cordia New"/>
          <w:sz w:val="24"/>
          <w:szCs w:val="28"/>
          <w:lang w:val="en-AU" w:eastAsia="en-US"/>
        </w:rPr>
        <w:t xml:space="preserve">entre </w:t>
      </w:r>
      <w:r w:rsidR="00513294">
        <w:rPr>
          <w:rFonts w:eastAsia="Arial" w:cs="Cordia New"/>
          <w:sz w:val="24"/>
          <w:szCs w:val="28"/>
          <w:lang w:val="en-AU" w:eastAsia="en-US"/>
        </w:rPr>
        <w:t>C</w:t>
      </w:r>
      <w:r w:rsidR="00513294" w:rsidRPr="00112FFE">
        <w:rPr>
          <w:rFonts w:eastAsia="Arial" w:cs="Cordia New"/>
          <w:sz w:val="24"/>
          <w:szCs w:val="28"/>
          <w:lang w:val="en-AU" w:eastAsia="en-US"/>
        </w:rPr>
        <w:t xml:space="preserve">apital </w:t>
      </w:r>
      <w:r w:rsidR="00513294">
        <w:rPr>
          <w:rFonts w:eastAsia="Arial" w:cs="Cordia New"/>
          <w:sz w:val="24"/>
          <w:szCs w:val="28"/>
          <w:lang w:val="en-AU" w:eastAsia="en-US"/>
        </w:rPr>
        <w:t>C</w:t>
      </w:r>
      <w:r w:rsidR="00513294" w:rsidRPr="00112FFE">
        <w:rPr>
          <w:rFonts w:eastAsia="Arial" w:cs="Cordia New"/>
          <w:sz w:val="24"/>
          <w:szCs w:val="28"/>
          <w:lang w:val="en-AU" w:eastAsia="en-US"/>
        </w:rPr>
        <w:t xml:space="preserve">ost </w:t>
      </w:r>
      <w:r w:rsidRPr="00112FFE">
        <w:rPr>
          <w:rFonts w:eastAsia="Arial" w:cs="Cordia New"/>
          <w:sz w:val="24"/>
          <w:szCs w:val="28"/>
          <w:lang w:val="en-AU" w:eastAsia="en-US"/>
        </w:rPr>
        <w:t>line item is an additional amount contributing to the costs of running and maintaining a centre.</w:t>
      </w:r>
      <w:r w:rsidR="000D3136" w:rsidRPr="000D3136">
        <w:rPr>
          <w:rFonts w:eastAsia="Arial" w:cs="Cordia New"/>
          <w:sz w:val="24"/>
          <w:lang w:val="en-AU" w:eastAsia="en-US"/>
        </w:rPr>
        <w:t xml:space="preserve"> </w:t>
      </w:r>
      <w:r w:rsidR="007041A9">
        <w:rPr>
          <w:rFonts w:eastAsia="Arial" w:cs="Cordia New"/>
          <w:sz w:val="24"/>
          <w:lang w:val="en-AU" w:eastAsia="en-US"/>
        </w:rPr>
        <w:t>W</w:t>
      </w:r>
      <w:r w:rsidR="000D3136" w:rsidRPr="000F16B1">
        <w:rPr>
          <w:rFonts w:eastAsia="Arial" w:cs="Cordia New"/>
          <w:sz w:val="24"/>
          <w:lang w:val="en-AU" w:eastAsia="en-US"/>
        </w:rPr>
        <w:t xml:space="preserve">here relevant, </w:t>
      </w:r>
      <w:r w:rsidR="007041A9">
        <w:rPr>
          <w:rFonts w:eastAsia="Arial" w:cs="Cordia New"/>
          <w:sz w:val="24"/>
          <w:lang w:val="en-AU" w:eastAsia="en-US"/>
        </w:rPr>
        <w:t>they can</w:t>
      </w:r>
      <w:r w:rsidR="000D3136" w:rsidRPr="000F16B1">
        <w:rPr>
          <w:rFonts w:eastAsia="Arial" w:cs="Cordia New"/>
          <w:sz w:val="24"/>
          <w:lang w:val="en-AU" w:eastAsia="en-US"/>
        </w:rPr>
        <w:t xml:space="preserve"> be claimed per hour per participant.</w:t>
      </w:r>
    </w:p>
    <w:p w14:paraId="1E592EB0" w14:textId="69007A2B" w:rsidR="00C95BA5" w:rsidRPr="00B67269" w:rsidRDefault="00B67DC9" w:rsidP="00C95BA5">
      <w:pPr>
        <w:rPr>
          <w:rFonts w:eastAsia="Arial" w:cs="Arial"/>
          <w:sz w:val="24"/>
          <w:lang w:val="en-AU" w:eastAsia="en-US"/>
        </w:rPr>
      </w:pPr>
      <w:r w:rsidRPr="00112FFE">
        <w:rPr>
          <w:rFonts w:eastAsia="Arial" w:cs="Cordia New"/>
          <w:sz w:val="24"/>
          <w:szCs w:val="28"/>
          <w:lang w:val="en-AU" w:eastAsia="en-US"/>
        </w:rPr>
        <w:t>This line item cannot be claimed when using the transitional pricing as the centre capital cost is already included in those prices</w:t>
      </w:r>
      <w:r w:rsidR="000F16B1">
        <w:rPr>
          <w:rFonts w:eastAsia="Arial" w:cs="Cordia New"/>
          <w:sz w:val="24"/>
          <w:szCs w:val="28"/>
          <w:lang w:val="en-AU" w:eastAsia="en-US"/>
        </w:rPr>
        <w:t xml:space="preserve">. </w:t>
      </w:r>
      <w:r w:rsidR="00C23434">
        <w:rPr>
          <w:rFonts w:eastAsia="Arial" w:cs="Cordia New"/>
          <w:sz w:val="24"/>
          <w:szCs w:val="28"/>
          <w:lang w:val="en-AU" w:eastAsia="en-US"/>
        </w:rPr>
        <w:t xml:space="preserve">Details related to claiming </w:t>
      </w:r>
      <w:r w:rsidR="00513294">
        <w:rPr>
          <w:rFonts w:eastAsia="Arial" w:cs="Cordia New"/>
          <w:sz w:val="24"/>
          <w:szCs w:val="28"/>
          <w:lang w:val="en-AU" w:eastAsia="en-US"/>
        </w:rPr>
        <w:t xml:space="preserve">Centre Capital Costs </w:t>
      </w:r>
      <w:r w:rsidR="00C23434">
        <w:rPr>
          <w:rFonts w:eastAsia="Arial" w:cs="Cordia New"/>
          <w:sz w:val="24"/>
          <w:szCs w:val="28"/>
          <w:lang w:val="en-AU" w:eastAsia="en-US"/>
        </w:rPr>
        <w:t>are contained within the PAPL and provider</w:t>
      </w:r>
      <w:r>
        <w:rPr>
          <w:rFonts w:eastAsia="Arial" w:cs="Cordia New"/>
          <w:sz w:val="24"/>
          <w:szCs w:val="28"/>
          <w:lang w:val="en-AU" w:eastAsia="en-US"/>
        </w:rPr>
        <w:t>s</w:t>
      </w:r>
      <w:r w:rsidR="00C23434">
        <w:rPr>
          <w:rFonts w:eastAsia="Arial" w:cs="Cordia New"/>
          <w:sz w:val="24"/>
          <w:szCs w:val="28"/>
          <w:lang w:val="en-AU" w:eastAsia="en-US"/>
        </w:rPr>
        <w:t xml:space="preserve"> are </w:t>
      </w:r>
      <w:r w:rsidR="00C95BA5">
        <w:rPr>
          <w:rFonts w:eastAsia="Arial" w:cs="Cordia New"/>
          <w:sz w:val="24"/>
          <w:szCs w:val="28"/>
          <w:lang w:val="en-AU" w:eastAsia="en-US"/>
        </w:rPr>
        <w:t xml:space="preserve">reminded they are </w:t>
      </w:r>
      <w:r w:rsidR="00C95BA5" w:rsidRPr="00B67269">
        <w:rPr>
          <w:rFonts w:eastAsia="Arial" w:cs="Arial"/>
          <w:sz w:val="24"/>
          <w:lang w:val="en-AU" w:eastAsia="en-US"/>
        </w:rPr>
        <w:t xml:space="preserve">required to acknowledge compliance with the </w:t>
      </w:r>
      <w:r w:rsidR="00C95BA5" w:rsidRPr="00B67269">
        <w:rPr>
          <w:rFonts w:eastAsia="Arial" w:cs="Arial"/>
          <w:i/>
          <w:sz w:val="24"/>
          <w:lang w:val="en-AU" w:eastAsia="en-US"/>
        </w:rPr>
        <w:t xml:space="preserve">NDIS Pricing Arrangements and Price Limits </w:t>
      </w:r>
      <w:r w:rsidR="00C95BA5" w:rsidRPr="00B67269">
        <w:rPr>
          <w:rFonts w:eastAsia="Arial" w:cs="Arial"/>
          <w:sz w:val="24"/>
          <w:lang w:val="en-AU" w:eastAsia="en-US"/>
        </w:rPr>
        <w:t>and its associated documents when submitting a payment request through the myplace Provider Portal.</w:t>
      </w:r>
    </w:p>
    <w:p w14:paraId="447F71DF" w14:textId="097FFE4A" w:rsidR="00057665" w:rsidRPr="00112FFE" w:rsidRDefault="003864D5" w:rsidP="00057665">
      <w:pPr>
        <w:pStyle w:val="Heading3"/>
        <w:numPr>
          <w:ilvl w:val="0"/>
          <w:numId w:val="0"/>
        </w:numPr>
        <w:rPr>
          <w:rFonts w:eastAsia="SimHei"/>
          <w:lang w:val="en-AU" w:eastAsia="en-US"/>
        </w:rPr>
      </w:pPr>
      <w:bookmarkStart w:id="16" w:name="_Toc143524931"/>
      <w:r>
        <w:rPr>
          <w:rFonts w:eastAsia="SimHei"/>
          <w:lang w:val="en-AU" w:eastAsia="en-US"/>
        </w:rPr>
        <w:t>Claiming when a</w:t>
      </w:r>
      <w:r w:rsidR="00057665" w:rsidRPr="00112FFE">
        <w:rPr>
          <w:rFonts w:eastAsia="SimHei"/>
          <w:lang w:val="en-AU" w:eastAsia="en-US"/>
        </w:rPr>
        <w:t xml:space="preserve"> group spends part of the time at </w:t>
      </w:r>
      <w:r w:rsidR="007041A9">
        <w:rPr>
          <w:rFonts w:eastAsia="SimHei"/>
          <w:lang w:val="en-AU" w:eastAsia="en-US"/>
        </w:rPr>
        <w:t>the</w:t>
      </w:r>
      <w:r w:rsidR="00057665" w:rsidRPr="00112FFE">
        <w:rPr>
          <w:rFonts w:eastAsia="SimHei"/>
          <w:lang w:val="en-AU" w:eastAsia="en-US"/>
        </w:rPr>
        <w:t xml:space="preserve"> centre and part of the time out in the community?</w:t>
      </w:r>
      <w:bookmarkEnd w:id="16"/>
    </w:p>
    <w:p w14:paraId="684063E8" w14:textId="177F0973" w:rsidR="00057665" w:rsidRPr="00112FFE" w:rsidRDefault="00057665" w:rsidP="00057665">
      <w:pPr>
        <w:suppressAutoHyphens/>
        <w:rPr>
          <w:rFonts w:eastAsia="Arial" w:cs="Cordia New"/>
          <w:sz w:val="24"/>
          <w:szCs w:val="28"/>
          <w:lang w:val="en-AU" w:eastAsia="en-US"/>
        </w:rPr>
      </w:pPr>
      <w:r w:rsidRPr="00112FFE">
        <w:rPr>
          <w:rFonts w:eastAsia="Arial" w:cs="Cordia New"/>
          <w:sz w:val="24"/>
          <w:szCs w:val="28"/>
          <w:lang w:val="en-AU" w:eastAsia="en-US"/>
        </w:rPr>
        <w:t xml:space="preserve">Providers can claim </w:t>
      </w:r>
      <w:r w:rsidR="00513294">
        <w:rPr>
          <w:rFonts w:eastAsia="Arial" w:cs="Cordia New"/>
          <w:sz w:val="24"/>
          <w:szCs w:val="28"/>
          <w:lang w:val="en-AU" w:eastAsia="en-US"/>
        </w:rPr>
        <w:t>C</w:t>
      </w:r>
      <w:r w:rsidR="00513294" w:rsidRPr="00112FFE">
        <w:rPr>
          <w:rFonts w:eastAsia="Arial" w:cs="Cordia New"/>
          <w:sz w:val="24"/>
          <w:szCs w:val="28"/>
          <w:lang w:val="en-AU" w:eastAsia="en-US"/>
        </w:rPr>
        <w:t xml:space="preserve">entre </w:t>
      </w:r>
      <w:r w:rsidR="00513294">
        <w:rPr>
          <w:rFonts w:eastAsia="Arial" w:cs="Cordia New"/>
          <w:sz w:val="24"/>
          <w:szCs w:val="28"/>
          <w:lang w:val="en-AU" w:eastAsia="en-US"/>
        </w:rPr>
        <w:t>C</w:t>
      </w:r>
      <w:r w:rsidR="00513294" w:rsidRPr="00112FFE">
        <w:rPr>
          <w:rFonts w:eastAsia="Arial" w:cs="Cordia New"/>
          <w:sz w:val="24"/>
          <w:szCs w:val="28"/>
          <w:lang w:val="en-AU" w:eastAsia="en-US"/>
        </w:rPr>
        <w:t xml:space="preserve">apital </w:t>
      </w:r>
      <w:r w:rsidR="00513294">
        <w:rPr>
          <w:rFonts w:eastAsia="Arial" w:cs="Cordia New"/>
          <w:sz w:val="24"/>
          <w:szCs w:val="28"/>
          <w:lang w:val="en-AU" w:eastAsia="en-US"/>
        </w:rPr>
        <w:t>C</w:t>
      </w:r>
      <w:r w:rsidR="00513294" w:rsidRPr="00112FFE">
        <w:rPr>
          <w:rFonts w:eastAsia="Arial" w:cs="Cordia New"/>
          <w:sz w:val="24"/>
          <w:szCs w:val="28"/>
          <w:lang w:val="en-AU" w:eastAsia="en-US"/>
        </w:rPr>
        <w:t xml:space="preserve">osts </w:t>
      </w:r>
      <w:r w:rsidRPr="00112FFE">
        <w:rPr>
          <w:rFonts w:eastAsia="Arial" w:cs="Cordia New"/>
          <w:sz w:val="24"/>
          <w:szCs w:val="28"/>
          <w:lang w:val="en-AU" w:eastAsia="en-US"/>
        </w:rPr>
        <w:t>when the support is partially delivered in a centre</w:t>
      </w:r>
      <w:r w:rsidR="00395E18">
        <w:rPr>
          <w:rFonts w:eastAsia="Arial" w:cs="Cordia New"/>
          <w:sz w:val="24"/>
          <w:szCs w:val="28"/>
          <w:lang w:val="en-AU" w:eastAsia="en-US"/>
        </w:rPr>
        <w:t>,</w:t>
      </w:r>
      <w:r w:rsidRPr="00112FFE">
        <w:rPr>
          <w:rFonts w:eastAsia="Arial" w:cs="Cordia New"/>
          <w:sz w:val="24"/>
          <w:szCs w:val="28"/>
          <w:lang w:val="en-AU" w:eastAsia="en-US"/>
        </w:rPr>
        <w:t xml:space="preserve"> </w:t>
      </w:r>
      <w:r w:rsidR="006C66E2" w:rsidRPr="00112FFE">
        <w:rPr>
          <w:rFonts w:eastAsia="Arial" w:cs="Cordia New"/>
          <w:sz w:val="24"/>
          <w:szCs w:val="28"/>
          <w:lang w:val="en-AU" w:eastAsia="en-US"/>
        </w:rPr>
        <w:t>if</w:t>
      </w:r>
      <w:r w:rsidRPr="00112FFE">
        <w:rPr>
          <w:rFonts w:eastAsia="Arial" w:cs="Cordia New"/>
          <w:sz w:val="24"/>
          <w:szCs w:val="28"/>
          <w:lang w:val="en-AU" w:eastAsia="en-US"/>
        </w:rPr>
        <w:t xml:space="preserve"> the centre is available for use for the duration of the group-based support activity.</w:t>
      </w:r>
    </w:p>
    <w:p w14:paraId="2092F530" w14:textId="77777777" w:rsidR="00A83E34" w:rsidRDefault="00A83E34">
      <w:pPr>
        <w:spacing w:after="0" w:line="240" w:lineRule="auto"/>
        <w:rPr>
          <w:rFonts w:eastAsia="Arial" w:cs="Cordia New"/>
          <w:b/>
          <w:bCs/>
          <w:sz w:val="24"/>
          <w:szCs w:val="28"/>
          <w:lang w:val="en-AU" w:eastAsia="en-US"/>
        </w:rPr>
      </w:pPr>
      <w:r>
        <w:rPr>
          <w:rFonts w:eastAsia="Arial" w:cs="Cordia New"/>
          <w:b/>
          <w:bCs/>
          <w:sz w:val="24"/>
          <w:szCs w:val="28"/>
          <w:lang w:val="en-AU" w:eastAsia="en-US"/>
        </w:rPr>
        <w:br w:type="page"/>
      </w:r>
    </w:p>
    <w:p w14:paraId="09E81E32" w14:textId="496AC84C" w:rsidR="003864D5" w:rsidRPr="003864D5" w:rsidRDefault="003864D5" w:rsidP="003864D5">
      <w:pPr>
        <w:shd w:val="clear" w:color="auto" w:fill="EEE2F3"/>
        <w:tabs>
          <w:tab w:val="left" w:pos="7655"/>
        </w:tabs>
        <w:suppressAutoHyphens/>
        <w:ind w:left="426" w:right="521"/>
        <w:rPr>
          <w:rFonts w:eastAsia="Arial" w:cs="Cordia New"/>
          <w:b/>
          <w:bCs/>
          <w:sz w:val="24"/>
          <w:szCs w:val="28"/>
          <w:lang w:val="en-AU" w:eastAsia="en-US"/>
        </w:rPr>
      </w:pPr>
      <w:r w:rsidRPr="003864D5">
        <w:rPr>
          <w:rFonts w:eastAsia="Arial" w:cs="Cordia New"/>
          <w:b/>
          <w:bCs/>
          <w:sz w:val="24"/>
          <w:szCs w:val="28"/>
          <w:lang w:val="en-AU" w:eastAsia="en-US"/>
        </w:rPr>
        <w:lastRenderedPageBreak/>
        <w:t>Example:</w:t>
      </w:r>
    </w:p>
    <w:p w14:paraId="50B272B0" w14:textId="26A0048A" w:rsidR="001F18CA" w:rsidRDefault="001F18CA" w:rsidP="003864D5">
      <w:pPr>
        <w:shd w:val="clear" w:color="auto" w:fill="EEE2F3"/>
        <w:tabs>
          <w:tab w:val="left" w:pos="7655"/>
        </w:tabs>
        <w:suppressAutoHyphens/>
        <w:ind w:left="426" w:right="521"/>
        <w:rPr>
          <w:rFonts w:eastAsia="Arial" w:cs="Cordia New"/>
          <w:sz w:val="24"/>
          <w:szCs w:val="28"/>
          <w:lang w:val="en-AU" w:eastAsia="en-US"/>
        </w:rPr>
      </w:pPr>
      <w:r>
        <w:rPr>
          <w:rFonts w:eastAsia="Arial" w:cs="Cordia New"/>
          <w:sz w:val="24"/>
          <w:szCs w:val="28"/>
          <w:lang w:val="en-AU" w:eastAsia="en-US"/>
        </w:rPr>
        <w:t>A</w:t>
      </w:r>
      <w:r w:rsidR="00057665" w:rsidRPr="00112FFE">
        <w:rPr>
          <w:rFonts w:eastAsia="Arial" w:cs="Cordia New"/>
          <w:sz w:val="24"/>
          <w:szCs w:val="28"/>
          <w:lang w:val="en-AU" w:eastAsia="en-US"/>
        </w:rPr>
        <w:t xml:space="preserve"> group of participants attend a </w:t>
      </w:r>
      <w:r>
        <w:rPr>
          <w:rFonts w:eastAsia="Arial" w:cs="Cordia New"/>
          <w:sz w:val="24"/>
          <w:szCs w:val="28"/>
          <w:lang w:val="en-AU" w:eastAsia="en-US"/>
        </w:rPr>
        <w:t>support each Friday</w:t>
      </w:r>
      <w:r w:rsidR="00057665" w:rsidRPr="00112FFE">
        <w:rPr>
          <w:rFonts w:eastAsia="Arial" w:cs="Cordia New"/>
          <w:sz w:val="24"/>
          <w:szCs w:val="28"/>
          <w:lang w:val="en-AU" w:eastAsia="en-US"/>
        </w:rPr>
        <w:t xml:space="preserve"> that brings them together over a shared love of music. </w:t>
      </w:r>
      <w:r w:rsidR="00766CD6">
        <w:rPr>
          <w:rFonts w:eastAsia="Arial" w:cs="Cordia New"/>
          <w:sz w:val="24"/>
          <w:szCs w:val="28"/>
          <w:lang w:val="en-AU" w:eastAsia="en-US"/>
        </w:rPr>
        <w:t>They meet in a centre</w:t>
      </w:r>
      <w:r w:rsidR="00395E18">
        <w:rPr>
          <w:rFonts w:eastAsia="Arial" w:cs="Cordia New"/>
          <w:sz w:val="24"/>
          <w:szCs w:val="28"/>
          <w:lang w:val="en-AU" w:eastAsia="en-US"/>
        </w:rPr>
        <w:t>,</w:t>
      </w:r>
      <w:r w:rsidR="00766CD6">
        <w:rPr>
          <w:rFonts w:eastAsia="Arial" w:cs="Cordia New"/>
          <w:sz w:val="24"/>
          <w:szCs w:val="28"/>
          <w:lang w:val="en-AU" w:eastAsia="en-US"/>
        </w:rPr>
        <w:t xml:space="preserve"> which is </w:t>
      </w:r>
      <w:r w:rsidR="00C95BA5">
        <w:rPr>
          <w:rFonts w:eastAsia="Arial" w:cs="Cordia New"/>
          <w:sz w:val="24"/>
          <w:szCs w:val="28"/>
          <w:lang w:val="en-AU" w:eastAsia="en-US"/>
        </w:rPr>
        <w:t xml:space="preserve">designed </w:t>
      </w:r>
      <w:r w:rsidR="00766CD6">
        <w:rPr>
          <w:rFonts w:eastAsia="Arial" w:cs="Cordia New"/>
          <w:sz w:val="24"/>
          <w:szCs w:val="28"/>
          <w:lang w:val="en-AU" w:eastAsia="en-US"/>
        </w:rPr>
        <w:t>to support participants with high support needs.</w:t>
      </w:r>
    </w:p>
    <w:p w14:paraId="68E6A5B9" w14:textId="77777777" w:rsidR="001F18CA" w:rsidRDefault="00057665" w:rsidP="003864D5">
      <w:pPr>
        <w:shd w:val="clear" w:color="auto" w:fill="EEE2F3"/>
        <w:tabs>
          <w:tab w:val="left" w:pos="7655"/>
        </w:tabs>
        <w:suppressAutoHyphens/>
        <w:ind w:left="426" w:right="521"/>
        <w:rPr>
          <w:rFonts w:eastAsia="Arial" w:cs="Cordia New"/>
          <w:sz w:val="24"/>
          <w:szCs w:val="28"/>
          <w:lang w:val="en-AU" w:eastAsia="en-US"/>
        </w:rPr>
      </w:pPr>
      <w:r w:rsidRPr="00112FFE">
        <w:rPr>
          <w:rFonts w:eastAsia="Arial" w:cs="Cordia New"/>
          <w:sz w:val="24"/>
          <w:szCs w:val="28"/>
          <w:lang w:val="en-AU" w:eastAsia="en-US"/>
        </w:rPr>
        <w:t xml:space="preserve">The local council is putting on a month-long series of free lunchtime concerts in the botanic gardens on </w:t>
      </w:r>
      <w:r w:rsidR="001F18CA">
        <w:rPr>
          <w:rFonts w:eastAsia="Arial" w:cs="Cordia New"/>
          <w:sz w:val="24"/>
          <w:szCs w:val="28"/>
          <w:lang w:val="en-AU" w:eastAsia="en-US"/>
        </w:rPr>
        <w:t>Fridays</w:t>
      </w:r>
      <w:r w:rsidRPr="00112FFE">
        <w:rPr>
          <w:rFonts w:eastAsia="Arial" w:cs="Cordia New"/>
          <w:sz w:val="24"/>
          <w:szCs w:val="28"/>
          <w:lang w:val="en-AU" w:eastAsia="en-US"/>
        </w:rPr>
        <w:t>.</w:t>
      </w:r>
    </w:p>
    <w:p w14:paraId="73709799" w14:textId="161E4A3F" w:rsidR="001F18CA" w:rsidRDefault="00057665" w:rsidP="003864D5">
      <w:pPr>
        <w:shd w:val="clear" w:color="auto" w:fill="EEE2F3"/>
        <w:tabs>
          <w:tab w:val="left" w:pos="7655"/>
        </w:tabs>
        <w:suppressAutoHyphens/>
        <w:ind w:left="426" w:right="521"/>
        <w:rPr>
          <w:rFonts w:eastAsia="Arial" w:cs="Cordia New"/>
          <w:sz w:val="24"/>
          <w:szCs w:val="28"/>
          <w:lang w:val="en-AU" w:eastAsia="en-US"/>
        </w:rPr>
      </w:pPr>
      <w:r w:rsidRPr="00112FFE">
        <w:rPr>
          <w:rFonts w:eastAsia="Arial" w:cs="Cordia New"/>
          <w:sz w:val="24"/>
          <w:szCs w:val="28"/>
          <w:lang w:val="en-AU" w:eastAsia="en-US"/>
        </w:rPr>
        <w:t>The participants and provider decide that this a great opportunity to explore music in the community and arrange to attend the concerts</w:t>
      </w:r>
      <w:r w:rsidR="00395E18">
        <w:rPr>
          <w:rFonts w:eastAsia="Arial" w:cs="Cordia New"/>
          <w:sz w:val="24"/>
          <w:szCs w:val="28"/>
          <w:lang w:val="en-AU" w:eastAsia="en-US"/>
        </w:rPr>
        <w:t>,</w:t>
      </w:r>
      <w:r w:rsidR="001F18CA">
        <w:rPr>
          <w:rFonts w:eastAsia="Arial" w:cs="Cordia New"/>
          <w:sz w:val="24"/>
          <w:szCs w:val="28"/>
          <w:lang w:val="en-AU" w:eastAsia="en-US"/>
        </w:rPr>
        <w:t xml:space="preserve"> which are a short walk away from the centre</w:t>
      </w:r>
      <w:r w:rsidRPr="00112FFE">
        <w:rPr>
          <w:rFonts w:eastAsia="Arial" w:cs="Cordia New"/>
          <w:sz w:val="24"/>
          <w:szCs w:val="28"/>
          <w:lang w:val="en-AU" w:eastAsia="en-US"/>
        </w:rPr>
        <w:t>. This means they will be out of the centre for about 2 hours</w:t>
      </w:r>
      <w:r w:rsidR="00395E18">
        <w:rPr>
          <w:rFonts w:eastAsia="Arial" w:cs="Cordia New"/>
          <w:sz w:val="24"/>
          <w:szCs w:val="28"/>
          <w:lang w:val="en-AU" w:eastAsia="en-US"/>
        </w:rPr>
        <w:t>,</w:t>
      </w:r>
      <w:r w:rsidRPr="00112FFE">
        <w:rPr>
          <w:rFonts w:eastAsia="Arial" w:cs="Cordia New"/>
          <w:sz w:val="24"/>
          <w:szCs w:val="28"/>
          <w:lang w:val="en-AU" w:eastAsia="en-US"/>
        </w:rPr>
        <w:t xml:space="preserve"> each </w:t>
      </w:r>
      <w:r w:rsidR="00455BC9">
        <w:rPr>
          <w:rFonts w:eastAsia="Arial" w:cs="Cordia New"/>
          <w:sz w:val="24"/>
          <w:szCs w:val="28"/>
          <w:lang w:val="en-AU" w:eastAsia="en-US"/>
        </w:rPr>
        <w:t>Friday for</w:t>
      </w:r>
      <w:r w:rsidRPr="00112FFE">
        <w:rPr>
          <w:rFonts w:eastAsia="Arial" w:cs="Cordia New"/>
          <w:sz w:val="24"/>
          <w:szCs w:val="28"/>
          <w:lang w:val="en-AU" w:eastAsia="en-US"/>
        </w:rPr>
        <w:t xml:space="preserve"> that month.</w:t>
      </w:r>
      <w:r w:rsidR="00455BC9">
        <w:rPr>
          <w:rFonts w:eastAsia="Arial" w:cs="Cordia New"/>
          <w:sz w:val="24"/>
          <w:szCs w:val="28"/>
          <w:lang w:val="en-AU" w:eastAsia="en-US"/>
        </w:rPr>
        <w:t xml:space="preserve"> They are charged the </w:t>
      </w:r>
      <w:r w:rsidR="00513294">
        <w:rPr>
          <w:rFonts w:eastAsia="Arial" w:cs="Cordia New"/>
          <w:sz w:val="24"/>
          <w:szCs w:val="28"/>
          <w:lang w:val="en-AU" w:eastAsia="en-US"/>
        </w:rPr>
        <w:t xml:space="preserve">Centre Capital Costs </w:t>
      </w:r>
      <w:r w:rsidR="00455BC9">
        <w:rPr>
          <w:rFonts w:eastAsia="Arial" w:cs="Cordia New"/>
          <w:sz w:val="24"/>
          <w:szCs w:val="28"/>
          <w:lang w:val="en-AU" w:eastAsia="en-US"/>
        </w:rPr>
        <w:t>for the full 6 hours because the centre is available for them to use</w:t>
      </w:r>
      <w:r w:rsidR="00395E18">
        <w:rPr>
          <w:rFonts w:eastAsia="Arial" w:cs="Cordia New"/>
          <w:sz w:val="24"/>
          <w:szCs w:val="28"/>
          <w:lang w:val="en-AU" w:eastAsia="en-US"/>
        </w:rPr>
        <w:t>,</w:t>
      </w:r>
      <w:r w:rsidR="00455BC9">
        <w:rPr>
          <w:rFonts w:eastAsia="Arial" w:cs="Cordia New"/>
          <w:sz w:val="24"/>
          <w:szCs w:val="28"/>
          <w:lang w:val="en-AU" w:eastAsia="en-US"/>
        </w:rPr>
        <w:t xml:space="preserve"> if needed.</w:t>
      </w:r>
    </w:p>
    <w:p w14:paraId="4174D047" w14:textId="60FF4343" w:rsidR="00057665" w:rsidRPr="00112FFE" w:rsidRDefault="00057665" w:rsidP="003864D5">
      <w:pPr>
        <w:shd w:val="clear" w:color="auto" w:fill="EEE2F3"/>
        <w:tabs>
          <w:tab w:val="left" w:pos="7655"/>
        </w:tabs>
        <w:suppressAutoHyphens/>
        <w:ind w:left="426" w:right="521"/>
        <w:rPr>
          <w:rFonts w:eastAsia="Arial" w:cs="Cordia New"/>
          <w:sz w:val="24"/>
          <w:szCs w:val="28"/>
          <w:lang w:val="en-AU" w:eastAsia="en-US"/>
        </w:rPr>
      </w:pPr>
      <w:r w:rsidRPr="00112FFE">
        <w:rPr>
          <w:rFonts w:eastAsia="Arial" w:cs="Cordia New"/>
          <w:sz w:val="24"/>
          <w:szCs w:val="28"/>
          <w:lang w:val="en-AU" w:eastAsia="en-US"/>
        </w:rPr>
        <w:t xml:space="preserve">On the day of the second concert, a thunderstorm is </w:t>
      </w:r>
      <w:r w:rsidR="006C66E2" w:rsidRPr="00112FFE">
        <w:rPr>
          <w:rFonts w:eastAsia="Arial" w:cs="Cordia New"/>
          <w:sz w:val="24"/>
          <w:szCs w:val="28"/>
          <w:lang w:val="en-AU" w:eastAsia="en-US"/>
        </w:rPr>
        <w:t>forecast,</w:t>
      </w:r>
      <w:r w:rsidRPr="00112FFE">
        <w:rPr>
          <w:rFonts w:eastAsia="Arial" w:cs="Cordia New"/>
          <w:sz w:val="24"/>
          <w:szCs w:val="28"/>
          <w:lang w:val="en-AU" w:eastAsia="en-US"/>
        </w:rPr>
        <w:t xml:space="preserve"> and the concert is cancelled</w:t>
      </w:r>
      <w:r w:rsidR="00395E18">
        <w:rPr>
          <w:rFonts w:eastAsia="Arial" w:cs="Cordia New"/>
          <w:sz w:val="24"/>
          <w:szCs w:val="28"/>
          <w:lang w:val="en-AU" w:eastAsia="en-US"/>
        </w:rPr>
        <w:t>,</w:t>
      </w:r>
      <w:r w:rsidRPr="00112FFE">
        <w:rPr>
          <w:rFonts w:eastAsia="Arial" w:cs="Cordia New"/>
          <w:sz w:val="24"/>
          <w:szCs w:val="28"/>
          <w:lang w:val="en-AU" w:eastAsia="en-US"/>
        </w:rPr>
        <w:t xml:space="preserve"> so the group spend the </w:t>
      </w:r>
      <w:r w:rsidR="00455BC9">
        <w:rPr>
          <w:rFonts w:eastAsia="Arial" w:cs="Cordia New"/>
          <w:sz w:val="24"/>
          <w:szCs w:val="28"/>
          <w:lang w:val="en-AU" w:eastAsia="en-US"/>
        </w:rPr>
        <w:t>full day in the centre and participate in other activities instead.</w:t>
      </w:r>
    </w:p>
    <w:p w14:paraId="39670BD6" w14:textId="36E1FF18" w:rsidR="00057665" w:rsidRPr="00112FFE" w:rsidRDefault="00057665" w:rsidP="00057665">
      <w:pPr>
        <w:suppressAutoHyphens/>
        <w:rPr>
          <w:rFonts w:eastAsia="Arial" w:cs="Cordia New"/>
          <w:sz w:val="24"/>
          <w:szCs w:val="28"/>
          <w:lang w:val="en-AU" w:eastAsia="en-US"/>
        </w:rPr>
      </w:pPr>
      <w:r w:rsidRPr="00B67DC9">
        <w:rPr>
          <w:rFonts w:eastAsia="Arial" w:cs="Cordia New"/>
          <w:sz w:val="24"/>
          <w:szCs w:val="28"/>
          <w:lang w:val="en-AU" w:eastAsia="en-US"/>
        </w:rPr>
        <w:t xml:space="preserve">It is important to note that the centre needs to be </w:t>
      </w:r>
      <w:r w:rsidRPr="00B67DC9">
        <w:rPr>
          <w:rFonts w:eastAsia="Arial" w:cs="Cordia New"/>
          <w:b/>
          <w:bCs/>
          <w:sz w:val="24"/>
          <w:szCs w:val="28"/>
          <w:lang w:val="en-AU" w:eastAsia="en-US"/>
        </w:rPr>
        <w:t>genuinely</w:t>
      </w:r>
      <w:r w:rsidRPr="00B67DC9">
        <w:rPr>
          <w:rFonts w:eastAsia="Arial" w:cs="Cordia New"/>
          <w:sz w:val="24"/>
          <w:szCs w:val="28"/>
          <w:lang w:val="en-AU" w:eastAsia="en-US"/>
        </w:rPr>
        <w:t xml:space="preserve"> available to participants who are charged the </w:t>
      </w:r>
      <w:r w:rsidR="00513294">
        <w:rPr>
          <w:rFonts w:eastAsia="Arial" w:cs="Cordia New"/>
          <w:sz w:val="24"/>
          <w:szCs w:val="28"/>
          <w:lang w:val="en-AU" w:eastAsia="en-US"/>
        </w:rPr>
        <w:t>C</w:t>
      </w:r>
      <w:r w:rsidR="00513294" w:rsidRPr="00B67DC9">
        <w:rPr>
          <w:rFonts w:eastAsia="Arial" w:cs="Cordia New"/>
          <w:sz w:val="24"/>
          <w:szCs w:val="28"/>
          <w:lang w:val="en-AU" w:eastAsia="en-US"/>
        </w:rPr>
        <w:t xml:space="preserve">entre </w:t>
      </w:r>
      <w:r w:rsidR="00513294">
        <w:rPr>
          <w:rFonts w:eastAsia="Arial" w:cs="Cordia New"/>
          <w:sz w:val="24"/>
          <w:szCs w:val="28"/>
          <w:lang w:val="en-AU" w:eastAsia="en-US"/>
        </w:rPr>
        <w:t>C</w:t>
      </w:r>
      <w:r w:rsidR="00513294" w:rsidRPr="00B67DC9">
        <w:rPr>
          <w:rFonts w:eastAsia="Arial" w:cs="Cordia New"/>
          <w:sz w:val="24"/>
          <w:szCs w:val="28"/>
          <w:lang w:val="en-AU" w:eastAsia="en-US"/>
        </w:rPr>
        <w:t xml:space="preserve">apital </w:t>
      </w:r>
      <w:r w:rsidR="00513294">
        <w:rPr>
          <w:rFonts w:eastAsia="Arial" w:cs="Cordia New"/>
          <w:sz w:val="24"/>
          <w:szCs w:val="28"/>
          <w:lang w:val="en-AU" w:eastAsia="en-US"/>
        </w:rPr>
        <w:t>C</w:t>
      </w:r>
      <w:r w:rsidR="00513294" w:rsidRPr="00B67DC9">
        <w:rPr>
          <w:rFonts w:eastAsia="Arial" w:cs="Cordia New"/>
          <w:sz w:val="24"/>
          <w:szCs w:val="28"/>
          <w:lang w:val="en-AU" w:eastAsia="en-US"/>
        </w:rPr>
        <w:t xml:space="preserve">osts </w:t>
      </w:r>
      <w:r w:rsidRPr="00B67DC9">
        <w:rPr>
          <w:rFonts w:eastAsia="Arial" w:cs="Cordia New"/>
          <w:sz w:val="24"/>
          <w:szCs w:val="28"/>
          <w:lang w:val="en-AU" w:eastAsia="en-US"/>
        </w:rPr>
        <w:t xml:space="preserve">while not at the centre. Consider a scenario where a provider runs a centre that can </w:t>
      </w:r>
      <w:r w:rsidR="00455BC9" w:rsidRPr="00B67DC9">
        <w:rPr>
          <w:rFonts w:eastAsia="Arial" w:cs="Cordia New"/>
          <w:sz w:val="24"/>
          <w:szCs w:val="28"/>
          <w:lang w:val="en-AU" w:eastAsia="en-US"/>
        </w:rPr>
        <w:t xml:space="preserve">safely </w:t>
      </w:r>
      <w:r w:rsidRPr="00B67DC9">
        <w:rPr>
          <w:rFonts w:eastAsia="Arial" w:cs="Cordia New"/>
          <w:sz w:val="24"/>
          <w:szCs w:val="28"/>
          <w:lang w:val="en-AU" w:eastAsia="en-US"/>
        </w:rPr>
        <w:t>accommodate 30 participants. If they support 50 p</w:t>
      </w:r>
      <w:r w:rsidR="00455BC9" w:rsidRPr="00B67DC9">
        <w:rPr>
          <w:rFonts w:eastAsia="Arial" w:cs="Cordia New"/>
          <w:sz w:val="24"/>
          <w:szCs w:val="28"/>
          <w:lang w:val="en-AU" w:eastAsia="en-US"/>
        </w:rPr>
        <w:t>articipants</w:t>
      </w:r>
      <w:r w:rsidRPr="00B67DC9">
        <w:rPr>
          <w:rFonts w:eastAsia="Arial" w:cs="Cordia New"/>
          <w:sz w:val="24"/>
          <w:szCs w:val="28"/>
          <w:lang w:val="en-AU" w:eastAsia="en-US"/>
        </w:rPr>
        <w:t xml:space="preserve"> and rotate groups in and out of the centre to meet capacity constraints, then the centre </w:t>
      </w:r>
      <w:r w:rsidR="00455BC9" w:rsidRPr="00B67DC9">
        <w:rPr>
          <w:rFonts w:eastAsia="Arial" w:cs="Cordia New"/>
          <w:sz w:val="24"/>
          <w:szCs w:val="28"/>
          <w:lang w:val="en-AU" w:eastAsia="en-US"/>
        </w:rPr>
        <w:t xml:space="preserve">is not genuinely </w:t>
      </w:r>
      <w:r w:rsidRPr="00B67DC9">
        <w:rPr>
          <w:rFonts w:eastAsia="Arial" w:cs="Cordia New"/>
          <w:sz w:val="24"/>
          <w:szCs w:val="28"/>
          <w:lang w:val="en-AU" w:eastAsia="en-US"/>
        </w:rPr>
        <w:t>available for up to 20 of the 50 participants at any one time.</w:t>
      </w:r>
      <w:r w:rsidRPr="00112FFE">
        <w:rPr>
          <w:rFonts w:eastAsia="Arial" w:cs="Cordia New"/>
          <w:sz w:val="24"/>
          <w:szCs w:val="28"/>
          <w:lang w:val="en-AU" w:eastAsia="en-US"/>
        </w:rPr>
        <w:t xml:space="preserve"> </w:t>
      </w:r>
    </w:p>
    <w:p w14:paraId="413DD4A1" w14:textId="21773393" w:rsidR="00057665" w:rsidRPr="00112FFE" w:rsidRDefault="00057665" w:rsidP="00057665">
      <w:pPr>
        <w:pStyle w:val="Heading3"/>
        <w:numPr>
          <w:ilvl w:val="0"/>
          <w:numId w:val="0"/>
        </w:numPr>
        <w:rPr>
          <w:rFonts w:eastAsia="SimHei"/>
          <w:lang w:val="en-AU" w:eastAsia="en-US"/>
        </w:rPr>
      </w:pPr>
      <w:bookmarkStart w:id="17" w:name="_Toc143524932"/>
      <w:r w:rsidRPr="00112FFE">
        <w:rPr>
          <w:rFonts w:eastAsia="SimHei"/>
          <w:lang w:val="en-AU" w:eastAsia="en-US"/>
        </w:rPr>
        <w:t xml:space="preserve">Can </w:t>
      </w:r>
      <w:r w:rsidR="00513294">
        <w:rPr>
          <w:rFonts w:eastAsia="SimHei"/>
          <w:lang w:val="en-AU" w:eastAsia="en-US"/>
        </w:rPr>
        <w:t>C</w:t>
      </w:r>
      <w:r w:rsidR="00513294" w:rsidRPr="00112FFE">
        <w:rPr>
          <w:rFonts w:eastAsia="SimHei"/>
          <w:lang w:val="en-AU" w:eastAsia="en-US"/>
        </w:rPr>
        <w:t xml:space="preserve">entre </w:t>
      </w:r>
      <w:r w:rsidR="00513294">
        <w:rPr>
          <w:rFonts w:eastAsia="SimHei"/>
          <w:lang w:val="en-AU" w:eastAsia="en-US"/>
        </w:rPr>
        <w:t>C</w:t>
      </w:r>
      <w:r w:rsidR="00513294" w:rsidRPr="00112FFE">
        <w:rPr>
          <w:rFonts w:eastAsia="SimHei"/>
          <w:lang w:val="en-AU" w:eastAsia="en-US"/>
        </w:rPr>
        <w:t xml:space="preserve">apital </w:t>
      </w:r>
      <w:r w:rsidR="00513294">
        <w:rPr>
          <w:rFonts w:eastAsia="SimHei"/>
          <w:lang w:val="en-AU" w:eastAsia="en-US"/>
        </w:rPr>
        <w:t>C</w:t>
      </w:r>
      <w:r w:rsidR="00513294" w:rsidRPr="00112FFE">
        <w:rPr>
          <w:rFonts w:eastAsia="SimHei"/>
          <w:lang w:val="en-AU" w:eastAsia="en-US"/>
        </w:rPr>
        <w:t xml:space="preserve">osts </w:t>
      </w:r>
      <w:r w:rsidRPr="00112FFE">
        <w:rPr>
          <w:rFonts w:eastAsia="SimHei"/>
          <w:lang w:val="en-AU" w:eastAsia="en-US"/>
        </w:rPr>
        <w:t>be claimed for delivering a support at a community facility we have temporarily hired, such as a swimming pool?</w:t>
      </w:r>
      <w:bookmarkEnd w:id="17"/>
    </w:p>
    <w:p w14:paraId="7C12EDB1" w14:textId="238ECA1A" w:rsidR="00A83E34" w:rsidRDefault="00057665" w:rsidP="00057665">
      <w:pPr>
        <w:suppressAutoHyphens/>
        <w:rPr>
          <w:rFonts w:eastAsia="Arial" w:cs="Arial"/>
          <w:sz w:val="24"/>
          <w:szCs w:val="28"/>
          <w:lang w:val="en-AU" w:eastAsia="en-US"/>
        </w:rPr>
      </w:pPr>
      <w:r w:rsidRPr="00112FFE">
        <w:rPr>
          <w:rFonts w:eastAsia="Arial" w:cs="Arial"/>
          <w:sz w:val="24"/>
          <w:szCs w:val="28"/>
          <w:lang w:val="en-AU" w:eastAsia="en-US"/>
        </w:rPr>
        <w:t xml:space="preserve">No, </w:t>
      </w:r>
      <w:r w:rsidR="00513294">
        <w:rPr>
          <w:rFonts w:eastAsia="Arial" w:cs="Arial"/>
          <w:sz w:val="24"/>
          <w:szCs w:val="28"/>
          <w:lang w:val="en-AU" w:eastAsia="en-US"/>
        </w:rPr>
        <w:t>C</w:t>
      </w:r>
      <w:r w:rsidR="00513294" w:rsidRPr="00112FFE">
        <w:rPr>
          <w:rFonts w:eastAsia="Arial" w:cs="Arial"/>
          <w:sz w:val="24"/>
          <w:szCs w:val="28"/>
          <w:lang w:val="en-AU" w:eastAsia="en-US"/>
        </w:rPr>
        <w:t xml:space="preserve">entre </w:t>
      </w:r>
      <w:r w:rsidR="00513294">
        <w:rPr>
          <w:rFonts w:eastAsia="Arial" w:cs="Arial"/>
          <w:sz w:val="24"/>
          <w:szCs w:val="28"/>
          <w:lang w:val="en-AU" w:eastAsia="en-US"/>
        </w:rPr>
        <w:t>C</w:t>
      </w:r>
      <w:r w:rsidR="00513294" w:rsidRPr="00112FFE">
        <w:rPr>
          <w:rFonts w:eastAsia="Arial" w:cs="Arial"/>
          <w:sz w:val="24"/>
          <w:szCs w:val="28"/>
          <w:lang w:val="en-AU" w:eastAsia="en-US"/>
        </w:rPr>
        <w:t xml:space="preserve">apital </w:t>
      </w:r>
      <w:r w:rsidR="00513294">
        <w:rPr>
          <w:rFonts w:eastAsia="Arial" w:cs="Arial"/>
          <w:sz w:val="24"/>
          <w:szCs w:val="28"/>
          <w:lang w:val="en-AU" w:eastAsia="en-US"/>
        </w:rPr>
        <w:t>C</w:t>
      </w:r>
      <w:r w:rsidR="00513294" w:rsidRPr="00112FFE">
        <w:rPr>
          <w:rFonts w:eastAsia="Arial" w:cs="Arial"/>
          <w:sz w:val="24"/>
          <w:szCs w:val="28"/>
          <w:lang w:val="en-AU" w:eastAsia="en-US"/>
        </w:rPr>
        <w:t xml:space="preserve">osts </w:t>
      </w:r>
      <w:r w:rsidRPr="00112FFE">
        <w:rPr>
          <w:rFonts w:eastAsia="Arial" w:cs="Arial"/>
          <w:sz w:val="24"/>
          <w:szCs w:val="28"/>
          <w:lang w:val="en-AU" w:eastAsia="en-US"/>
        </w:rPr>
        <w:t>cannot be claimed for temporary hire of facilities. Hiring a pool or other community facility isn’t incurring running and maintenance costs</w:t>
      </w:r>
      <w:r w:rsidR="00395E18">
        <w:rPr>
          <w:rFonts w:eastAsia="Arial" w:cs="Arial"/>
          <w:sz w:val="24"/>
          <w:szCs w:val="28"/>
          <w:lang w:val="en-AU" w:eastAsia="en-US"/>
        </w:rPr>
        <w:t>,</w:t>
      </w:r>
      <w:r w:rsidRPr="00112FFE">
        <w:rPr>
          <w:rFonts w:eastAsia="Arial" w:cs="Arial"/>
          <w:sz w:val="24"/>
          <w:szCs w:val="28"/>
          <w:lang w:val="en-AU" w:eastAsia="en-US"/>
        </w:rPr>
        <w:t xml:space="preserve"> so isn’t intended to be covered by this line item.</w:t>
      </w:r>
    </w:p>
    <w:p w14:paraId="7D358AE5" w14:textId="5F706F05" w:rsidR="00155347" w:rsidRPr="00846803" w:rsidRDefault="00A83E34" w:rsidP="00F82F36">
      <w:pPr>
        <w:spacing w:after="0" w:line="240" w:lineRule="auto"/>
        <w:rPr>
          <w:szCs w:val="44"/>
        </w:rPr>
      </w:pPr>
      <w:r>
        <w:rPr>
          <w:rFonts w:eastAsia="Arial" w:cs="Arial"/>
          <w:sz w:val="24"/>
          <w:szCs w:val="28"/>
          <w:lang w:val="en-AU" w:eastAsia="en-US"/>
        </w:rPr>
        <w:br w:type="page"/>
      </w:r>
      <w:bookmarkStart w:id="18" w:name="_Toc143524933"/>
      <w:r w:rsidR="00057665">
        <w:rPr>
          <w:noProof/>
        </w:rPr>
        <w:lastRenderedPageBreak/>
        <w:drawing>
          <wp:inline distT="0" distB="0" distL="0" distR="0" wp14:anchorId="67D7948D" wp14:editId="00D1041C">
            <wp:extent cx="600075" cy="760095"/>
            <wp:effectExtent l="0" t="0" r="9525" b="1905"/>
            <wp:docPr id="23" name="Picture 23" descr="Icon - Shows this section refers to page 29 of the Pricing Arrangements and Price Limit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 - Shows this section refers to page 29 of the Pricing Arrangements and Price Limits documen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688" r="10389" b="16788"/>
                    <a:stretch/>
                  </pic:blipFill>
                  <pic:spPr bwMode="auto">
                    <a:xfrm>
                      <a:off x="0" y="0"/>
                      <a:ext cx="600857" cy="761086"/>
                    </a:xfrm>
                    <a:prstGeom prst="rect">
                      <a:avLst/>
                    </a:prstGeom>
                    <a:noFill/>
                    <a:ln>
                      <a:noFill/>
                    </a:ln>
                    <a:extLst>
                      <a:ext uri="{53640926-AAD7-44D8-BBD7-CCE9431645EC}">
                        <a14:shadowObscured xmlns:a14="http://schemas.microsoft.com/office/drawing/2010/main"/>
                      </a:ext>
                    </a:extLst>
                  </pic:spPr>
                </pic:pic>
              </a:graphicData>
            </a:graphic>
          </wp:inline>
        </w:drawing>
      </w:r>
      <w:r w:rsidR="00EF601F">
        <w:tab/>
      </w:r>
      <w:r w:rsidR="00155347" w:rsidRPr="00F82F36">
        <w:rPr>
          <w:b/>
          <w:bCs/>
          <w:color w:val="660066"/>
          <w:sz w:val="44"/>
          <w:szCs w:val="44"/>
        </w:rPr>
        <w:t>Programs of Support</w:t>
      </w:r>
      <w:bookmarkEnd w:id="18"/>
      <w:r w:rsidR="001B1FB4">
        <w:rPr>
          <w:b/>
          <w:bCs/>
          <w:sz w:val="44"/>
          <w:szCs w:val="44"/>
        </w:rPr>
        <w:t xml:space="preserve"> </w:t>
      </w:r>
    </w:p>
    <w:p w14:paraId="0A1E6D1A" w14:textId="0CA5C48C" w:rsidR="00155347" w:rsidRPr="00EC4364" w:rsidRDefault="00155347" w:rsidP="00155347">
      <w:pPr>
        <w:pStyle w:val="Heading3"/>
        <w:numPr>
          <w:ilvl w:val="0"/>
          <w:numId w:val="0"/>
        </w:numPr>
      </w:pPr>
      <w:bookmarkStart w:id="19" w:name="_Toc143524934"/>
      <w:r>
        <w:t>What is a Program of Support?</w:t>
      </w:r>
      <w:bookmarkEnd w:id="19"/>
      <w:r w:rsidR="001B1FB4">
        <w:t xml:space="preserve"> </w:t>
      </w:r>
    </w:p>
    <w:p w14:paraId="4C4C464D" w14:textId="77777777" w:rsidR="00155347" w:rsidRPr="00044CF5" w:rsidRDefault="00155347" w:rsidP="00155347">
      <w:pPr>
        <w:rPr>
          <w:rFonts w:eastAsia="Arial"/>
          <w:sz w:val="24"/>
          <w:szCs w:val="28"/>
        </w:rPr>
      </w:pPr>
      <w:r w:rsidRPr="00044CF5">
        <w:rPr>
          <w:sz w:val="24"/>
          <w:szCs w:val="28"/>
        </w:rPr>
        <w:t>Programs of Support can relate to any group-based support:</w:t>
      </w:r>
    </w:p>
    <w:p w14:paraId="2531D93B" w14:textId="71C214E1" w:rsidR="00155347" w:rsidRPr="00044CF5" w:rsidRDefault="00155347" w:rsidP="00155347">
      <w:pPr>
        <w:pStyle w:val="ListParagraph"/>
        <w:numPr>
          <w:ilvl w:val="0"/>
          <w:numId w:val="10"/>
        </w:numPr>
        <w:suppressAutoHyphens/>
        <w:snapToGrid w:val="0"/>
        <w:spacing w:before="120" w:after="120"/>
        <w:contextualSpacing w:val="0"/>
        <w:rPr>
          <w:sz w:val="24"/>
          <w:szCs w:val="28"/>
        </w:rPr>
      </w:pPr>
      <w:r w:rsidRPr="00044CF5">
        <w:rPr>
          <w:sz w:val="24"/>
          <w:szCs w:val="28"/>
        </w:rPr>
        <w:t>in the Assistance with Social, Economic and Community Participation Support Category, including group-based supports and Supports in Employment;</w:t>
      </w:r>
    </w:p>
    <w:p w14:paraId="04677D6F" w14:textId="77777777" w:rsidR="00155347" w:rsidRPr="00044CF5" w:rsidRDefault="00155347" w:rsidP="00155347">
      <w:pPr>
        <w:pStyle w:val="ListParagraph"/>
        <w:numPr>
          <w:ilvl w:val="0"/>
          <w:numId w:val="10"/>
        </w:numPr>
        <w:suppressAutoHyphens/>
        <w:snapToGrid w:val="0"/>
        <w:spacing w:before="120" w:after="120"/>
        <w:contextualSpacing w:val="0"/>
        <w:rPr>
          <w:sz w:val="24"/>
          <w:szCs w:val="28"/>
        </w:rPr>
      </w:pPr>
      <w:r w:rsidRPr="00044CF5">
        <w:rPr>
          <w:sz w:val="24"/>
          <w:szCs w:val="28"/>
        </w:rPr>
        <w:t>in the Assistance in Shared Living Arrangements - Supported Independent Living section of the Assistance with Daily Life Support Category; and</w:t>
      </w:r>
    </w:p>
    <w:p w14:paraId="1143CC5D" w14:textId="77777777" w:rsidR="00155347" w:rsidRPr="00044CF5" w:rsidRDefault="00155347" w:rsidP="00155347">
      <w:pPr>
        <w:pStyle w:val="ListParagraph"/>
        <w:numPr>
          <w:ilvl w:val="0"/>
          <w:numId w:val="10"/>
        </w:numPr>
        <w:suppressAutoHyphens/>
        <w:snapToGrid w:val="0"/>
        <w:spacing w:before="120" w:after="120"/>
        <w:contextualSpacing w:val="0"/>
        <w:rPr>
          <w:sz w:val="24"/>
          <w:szCs w:val="28"/>
        </w:rPr>
      </w:pPr>
      <w:r w:rsidRPr="00044CF5">
        <w:rPr>
          <w:sz w:val="24"/>
          <w:szCs w:val="28"/>
        </w:rPr>
        <w:t>in any Capacity Building Support Category.</w:t>
      </w:r>
    </w:p>
    <w:p w14:paraId="05D8FEC1" w14:textId="71505D34" w:rsidR="00ED079B" w:rsidRPr="00044CF5" w:rsidRDefault="001811E4" w:rsidP="00155347">
      <w:pPr>
        <w:rPr>
          <w:sz w:val="24"/>
          <w:szCs w:val="28"/>
        </w:rPr>
      </w:pPr>
      <w:r>
        <w:rPr>
          <w:sz w:val="24"/>
          <w:szCs w:val="28"/>
        </w:rPr>
        <w:t xml:space="preserve">If providers and participants agree on a </w:t>
      </w:r>
      <w:r w:rsidR="00513294">
        <w:rPr>
          <w:sz w:val="24"/>
          <w:szCs w:val="28"/>
        </w:rPr>
        <w:t>P</w:t>
      </w:r>
      <w:r>
        <w:rPr>
          <w:sz w:val="24"/>
          <w:szCs w:val="28"/>
        </w:rPr>
        <w:t xml:space="preserve">rogram of </w:t>
      </w:r>
      <w:r w:rsidR="00513294">
        <w:rPr>
          <w:sz w:val="24"/>
          <w:szCs w:val="28"/>
        </w:rPr>
        <w:t>S</w:t>
      </w:r>
      <w:r>
        <w:rPr>
          <w:sz w:val="24"/>
          <w:szCs w:val="28"/>
        </w:rPr>
        <w:t xml:space="preserve">upport, the provider can </w:t>
      </w:r>
      <w:r w:rsidR="0050631A">
        <w:rPr>
          <w:sz w:val="24"/>
          <w:szCs w:val="28"/>
        </w:rPr>
        <w:t xml:space="preserve">claim a regular weekly amount for delivering the </w:t>
      </w:r>
      <w:r w:rsidR="008458A0">
        <w:rPr>
          <w:sz w:val="24"/>
          <w:szCs w:val="28"/>
        </w:rPr>
        <w:t>agreed</w:t>
      </w:r>
      <w:r w:rsidR="0050631A">
        <w:rPr>
          <w:sz w:val="24"/>
          <w:szCs w:val="28"/>
        </w:rPr>
        <w:t xml:space="preserve"> supports for the duration of the </w:t>
      </w:r>
      <w:r w:rsidR="00513294">
        <w:rPr>
          <w:sz w:val="24"/>
          <w:szCs w:val="28"/>
        </w:rPr>
        <w:t>P</w:t>
      </w:r>
      <w:r w:rsidR="0050631A">
        <w:rPr>
          <w:sz w:val="24"/>
          <w:szCs w:val="28"/>
        </w:rPr>
        <w:t xml:space="preserve">rogram of </w:t>
      </w:r>
      <w:r w:rsidR="00513294">
        <w:rPr>
          <w:sz w:val="24"/>
          <w:szCs w:val="28"/>
        </w:rPr>
        <w:t>S</w:t>
      </w:r>
      <w:r w:rsidR="0050631A">
        <w:rPr>
          <w:sz w:val="24"/>
          <w:szCs w:val="28"/>
        </w:rPr>
        <w:t>upport (up to 6 months)</w:t>
      </w:r>
      <w:r w:rsidR="00700625">
        <w:rPr>
          <w:sz w:val="24"/>
          <w:szCs w:val="28"/>
        </w:rPr>
        <w:t xml:space="preserve">. This reduces the need for providers to recalculate minor changes </w:t>
      </w:r>
      <w:r w:rsidR="00B12700">
        <w:rPr>
          <w:sz w:val="24"/>
          <w:szCs w:val="28"/>
        </w:rPr>
        <w:t>every session.</w:t>
      </w:r>
    </w:p>
    <w:p w14:paraId="370685D3" w14:textId="7247EDC7" w:rsidR="0035675B" w:rsidRDefault="00C45D19" w:rsidP="00801D58">
      <w:pPr>
        <w:rPr>
          <w:sz w:val="24"/>
          <w:szCs w:val="28"/>
        </w:rPr>
      </w:pPr>
      <w:r>
        <w:rPr>
          <w:sz w:val="24"/>
          <w:szCs w:val="28"/>
        </w:rPr>
        <w:t xml:space="preserve">Programs of </w:t>
      </w:r>
      <w:r w:rsidR="00B366E2">
        <w:rPr>
          <w:sz w:val="24"/>
          <w:szCs w:val="28"/>
        </w:rPr>
        <w:t>S</w:t>
      </w:r>
      <w:r>
        <w:rPr>
          <w:sz w:val="24"/>
          <w:szCs w:val="28"/>
        </w:rPr>
        <w:t>upport should be individuali</w:t>
      </w:r>
      <w:r w:rsidR="00E91918">
        <w:rPr>
          <w:sz w:val="24"/>
          <w:szCs w:val="28"/>
        </w:rPr>
        <w:t>s</w:t>
      </w:r>
      <w:r>
        <w:rPr>
          <w:sz w:val="24"/>
          <w:szCs w:val="28"/>
        </w:rPr>
        <w:t xml:space="preserve">ed for each participant, even </w:t>
      </w:r>
      <w:r w:rsidR="00B15B5F">
        <w:rPr>
          <w:sz w:val="24"/>
          <w:szCs w:val="28"/>
        </w:rPr>
        <w:t xml:space="preserve">where different participants are </w:t>
      </w:r>
      <w:r>
        <w:rPr>
          <w:sz w:val="24"/>
          <w:szCs w:val="28"/>
        </w:rPr>
        <w:t>accessing the same activit</w:t>
      </w:r>
      <w:r w:rsidR="00CC32EF">
        <w:rPr>
          <w:sz w:val="24"/>
          <w:szCs w:val="28"/>
        </w:rPr>
        <w:t>i</w:t>
      </w:r>
      <w:r>
        <w:rPr>
          <w:sz w:val="24"/>
          <w:szCs w:val="28"/>
        </w:rPr>
        <w:t xml:space="preserve">es. </w:t>
      </w:r>
      <w:r w:rsidR="000955AD">
        <w:rPr>
          <w:sz w:val="24"/>
          <w:szCs w:val="28"/>
        </w:rPr>
        <w:t>When developing a</w:t>
      </w:r>
      <w:r w:rsidR="008270F1">
        <w:rPr>
          <w:sz w:val="24"/>
          <w:szCs w:val="28"/>
        </w:rPr>
        <w:t xml:space="preserve"> </w:t>
      </w:r>
      <w:r w:rsidR="00B366E2">
        <w:rPr>
          <w:sz w:val="24"/>
          <w:szCs w:val="28"/>
        </w:rPr>
        <w:t>P</w:t>
      </w:r>
      <w:r w:rsidR="000955AD">
        <w:rPr>
          <w:sz w:val="24"/>
          <w:szCs w:val="28"/>
        </w:rPr>
        <w:t xml:space="preserve">rogram of </w:t>
      </w:r>
      <w:r w:rsidR="00B366E2">
        <w:rPr>
          <w:sz w:val="24"/>
          <w:szCs w:val="28"/>
        </w:rPr>
        <w:t>S</w:t>
      </w:r>
      <w:r w:rsidR="000955AD">
        <w:rPr>
          <w:sz w:val="24"/>
          <w:szCs w:val="28"/>
        </w:rPr>
        <w:t>upport</w:t>
      </w:r>
      <w:r w:rsidR="005F598B">
        <w:rPr>
          <w:sz w:val="24"/>
          <w:szCs w:val="28"/>
        </w:rPr>
        <w:t>,</w:t>
      </w:r>
      <w:r w:rsidR="000955AD">
        <w:rPr>
          <w:sz w:val="24"/>
          <w:szCs w:val="28"/>
        </w:rPr>
        <w:t xml:space="preserve"> </w:t>
      </w:r>
      <w:r w:rsidR="00B15B5F">
        <w:rPr>
          <w:sz w:val="24"/>
          <w:szCs w:val="28"/>
        </w:rPr>
        <w:t>i</w:t>
      </w:r>
      <w:r w:rsidR="000955AD">
        <w:rPr>
          <w:sz w:val="24"/>
          <w:szCs w:val="28"/>
        </w:rPr>
        <w:t xml:space="preserve">t should be based on what is </w:t>
      </w:r>
      <w:r w:rsidR="00B15B5F">
        <w:rPr>
          <w:sz w:val="24"/>
          <w:szCs w:val="28"/>
        </w:rPr>
        <w:t>usual</w:t>
      </w:r>
      <w:r w:rsidR="000955AD">
        <w:rPr>
          <w:sz w:val="24"/>
          <w:szCs w:val="28"/>
        </w:rPr>
        <w:t xml:space="preserve"> for that particular participant</w:t>
      </w:r>
      <w:r w:rsidR="00CC32EF">
        <w:rPr>
          <w:sz w:val="24"/>
          <w:szCs w:val="28"/>
        </w:rPr>
        <w:t>, which is referred to as a typical pattern of support.</w:t>
      </w:r>
      <w:r w:rsidR="00E91918">
        <w:rPr>
          <w:sz w:val="24"/>
          <w:szCs w:val="28"/>
        </w:rPr>
        <w:t xml:space="preserve"> </w:t>
      </w:r>
      <w:r w:rsidR="00E91918" w:rsidRPr="00F82F36">
        <w:rPr>
          <w:sz w:val="24"/>
          <w:szCs w:val="28"/>
        </w:rPr>
        <w:t>The typical pattern of support can be based on a weekly or other agreed period and can include</w:t>
      </w:r>
      <w:r w:rsidR="00A8314F">
        <w:rPr>
          <w:sz w:val="24"/>
          <w:szCs w:val="28"/>
        </w:rPr>
        <w:t>, where relevant,</w:t>
      </w:r>
      <w:r w:rsidR="00E91918" w:rsidRPr="00F82F36">
        <w:rPr>
          <w:sz w:val="24"/>
          <w:szCs w:val="28"/>
        </w:rPr>
        <w:t xml:space="preserve"> days of attendance, hours, individual, group, </w:t>
      </w:r>
      <w:r w:rsidR="00315A22">
        <w:rPr>
          <w:sz w:val="24"/>
          <w:szCs w:val="28"/>
        </w:rPr>
        <w:t>N</w:t>
      </w:r>
      <w:r w:rsidR="00E91918" w:rsidRPr="00F82F36">
        <w:rPr>
          <w:sz w:val="24"/>
          <w:szCs w:val="28"/>
        </w:rPr>
        <w:t>on-</w:t>
      </w:r>
      <w:r w:rsidR="00315A22">
        <w:rPr>
          <w:sz w:val="24"/>
          <w:szCs w:val="28"/>
        </w:rPr>
        <w:t>F</w:t>
      </w:r>
      <w:r w:rsidR="00E91918" w:rsidRPr="00F82F36">
        <w:rPr>
          <w:sz w:val="24"/>
          <w:szCs w:val="28"/>
        </w:rPr>
        <w:t>ace-to-</w:t>
      </w:r>
      <w:r w:rsidR="00315A22">
        <w:rPr>
          <w:sz w:val="24"/>
          <w:szCs w:val="28"/>
        </w:rPr>
        <w:t>F</w:t>
      </w:r>
      <w:r w:rsidR="00E91918" w:rsidRPr="00F82F36">
        <w:rPr>
          <w:sz w:val="24"/>
          <w:szCs w:val="28"/>
        </w:rPr>
        <w:t xml:space="preserve">ace supports, transport, and </w:t>
      </w:r>
      <w:r w:rsidR="00591D59">
        <w:rPr>
          <w:sz w:val="24"/>
          <w:szCs w:val="28"/>
        </w:rPr>
        <w:t>C</w:t>
      </w:r>
      <w:r w:rsidR="00E91918" w:rsidRPr="00F82F36">
        <w:rPr>
          <w:sz w:val="24"/>
          <w:szCs w:val="28"/>
        </w:rPr>
        <w:t>entre</w:t>
      </w:r>
      <w:r w:rsidR="00591D59">
        <w:rPr>
          <w:sz w:val="24"/>
          <w:szCs w:val="28"/>
        </w:rPr>
        <w:t xml:space="preserve"> Capital</w:t>
      </w:r>
      <w:r w:rsidR="00E91918" w:rsidRPr="00F82F36">
        <w:rPr>
          <w:sz w:val="24"/>
          <w:szCs w:val="28"/>
        </w:rPr>
        <w:t xml:space="preserve"> </w:t>
      </w:r>
      <w:r w:rsidR="00591D59">
        <w:rPr>
          <w:sz w:val="24"/>
          <w:szCs w:val="28"/>
        </w:rPr>
        <w:t>C</w:t>
      </w:r>
      <w:r w:rsidR="00E91918" w:rsidRPr="00F82F36">
        <w:rPr>
          <w:sz w:val="24"/>
          <w:szCs w:val="28"/>
        </w:rPr>
        <w:t>osts.</w:t>
      </w:r>
    </w:p>
    <w:p w14:paraId="3B9E930B" w14:textId="0F882F87" w:rsidR="00155347" w:rsidRPr="00044CF5" w:rsidRDefault="0035675B" w:rsidP="00801D58">
      <w:pPr>
        <w:rPr>
          <w:sz w:val="24"/>
          <w:szCs w:val="28"/>
        </w:rPr>
      </w:pPr>
      <w:r w:rsidRPr="00F82F36">
        <w:rPr>
          <w:sz w:val="24"/>
          <w:szCs w:val="28"/>
        </w:rPr>
        <w:t xml:space="preserve">Planned absences do not form part of a </w:t>
      </w:r>
      <w:r w:rsidR="00971F6C">
        <w:rPr>
          <w:sz w:val="24"/>
          <w:szCs w:val="28"/>
        </w:rPr>
        <w:t>P</w:t>
      </w:r>
      <w:r w:rsidRPr="00F82F36">
        <w:rPr>
          <w:sz w:val="24"/>
          <w:szCs w:val="28"/>
        </w:rPr>
        <w:t xml:space="preserve">rogram of </w:t>
      </w:r>
      <w:r w:rsidR="00971F6C">
        <w:rPr>
          <w:sz w:val="24"/>
          <w:szCs w:val="28"/>
        </w:rPr>
        <w:t>S</w:t>
      </w:r>
      <w:r w:rsidRPr="00F82F36">
        <w:rPr>
          <w:sz w:val="24"/>
          <w:szCs w:val="28"/>
        </w:rPr>
        <w:t>upport, but providers can claim for unscheduled absences, as long as they had the capacity to deliver the support.</w:t>
      </w:r>
      <w:r w:rsidR="007F19EB">
        <w:rPr>
          <w:sz w:val="24"/>
          <w:szCs w:val="28"/>
        </w:rPr>
        <w:t xml:space="preserve"> </w:t>
      </w:r>
      <w:r w:rsidR="00955C59">
        <w:rPr>
          <w:sz w:val="24"/>
          <w:szCs w:val="28"/>
        </w:rPr>
        <w:t>Managing cancellation risk i</w:t>
      </w:r>
      <w:r w:rsidR="007F19EB">
        <w:rPr>
          <w:sz w:val="24"/>
          <w:szCs w:val="28"/>
        </w:rPr>
        <w:t xml:space="preserve">n this way </w:t>
      </w:r>
      <w:r w:rsidR="00155347" w:rsidRPr="00044CF5">
        <w:rPr>
          <w:sz w:val="24"/>
          <w:szCs w:val="28"/>
        </w:rPr>
        <w:t>give more certainty for providers offering group-based supports</w:t>
      </w:r>
      <w:r w:rsidR="00881D12">
        <w:rPr>
          <w:sz w:val="24"/>
          <w:szCs w:val="28"/>
        </w:rPr>
        <w:t xml:space="preserve"> and helps secure the viability of group supports.</w:t>
      </w:r>
    </w:p>
    <w:p w14:paraId="0737090C" w14:textId="1190D202" w:rsidR="00155347" w:rsidRDefault="00155347" w:rsidP="00155347">
      <w:pPr>
        <w:rPr>
          <w:sz w:val="24"/>
          <w:szCs w:val="28"/>
        </w:rPr>
      </w:pPr>
      <w:r w:rsidRPr="00044CF5">
        <w:rPr>
          <w:sz w:val="24"/>
          <w:szCs w:val="28"/>
        </w:rPr>
        <w:t xml:space="preserve">The NDIA recognises that Programs of Support might not be suitable for all providers, </w:t>
      </w:r>
      <w:r w:rsidR="000159F7" w:rsidRPr="00044CF5">
        <w:rPr>
          <w:sz w:val="24"/>
          <w:szCs w:val="28"/>
        </w:rPr>
        <w:t>activities,</w:t>
      </w:r>
      <w:r w:rsidRPr="00044CF5">
        <w:rPr>
          <w:sz w:val="24"/>
          <w:szCs w:val="28"/>
        </w:rPr>
        <w:t xml:space="preserve"> or </w:t>
      </w:r>
      <w:r w:rsidR="000159F7" w:rsidRPr="00044CF5">
        <w:rPr>
          <w:sz w:val="24"/>
          <w:szCs w:val="28"/>
        </w:rPr>
        <w:t>participants. They</w:t>
      </w:r>
      <w:r w:rsidRPr="00044CF5">
        <w:rPr>
          <w:sz w:val="24"/>
          <w:szCs w:val="28"/>
        </w:rPr>
        <w:t xml:space="preserve"> are not mandatory, and offering Programs of Support is a commercial business decision for each provider to make, considering the needs of their business and the </w:t>
      </w:r>
      <w:r w:rsidR="006C66E2">
        <w:rPr>
          <w:sz w:val="24"/>
          <w:szCs w:val="28"/>
        </w:rPr>
        <w:t>p</w:t>
      </w:r>
      <w:r w:rsidR="00746DBB">
        <w:rPr>
          <w:sz w:val="24"/>
          <w:szCs w:val="28"/>
        </w:rPr>
        <w:t>articipants</w:t>
      </w:r>
      <w:r w:rsidRPr="00044CF5">
        <w:rPr>
          <w:sz w:val="24"/>
          <w:szCs w:val="28"/>
        </w:rPr>
        <w:t xml:space="preserve"> they support.</w:t>
      </w:r>
    </w:p>
    <w:p w14:paraId="7B1A03D6" w14:textId="706CFAA7" w:rsidR="0028024A" w:rsidRDefault="00A8314F" w:rsidP="0085440D">
      <w:pPr>
        <w:rPr>
          <w:sz w:val="24"/>
          <w:szCs w:val="28"/>
        </w:rPr>
      </w:pPr>
      <w:r>
        <w:rPr>
          <w:sz w:val="24"/>
          <w:szCs w:val="28"/>
        </w:rPr>
        <w:t xml:space="preserve">When documenting a </w:t>
      </w:r>
      <w:r w:rsidR="00971F6C">
        <w:rPr>
          <w:sz w:val="24"/>
          <w:szCs w:val="28"/>
        </w:rPr>
        <w:t>P</w:t>
      </w:r>
      <w:r>
        <w:rPr>
          <w:sz w:val="24"/>
          <w:szCs w:val="28"/>
        </w:rPr>
        <w:t xml:space="preserve">rogram of </w:t>
      </w:r>
      <w:r w:rsidR="00971F6C">
        <w:rPr>
          <w:sz w:val="24"/>
          <w:szCs w:val="28"/>
        </w:rPr>
        <w:t>S</w:t>
      </w:r>
      <w:r>
        <w:rPr>
          <w:sz w:val="24"/>
          <w:szCs w:val="28"/>
        </w:rPr>
        <w:t>upport, providers should</w:t>
      </w:r>
      <w:r w:rsidR="00EB4F2F">
        <w:rPr>
          <w:sz w:val="24"/>
          <w:szCs w:val="28"/>
        </w:rPr>
        <w:t xml:space="preserve"> ensure </w:t>
      </w:r>
      <w:r w:rsidR="0085440D" w:rsidRPr="00044CF5">
        <w:rPr>
          <w:sz w:val="24"/>
          <w:szCs w:val="28"/>
        </w:rPr>
        <w:t>that</w:t>
      </w:r>
      <w:r w:rsidR="00996D63">
        <w:rPr>
          <w:sz w:val="24"/>
          <w:szCs w:val="28"/>
        </w:rPr>
        <w:t xml:space="preserve"> they have clearly outlin</w:t>
      </w:r>
      <w:r w:rsidR="002A1BA5">
        <w:rPr>
          <w:sz w:val="24"/>
          <w:szCs w:val="28"/>
        </w:rPr>
        <w:t>ed</w:t>
      </w:r>
      <w:r w:rsidR="0085440D" w:rsidRPr="00044CF5">
        <w:rPr>
          <w:sz w:val="24"/>
          <w:szCs w:val="28"/>
        </w:rPr>
        <w:t xml:space="preserve"> the length of the program, exit rules and intended outcomes.</w:t>
      </w:r>
    </w:p>
    <w:p w14:paraId="16C5E025" w14:textId="77777777" w:rsidR="0028024A" w:rsidRPr="00044CF5" w:rsidRDefault="0028024A" w:rsidP="0085440D">
      <w:pPr>
        <w:rPr>
          <w:sz w:val="24"/>
          <w:szCs w:val="28"/>
        </w:rPr>
      </w:pPr>
    </w:p>
    <w:p w14:paraId="6562BAA5" w14:textId="19DD8846" w:rsidR="00155347" w:rsidRDefault="00155347" w:rsidP="00155347">
      <w:pPr>
        <w:rPr>
          <w:i/>
          <w:iCs/>
          <w:sz w:val="24"/>
          <w:szCs w:val="28"/>
        </w:rPr>
      </w:pPr>
    </w:p>
    <w:p w14:paraId="179F2901" w14:textId="77777777" w:rsidR="00155347" w:rsidRPr="008D0CCC" w:rsidRDefault="00155347" w:rsidP="003864D5">
      <w:pPr>
        <w:shd w:val="clear" w:color="auto" w:fill="EEE2F3"/>
        <w:ind w:left="426" w:right="521"/>
        <w:rPr>
          <w:b/>
          <w:bCs/>
          <w:sz w:val="24"/>
          <w:szCs w:val="28"/>
        </w:rPr>
      </w:pPr>
      <w:r w:rsidRPr="008D0CCC">
        <w:rPr>
          <w:b/>
          <w:bCs/>
          <w:sz w:val="24"/>
          <w:szCs w:val="28"/>
        </w:rPr>
        <w:lastRenderedPageBreak/>
        <w:t>Note</w:t>
      </w:r>
    </w:p>
    <w:p w14:paraId="42B06496" w14:textId="0C24405C" w:rsidR="00554E2D" w:rsidRPr="003864D5" w:rsidRDefault="00155347" w:rsidP="003864D5">
      <w:pPr>
        <w:shd w:val="clear" w:color="auto" w:fill="EEE2F3"/>
        <w:tabs>
          <w:tab w:val="left" w:pos="6946"/>
        </w:tabs>
        <w:ind w:left="426" w:right="521"/>
        <w:rPr>
          <w:sz w:val="24"/>
          <w:szCs w:val="28"/>
        </w:rPr>
      </w:pPr>
      <w:r w:rsidRPr="008D0CCC">
        <w:rPr>
          <w:sz w:val="24"/>
          <w:szCs w:val="28"/>
        </w:rPr>
        <w:t>Programs of Support previously had a maximum length of 12 weeks. This has increased to 6 months in response to stakeholder feedback. While some participants and providers will welcome the option to move to longer Programs of Support, the NDIA reiterates that this is a maximum length and shorter Programs of Support can still be agreed if desired.</w:t>
      </w:r>
    </w:p>
    <w:p w14:paraId="7EB9A833" w14:textId="1A8A3217" w:rsidR="00155347" w:rsidRDefault="00155347" w:rsidP="00155347">
      <w:pPr>
        <w:pStyle w:val="Heading3"/>
        <w:numPr>
          <w:ilvl w:val="0"/>
          <w:numId w:val="0"/>
        </w:numPr>
        <w:ind w:left="720" w:hanging="720"/>
      </w:pPr>
      <w:bookmarkStart w:id="20" w:name="_Toc143524935"/>
      <w:r w:rsidRPr="00044CF5">
        <w:t>Can 1:1 supports be included in a Program of Support?</w:t>
      </w:r>
      <w:bookmarkEnd w:id="20"/>
    </w:p>
    <w:p w14:paraId="3376B13A" w14:textId="081EF11E" w:rsidR="009F463A" w:rsidRDefault="003917EB" w:rsidP="00155347">
      <w:pPr>
        <w:rPr>
          <w:sz w:val="24"/>
          <w:szCs w:val="28"/>
        </w:rPr>
      </w:pPr>
      <w:r>
        <w:rPr>
          <w:sz w:val="24"/>
          <w:szCs w:val="28"/>
        </w:rPr>
        <w:t>The G</w:t>
      </w:r>
      <w:r w:rsidR="00155347">
        <w:rPr>
          <w:sz w:val="24"/>
          <w:szCs w:val="28"/>
        </w:rPr>
        <w:t xml:space="preserve">roup </w:t>
      </w:r>
      <w:r w:rsidR="00A5613B">
        <w:rPr>
          <w:sz w:val="24"/>
          <w:szCs w:val="28"/>
        </w:rPr>
        <w:t>A</w:t>
      </w:r>
      <w:r w:rsidR="00155347">
        <w:rPr>
          <w:sz w:val="24"/>
          <w:szCs w:val="28"/>
        </w:rPr>
        <w:t>ctivities</w:t>
      </w:r>
      <w:r w:rsidR="00A5613B">
        <w:rPr>
          <w:sz w:val="24"/>
          <w:szCs w:val="28"/>
        </w:rPr>
        <w:t xml:space="preserve"> line items</w:t>
      </w:r>
      <w:r w:rsidR="00155347">
        <w:rPr>
          <w:sz w:val="24"/>
          <w:szCs w:val="28"/>
        </w:rPr>
        <w:t xml:space="preserve"> </w:t>
      </w:r>
      <w:r>
        <w:rPr>
          <w:sz w:val="24"/>
          <w:szCs w:val="28"/>
        </w:rPr>
        <w:t xml:space="preserve">on pages </w:t>
      </w:r>
      <w:r w:rsidR="003E0F0E">
        <w:rPr>
          <w:sz w:val="24"/>
          <w:szCs w:val="28"/>
        </w:rPr>
        <w:t xml:space="preserve">60 </w:t>
      </w:r>
      <w:r>
        <w:rPr>
          <w:sz w:val="24"/>
          <w:szCs w:val="28"/>
        </w:rPr>
        <w:t xml:space="preserve">and </w:t>
      </w:r>
      <w:r w:rsidR="003E0F0E">
        <w:rPr>
          <w:sz w:val="24"/>
          <w:szCs w:val="28"/>
        </w:rPr>
        <w:t xml:space="preserve">61 </w:t>
      </w:r>
      <w:r>
        <w:rPr>
          <w:sz w:val="24"/>
          <w:szCs w:val="28"/>
        </w:rPr>
        <w:t xml:space="preserve">of the PAPL </w:t>
      </w:r>
      <w:r w:rsidR="00057665">
        <w:rPr>
          <w:sz w:val="24"/>
          <w:szCs w:val="28"/>
        </w:rPr>
        <w:t xml:space="preserve">(standard and high intensity) </w:t>
      </w:r>
      <w:r w:rsidR="00155347">
        <w:rPr>
          <w:sz w:val="24"/>
          <w:szCs w:val="28"/>
        </w:rPr>
        <w:t>can be</w:t>
      </w:r>
      <w:r w:rsidR="00057665">
        <w:rPr>
          <w:sz w:val="24"/>
          <w:szCs w:val="28"/>
        </w:rPr>
        <w:t xml:space="preserve"> delivered to individuals or groups of participants.</w:t>
      </w:r>
      <w:r>
        <w:rPr>
          <w:sz w:val="24"/>
          <w:szCs w:val="28"/>
        </w:rPr>
        <w:t xml:space="preserve"> T</w:t>
      </w:r>
      <w:r w:rsidR="00A5613B">
        <w:rPr>
          <w:sz w:val="24"/>
          <w:szCs w:val="28"/>
        </w:rPr>
        <w:t xml:space="preserve">hese line items can also be </w:t>
      </w:r>
      <w:r>
        <w:rPr>
          <w:sz w:val="24"/>
          <w:szCs w:val="28"/>
        </w:rPr>
        <w:t>delivered as</w:t>
      </w:r>
      <w:r w:rsidR="009F463A">
        <w:rPr>
          <w:sz w:val="24"/>
          <w:szCs w:val="28"/>
        </w:rPr>
        <w:t xml:space="preserve"> </w:t>
      </w:r>
      <w:r>
        <w:rPr>
          <w:sz w:val="24"/>
          <w:szCs w:val="28"/>
        </w:rPr>
        <w:t xml:space="preserve">part of a </w:t>
      </w:r>
      <w:r w:rsidR="00BC3724">
        <w:rPr>
          <w:sz w:val="24"/>
          <w:szCs w:val="28"/>
        </w:rPr>
        <w:t xml:space="preserve">Program </w:t>
      </w:r>
      <w:r>
        <w:rPr>
          <w:sz w:val="24"/>
          <w:szCs w:val="28"/>
        </w:rPr>
        <w:t xml:space="preserve">of </w:t>
      </w:r>
      <w:r w:rsidR="00BC3724">
        <w:rPr>
          <w:sz w:val="24"/>
          <w:szCs w:val="28"/>
        </w:rPr>
        <w:t>Support</w:t>
      </w:r>
      <w:r>
        <w:rPr>
          <w:sz w:val="24"/>
          <w:szCs w:val="28"/>
        </w:rPr>
        <w:t>.</w:t>
      </w:r>
    </w:p>
    <w:p w14:paraId="6B79CBEB" w14:textId="77777777" w:rsidR="001B6DFF" w:rsidRDefault="009F463A" w:rsidP="003864D5">
      <w:pPr>
        <w:shd w:val="clear" w:color="auto" w:fill="EEE2F3"/>
        <w:ind w:left="426" w:right="521"/>
        <w:rPr>
          <w:b/>
          <w:bCs/>
          <w:sz w:val="24"/>
          <w:szCs w:val="28"/>
        </w:rPr>
      </w:pPr>
      <w:r>
        <w:rPr>
          <w:b/>
          <w:bCs/>
          <w:sz w:val="24"/>
          <w:szCs w:val="28"/>
        </w:rPr>
        <w:t>Not</w:t>
      </w:r>
      <w:r w:rsidR="00A5613B" w:rsidRPr="00A5613B">
        <w:rPr>
          <w:b/>
          <w:bCs/>
          <w:sz w:val="24"/>
          <w:szCs w:val="28"/>
        </w:rPr>
        <w:t>e:</w:t>
      </w:r>
    </w:p>
    <w:p w14:paraId="39E2A204" w14:textId="5A692DAD" w:rsidR="0004050D" w:rsidRDefault="009F463A" w:rsidP="00F82F36">
      <w:pPr>
        <w:shd w:val="clear" w:color="auto" w:fill="EEE2F3"/>
        <w:ind w:left="426" w:right="521"/>
        <w:rPr>
          <w:b/>
          <w:iCs/>
          <w:color w:val="6B2976"/>
          <w:sz w:val="30"/>
          <w:szCs w:val="30"/>
        </w:rPr>
      </w:pPr>
      <w:r>
        <w:rPr>
          <w:rFonts w:eastAsia="Arial" w:cs="Cordia New"/>
          <w:bCs/>
          <w:iCs/>
          <w:color w:val="000000"/>
          <w:sz w:val="24"/>
          <w:lang w:val="en-AU" w:eastAsia="en-US"/>
        </w:rPr>
        <w:t xml:space="preserve">This advice in this answer </w:t>
      </w:r>
      <w:r w:rsidR="006E0A89">
        <w:rPr>
          <w:rFonts w:eastAsia="Arial" w:cs="Cordia New"/>
          <w:bCs/>
          <w:iCs/>
          <w:color w:val="000000"/>
          <w:sz w:val="24"/>
          <w:lang w:val="en-AU" w:eastAsia="en-US"/>
        </w:rPr>
        <w:t xml:space="preserve">applies only to </w:t>
      </w:r>
      <w:r>
        <w:rPr>
          <w:rFonts w:eastAsia="Arial" w:cs="Cordia New"/>
          <w:bCs/>
          <w:iCs/>
          <w:color w:val="000000"/>
          <w:sz w:val="24"/>
          <w:lang w:val="en-AU" w:eastAsia="en-US"/>
        </w:rPr>
        <w:t>the group activities line items on page</w:t>
      </w:r>
      <w:r w:rsidR="006E0A89">
        <w:rPr>
          <w:rFonts w:eastAsia="Arial" w:cs="Cordia New"/>
          <w:bCs/>
          <w:iCs/>
          <w:color w:val="000000"/>
          <w:sz w:val="24"/>
          <w:lang w:val="en-AU" w:eastAsia="en-US"/>
        </w:rPr>
        <w:t>s</w:t>
      </w:r>
      <w:r>
        <w:rPr>
          <w:rFonts w:eastAsia="Arial" w:cs="Cordia New"/>
          <w:bCs/>
          <w:iCs/>
          <w:color w:val="000000"/>
          <w:sz w:val="24"/>
          <w:lang w:val="en-AU" w:eastAsia="en-US"/>
        </w:rPr>
        <w:t xml:space="preserve"> </w:t>
      </w:r>
      <w:r w:rsidR="00BC3724">
        <w:rPr>
          <w:rFonts w:eastAsia="Arial" w:cs="Cordia New"/>
          <w:bCs/>
          <w:iCs/>
          <w:color w:val="000000"/>
          <w:sz w:val="24"/>
          <w:lang w:val="en-AU" w:eastAsia="en-US"/>
        </w:rPr>
        <w:t xml:space="preserve">60 </w:t>
      </w:r>
      <w:r>
        <w:rPr>
          <w:rFonts w:eastAsia="Arial" w:cs="Cordia New"/>
          <w:bCs/>
          <w:iCs/>
          <w:color w:val="000000"/>
          <w:sz w:val="24"/>
          <w:lang w:val="en-AU" w:eastAsia="en-US"/>
        </w:rPr>
        <w:t>and 6</w:t>
      </w:r>
      <w:r w:rsidR="00BC3724">
        <w:rPr>
          <w:rFonts w:eastAsia="Arial" w:cs="Cordia New"/>
          <w:bCs/>
          <w:iCs/>
          <w:color w:val="000000"/>
          <w:sz w:val="24"/>
          <w:lang w:val="en-AU" w:eastAsia="en-US"/>
        </w:rPr>
        <w:t>1</w:t>
      </w:r>
      <w:r>
        <w:rPr>
          <w:rFonts w:eastAsia="Arial" w:cs="Cordia New"/>
          <w:bCs/>
          <w:iCs/>
          <w:color w:val="000000"/>
          <w:sz w:val="24"/>
          <w:lang w:val="en-AU" w:eastAsia="en-US"/>
        </w:rPr>
        <w:t xml:space="preserve"> of the PAPL</w:t>
      </w:r>
      <w:r w:rsidR="009E6E54">
        <w:rPr>
          <w:rFonts w:eastAsia="Arial" w:cs="Cordia New"/>
          <w:bCs/>
          <w:iCs/>
          <w:color w:val="000000"/>
          <w:sz w:val="24"/>
          <w:lang w:val="en-AU" w:eastAsia="en-US"/>
        </w:rPr>
        <w:t xml:space="preserve"> and should not be applied to other support types and line items as they may have different</w:t>
      </w:r>
      <w:r>
        <w:rPr>
          <w:rFonts w:eastAsia="Arial" w:cs="Cordia New"/>
          <w:bCs/>
          <w:iCs/>
          <w:color w:val="000000"/>
          <w:sz w:val="24"/>
          <w:lang w:val="en-AU" w:eastAsia="en-US"/>
        </w:rPr>
        <w:t xml:space="preserve"> </w:t>
      </w:r>
      <w:r w:rsidR="009E6E54">
        <w:rPr>
          <w:rFonts w:eastAsia="Arial" w:cs="Cordia New"/>
          <w:bCs/>
          <w:iCs/>
          <w:color w:val="000000"/>
          <w:sz w:val="24"/>
          <w:lang w:val="en-AU" w:eastAsia="en-US"/>
        </w:rPr>
        <w:t>requirements.</w:t>
      </w:r>
    </w:p>
    <w:p w14:paraId="64BAE975" w14:textId="65F66DE4" w:rsidR="00155347" w:rsidRPr="00777CD2" w:rsidRDefault="00155347" w:rsidP="00155347">
      <w:pPr>
        <w:pStyle w:val="Heading3"/>
        <w:numPr>
          <w:ilvl w:val="0"/>
          <w:numId w:val="0"/>
        </w:numPr>
      </w:pPr>
      <w:bookmarkStart w:id="21" w:name="_Toc143524936"/>
      <w:r w:rsidRPr="00777CD2">
        <w:rPr>
          <w:iCs/>
        </w:rPr>
        <w:t xml:space="preserve">If delivering supports under a Program of Support, is a new Service Agreement required every </w:t>
      </w:r>
      <w:r>
        <w:t>6 months</w:t>
      </w:r>
      <w:r w:rsidRPr="00777CD2">
        <w:rPr>
          <w:iCs/>
        </w:rPr>
        <w:t>?</w:t>
      </w:r>
      <w:bookmarkEnd w:id="21"/>
    </w:p>
    <w:p w14:paraId="719B1A72" w14:textId="2B1855D7" w:rsidR="00155347" w:rsidRDefault="00155347" w:rsidP="00155347">
      <w:pPr>
        <w:rPr>
          <w:sz w:val="24"/>
          <w:szCs w:val="28"/>
        </w:rPr>
      </w:pPr>
      <w:r w:rsidRPr="00044CF5">
        <w:rPr>
          <w:sz w:val="24"/>
          <w:szCs w:val="28"/>
        </w:rPr>
        <w:t xml:space="preserve">A Service Agreement is different </w:t>
      </w:r>
      <w:r w:rsidR="006E0A89">
        <w:rPr>
          <w:sz w:val="24"/>
          <w:szCs w:val="28"/>
        </w:rPr>
        <w:t>from</w:t>
      </w:r>
      <w:r w:rsidR="006E0A89" w:rsidRPr="00044CF5">
        <w:rPr>
          <w:sz w:val="24"/>
          <w:szCs w:val="28"/>
        </w:rPr>
        <w:t xml:space="preserve"> </w:t>
      </w:r>
      <w:r w:rsidRPr="00044CF5">
        <w:rPr>
          <w:sz w:val="24"/>
          <w:szCs w:val="28"/>
        </w:rPr>
        <w:t>a Program of Support. A Service Agreement may refer to multiple Programs of Support, so a new Service Agreement is not</w:t>
      </w:r>
      <w:r w:rsidR="00131F97">
        <w:rPr>
          <w:sz w:val="24"/>
          <w:szCs w:val="28"/>
        </w:rPr>
        <w:t xml:space="preserve"> necessarily</w:t>
      </w:r>
      <w:r w:rsidRPr="00044CF5">
        <w:rPr>
          <w:sz w:val="24"/>
          <w:szCs w:val="28"/>
        </w:rPr>
        <w:t xml:space="preserve"> needed every 6 months</w:t>
      </w:r>
      <w:r w:rsidR="006E0A89">
        <w:rPr>
          <w:sz w:val="24"/>
          <w:szCs w:val="28"/>
        </w:rPr>
        <w:t>.</w:t>
      </w:r>
      <w:r w:rsidR="00457B47">
        <w:rPr>
          <w:sz w:val="24"/>
          <w:szCs w:val="28"/>
        </w:rPr>
        <w:t xml:space="preserve"> </w:t>
      </w:r>
      <w:r w:rsidR="006E0A89">
        <w:rPr>
          <w:sz w:val="24"/>
          <w:szCs w:val="28"/>
        </w:rPr>
        <w:t>H</w:t>
      </w:r>
      <w:r w:rsidR="00457B47">
        <w:rPr>
          <w:sz w:val="24"/>
          <w:szCs w:val="28"/>
        </w:rPr>
        <w:t>owever</w:t>
      </w:r>
      <w:r w:rsidR="006E0A89">
        <w:rPr>
          <w:sz w:val="24"/>
          <w:szCs w:val="28"/>
        </w:rPr>
        <w:t>,</w:t>
      </w:r>
      <w:r w:rsidR="00457B47">
        <w:rPr>
          <w:sz w:val="24"/>
          <w:szCs w:val="28"/>
        </w:rPr>
        <w:t xml:space="preserve"> </w:t>
      </w:r>
      <w:r w:rsidR="00131F97">
        <w:rPr>
          <w:sz w:val="24"/>
          <w:szCs w:val="28"/>
        </w:rPr>
        <w:t>Programs of Support must not automatically roll over and must be individually agreed</w:t>
      </w:r>
      <w:r w:rsidR="00937663">
        <w:rPr>
          <w:sz w:val="24"/>
          <w:szCs w:val="28"/>
        </w:rPr>
        <w:t xml:space="preserve"> upon</w:t>
      </w:r>
      <w:r w:rsidR="00131F97">
        <w:rPr>
          <w:sz w:val="24"/>
          <w:szCs w:val="28"/>
        </w:rPr>
        <w:t>.</w:t>
      </w:r>
    </w:p>
    <w:p w14:paraId="66528BA9" w14:textId="271F968F" w:rsidR="00155347" w:rsidRDefault="00155347" w:rsidP="00FD7F9E">
      <w:pPr>
        <w:rPr>
          <w:sz w:val="24"/>
          <w:szCs w:val="28"/>
        </w:rPr>
      </w:pPr>
      <w:r w:rsidRPr="00044CF5">
        <w:rPr>
          <w:sz w:val="24"/>
          <w:szCs w:val="28"/>
        </w:rPr>
        <w:t>Where a Service Agreement refers to multiple Programs of Support, before agreeing on each individual Program of Support under that Service Agreement, the provider and participant would discuss progress towards goals and what program opportunities they are interested in pursuing.</w:t>
      </w:r>
    </w:p>
    <w:p w14:paraId="07C4C32A" w14:textId="6D608FD4" w:rsidR="00155347" w:rsidRDefault="00155347" w:rsidP="00880212">
      <w:pPr>
        <w:pStyle w:val="Heading3"/>
        <w:numPr>
          <w:ilvl w:val="0"/>
          <w:numId w:val="0"/>
        </w:numPr>
        <w:ind w:left="720" w:hanging="720"/>
        <w:rPr>
          <w:sz w:val="24"/>
        </w:rPr>
      </w:pPr>
      <w:bookmarkStart w:id="22" w:name="_Toc143524937"/>
      <w:r>
        <w:t>What are the cancellation rules for a Program of Support?</w:t>
      </w:r>
      <w:bookmarkEnd w:id="22"/>
    </w:p>
    <w:p w14:paraId="227FE3E6" w14:textId="248C099B" w:rsidR="00155347" w:rsidRDefault="00155347" w:rsidP="00155347">
      <w:pPr>
        <w:rPr>
          <w:sz w:val="24"/>
          <w:szCs w:val="28"/>
        </w:rPr>
      </w:pPr>
      <w:r w:rsidRPr="008D0CCC">
        <w:rPr>
          <w:sz w:val="24"/>
          <w:szCs w:val="28"/>
        </w:rPr>
        <w:t xml:space="preserve">The short notice cancellation rules </w:t>
      </w:r>
      <w:r w:rsidR="002D411B" w:rsidRPr="008D0CCC">
        <w:rPr>
          <w:sz w:val="24"/>
          <w:szCs w:val="28"/>
        </w:rPr>
        <w:t>do not</w:t>
      </w:r>
      <w:r w:rsidRPr="008D0CCC">
        <w:rPr>
          <w:sz w:val="24"/>
          <w:szCs w:val="28"/>
        </w:rPr>
        <w:t xml:space="preserve"> apply for Programs of Support. </w:t>
      </w:r>
      <w:r>
        <w:rPr>
          <w:sz w:val="24"/>
          <w:szCs w:val="28"/>
        </w:rPr>
        <w:t>Under the PAPL, p</w:t>
      </w:r>
      <w:r w:rsidRPr="008D0CCC">
        <w:rPr>
          <w:sz w:val="24"/>
          <w:szCs w:val="28"/>
        </w:rPr>
        <w:t xml:space="preserve">roviders may claim for supports </w:t>
      </w:r>
      <w:r>
        <w:rPr>
          <w:sz w:val="24"/>
          <w:szCs w:val="28"/>
        </w:rPr>
        <w:t>that a participant has agreed to attend, whether or not they actually do attend, unless a participant has given notice to exit the program.</w:t>
      </w:r>
    </w:p>
    <w:p w14:paraId="1F56A687" w14:textId="5FA1D605" w:rsidR="00155347" w:rsidRDefault="00155347" w:rsidP="00155347">
      <w:pPr>
        <w:rPr>
          <w:sz w:val="24"/>
          <w:szCs w:val="28"/>
        </w:rPr>
      </w:pPr>
      <w:r w:rsidRPr="009B13B2">
        <w:rPr>
          <w:sz w:val="24"/>
          <w:szCs w:val="28"/>
        </w:rPr>
        <w:t>It is important for provider</w:t>
      </w:r>
      <w:r>
        <w:rPr>
          <w:sz w:val="24"/>
          <w:szCs w:val="28"/>
        </w:rPr>
        <w:t>s</w:t>
      </w:r>
      <w:r w:rsidRPr="009B13B2">
        <w:rPr>
          <w:sz w:val="24"/>
          <w:szCs w:val="28"/>
        </w:rPr>
        <w:t xml:space="preserve"> to clearly communicate th</w:t>
      </w:r>
      <w:r>
        <w:rPr>
          <w:sz w:val="24"/>
          <w:szCs w:val="28"/>
        </w:rPr>
        <w:t xml:space="preserve">is </w:t>
      </w:r>
      <w:r w:rsidRPr="009B13B2">
        <w:rPr>
          <w:sz w:val="24"/>
          <w:szCs w:val="28"/>
        </w:rPr>
        <w:t xml:space="preserve">to participants, including any expectations around payment during planned absences. If a participant notifies the </w:t>
      </w:r>
      <w:r w:rsidRPr="009B13B2">
        <w:rPr>
          <w:sz w:val="24"/>
          <w:szCs w:val="28"/>
        </w:rPr>
        <w:lastRenderedPageBreak/>
        <w:t xml:space="preserve">provider </w:t>
      </w:r>
      <w:r w:rsidR="00937663">
        <w:rPr>
          <w:sz w:val="24"/>
          <w:szCs w:val="28"/>
        </w:rPr>
        <w:t>before</w:t>
      </w:r>
      <w:r w:rsidRPr="009B13B2">
        <w:rPr>
          <w:sz w:val="24"/>
          <w:szCs w:val="28"/>
        </w:rPr>
        <w:t xml:space="preserve"> a planned absence, the provider may need to adjust their service delivery.</w:t>
      </w:r>
    </w:p>
    <w:p w14:paraId="5A3F56D1" w14:textId="5AF38DD2" w:rsidR="00155347" w:rsidRPr="009B13B2" w:rsidRDefault="00155347" w:rsidP="00155347">
      <w:pPr>
        <w:rPr>
          <w:sz w:val="24"/>
          <w:szCs w:val="28"/>
        </w:rPr>
      </w:pPr>
      <w:r w:rsidRPr="009B13B2">
        <w:rPr>
          <w:sz w:val="24"/>
          <w:szCs w:val="28"/>
        </w:rPr>
        <w:t>Providers are responsible for being upfront with terms of support</w:t>
      </w:r>
      <w:r w:rsidR="00937663">
        <w:rPr>
          <w:sz w:val="24"/>
          <w:szCs w:val="28"/>
        </w:rPr>
        <w:t>.</w:t>
      </w:r>
      <w:r w:rsidRPr="009B13B2">
        <w:rPr>
          <w:sz w:val="24"/>
          <w:szCs w:val="28"/>
        </w:rPr>
        <w:t xml:space="preserve"> </w:t>
      </w:r>
      <w:r w:rsidR="00E50122">
        <w:rPr>
          <w:sz w:val="24"/>
          <w:szCs w:val="28"/>
        </w:rPr>
        <w:t xml:space="preserve">Similarly </w:t>
      </w:r>
      <w:r w:rsidRPr="009B13B2">
        <w:rPr>
          <w:sz w:val="24"/>
          <w:szCs w:val="28"/>
        </w:rPr>
        <w:t>participants are also responsible for providing notice when exiting a P</w:t>
      </w:r>
      <w:r w:rsidR="00190A83">
        <w:rPr>
          <w:sz w:val="24"/>
          <w:szCs w:val="28"/>
        </w:rPr>
        <w:t xml:space="preserve">rogram </w:t>
      </w:r>
      <w:r w:rsidRPr="009B13B2">
        <w:rPr>
          <w:sz w:val="24"/>
          <w:szCs w:val="28"/>
        </w:rPr>
        <w:t>o</w:t>
      </w:r>
      <w:r w:rsidR="00190A83">
        <w:rPr>
          <w:sz w:val="24"/>
          <w:szCs w:val="28"/>
        </w:rPr>
        <w:t xml:space="preserve">f </w:t>
      </w:r>
      <w:r w:rsidRPr="009B13B2">
        <w:rPr>
          <w:sz w:val="24"/>
          <w:szCs w:val="28"/>
        </w:rPr>
        <w:t>S</w:t>
      </w:r>
      <w:r w:rsidR="00190A83">
        <w:rPr>
          <w:sz w:val="24"/>
          <w:szCs w:val="28"/>
        </w:rPr>
        <w:t>upport</w:t>
      </w:r>
      <w:r w:rsidRPr="009B13B2">
        <w:rPr>
          <w:sz w:val="24"/>
          <w:szCs w:val="28"/>
        </w:rPr>
        <w:t>.</w:t>
      </w:r>
    </w:p>
    <w:p w14:paraId="4AF27E98" w14:textId="77777777" w:rsidR="00155347" w:rsidRDefault="00155347" w:rsidP="00155347">
      <w:pPr>
        <w:pStyle w:val="Heading3"/>
        <w:numPr>
          <w:ilvl w:val="0"/>
          <w:numId w:val="0"/>
        </w:numPr>
        <w:ind w:left="720" w:hanging="720"/>
      </w:pPr>
      <w:bookmarkStart w:id="23" w:name="_Toc143524938"/>
      <w:r w:rsidRPr="0019039E">
        <w:t xml:space="preserve">What is the notice period </w:t>
      </w:r>
      <w:r>
        <w:t xml:space="preserve">to exit </w:t>
      </w:r>
      <w:r w:rsidRPr="0019039E">
        <w:t xml:space="preserve">a </w:t>
      </w:r>
      <w:r>
        <w:t>P</w:t>
      </w:r>
      <w:r w:rsidRPr="0019039E">
        <w:t xml:space="preserve">rogram of </w:t>
      </w:r>
      <w:r>
        <w:t>S</w:t>
      </w:r>
      <w:r w:rsidRPr="0019039E">
        <w:t>upport?</w:t>
      </w:r>
      <w:bookmarkEnd w:id="23"/>
    </w:p>
    <w:p w14:paraId="222E22AC" w14:textId="3AC783FE" w:rsidR="00C31B45" w:rsidRDefault="00155347" w:rsidP="00155347">
      <w:pPr>
        <w:rPr>
          <w:sz w:val="24"/>
          <w:szCs w:val="28"/>
        </w:rPr>
      </w:pPr>
      <w:r w:rsidRPr="008D0CCC">
        <w:rPr>
          <w:sz w:val="24"/>
          <w:szCs w:val="28"/>
        </w:rPr>
        <w:t>The notice period for a program of support is 2 weeks.</w:t>
      </w:r>
      <w:r w:rsidR="00C16A7C">
        <w:rPr>
          <w:sz w:val="24"/>
          <w:szCs w:val="28"/>
        </w:rPr>
        <w:t xml:space="preserve"> </w:t>
      </w:r>
    </w:p>
    <w:p w14:paraId="5FBABD9A" w14:textId="131F8B28" w:rsidR="00ED1AC8" w:rsidRPr="00F82F36" w:rsidRDefault="00C31B45" w:rsidP="00F82F36">
      <w:pPr>
        <w:pStyle w:val="Heading3"/>
        <w:numPr>
          <w:ilvl w:val="0"/>
          <w:numId w:val="0"/>
        </w:numPr>
        <w:ind w:left="720" w:hanging="720"/>
      </w:pPr>
      <w:bookmarkStart w:id="24" w:name="_Toc143524939"/>
      <w:r w:rsidRPr="00F82F36">
        <w:t>What is a</w:t>
      </w:r>
      <w:r w:rsidR="00ED1AC8" w:rsidRPr="00F82F36">
        <w:t xml:space="preserve"> Program of Support</w:t>
      </w:r>
      <w:r w:rsidR="00165FC5" w:rsidRPr="00F82F36">
        <w:t xml:space="preserve"> unplanned exit</w:t>
      </w:r>
      <w:r w:rsidR="00ED1AC8" w:rsidRPr="00F82F36">
        <w:t>?</w:t>
      </w:r>
      <w:bookmarkEnd w:id="24"/>
    </w:p>
    <w:p w14:paraId="53EF71EC" w14:textId="1D593D01" w:rsidR="00155347" w:rsidRDefault="00C16A7C" w:rsidP="00155347">
      <w:pPr>
        <w:rPr>
          <w:sz w:val="24"/>
          <w:szCs w:val="28"/>
        </w:rPr>
      </w:pPr>
      <w:r>
        <w:rPr>
          <w:sz w:val="24"/>
          <w:szCs w:val="28"/>
        </w:rPr>
        <w:t xml:space="preserve">If a </w:t>
      </w:r>
      <w:r w:rsidR="00CC1310">
        <w:rPr>
          <w:sz w:val="24"/>
          <w:szCs w:val="28"/>
        </w:rPr>
        <w:t>participant</w:t>
      </w:r>
      <w:r>
        <w:rPr>
          <w:sz w:val="24"/>
          <w:szCs w:val="28"/>
        </w:rPr>
        <w:t xml:space="preserve"> stops attending</w:t>
      </w:r>
      <w:r w:rsidR="00D16AA7">
        <w:rPr>
          <w:sz w:val="24"/>
          <w:szCs w:val="28"/>
        </w:rPr>
        <w:t xml:space="preserve"> an agreed </w:t>
      </w:r>
      <w:r w:rsidR="00700B65">
        <w:rPr>
          <w:sz w:val="24"/>
          <w:szCs w:val="28"/>
        </w:rPr>
        <w:t>P</w:t>
      </w:r>
      <w:r w:rsidR="00D16AA7">
        <w:rPr>
          <w:sz w:val="24"/>
          <w:szCs w:val="28"/>
        </w:rPr>
        <w:t xml:space="preserve">rogram of </w:t>
      </w:r>
      <w:r w:rsidR="00700B65">
        <w:rPr>
          <w:sz w:val="24"/>
          <w:szCs w:val="28"/>
        </w:rPr>
        <w:t>S</w:t>
      </w:r>
      <w:r w:rsidR="00D16AA7">
        <w:rPr>
          <w:sz w:val="24"/>
          <w:szCs w:val="28"/>
        </w:rPr>
        <w:t>upport</w:t>
      </w:r>
      <w:r>
        <w:rPr>
          <w:sz w:val="24"/>
          <w:szCs w:val="28"/>
        </w:rPr>
        <w:t xml:space="preserve"> and </w:t>
      </w:r>
      <w:r w:rsidR="008255BF">
        <w:rPr>
          <w:sz w:val="24"/>
          <w:szCs w:val="28"/>
        </w:rPr>
        <w:t>does not</w:t>
      </w:r>
      <w:r>
        <w:rPr>
          <w:sz w:val="24"/>
          <w:szCs w:val="28"/>
        </w:rPr>
        <w:t xml:space="preserve"> give notice, </w:t>
      </w:r>
      <w:r w:rsidR="00D16AA7">
        <w:rPr>
          <w:sz w:val="24"/>
          <w:szCs w:val="28"/>
        </w:rPr>
        <w:t xml:space="preserve">a provider </w:t>
      </w:r>
      <w:r>
        <w:rPr>
          <w:sz w:val="24"/>
          <w:szCs w:val="28"/>
        </w:rPr>
        <w:t xml:space="preserve">can only claim for </w:t>
      </w:r>
      <w:r w:rsidR="002D411B">
        <w:rPr>
          <w:sz w:val="24"/>
          <w:szCs w:val="28"/>
        </w:rPr>
        <w:t>four</w:t>
      </w:r>
      <w:r w:rsidR="00D16AA7">
        <w:rPr>
          <w:sz w:val="24"/>
          <w:szCs w:val="28"/>
        </w:rPr>
        <w:t xml:space="preserve"> consec</w:t>
      </w:r>
      <w:r w:rsidR="00D358EB">
        <w:rPr>
          <w:sz w:val="24"/>
          <w:szCs w:val="28"/>
        </w:rPr>
        <w:t>u</w:t>
      </w:r>
      <w:r w:rsidR="00D16AA7">
        <w:rPr>
          <w:sz w:val="24"/>
          <w:szCs w:val="28"/>
        </w:rPr>
        <w:t>tive</w:t>
      </w:r>
      <w:r>
        <w:rPr>
          <w:sz w:val="24"/>
          <w:szCs w:val="28"/>
        </w:rPr>
        <w:t xml:space="preserve"> weeks</w:t>
      </w:r>
      <w:r w:rsidR="007265B3">
        <w:rPr>
          <w:sz w:val="24"/>
          <w:szCs w:val="28"/>
        </w:rPr>
        <w:t>.</w:t>
      </w:r>
      <w:r>
        <w:rPr>
          <w:sz w:val="24"/>
          <w:szCs w:val="28"/>
        </w:rPr>
        <w:t xml:space="preserve"> </w:t>
      </w:r>
      <w:r w:rsidR="007265B3">
        <w:rPr>
          <w:sz w:val="24"/>
          <w:szCs w:val="28"/>
        </w:rPr>
        <w:t>After this time,</w:t>
      </w:r>
      <w:r>
        <w:rPr>
          <w:sz w:val="24"/>
          <w:szCs w:val="28"/>
        </w:rPr>
        <w:t xml:space="preserve"> it is considered an unplanned </w:t>
      </w:r>
      <w:r w:rsidRPr="00D358EB">
        <w:rPr>
          <w:sz w:val="24"/>
          <w:szCs w:val="28"/>
        </w:rPr>
        <w:t>exit</w:t>
      </w:r>
      <w:r w:rsidR="00D358EB">
        <w:rPr>
          <w:sz w:val="24"/>
          <w:szCs w:val="28"/>
        </w:rPr>
        <w:t>.</w:t>
      </w:r>
    </w:p>
    <w:p w14:paraId="23F2495F" w14:textId="77777777" w:rsidR="00155347" w:rsidRDefault="00155347" w:rsidP="00133B9A">
      <w:pPr>
        <w:pStyle w:val="Heading3"/>
        <w:numPr>
          <w:ilvl w:val="0"/>
          <w:numId w:val="0"/>
        </w:numPr>
      </w:pPr>
      <w:bookmarkStart w:id="25" w:name="_Toc143524940"/>
      <w:r w:rsidRPr="0019039E">
        <w:t xml:space="preserve">If a participant exits a </w:t>
      </w:r>
      <w:r>
        <w:t>P</w:t>
      </w:r>
      <w:r w:rsidRPr="0019039E">
        <w:t xml:space="preserve">rogram of </w:t>
      </w:r>
      <w:r>
        <w:t>S</w:t>
      </w:r>
      <w:r w:rsidRPr="0019039E">
        <w:t>upport, can a provider change the amount they charge the remaining participants?</w:t>
      </w:r>
      <w:bookmarkEnd w:id="25"/>
    </w:p>
    <w:p w14:paraId="20F584CD" w14:textId="32BB4D16" w:rsidR="00155347" w:rsidRPr="008D0CCC" w:rsidRDefault="00155347" w:rsidP="00155347">
      <w:pPr>
        <w:rPr>
          <w:sz w:val="24"/>
          <w:szCs w:val="28"/>
        </w:rPr>
      </w:pPr>
      <w:r w:rsidRPr="008D0CCC">
        <w:rPr>
          <w:sz w:val="24"/>
          <w:szCs w:val="28"/>
        </w:rPr>
        <w:t>The PAPL allow</w:t>
      </w:r>
      <w:r w:rsidR="00E50122">
        <w:rPr>
          <w:sz w:val="24"/>
          <w:szCs w:val="28"/>
        </w:rPr>
        <w:t>s</w:t>
      </w:r>
      <w:r w:rsidRPr="008D0CCC">
        <w:rPr>
          <w:sz w:val="24"/>
          <w:szCs w:val="28"/>
        </w:rPr>
        <w:t xml:space="preserve"> for providers and participants to agree on a new Program of Support at any time.</w:t>
      </w:r>
    </w:p>
    <w:p w14:paraId="05F4644C" w14:textId="650647D5" w:rsidR="00155347" w:rsidRPr="00155347" w:rsidRDefault="00155347" w:rsidP="00155347">
      <w:pPr>
        <w:rPr>
          <w:sz w:val="24"/>
          <w:szCs w:val="28"/>
        </w:rPr>
      </w:pPr>
      <w:r w:rsidRPr="008D0CCC">
        <w:rPr>
          <w:sz w:val="24"/>
          <w:szCs w:val="28"/>
        </w:rPr>
        <w:t>However, this is a commercial business decision for the provider and something that should be discussed with participant</w:t>
      </w:r>
      <w:r w:rsidR="00370D15">
        <w:rPr>
          <w:sz w:val="24"/>
          <w:szCs w:val="28"/>
        </w:rPr>
        <w:t>s</w:t>
      </w:r>
      <w:r w:rsidRPr="008D0CCC">
        <w:rPr>
          <w:sz w:val="24"/>
          <w:szCs w:val="28"/>
        </w:rPr>
        <w:t xml:space="preserve"> both as part of the process to agree to a Program of Support, </w:t>
      </w:r>
      <w:r w:rsidR="00E50122">
        <w:rPr>
          <w:sz w:val="24"/>
          <w:szCs w:val="28"/>
        </w:rPr>
        <w:t>and</w:t>
      </w:r>
      <w:r w:rsidRPr="008D0CCC">
        <w:rPr>
          <w:sz w:val="24"/>
          <w:szCs w:val="28"/>
        </w:rPr>
        <w:t xml:space="preserve"> </w:t>
      </w:r>
      <w:r w:rsidR="003E4089">
        <w:rPr>
          <w:sz w:val="24"/>
          <w:szCs w:val="28"/>
        </w:rPr>
        <w:t xml:space="preserve">in </w:t>
      </w:r>
      <w:r w:rsidR="00250581">
        <w:rPr>
          <w:sz w:val="24"/>
          <w:szCs w:val="28"/>
        </w:rPr>
        <w:t xml:space="preserve">any </w:t>
      </w:r>
      <w:r w:rsidR="003E4089">
        <w:rPr>
          <w:sz w:val="24"/>
          <w:szCs w:val="28"/>
        </w:rPr>
        <w:t>instances where</w:t>
      </w:r>
      <w:r w:rsidRPr="008D0CCC">
        <w:rPr>
          <w:sz w:val="24"/>
          <w:szCs w:val="28"/>
        </w:rPr>
        <w:t xml:space="preserve"> this situation eventuates.</w:t>
      </w:r>
    </w:p>
    <w:p w14:paraId="0BB87774" w14:textId="77777777" w:rsidR="00C10729" w:rsidRPr="00200EEC" w:rsidRDefault="00C10729" w:rsidP="00C10729">
      <w:pPr>
        <w:pStyle w:val="Heading2"/>
        <w:numPr>
          <w:ilvl w:val="0"/>
          <w:numId w:val="0"/>
        </w:numPr>
      </w:pPr>
      <w:bookmarkStart w:id="26" w:name="_Toc143524941"/>
      <w:r>
        <w:t>General Questions</w:t>
      </w:r>
      <w:bookmarkEnd w:id="26"/>
    </w:p>
    <w:p w14:paraId="3ECB4753" w14:textId="3CFEB528" w:rsidR="00C10729" w:rsidRPr="00C10729" w:rsidRDefault="00C10729" w:rsidP="00C10729">
      <w:pPr>
        <w:pStyle w:val="Heading3"/>
        <w:numPr>
          <w:ilvl w:val="0"/>
          <w:numId w:val="0"/>
        </w:numPr>
        <w:rPr>
          <w:rFonts w:eastAsiaTheme="minorHAnsi"/>
        </w:rPr>
      </w:pPr>
      <w:bookmarkStart w:id="27" w:name="_Toc143524942"/>
      <w:r w:rsidRPr="00C10729">
        <w:rPr>
          <w:rFonts w:eastAsiaTheme="minorHAnsi"/>
        </w:rPr>
        <w:t>Will the transition period be extended again, and can we keep using the transitional prices?</w:t>
      </w:r>
      <w:bookmarkEnd w:id="27"/>
    </w:p>
    <w:p w14:paraId="177C1F1C" w14:textId="4B74B23F" w:rsidR="00C10729" w:rsidRPr="00C10729" w:rsidRDefault="00C10729" w:rsidP="00C10729">
      <w:pPr>
        <w:rPr>
          <w:sz w:val="24"/>
          <w:szCs w:val="28"/>
        </w:rPr>
      </w:pPr>
      <w:r w:rsidRPr="00C10729">
        <w:rPr>
          <w:sz w:val="24"/>
          <w:szCs w:val="28"/>
        </w:rPr>
        <w:t xml:space="preserve">The new pricing arrangement was introduced in July 2020, and the transition period ends </w:t>
      </w:r>
      <w:r w:rsidR="00E50122">
        <w:rPr>
          <w:sz w:val="24"/>
          <w:szCs w:val="28"/>
        </w:rPr>
        <w:t xml:space="preserve">on </w:t>
      </w:r>
      <w:r w:rsidRPr="00C10729">
        <w:rPr>
          <w:sz w:val="24"/>
          <w:szCs w:val="28"/>
        </w:rPr>
        <w:t xml:space="preserve">31 December 2023. The Agency consulted with the sector on the new pricing and transition in 2022 and heard </w:t>
      </w:r>
      <w:r w:rsidR="00BE407C">
        <w:rPr>
          <w:sz w:val="24"/>
          <w:szCs w:val="28"/>
        </w:rPr>
        <w:t>there were areas in the PAPL and provider guidance that could be refined. This additional 6-month period lets the NDIA implement those adjustments and ensures everyone</w:t>
      </w:r>
      <w:r w:rsidR="00C611BD">
        <w:rPr>
          <w:sz w:val="24"/>
          <w:szCs w:val="28"/>
        </w:rPr>
        <w:t xml:space="preserve"> can </w:t>
      </w:r>
      <w:r w:rsidR="006D6C19">
        <w:rPr>
          <w:sz w:val="24"/>
          <w:szCs w:val="28"/>
        </w:rPr>
        <w:t>access support</w:t>
      </w:r>
      <w:r w:rsidR="00BE407C">
        <w:rPr>
          <w:sz w:val="24"/>
          <w:szCs w:val="28"/>
        </w:rPr>
        <w:t xml:space="preserve"> during the transition. </w:t>
      </w:r>
    </w:p>
    <w:p w14:paraId="0FC2347D" w14:textId="77777777" w:rsidR="00C10729" w:rsidRPr="00C10729" w:rsidRDefault="00C10729" w:rsidP="00C10729">
      <w:pPr>
        <w:rPr>
          <w:sz w:val="24"/>
          <w:szCs w:val="28"/>
        </w:rPr>
      </w:pPr>
      <w:r w:rsidRPr="00C10729">
        <w:rPr>
          <w:sz w:val="24"/>
          <w:szCs w:val="28"/>
        </w:rPr>
        <w:t>Providers who require time to transition to the new pricing arrangements may continue using the previous ratio-based support items (referred to as transitional arrangements) until 31 December 2023.</w:t>
      </w:r>
    </w:p>
    <w:p w14:paraId="646FCC9D" w14:textId="56E6EECE" w:rsidR="009838F2" w:rsidRDefault="00C10729" w:rsidP="00C10729">
      <w:pPr>
        <w:spacing w:after="100"/>
        <w:rPr>
          <w:sz w:val="24"/>
          <w:szCs w:val="28"/>
        </w:rPr>
      </w:pPr>
      <w:r w:rsidRPr="00C10729">
        <w:rPr>
          <w:sz w:val="24"/>
          <w:szCs w:val="28"/>
        </w:rPr>
        <w:lastRenderedPageBreak/>
        <w:t xml:space="preserve">Once a provider has transitioned to the new pricing, they </w:t>
      </w:r>
      <w:r w:rsidR="002D411B" w:rsidRPr="00C10729">
        <w:rPr>
          <w:sz w:val="24"/>
          <w:szCs w:val="28"/>
        </w:rPr>
        <w:t>cannot</w:t>
      </w:r>
      <w:r w:rsidRPr="00C10729">
        <w:rPr>
          <w:sz w:val="24"/>
          <w:szCs w:val="28"/>
        </w:rPr>
        <w:t xml:space="preserve"> revert to the transitional pricing.</w:t>
      </w:r>
      <w:r w:rsidR="00EB0754">
        <w:rPr>
          <w:sz w:val="24"/>
          <w:szCs w:val="28"/>
        </w:rPr>
        <w:t xml:space="preserve"> However, </w:t>
      </w:r>
      <w:r w:rsidR="00C170B4">
        <w:rPr>
          <w:sz w:val="24"/>
          <w:szCs w:val="28"/>
        </w:rPr>
        <w:t>it may be easier for providers to</w:t>
      </w:r>
      <w:r w:rsidR="0012225C">
        <w:rPr>
          <w:sz w:val="24"/>
          <w:szCs w:val="28"/>
        </w:rPr>
        <w:t xml:space="preserve"> gradually</w:t>
      </w:r>
      <w:r w:rsidR="00C170B4">
        <w:rPr>
          <w:sz w:val="24"/>
          <w:szCs w:val="28"/>
        </w:rPr>
        <w:t xml:space="preserve"> transition a </w:t>
      </w:r>
      <w:r w:rsidR="00357627">
        <w:rPr>
          <w:sz w:val="24"/>
          <w:szCs w:val="28"/>
        </w:rPr>
        <w:t>group</w:t>
      </w:r>
      <w:r w:rsidR="00C170B4">
        <w:rPr>
          <w:sz w:val="24"/>
          <w:szCs w:val="28"/>
        </w:rPr>
        <w:t xml:space="preserve"> of participants. </w:t>
      </w:r>
    </w:p>
    <w:p w14:paraId="2E985FF0" w14:textId="23AB25D6" w:rsidR="00D06006" w:rsidRPr="00C10729" w:rsidRDefault="00D06006" w:rsidP="00C10729">
      <w:pPr>
        <w:spacing w:after="100"/>
        <w:rPr>
          <w:sz w:val="24"/>
          <w:szCs w:val="28"/>
        </w:rPr>
      </w:pPr>
      <w:r>
        <w:rPr>
          <w:sz w:val="24"/>
          <w:szCs w:val="28"/>
        </w:rPr>
        <w:t>All providers must fully transition by 31 December 2023</w:t>
      </w:r>
      <w:r w:rsidR="0012225C">
        <w:rPr>
          <w:sz w:val="24"/>
          <w:szCs w:val="28"/>
        </w:rPr>
        <w:t>,</w:t>
      </w:r>
      <w:r>
        <w:rPr>
          <w:sz w:val="24"/>
          <w:szCs w:val="28"/>
        </w:rPr>
        <w:t xml:space="preserve"> and no further extension will be granted beyond this date.</w:t>
      </w:r>
    </w:p>
    <w:p w14:paraId="26A536E2" w14:textId="53761ADB" w:rsidR="00C10729" w:rsidRPr="00777CD2" w:rsidRDefault="00C10729" w:rsidP="00C10729">
      <w:pPr>
        <w:pStyle w:val="Heading3"/>
        <w:numPr>
          <w:ilvl w:val="0"/>
          <w:numId w:val="0"/>
        </w:numPr>
      </w:pPr>
      <w:bookmarkStart w:id="28" w:name="_Toc143524943"/>
      <w:r w:rsidRPr="00777CD2">
        <w:t xml:space="preserve">Is the NDIA adding more of an administrative focus to the </w:t>
      </w:r>
      <w:r w:rsidRPr="00843D17">
        <w:t>Disability Support Worker</w:t>
      </w:r>
      <w:r w:rsidRPr="00777CD2">
        <w:t xml:space="preserve"> role by introducing separate NF2F claiming?</w:t>
      </w:r>
      <w:bookmarkEnd w:id="28"/>
    </w:p>
    <w:p w14:paraId="2B373486" w14:textId="5F83BAB8" w:rsidR="00C10729" w:rsidRPr="00C10729" w:rsidRDefault="00C10729" w:rsidP="00C10729">
      <w:pPr>
        <w:rPr>
          <w:sz w:val="24"/>
          <w:szCs w:val="28"/>
        </w:rPr>
      </w:pPr>
      <w:r w:rsidRPr="00C10729">
        <w:rPr>
          <w:sz w:val="24"/>
          <w:szCs w:val="28"/>
        </w:rPr>
        <w:t>Non-</w:t>
      </w:r>
      <w:r w:rsidR="0095542F">
        <w:rPr>
          <w:sz w:val="24"/>
          <w:szCs w:val="28"/>
        </w:rPr>
        <w:t>F</w:t>
      </w:r>
      <w:r w:rsidRPr="00C10729">
        <w:rPr>
          <w:sz w:val="24"/>
          <w:szCs w:val="28"/>
        </w:rPr>
        <w:t>ace-to-</w:t>
      </w:r>
      <w:r w:rsidR="0095542F">
        <w:rPr>
          <w:sz w:val="24"/>
          <w:szCs w:val="28"/>
        </w:rPr>
        <w:t>F</w:t>
      </w:r>
      <w:r w:rsidR="0095542F" w:rsidRPr="00C10729">
        <w:rPr>
          <w:sz w:val="24"/>
          <w:szCs w:val="28"/>
        </w:rPr>
        <w:t xml:space="preserve">ace </w:t>
      </w:r>
      <w:r w:rsidRPr="00C10729">
        <w:rPr>
          <w:sz w:val="24"/>
          <w:szCs w:val="28"/>
        </w:rPr>
        <w:t xml:space="preserve">work to support the face-to-face delivery of supports is common among many support types. For group-based social and community participation supports, the newer pricing approach means that providers can now reflect the actual </w:t>
      </w:r>
      <w:r w:rsidR="0095542F">
        <w:rPr>
          <w:sz w:val="24"/>
          <w:szCs w:val="28"/>
        </w:rPr>
        <w:t>N</w:t>
      </w:r>
      <w:r w:rsidR="0095542F" w:rsidRPr="00C10729">
        <w:rPr>
          <w:sz w:val="24"/>
          <w:szCs w:val="28"/>
        </w:rPr>
        <w:t>on</w:t>
      </w:r>
      <w:r w:rsidRPr="00C10729">
        <w:rPr>
          <w:sz w:val="24"/>
          <w:szCs w:val="28"/>
        </w:rPr>
        <w:t>-</w:t>
      </w:r>
      <w:r w:rsidR="0095542F">
        <w:rPr>
          <w:sz w:val="24"/>
          <w:szCs w:val="28"/>
        </w:rPr>
        <w:t>F</w:t>
      </w:r>
      <w:r w:rsidR="0095542F" w:rsidRPr="00C10729">
        <w:rPr>
          <w:sz w:val="24"/>
          <w:szCs w:val="28"/>
        </w:rPr>
        <w:t>ace</w:t>
      </w:r>
      <w:r w:rsidRPr="00C10729">
        <w:rPr>
          <w:sz w:val="24"/>
          <w:szCs w:val="28"/>
        </w:rPr>
        <w:t>-to-</w:t>
      </w:r>
      <w:r w:rsidR="0095542F">
        <w:rPr>
          <w:sz w:val="24"/>
          <w:szCs w:val="28"/>
        </w:rPr>
        <w:t>F</w:t>
      </w:r>
      <w:r w:rsidR="0095542F" w:rsidRPr="00C10729">
        <w:rPr>
          <w:sz w:val="24"/>
          <w:szCs w:val="28"/>
        </w:rPr>
        <w:t xml:space="preserve">ace </w:t>
      </w:r>
      <w:r w:rsidRPr="00C10729">
        <w:rPr>
          <w:sz w:val="24"/>
          <w:szCs w:val="28"/>
        </w:rPr>
        <w:t>effort expended for each group and/or participant.</w:t>
      </w:r>
    </w:p>
    <w:p w14:paraId="7FE6C9E6" w14:textId="74643F75" w:rsidR="00C10729" w:rsidRPr="00C10729" w:rsidRDefault="00C10729" w:rsidP="00C10729">
      <w:pPr>
        <w:rPr>
          <w:sz w:val="24"/>
          <w:szCs w:val="28"/>
        </w:rPr>
      </w:pPr>
      <w:r w:rsidRPr="00C10729">
        <w:rPr>
          <w:sz w:val="24"/>
          <w:szCs w:val="28"/>
        </w:rPr>
        <w:t xml:space="preserve">Some providers who have transitioned to the new pricing approach have told us that the expectations for their Disability Support Workers </w:t>
      </w:r>
      <w:r w:rsidR="002D411B" w:rsidRPr="00C10729">
        <w:rPr>
          <w:sz w:val="24"/>
          <w:szCs w:val="28"/>
        </w:rPr>
        <w:t>have not</w:t>
      </w:r>
      <w:r w:rsidRPr="00C10729">
        <w:rPr>
          <w:sz w:val="24"/>
          <w:szCs w:val="28"/>
        </w:rPr>
        <w:t xml:space="preserve"> changed with the transition</w:t>
      </w:r>
      <w:r w:rsidR="0012225C">
        <w:rPr>
          <w:sz w:val="24"/>
          <w:szCs w:val="28"/>
        </w:rPr>
        <w:t>.</w:t>
      </w:r>
      <w:r w:rsidRPr="00C10729">
        <w:rPr>
          <w:sz w:val="24"/>
          <w:szCs w:val="28"/>
        </w:rPr>
        <w:t xml:space="preserve">  </w:t>
      </w:r>
      <w:r w:rsidR="0012225C">
        <w:rPr>
          <w:sz w:val="24"/>
          <w:szCs w:val="28"/>
        </w:rPr>
        <w:t>T</w:t>
      </w:r>
      <w:r w:rsidRPr="00C10729">
        <w:rPr>
          <w:sz w:val="24"/>
          <w:szCs w:val="28"/>
        </w:rPr>
        <w:t xml:space="preserve">hose expectations are </w:t>
      </w:r>
      <w:r w:rsidR="0012225C">
        <w:rPr>
          <w:sz w:val="24"/>
          <w:szCs w:val="28"/>
        </w:rPr>
        <w:t xml:space="preserve">still </w:t>
      </w:r>
      <w:r w:rsidRPr="00C10729">
        <w:rPr>
          <w:sz w:val="24"/>
          <w:szCs w:val="28"/>
        </w:rPr>
        <w:t>clearly reflected in things like their position descriptions and staff rosters.</w:t>
      </w:r>
    </w:p>
    <w:p w14:paraId="53DC78DC" w14:textId="373881DD" w:rsidR="00C10729" w:rsidRPr="00C10729" w:rsidRDefault="00C10729" w:rsidP="00C10729">
      <w:pPr>
        <w:rPr>
          <w:sz w:val="24"/>
          <w:szCs w:val="28"/>
        </w:rPr>
      </w:pPr>
      <w:r w:rsidRPr="00C10729">
        <w:rPr>
          <w:sz w:val="24"/>
          <w:szCs w:val="28"/>
        </w:rPr>
        <w:t>It has also provided organisations and staff an opportunity to reflect on the NF2F component of their work, identify opportunities to try new, more effective</w:t>
      </w:r>
      <w:r w:rsidR="0012225C">
        <w:rPr>
          <w:sz w:val="24"/>
          <w:szCs w:val="28"/>
        </w:rPr>
        <w:t>,</w:t>
      </w:r>
      <w:r w:rsidRPr="00C10729">
        <w:rPr>
          <w:sz w:val="24"/>
          <w:szCs w:val="28"/>
        </w:rPr>
        <w:t xml:space="preserve"> or efficient ways of working, and work with participants to ensure the NF2F supports provided are meeting their needs.</w:t>
      </w:r>
    </w:p>
    <w:p w14:paraId="4C1576F3" w14:textId="17290C44" w:rsidR="00C10729" w:rsidRPr="00777CD2" w:rsidRDefault="00C10729" w:rsidP="00C10729">
      <w:pPr>
        <w:pStyle w:val="Heading3"/>
        <w:numPr>
          <w:ilvl w:val="0"/>
          <w:numId w:val="0"/>
        </w:numPr>
      </w:pPr>
      <w:bookmarkStart w:id="29" w:name="_Toc143524944"/>
      <w:r w:rsidRPr="00777CD2">
        <w:t>Is the newer pricing approach designed to reduce revenue available for group-based supports?</w:t>
      </w:r>
      <w:bookmarkEnd w:id="29"/>
    </w:p>
    <w:p w14:paraId="6E8118BF" w14:textId="1D1F774A" w:rsidR="00C10729" w:rsidRPr="00C10729" w:rsidRDefault="00C10729" w:rsidP="00C10729">
      <w:pPr>
        <w:rPr>
          <w:sz w:val="24"/>
          <w:szCs w:val="28"/>
        </w:rPr>
      </w:pPr>
      <w:r w:rsidRPr="00C10729">
        <w:rPr>
          <w:sz w:val="24"/>
          <w:szCs w:val="28"/>
        </w:rPr>
        <w:t>The maximum hourly rates for group-based supports under the transitional pricing approach included a provision for NF2F support. The NDIA recognises that each participant and provider are different, and a standard one-size-fits-all approach for the provision of NF2F costs did not provide enough opportunity to truly reflect the real costs of meeting the needs of participants.</w:t>
      </w:r>
    </w:p>
    <w:p w14:paraId="699F5ABC" w14:textId="0DDAD102" w:rsidR="00C10729" w:rsidRPr="00C10729" w:rsidRDefault="00C10729" w:rsidP="00C10729">
      <w:pPr>
        <w:rPr>
          <w:sz w:val="24"/>
          <w:szCs w:val="28"/>
        </w:rPr>
      </w:pPr>
      <w:r w:rsidRPr="00C10729">
        <w:rPr>
          <w:sz w:val="24"/>
          <w:szCs w:val="28"/>
        </w:rPr>
        <w:t>Charging NF2F fees in line with NF2F effort could mean that providers agree with individual participants to charge less, the same</w:t>
      </w:r>
      <w:r w:rsidR="00283311">
        <w:rPr>
          <w:sz w:val="24"/>
          <w:szCs w:val="28"/>
        </w:rPr>
        <w:t>,</w:t>
      </w:r>
      <w:r w:rsidRPr="00C10729">
        <w:rPr>
          <w:sz w:val="24"/>
          <w:szCs w:val="28"/>
        </w:rPr>
        <w:t xml:space="preserve"> or more. Separating the costs out is about giving providers flexibility in </w:t>
      </w:r>
      <w:r w:rsidR="00283311">
        <w:rPr>
          <w:sz w:val="24"/>
          <w:szCs w:val="28"/>
        </w:rPr>
        <w:t>delivering and positioning</w:t>
      </w:r>
      <w:r w:rsidRPr="00C10729">
        <w:rPr>
          <w:sz w:val="24"/>
          <w:szCs w:val="28"/>
        </w:rPr>
        <w:t xml:space="preserve"> themselves in the market, not reducing revenue.</w:t>
      </w:r>
    </w:p>
    <w:p w14:paraId="2168C82C" w14:textId="1E90E56A" w:rsidR="00C10729" w:rsidRPr="00C10729" w:rsidRDefault="00C10729" w:rsidP="00C10729">
      <w:pPr>
        <w:rPr>
          <w:sz w:val="24"/>
          <w:szCs w:val="28"/>
        </w:rPr>
      </w:pPr>
      <w:r w:rsidRPr="00C10729">
        <w:rPr>
          <w:sz w:val="24"/>
          <w:szCs w:val="28"/>
        </w:rPr>
        <w:t>Some providers who have transitioned to the newer pricing approach have told us that the transition provided an opportunity to dive</w:t>
      </w:r>
      <w:r w:rsidR="00283311">
        <w:rPr>
          <w:sz w:val="24"/>
          <w:szCs w:val="28"/>
        </w:rPr>
        <w:t xml:space="preserve"> deep</w:t>
      </w:r>
      <w:r w:rsidRPr="00C10729">
        <w:rPr>
          <w:sz w:val="24"/>
          <w:szCs w:val="28"/>
        </w:rPr>
        <w:t xml:space="preserve"> into their financials and even tie this knowledge into their </w:t>
      </w:r>
      <w:r w:rsidR="003A763A">
        <w:rPr>
          <w:sz w:val="24"/>
          <w:szCs w:val="28"/>
        </w:rPr>
        <w:t xml:space="preserve">Enterprise Bargaining </w:t>
      </w:r>
      <w:r w:rsidRPr="00C10729">
        <w:rPr>
          <w:sz w:val="24"/>
          <w:szCs w:val="28"/>
        </w:rPr>
        <w:t xml:space="preserve">negotiations. Some also told us </w:t>
      </w:r>
      <w:r w:rsidRPr="00C10729">
        <w:rPr>
          <w:sz w:val="24"/>
          <w:szCs w:val="28"/>
        </w:rPr>
        <w:lastRenderedPageBreak/>
        <w:t>that it provided an opportunity for change and to move away from tasks being undertaken simply because that is how they had always done them. Considering all the cost elements with a critical eye allowed them to refine their operations to better meet the needs of their participants, staff and business in general.</w:t>
      </w:r>
    </w:p>
    <w:p w14:paraId="4BD40CB6" w14:textId="69420353" w:rsidR="00C10729" w:rsidRPr="00777CD2" w:rsidRDefault="00C10729" w:rsidP="00C10729">
      <w:pPr>
        <w:pStyle w:val="Heading3"/>
        <w:numPr>
          <w:ilvl w:val="0"/>
          <w:numId w:val="0"/>
        </w:numPr>
      </w:pPr>
      <w:bookmarkStart w:id="30" w:name="_Toc143524945"/>
      <w:r w:rsidRPr="00777CD2">
        <w:t>Separating out NF2F costs is an administrative burden and may be challenging for participants to understand. Are there any real benefits to participants?</w:t>
      </w:r>
      <w:bookmarkEnd w:id="30"/>
    </w:p>
    <w:p w14:paraId="20F87BF5" w14:textId="533E63C6" w:rsidR="00C10729" w:rsidRPr="00C10729" w:rsidRDefault="00C10729" w:rsidP="00C10729">
      <w:pPr>
        <w:rPr>
          <w:sz w:val="24"/>
          <w:szCs w:val="28"/>
        </w:rPr>
      </w:pPr>
      <w:r w:rsidRPr="00C10729">
        <w:rPr>
          <w:sz w:val="24"/>
          <w:szCs w:val="28"/>
        </w:rPr>
        <w:t>While providers who have transitioned acknowledge</w:t>
      </w:r>
      <w:r w:rsidR="00283311">
        <w:rPr>
          <w:sz w:val="24"/>
          <w:szCs w:val="28"/>
        </w:rPr>
        <w:t>d</w:t>
      </w:r>
      <w:r w:rsidRPr="00C10729">
        <w:rPr>
          <w:sz w:val="24"/>
          <w:szCs w:val="28"/>
        </w:rPr>
        <w:t xml:space="preserve"> it took effort to adapt to the new pricing approach, some providers told us that they have seen benefits</w:t>
      </w:r>
      <w:r w:rsidR="00283311">
        <w:rPr>
          <w:sz w:val="24"/>
          <w:szCs w:val="28"/>
        </w:rPr>
        <w:t>.</w:t>
      </w:r>
      <w:r w:rsidRPr="00C10729">
        <w:rPr>
          <w:sz w:val="24"/>
          <w:szCs w:val="28"/>
        </w:rPr>
        <w:t xml:space="preserve"> </w:t>
      </w:r>
      <w:r w:rsidR="00283311">
        <w:rPr>
          <w:sz w:val="24"/>
          <w:szCs w:val="28"/>
        </w:rPr>
        <w:t>T</w:t>
      </w:r>
      <w:r w:rsidRPr="00C10729">
        <w:rPr>
          <w:sz w:val="24"/>
          <w:szCs w:val="28"/>
        </w:rPr>
        <w:t>he range of benefits continues to grow the longer they have been operating under the new pricing approach.</w:t>
      </w:r>
    </w:p>
    <w:p w14:paraId="77B837AC" w14:textId="4CAA7727" w:rsidR="00C10729" w:rsidRPr="00C10729" w:rsidRDefault="00C10729" w:rsidP="00C10729">
      <w:pPr>
        <w:rPr>
          <w:sz w:val="24"/>
          <w:szCs w:val="28"/>
        </w:rPr>
      </w:pPr>
      <w:r w:rsidRPr="00C10729">
        <w:rPr>
          <w:sz w:val="24"/>
          <w:szCs w:val="28"/>
        </w:rPr>
        <w:t>Under the transitional pricing approach,</w:t>
      </w:r>
      <w:r w:rsidR="00D030CA">
        <w:rPr>
          <w:sz w:val="24"/>
          <w:szCs w:val="28"/>
        </w:rPr>
        <w:t xml:space="preserve"> providers told us</w:t>
      </w:r>
      <w:r w:rsidRPr="00C10729">
        <w:rPr>
          <w:sz w:val="24"/>
          <w:szCs w:val="28"/>
        </w:rPr>
        <w:t xml:space="preserve"> it was not always viable to include some participants with more complex needs in some group</w:t>
      </w:r>
      <w:r w:rsidR="00283311">
        <w:rPr>
          <w:sz w:val="24"/>
          <w:szCs w:val="28"/>
        </w:rPr>
        <w:t xml:space="preserve"> </w:t>
      </w:r>
      <w:r w:rsidRPr="00C10729">
        <w:rPr>
          <w:sz w:val="24"/>
          <w:szCs w:val="28"/>
        </w:rPr>
        <w:t>supports or activities. Under the newer pricing approach, some providers</w:t>
      </w:r>
      <w:r w:rsidR="00283311">
        <w:rPr>
          <w:sz w:val="24"/>
          <w:szCs w:val="28"/>
        </w:rPr>
        <w:t>,</w:t>
      </w:r>
      <w:r w:rsidRPr="00C10729">
        <w:rPr>
          <w:sz w:val="24"/>
          <w:szCs w:val="28"/>
        </w:rPr>
        <w:t xml:space="preserve"> </w:t>
      </w:r>
      <w:r w:rsidR="003B48B0">
        <w:rPr>
          <w:sz w:val="24"/>
          <w:szCs w:val="28"/>
        </w:rPr>
        <w:t xml:space="preserve">through negotiation with participants, </w:t>
      </w:r>
      <w:r w:rsidRPr="00C10729">
        <w:rPr>
          <w:sz w:val="24"/>
          <w:szCs w:val="28"/>
        </w:rPr>
        <w:t>have fund</w:t>
      </w:r>
      <w:r w:rsidR="00283311">
        <w:rPr>
          <w:sz w:val="24"/>
          <w:szCs w:val="28"/>
        </w:rPr>
        <w:t>ed</w:t>
      </w:r>
      <w:r w:rsidRPr="00C10729">
        <w:rPr>
          <w:sz w:val="24"/>
          <w:szCs w:val="28"/>
        </w:rPr>
        <w:t xml:space="preserve"> sufficient NF2F effort to adapt group-support offerings to accommodate a wider range of support needs, including more complex support needs. </w:t>
      </w:r>
      <w:r w:rsidR="00D030CA">
        <w:rPr>
          <w:sz w:val="24"/>
          <w:szCs w:val="28"/>
        </w:rPr>
        <w:t xml:space="preserve">The ability to negotiate actual costs for individual needs can </w:t>
      </w:r>
      <w:r w:rsidRPr="00C10729">
        <w:rPr>
          <w:sz w:val="24"/>
          <w:szCs w:val="28"/>
        </w:rPr>
        <w:t xml:space="preserve">increase inclusion and </w:t>
      </w:r>
      <w:r w:rsidR="00D030CA">
        <w:rPr>
          <w:sz w:val="24"/>
          <w:szCs w:val="28"/>
        </w:rPr>
        <w:t xml:space="preserve">ensure those with the highest support needs </w:t>
      </w:r>
      <w:r w:rsidR="00283311">
        <w:rPr>
          <w:sz w:val="24"/>
          <w:szCs w:val="28"/>
        </w:rPr>
        <w:t>receive</w:t>
      </w:r>
      <w:r w:rsidR="00D030CA">
        <w:rPr>
          <w:sz w:val="24"/>
          <w:szCs w:val="28"/>
        </w:rPr>
        <w:t xml:space="preserve"> the support they require to participat</w:t>
      </w:r>
      <w:r w:rsidR="009115EF">
        <w:rPr>
          <w:sz w:val="24"/>
          <w:szCs w:val="28"/>
        </w:rPr>
        <w:t>e</w:t>
      </w:r>
      <w:r w:rsidR="00D030CA">
        <w:rPr>
          <w:sz w:val="24"/>
          <w:szCs w:val="28"/>
        </w:rPr>
        <w:t xml:space="preserve"> in social and community </w:t>
      </w:r>
      <w:r w:rsidR="003B48B0">
        <w:rPr>
          <w:sz w:val="24"/>
          <w:szCs w:val="28"/>
        </w:rPr>
        <w:t>activities</w:t>
      </w:r>
      <w:r w:rsidR="00D030CA">
        <w:rPr>
          <w:sz w:val="24"/>
          <w:szCs w:val="28"/>
        </w:rPr>
        <w:t>.</w:t>
      </w:r>
    </w:p>
    <w:p w14:paraId="713CC13C" w14:textId="7F83F8E7" w:rsidR="00C10729" w:rsidRPr="00C10729" w:rsidRDefault="00C10729" w:rsidP="00C10729">
      <w:pPr>
        <w:rPr>
          <w:sz w:val="24"/>
          <w:szCs w:val="28"/>
        </w:rPr>
      </w:pPr>
      <w:r w:rsidRPr="00C10729">
        <w:rPr>
          <w:sz w:val="24"/>
          <w:szCs w:val="28"/>
        </w:rPr>
        <w:t xml:space="preserve">We encourage you to </w:t>
      </w:r>
      <w:r w:rsidR="00283311">
        <w:rPr>
          <w:sz w:val="24"/>
          <w:szCs w:val="28"/>
        </w:rPr>
        <w:t>consider</w:t>
      </w:r>
      <w:r w:rsidRPr="00C10729">
        <w:rPr>
          <w:sz w:val="24"/>
          <w:szCs w:val="28"/>
        </w:rPr>
        <w:t xml:space="preserve"> the new pricing </w:t>
      </w:r>
      <w:r w:rsidR="004F531A" w:rsidRPr="00C10729">
        <w:rPr>
          <w:sz w:val="24"/>
          <w:szCs w:val="28"/>
        </w:rPr>
        <w:t>and how</w:t>
      </w:r>
      <w:r w:rsidRPr="00C10729">
        <w:rPr>
          <w:sz w:val="24"/>
          <w:szCs w:val="28"/>
        </w:rPr>
        <w:t xml:space="preserve"> it might enable your business to better support participants.</w:t>
      </w:r>
    </w:p>
    <w:p w14:paraId="42CE0F76" w14:textId="77777777" w:rsidR="00C10729" w:rsidRPr="00E61DB6" w:rsidRDefault="00C10729" w:rsidP="003864D5">
      <w:pPr>
        <w:shd w:val="clear" w:color="auto" w:fill="EEE2F3"/>
        <w:ind w:left="426" w:right="521"/>
        <w:rPr>
          <w:b/>
          <w:bCs/>
          <w:sz w:val="24"/>
        </w:rPr>
      </w:pPr>
      <w:r w:rsidRPr="00E61DB6">
        <w:rPr>
          <w:b/>
          <w:bCs/>
          <w:sz w:val="24"/>
        </w:rPr>
        <w:t>Example:</w:t>
      </w:r>
    </w:p>
    <w:p w14:paraId="7633F4A9" w14:textId="24866650" w:rsidR="00C10729" w:rsidRPr="00E61DB6" w:rsidRDefault="00C10729" w:rsidP="003864D5">
      <w:pPr>
        <w:shd w:val="clear" w:color="auto" w:fill="EEE2F3"/>
        <w:ind w:left="426" w:right="521"/>
        <w:rPr>
          <w:b/>
          <w:bCs/>
          <w:sz w:val="24"/>
        </w:rPr>
      </w:pPr>
      <w:r w:rsidRPr="00E61DB6">
        <w:rPr>
          <w:bCs/>
          <w:sz w:val="24"/>
        </w:rPr>
        <w:t>Farhana attends a group program at a centre. She attends for 2 hours a week, with 2 other participants. They all have an interest in bikes and bike riding, and as a group, have been learning how to</w:t>
      </w:r>
      <w:r w:rsidRPr="00E61DB6">
        <w:rPr>
          <w:sz w:val="24"/>
        </w:rPr>
        <w:t xml:space="preserve"> </w:t>
      </w:r>
      <w:r w:rsidRPr="00E61DB6">
        <w:rPr>
          <w:bCs/>
          <w:sz w:val="24"/>
        </w:rPr>
        <w:t>maintain bikes with their support worker, Sunny.</w:t>
      </w:r>
    </w:p>
    <w:p w14:paraId="423DEC95" w14:textId="4EA3DA82" w:rsidR="00C10729" w:rsidRPr="00E61DB6" w:rsidRDefault="00C10729" w:rsidP="003864D5">
      <w:pPr>
        <w:shd w:val="clear" w:color="auto" w:fill="EEE2F3"/>
        <w:ind w:left="426" w:right="521"/>
        <w:rPr>
          <w:b/>
          <w:bCs/>
          <w:sz w:val="24"/>
        </w:rPr>
      </w:pPr>
      <w:r w:rsidRPr="00E61DB6">
        <w:rPr>
          <w:bCs/>
          <w:sz w:val="24"/>
        </w:rPr>
        <w:t xml:space="preserve">Farhana typically pays for the 2 hours of </w:t>
      </w:r>
      <w:r w:rsidR="000E7D56" w:rsidRPr="00E61DB6">
        <w:rPr>
          <w:bCs/>
          <w:sz w:val="24"/>
        </w:rPr>
        <w:t>Face</w:t>
      </w:r>
      <w:r w:rsidRPr="00E61DB6">
        <w:rPr>
          <w:bCs/>
          <w:sz w:val="24"/>
        </w:rPr>
        <w:t>-to-</w:t>
      </w:r>
      <w:r w:rsidR="000E7D56" w:rsidRPr="00E61DB6">
        <w:rPr>
          <w:bCs/>
          <w:sz w:val="24"/>
        </w:rPr>
        <w:t xml:space="preserve">Face </w:t>
      </w:r>
      <w:r w:rsidRPr="00E61DB6">
        <w:rPr>
          <w:bCs/>
          <w:sz w:val="24"/>
        </w:rPr>
        <w:t xml:space="preserve">support, 2 hours of </w:t>
      </w:r>
      <w:r w:rsidR="000E7D56" w:rsidRPr="00E61DB6">
        <w:rPr>
          <w:bCs/>
          <w:sz w:val="24"/>
        </w:rPr>
        <w:t>Centre Capital Costs</w:t>
      </w:r>
      <w:r w:rsidRPr="00E61DB6">
        <w:rPr>
          <w:bCs/>
          <w:sz w:val="24"/>
        </w:rPr>
        <w:t>, and what works out to be 10 minutes’ worth of agreed NF2F support.</w:t>
      </w:r>
    </w:p>
    <w:p w14:paraId="5CA9ED43" w14:textId="70D6FA4F" w:rsidR="00C10729" w:rsidRPr="00E61DB6" w:rsidRDefault="00C10729" w:rsidP="003864D5">
      <w:pPr>
        <w:shd w:val="clear" w:color="auto" w:fill="EEE2F3"/>
        <w:ind w:left="426" w:right="521"/>
        <w:rPr>
          <w:b/>
          <w:bCs/>
          <w:sz w:val="24"/>
        </w:rPr>
      </w:pPr>
      <w:r w:rsidRPr="00E61DB6">
        <w:rPr>
          <w:bCs/>
          <w:sz w:val="24"/>
        </w:rPr>
        <w:t xml:space="preserve">Sunny notices a local bike riding club is having an open day. The group discuss the club and open day over a few sessions. As the open day approaches, Farhana decides she would like to attend but </w:t>
      </w:r>
      <w:r w:rsidR="002D411B" w:rsidRPr="00E61DB6">
        <w:rPr>
          <w:bCs/>
          <w:sz w:val="24"/>
        </w:rPr>
        <w:t>does not</w:t>
      </w:r>
      <w:r w:rsidRPr="00E61DB6">
        <w:rPr>
          <w:bCs/>
          <w:sz w:val="24"/>
        </w:rPr>
        <w:t xml:space="preserve"> feel confident approaching the club independently.</w:t>
      </w:r>
    </w:p>
    <w:p w14:paraId="7E001B12" w14:textId="5BFED682" w:rsidR="00C10729" w:rsidRPr="00E61DB6" w:rsidRDefault="00C10729" w:rsidP="003864D5">
      <w:pPr>
        <w:shd w:val="clear" w:color="auto" w:fill="EEE2F3"/>
        <w:ind w:left="426" w:right="521"/>
        <w:rPr>
          <w:b/>
          <w:bCs/>
          <w:sz w:val="24"/>
        </w:rPr>
      </w:pPr>
      <w:r w:rsidRPr="00E61DB6">
        <w:rPr>
          <w:bCs/>
          <w:sz w:val="24"/>
        </w:rPr>
        <w:t>The provider and Farhana agree for Sunny to spend up to an hour working with the club to plan for Farhana to attend the open day.</w:t>
      </w:r>
    </w:p>
    <w:p w14:paraId="651B8BC8" w14:textId="77777777" w:rsidR="00C10729" w:rsidRPr="00E61DB6" w:rsidRDefault="00C10729" w:rsidP="003864D5">
      <w:pPr>
        <w:shd w:val="clear" w:color="auto" w:fill="EEE2F3"/>
        <w:ind w:left="426" w:right="521"/>
        <w:rPr>
          <w:b/>
          <w:bCs/>
          <w:sz w:val="24"/>
        </w:rPr>
      </w:pPr>
      <w:r w:rsidRPr="00E61DB6">
        <w:rPr>
          <w:bCs/>
          <w:sz w:val="24"/>
        </w:rPr>
        <w:lastRenderedPageBreak/>
        <w:t>After 45 minutes of work outside of the group support session, Sunny and the club have identified a safe and meaningful way for Farhana to attend the open day. That week, in addition to her typical costs for the group-based support, Farhana pays an additional NF2F amount to cover the extra 45 minutes that Sunny worked with the bike club.</w:t>
      </w:r>
    </w:p>
    <w:p w14:paraId="6CCE5670" w14:textId="463B46A8" w:rsidR="00C10729" w:rsidRPr="00E61DB6" w:rsidRDefault="00C10729" w:rsidP="003864D5">
      <w:pPr>
        <w:shd w:val="clear" w:color="auto" w:fill="EEE2F3"/>
        <w:ind w:left="426" w:right="521"/>
        <w:rPr>
          <w:b/>
          <w:bCs/>
          <w:sz w:val="24"/>
        </w:rPr>
      </w:pPr>
      <w:r w:rsidRPr="00E61DB6">
        <w:rPr>
          <w:bCs/>
          <w:sz w:val="24"/>
        </w:rPr>
        <w:t>Farhana enjoys the open day and finds the club a friendly and supportive place to be. She is looking forward to attending more club events. The other participants are excited to hear about their experience and are even thinking about checking out the next open day themselves.</w:t>
      </w:r>
    </w:p>
    <w:p w14:paraId="42D6FE46" w14:textId="4F28448A" w:rsidR="00C10729" w:rsidRDefault="00C10729" w:rsidP="00C10729">
      <w:pPr>
        <w:pStyle w:val="Heading3"/>
        <w:numPr>
          <w:ilvl w:val="0"/>
          <w:numId w:val="0"/>
        </w:numPr>
      </w:pPr>
      <w:bookmarkStart w:id="31" w:name="_Toc143524946"/>
      <w:r w:rsidRPr="009A35D6">
        <w:t>Will providers need to upgrade systems to transition to the new pricing approach?</w:t>
      </w:r>
      <w:bookmarkEnd w:id="31"/>
    </w:p>
    <w:p w14:paraId="4CE5995F" w14:textId="0959AEE0" w:rsidR="00C10729" w:rsidRPr="00E61DB6" w:rsidRDefault="00C10729" w:rsidP="00C10729">
      <w:pPr>
        <w:rPr>
          <w:sz w:val="24"/>
        </w:rPr>
      </w:pPr>
      <w:r w:rsidRPr="00E61DB6">
        <w:rPr>
          <w:sz w:val="24"/>
        </w:rPr>
        <w:t xml:space="preserve">The NDIA </w:t>
      </w:r>
      <w:r w:rsidR="00E11923" w:rsidRPr="00E61DB6">
        <w:rPr>
          <w:sz w:val="24"/>
        </w:rPr>
        <w:t>cannot</w:t>
      </w:r>
      <w:r w:rsidRPr="00E61DB6">
        <w:rPr>
          <w:sz w:val="24"/>
        </w:rPr>
        <w:t xml:space="preserve"> advise on systems, as this is a commercial business decision for each provider. However, during our consultations, we have heard that some providers who have transitioned have done so with existing systems, and some have used this as an opportunity to roll out new systems.</w:t>
      </w:r>
    </w:p>
    <w:p w14:paraId="1F39B877" w14:textId="77777777" w:rsidR="00C10729" w:rsidRPr="00E61DB6" w:rsidRDefault="00C10729" w:rsidP="00C10729">
      <w:pPr>
        <w:rPr>
          <w:b/>
          <w:sz w:val="24"/>
        </w:rPr>
      </w:pPr>
      <w:r w:rsidRPr="00E61DB6">
        <w:rPr>
          <w:sz w:val="24"/>
        </w:rPr>
        <w:t>What transition may mean for you will be impacted by how you apply the pricing approach and the systems you already have in place.</w:t>
      </w:r>
    </w:p>
    <w:p w14:paraId="046676BD" w14:textId="77777777" w:rsidR="00C10729" w:rsidRDefault="00C10729" w:rsidP="00C10729">
      <w:pPr>
        <w:pStyle w:val="Heading3"/>
        <w:numPr>
          <w:ilvl w:val="0"/>
          <w:numId w:val="0"/>
        </w:numPr>
      </w:pPr>
      <w:bookmarkStart w:id="32" w:name="_Toc143524947"/>
      <w:r>
        <w:t>H</w:t>
      </w:r>
      <w:r w:rsidRPr="00787B41">
        <w:t xml:space="preserve">as </w:t>
      </w:r>
      <w:r>
        <w:t>an</w:t>
      </w:r>
      <w:r w:rsidRPr="00787B41">
        <w:t xml:space="preserve"> outcomes framework for group-based</w:t>
      </w:r>
      <w:r>
        <w:t xml:space="preserve"> social and community participation</w:t>
      </w:r>
      <w:r w:rsidRPr="00787B41">
        <w:t xml:space="preserve"> supports</w:t>
      </w:r>
      <w:r>
        <w:t xml:space="preserve"> been developed</w:t>
      </w:r>
      <w:r w:rsidRPr="00787B41">
        <w:t>?</w:t>
      </w:r>
      <w:bookmarkEnd w:id="32"/>
    </w:p>
    <w:p w14:paraId="69E5EB67" w14:textId="5B3CF356" w:rsidR="00C10729" w:rsidRPr="00E61DB6" w:rsidRDefault="00C10729" w:rsidP="00C10729">
      <w:pPr>
        <w:rPr>
          <w:sz w:val="24"/>
        </w:rPr>
      </w:pPr>
      <w:r w:rsidRPr="00E61DB6">
        <w:rPr>
          <w:sz w:val="24"/>
        </w:rPr>
        <w:t>A central pillar of the NDIS is choice and control for participants. The NDIA would like to see participants choosing their supports for social and community participation from a vibrant and diverse market.</w:t>
      </w:r>
    </w:p>
    <w:p w14:paraId="11DA3B53" w14:textId="77777777" w:rsidR="00A9093D" w:rsidRPr="00E61DB6" w:rsidRDefault="00A9093D" w:rsidP="00A9093D">
      <w:pPr>
        <w:rPr>
          <w:sz w:val="24"/>
        </w:rPr>
      </w:pPr>
      <w:r w:rsidRPr="00E61DB6">
        <w:rPr>
          <w:sz w:val="24"/>
        </w:rPr>
        <w:t>Participants have shared with the NDIA that community participation gave them:</w:t>
      </w:r>
    </w:p>
    <w:p w14:paraId="7C22886F" w14:textId="2AF44909" w:rsidR="00A9093D" w:rsidRPr="00E61DB6" w:rsidRDefault="00A9093D" w:rsidP="00A9093D">
      <w:pPr>
        <w:pStyle w:val="ListParagraph"/>
        <w:numPr>
          <w:ilvl w:val="0"/>
          <w:numId w:val="13"/>
        </w:numPr>
        <w:rPr>
          <w:sz w:val="24"/>
        </w:rPr>
      </w:pPr>
      <w:r w:rsidRPr="00E61DB6">
        <w:rPr>
          <w:sz w:val="24"/>
        </w:rPr>
        <w:t>a sense of belonging and connection</w:t>
      </w:r>
    </w:p>
    <w:p w14:paraId="53D90DBF" w14:textId="78A2A021" w:rsidR="00A9093D" w:rsidRPr="00E61DB6" w:rsidRDefault="00A9093D" w:rsidP="00A9093D">
      <w:pPr>
        <w:pStyle w:val="ListParagraph"/>
        <w:numPr>
          <w:ilvl w:val="0"/>
          <w:numId w:val="13"/>
        </w:numPr>
        <w:rPr>
          <w:sz w:val="24"/>
        </w:rPr>
      </w:pPr>
      <w:r w:rsidRPr="00E61DB6">
        <w:rPr>
          <w:sz w:val="24"/>
        </w:rPr>
        <w:t xml:space="preserve">a way to deepen relationships with friends and </w:t>
      </w:r>
      <w:proofErr w:type="gramStart"/>
      <w:r w:rsidRPr="00E61DB6">
        <w:rPr>
          <w:sz w:val="24"/>
        </w:rPr>
        <w:t>family</w:t>
      </w:r>
      <w:proofErr w:type="gramEnd"/>
    </w:p>
    <w:p w14:paraId="48F1494E" w14:textId="11E6053B" w:rsidR="00A9093D" w:rsidRPr="00E61DB6" w:rsidRDefault="00A9093D" w:rsidP="00A9093D">
      <w:pPr>
        <w:pStyle w:val="ListParagraph"/>
        <w:numPr>
          <w:ilvl w:val="0"/>
          <w:numId w:val="13"/>
        </w:numPr>
        <w:rPr>
          <w:sz w:val="24"/>
        </w:rPr>
      </w:pPr>
      <w:r w:rsidRPr="00E61DB6">
        <w:rPr>
          <w:sz w:val="24"/>
        </w:rPr>
        <w:t>larger social networks and reduced isolation</w:t>
      </w:r>
    </w:p>
    <w:p w14:paraId="6B9604E8" w14:textId="406369FF" w:rsidR="00A9093D" w:rsidRPr="00E61DB6" w:rsidRDefault="00A9093D" w:rsidP="00A9093D">
      <w:pPr>
        <w:pStyle w:val="ListParagraph"/>
        <w:numPr>
          <w:ilvl w:val="0"/>
          <w:numId w:val="13"/>
        </w:numPr>
        <w:rPr>
          <w:sz w:val="24"/>
        </w:rPr>
      </w:pPr>
      <w:r w:rsidRPr="00E61DB6">
        <w:rPr>
          <w:sz w:val="24"/>
        </w:rPr>
        <w:t>greater confidence</w:t>
      </w:r>
    </w:p>
    <w:p w14:paraId="754734BC" w14:textId="77777777" w:rsidR="00A9093D" w:rsidRPr="00E61DB6" w:rsidRDefault="00A9093D" w:rsidP="00A9093D">
      <w:pPr>
        <w:pStyle w:val="ListParagraph"/>
        <w:numPr>
          <w:ilvl w:val="0"/>
          <w:numId w:val="13"/>
        </w:numPr>
        <w:rPr>
          <w:sz w:val="24"/>
        </w:rPr>
      </w:pPr>
      <w:r w:rsidRPr="00E61DB6">
        <w:rPr>
          <w:sz w:val="24"/>
        </w:rPr>
        <w:t xml:space="preserve">a way to increase opportunities for further community participation, </w:t>
      </w:r>
      <w:proofErr w:type="gramStart"/>
      <w:r w:rsidRPr="00E61DB6">
        <w:rPr>
          <w:sz w:val="24"/>
        </w:rPr>
        <w:t>employment</w:t>
      </w:r>
      <w:proofErr w:type="gramEnd"/>
      <w:r w:rsidRPr="00E61DB6">
        <w:rPr>
          <w:sz w:val="24"/>
        </w:rPr>
        <w:t xml:space="preserve"> or study.</w:t>
      </w:r>
    </w:p>
    <w:p w14:paraId="3484B7D8" w14:textId="7B6CF83D" w:rsidR="00C10729" w:rsidRPr="00E61DB6" w:rsidRDefault="00C10729" w:rsidP="00C10729">
      <w:pPr>
        <w:rPr>
          <w:sz w:val="24"/>
        </w:rPr>
      </w:pPr>
      <w:r w:rsidRPr="00E61DB6">
        <w:rPr>
          <w:sz w:val="24"/>
        </w:rPr>
        <w:t>The NDIA currently collects broad data on participant outcomes for the social and community participation domain through the Short Form Outcomes Framework and other measures</w:t>
      </w:r>
      <w:r w:rsidR="00E11923" w:rsidRPr="00E61DB6">
        <w:rPr>
          <w:sz w:val="24"/>
        </w:rPr>
        <w:t>,</w:t>
      </w:r>
      <w:r w:rsidR="007F1677" w:rsidRPr="00E61DB6">
        <w:rPr>
          <w:sz w:val="24"/>
        </w:rPr>
        <w:t xml:space="preserve"> including social inclusion and community access research</w:t>
      </w:r>
      <w:r w:rsidRPr="00E61DB6">
        <w:rPr>
          <w:sz w:val="24"/>
        </w:rPr>
        <w:t xml:space="preserve">. The NDIA is currently working on </w:t>
      </w:r>
      <w:r w:rsidR="00E11923" w:rsidRPr="00E61DB6">
        <w:rPr>
          <w:sz w:val="24"/>
        </w:rPr>
        <w:t>several</w:t>
      </w:r>
      <w:r w:rsidRPr="00E61DB6">
        <w:rPr>
          <w:sz w:val="24"/>
        </w:rPr>
        <w:t xml:space="preserve"> evaluation projects, and some of these might </w:t>
      </w:r>
      <w:r w:rsidRPr="00E61DB6">
        <w:rPr>
          <w:sz w:val="24"/>
        </w:rPr>
        <w:lastRenderedPageBreak/>
        <w:t>help identify other indicators that could demonstrate outcomes for NDIS funded group-based social and community participation supports.</w:t>
      </w:r>
    </w:p>
    <w:p w14:paraId="628DA2BF" w14:textId="3E75E2B0" w:rsidR="00C10729" w:rsidRPr="00E61DB6" w:rsidRDefault="00C10729" w:rsidP="00C10729">
      <w:pPr>
        <w:rPr>
          <w:sz w:val="24"/>
        </w:rPr>
      </w:pPr>
      <w:r w:rsidRPr="00E61DB6">
        <w:rPr>
          <w:sz w:val="24"/>
        </w:rPr>
        <w:t>Findings from these evaluations</w:t>
      </w:r>
      <w:r w:rsidR="00E11923" w:rsidRPr="00E61DB6">
        <w:rPr>
          <w:sz w:val="24"/>
        </w:rPr>
        <w:t>,</w:t>
      </w:r>
      <w:r w:rsidRPr="00E61DB6">
        <w:rPr>
          <w:sz w:val="24"/>
        </w:rPr>
        <w:t xml:space="preserve"> combined with extensive consultation across a range of stakeholder groups over 2023 and into 2024</w:t>
      </w:r>
      <w:r w:rsidR="00E11923" w:rsidRPr="00E61DB6">
        <w:rPr>
          <w:sz w:val="24"/>
        </w:rPr>
        <w:t>,</w:t>
      </w:r>
      <w:r w:rsidRPr="00E61DB6">
        <w:rPr>
          <w:sz w:val="24"/>
        </w:rPr>
        <w:t xml:space="preserve"> will help the NDIA identify whether a formal, standalone outcomes framework for group-based social and community participation support is required.</w:t>
      </w:r>
    </w:p>
    <w:p w14:paraId="6EA96BF3" w14:textId="755E99CE" w:rsidR="00C10729" w:rsidRPr="00E61DB6" w:rsidRDefault="00C10729" w:rsidP="00C10729">
      <w:pPr>
        <w:rPr>
          <w:sz w:val="24"/>
        </w:rPr>
      </w:pPr>
      <w:r w:rsidRPr="00E61DB6">
        <w:rPr>
          <w:sz w:val="24"/>
        </w:rPr>
        <w:t>On a more individual level, elements of the new pricing approach</w:t>
      </w:r>
      <w:r w:rsidR="00563A40" w:rsidRPr="00E61DB6">
        <w:rPr>
          <w:sz w:val="24"/>
        </w:rPr>
        <w:t>,</w:t>
      </w:r>
      <w:r w:rsidRPr="00E61DB6">
        <w:rPr>
          <w:sz w:val="24"/>
        </w:rPr>
        <w:t xml:space="preserve"> such as Program of Supports and even the separate Non-Face-to-Face claiming, </w:t>
      </w:r>
      <w:r w:rsidR="00563A40" w:rsidRPr="00E61DB6">
        <w:rPr>
          <w:sz w:val="24"/>
        </w:rPr>
        <w:t xml:space="preserve">are </w:t>
      </w:r>
      <w:r w:rsidRPr="00E61DB6">
        <w:rPr>
          <w:sz w:val="24"/>
        </w:rPr>
        <w:t xml:space="preserve">expected to encourage goals and outcomes to feature more broadly in the conversations that providers, participants, and the NDIA have around group-based supports. Acknowledging and sharing outcomes as part of the general conversation </w:t>
      </w:r>
      <w:r w:rsidR="00563A40" w:rsidRPr="00E61DB6">
        <w:rPr>
          <w:sz w:val="24"/>
        </w:rPr>
        <w:t>allows</w:t>
      </w:r>
      <w:r w:rsidRPr="00E61DB6">
        <w:rPr>
          <w:sz w:val="24"/>
        </w:rPr>
        <w:t xml:space="preserve"> participants to discover new interests and aspirations </w:t>
      </w:r>
      <w:r w:rsidR="004F531A" w:rsidRPr="00E61DB6">
        <w:rPr>
          <w:sz w:val="24"/>
        </w:rPr>
        <w:t>and spark</w:t>
      </w:r>
      <w:r w:rsidRPr="00E61DB6">
        <w:rPr>
          <w:sz w:val="24"/>
        </w:rPr>
        <w:t xml:space="preserve"> innovative thinking for providers.</w:t>
      </w:r>
    </w:p>
    <w:p w14:paraId="749F3F10" w14:textId="77777777" w:rsidR="00C10729" w:rsidRDefault="00C10729" w:rsidP="00C10729">
      <w:pPr>
        <w:pStyle w:val="Heading3"/>
        <w:numPr>
          <w:ilvl w:val="0"/>
          <w:numId w:val="0"/>
        </w:numPr>
      </w:pPr>
      <w:bookmarkStart w:id="33" w:name="_Toc143524948"/>
      <w:r w:rsidRPr="00777CD2">
        <w:t>What role do providers have in ensuring participants have sufficient funding in their plans?</w:t>
      </w:r>
      <w:bookmarkEnd w:id="33"/>
    </w:p>
    <w:p w14:paraId="1C433756" w14:textId="6EBD6220" w:rsidR="00C27672" w:rsidRPr="00E61DB6" w:rsidRDefault="00C27672" w:rsidP="00C27672">
      <w:pPr>
        <w:rPr>
          <w:sz w:val="24"/>
        </w:rPr>
      </w:pPr>
      <w:r w:rsidRPr="00E61DB6">
        <w:rPr>
          <w:sz w:val="24"/>
        </w:rPr>
        <w:t>The NDIA makes planning decisions based on legislative requirements, including a participant’s support needs and goals. Where support for social and community participation is reasonable and necessary, and a participant would like to be supported in a group setting, funding will be provided.  Providers can then work with participants to agree</w:t>
      </w:r>
      <w:r w:rsidR="00563A40" w:rsidRPr="00E61DB6">
        <w:rPr>
          <w:sz w:val="24"/>
        </w:rPr>
        <w:t xml:space="preserve"> on</w:t>
      </w:r>
      <w:r w:rsidRPr="00E61DB6">
        <w:rPr>
          <w:sz w:val="24"/>
        </w:rPr>
        <w:t xml:space="preserve"> a </w:t>
      </w:r>
      <w:r w:rsidR="00EF6BF1" w:rsidRPr="00E61DB6">
        <w:rPr>
          <w:sz w:val="24"/>
        </w:rPr>
        <w:t xml:space="preserve">Program </w:t>
      </w:r>
      <w:r w:rsidRPr="00E61DB6">
        <w:rPr>
          <w:sz w:val="24"/>
        </w:rPr>
        <w:t xml:space="preserve">of </w:t>
      </w:r>
      <w:r w:rsidR="00EF6BF1" w:rsidRPr="00E61DB6">
        <w:rPr>
          <w:sz w:val="24"/>
        </w:rPr>
        <w:t xml:space="preserve">Support </w:t>
      </w:r>
      <w:r w:rsidRPr="00E61DB6">
        <w:rPr>
          <w:sz w:val="24"/>
        </w:rPr>
        <w:t>or explore what supports can be purchased within their budget.</w:t>
      </w:r>
    </w:p>
    <w:p w14:paraId="59AE8EB8" w14:textId="7D167CF3" w:rsidR="00C27672" w:rsidRPr="00E61DB6" w:rsidRDefault="00C27672" w:rsidP="00C10729">
      <w:pPr>
        <w:rPr>
          <w:sz w:val="24"/>
        </w:rPr>
      </w:pPr>
      <w:r w:rsidRPr="00E61DB6">
        <w:rPr>
          <w:sz w:val="24"/>
        </w:rPr>
        <w:t>Providers can provide participants with information about their supports, how this assists them to meet their goals</w:t>
      </w:r>
      <w:r w:rsidR="00563A40" w:rsidRPr="00E61DB6">
        <w:rPr>
          <w:sz w:val="24"/>
        </w:rPr>
        <w:t>,</w:t>
      </w:r>
      <w:r w:rsidRPr="00E61DB6">
        <w:rPr>
          <w:sz w:val="24"/>
        </w:rPr>
        <w:t xml:space="preserve"> and any specific support needs, which a participant may take to their planning conversation.</w:t>
      </w:r>
    </w:p>
    <w:p w14:paraId="1F3F8345" w14:textId="3136BA04" w:rsidR="00750FD7" w:rsidRPr="00E61DB6" w:rsidRDefault="00C10729" w:rsidP="00F82F36">
      <w:pPr>
        <w:rPr>
          <w:b/>
          <w:color w:val="6B2976"/>
          <w:sz w:val="24"/>
        </w:rPr>
      </w:pPr>
      <w:r w:rsidRPr="00E61DB6">
        <w:rPr>
          <w:sz w:val="24"/>
        </w:rPr>
        <w:t>Clear communication</w:t>
      </w:r>
      <w:r w:rsidR="004B6D88" w:rsidRPr="00E61DB6">
        <w:rPr>
          <w:sz w:val="24"/>
        </w:rPr>
        <w:t>,</w:t>
      </w:r>
      <w:r w:rsidRPr="00E61DB6">
        <w:rPr>
          <w:sz w:val="24"/>
        </w:rPr>
        <w:t xml:space="preserve"> consistent billing practices</w:t>
      </w:r>
      <w:r w:rsidR="00563A40" w:rsidRPr="00E61DB6">
        <w:rPr>
          <w:sz w:val="24"/>
        </w:rPr>
        <w:t>,</w:t>
      </w:r>
      <w:r w:rsidRPr="00E61DB6">
        <w:rPr>
          <w:sz w:val="24"/>
        </w:rPr>
        <w:t xml:space="preserve"> </w:t>
      </w:r>
      <w:r w:rsidR="004B6D88" w:rsidRPr="00E61DB6">
        <w:rPr>
          <w:sz w:val="24"/>
        </w:rPr>
        <w:t xml:space="preserve">and using Program of Support </w:t>
      </w:r>
      <w:r w:rsidRPr="00E61DB6">
        <w:rPr>
          <w:sz w:val="24"/>
        </w:rPr>
        <w:t>are the best ways providers can help ensure that participants have sufficient funding in their plans.</w:t>
      </w:r>
    </w:p>
    <w:p w14:paraId="67A25AA0" w14:textId="04B49833" w:rsidR="00131F97" w:rsidRDefault="00131F97" w:rsidP="00131F97">
      <w:pPr>
        <w:pStyle w:val="Heading3"/>
        <w:numPr>
          <w:ilvl w:val="0"/>
          <w:numId w:val="0"/>
        </w:numPr>
      </w:pPr>
      <w:bookmarkStart w:id="34" w:name="_Toc143524949"/>
      <w:r>
        <w:t>How do participant goals impact g</w:t>
      </w:r>
      <w:r w:rsidRPr="00131F97">
        <w:t>roup-</w:t>
      </w:r>
      <w:r>
        <w:t>b</w:t>
      </w:r>
      <w:r w:rsidRPr="00131F97">
        <w:t xml:space="preserve">ased </w:t>
      </w:r>
      <w:r>
        <w:t>s</w:t>
      </w:r>
      <w:r w:rsidRPr="00131F97">
        <w:t xml:space="preserve">ocial and </w:t>
      </w:r>
      <w:r>
        <w:t>c</w:t>
      </w:r>
      <w:r w:rsidRPr="00131F97">
        <w:t xml:space="preserve">ommunity </w:t>
      </w:r>
      <w:r>
        <w:t>p</w:t>
      </w:r>
      <w:r w:rsidRPr="00131F97">
        <w:t xml:space="preserve">articipation </w:t>
      </w:r>
      <w:proofErr w:type="gramStart"/>
      <w:r>
        <w:t>s</w:t>
      </w:r>
      <w:r w:rsidRPr="00131F97">
        <w:t>upports</w:t>
      </w:r>
      <w:proofErr w:type="gramEnd"/>
      <w:r>
        <w:t>?</w:t>
      </w:r>
      <w:bookmarkEnd w:id="34"/>
    </w:p>
    <w:p w14:paraId="237B611D" w14:textId="726A4561" w:rsidR="002E0532" w:rsidRPr="00E61DB6" w:rsidRDefault="002E0532" w:rsidP="00131F97">
      <w:pPr>
        <w:rPr>
          <w:sz w:val="24"/>
        </w:rPr>
      </w:pPr>
      <w:bookmarkStart w:id="35" w:name="_Hlk134181374"/>
      <w:r w:rsidRPr="00E61DB6">
        <w:rPr>
          <w:sz w:val="24"/>
        </w:rPr>
        <w:t>Social and recreation</w:t>
      </w:r>
      <w:r w:rsidR="00563A40" w:rsidRPr="00E61DB6">
        <w:rPr>
          <w:sz w:val="24"/>
        </w:rPr>
        <w:t>al</w:t>
      </w:r>
      <w:r w:rsidRPr="00E61DB6">
        <w:rPr>
          <w:sz w:val="24"/>
        </w:rPr>
        <w:t xml:space="preserve"> supports are key to the National Disability Insurance Scheme (NDIS) achieving its objective </w:t>
      </w:r>
      <w:r w:rsidR="00563A40" w:rsidRPr="00E61DB6">
        <w:rPr>
          <w:sz w:val="24"/>
        </w:rPr>
        <w:t>of</w:t>
      </w:r>
      <w:r w:rsidRPr="00E61DB6">
        <w:rPr>
          <w:sz w:val="24"/>
        </w:rPr>
        <w:t xml:space="preserve"> support</w:t>
      </w:r>
      <w:r w:rsidR="00563A40" w:rsidRPr="00E61DB6">
        <w:rPr>
          <w:sz w:val="24"/>
        </w:rPr>
        <w:t>ing</w:t>
      </w:r>
      <w:r w:rsidRPr="00E61DB6">
        <w:rPr>
          <w:sz w:val="24"/>
        </w:rPr>
        <w:t xml:space="preserve"> people with a disability to achieve independence, social and economic participation.</w:t>
      </w:r>
    </w:p>
    <w:bookmarkEnd w:id="35"/>
    <w:p w14:paraId="243508B3" w14:textId="5A782C04" w:rsidR="00847A68" w:rsidRPr="00E61DB6" w:rsidRDefault="0050728D" w:rsidP="00131F97">
      <w:pPr>
        <w:rPr>
          <w:sz w:val="24"/>
        </w:rPr>
      </w:pPr>
      <w:r w:rsidRPr="00E61DB6">
        <w:rPr>
          <w:sz w:val="24"/>
        </w:rPr>
        <w:lastRenderedPageBreak/>
        <w:t>Participant goals are a key feature of the NDIS and are referenced throughout the NDIS Act (2013).</w:t>
      </w:r>
      <w:r w:rsidR="00AF4119" w:rsidRPr="00E61DB6">
        <w:rPr>
          <w:sz w:val="24"/>
        </w:rPr>
        <w:t xml:space="preserve"> </w:t>
      </w:r>
      <w:r w:rsidR="00667D13" w:rsidRPr="00E61DB6">
        <w:rPr>
          <w:sz w:val="24"/>
        </w:rPr>
        <w:t>G</w:t>
      </w:r>
      <w:r w:rsidR="00847A68" w:rsidRPr="00E61DB6">
        <w:rPr>
          <w:sz w:val="24"/>
        </w:rPr>
        <w:t>oals are important because they are developed by participants expressing their personal desires about what they want to do and achieve.</w:t>
      </w:r>
    </w:p>
    <w:p w14:paraId="422B16DF" w14:textId="0099289E" w:rsidR="00667D13" w:rsidRPr="00E61DB6" w:rsidRDefault="00847A68" w:rsidP="00131F97">
      <w:pPr>
        <w:rPr>
          <w:sz w:val="24"/>
        </w:rPr>
      </w:pPr>
      <w:r w:rsidRPr="00E61DB6">
        <w:rPr>
          <w:sz w:val="24"/>
        </w:rPr>
        <w:t>When we fund social and recreation supports</w:t>
      </w:r>
      <w:r w:rsidR="00563A40" w:rsidRPr="00E61DB6">
        <w:rPr>
          <w:sz w:val="24"/>
        </w:rPr>
        <w:t>,</w:t>
      </w:r>
      <w:r w:rsidRPr="00E61DB6">
        <w:rPr>
          <w:sz w:val="24"/>
        </w:rPr>
        <w:t xml:space="preserve"> we need to know that these supports will help a participant to pursue the goals in their plan. What we consider when funding support is further explained here  </w:t>
      </w:r>
      <w:hyperlink r:id="rId20" w:history="1">
        <w:r w:rsidRPr="00E61DB6">
          <w:rPr>
            <w:color w:val="0000FF"/>
            <w:sz w:val="24"/>
            <w:u w:val="single"/>
          </w:rPr>
          <w:t>Reasonable and necessary supports | NDIS</w:t>
        </w:r>
      </w:hyperlink>
      <w:r w:rsidRPr="00E61DB6">
        <w:rPr>
          <w:sz w:val="24"/>
        </w:rPr>
        <w:t xml:space="preserve"> and  </w:t>
      </w:r>
      <w:hyperlink r:id="rId21" w:history="1">
        <w:r w:rsidRPr="00E61DB6">
          <w:rPr>
            <w:rStyle w:val="Hyperlink"/>
            <w:sz w:val="24"/>
          </w:rPr>
          <w:t>Social and recreation support | NDIS</w:t>
        </w:r>
      </w:hyperlink>
      <w:r w:rsidR="00880212" w:rsidRPr="00E61DB6">
        <w:rPr>
          <w:sz w:val="24"/>
        </w:rPr>
        <w:t>.</w:t>
      </w:r>
    </w:p>
    <w:p w14:paraId="55CACC71" w14:textId="3FC412AE" w:rsidR="00667D13" w:rsidRPr="00E61DB6" w:rsidRDefault="00667D13" w:rsidP="00131F97">
      <w:pPr>
        <w:rPr>
          <w:sz w:val="24"/>
        </w:rPr>
      </w:pPr>
      <w:r w:rsidRPr="00E61DB6">
        <w:rPr>
          <w:sz w:val="24"/>
        </w:rPr>
        <w:t xml:space="preserve">Participant budgets are allocated at a support category level and must be used to achieve the goals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w:t>
      </w:r>
      <w:r w:rsidR="001815A8" w:rsidRPr="00E61DB6">
        <w:rPr>
          <w:sz w:val="24"/>
        </w:rPr>
        <w:t>required.</w:t>
      </w:r>
    </w:p>
    <w:p w14:paraId="73B3138E" w14:textId="312935EF" w:rsidR="00847A68" w:rsidRPr="00E61DB6" w:rsidRDefault="00667D13" w:rsidP="00235FCD">
      <w:pPr>
        <w:rPr>
          <w:sz w:val="24"/>
        </w:rPr>
      </w:pPr>
      <w:r w:rsidRPr="00E61DB6">
        <w:rPr>
          <w:sz w:val="24"/>
        </w:rPr>
        <w:t>NDIS providers should be aware that all supports and services for NDIS participants must contribute to the achievement of their individual goals as outlined in the participant’s plan</w:t>
      </w:r>
      <w:r w:rsidR="00F950B6" w:rsidRPr="00E61DB6">
        <w:rPr>
          <w:sz w:val="24"/>
        </w:rPr>
        <w:t>.</w:t>
      </w:r>
      <w:r w:rsidRPr="00E61DB6">
        <w:rPr>
          <w:sz w:val="24"/>
        </w:rPr>
        <w:t xml:space="preserve"> </w:t>
      </w:r>
      <w:r w:rsidR="00847A68" w:rsidRPr="00E61DB6">
        <w:rPr>
          <w:sz w:val="24"/>
        </w:rPr>
        <w:t xml:space="preserve">It is important providers work closely with participant’s and their families and carers to understand the participant’s goals for social and community participation and deliver supports that </w:t>
      </w:r>
      <w:r w:rsidRPr="00E61DB6">
        <w:rPr>
          <w:sz w:val="24"/>
        </w:rPr>
        <w:t>will assist a participant to achieve their goals.</w:t>
      </w:r>
    </w:p>
    <w:p w14:paraId="3D0F53DE" w14:textId="6F1F3382" w:rsidR="00FC563B" w:rsidRPr="00E61DB6" w:rsidRDefault="00FC563B" w:rsidP="00235FCD">
      <w:pPr>
        <w:rPr>
          <w:sz w:val="24"/>
        </w:rPr>
      </w:pPr>
      <w:r w:rsidRPr="00E61DB6">
        <w:rPr>
          <w:sz w:val="24"/>
        </w:rPr>
        <w:t xml:space="preserve">Every participant is different, but </w:t>
      </w:r>
      <w:r w:rsidR="002D411B" w:rsidRPr="00E61DB6">
        <w:rPr>
          <w:sz w:val="24"/>
        </w:rPr>
        <w:t>it is</w:t>
      </w:r>
      <w:r w:rsidRPr="00E61DB6">
        <w:rPr>
          <w:sz w:val="24"/>
        </w:rPr>
        <w:t xml:space="preserve"> important that you find ways to </w:t>
      </w:r>
      <w:r w:rsidR="00235FCD" w:rsidRPr="00E61DB6">
        <w:rPr>
          <w:sz w:val="24"/>
        </w:rPr>
        <w:t xml:space="preserve">understand the </w:t>
      </w:r>
      <w:r w:rsidRPr="00E61DB6">
        <w:rPr>
          <w:sz w:val="24"/>
        </w:rPr>
        <w:t>participant</w:t>
      </w:r>
      <w:r w:rsidR="007961DB" w:rsidRPr="00E61DB6">
        <w:rPr>
          <w:sz w:val="24"/>
        </w:rPr>
        <w:t>’s goals</w:t>
      </w:r>
      <w:r w:rsidR="00235FCD" w:rsidRPr="00E61DB6">
        <w:rPr>
          <w:sz w:val="24"/>
        </w:rPr>
        <w:t>, their interests</w:t>
      </w:r>
      <w:r w:rsidR="00F950B6" w:rsidRPr="00E61DB6">
        <w:rPr>
          <w:sz w:val="24"/>
        </w:rPr>
        <w:t xml:space="preserve">, </w:t>
      </w:r>
      <w:r w:rsidR="004F531A" w:rsidRPr="00E61DB6">
        <w:rPr>
          <w:sz w:val="24"/>
        </w:rPr>
        <w:t>and how</w:t>
      </w:r>
      <w:r w:rsidR="00235FCD" w:rsidRPr="00E61DB6">
        <w:rPr>
          <w:sz w:val="24"/>
        </w:rPr>
        <w:t xml:space="preserve"> the support you offer can help them achieve their goals.</w:t>
      </w:r>
      <w:r w:rsidR="000A4D3C" w:rsidRPr="00E61DB6">
        <w:rPr>
          <w:sz w:val="24"/>
        </w:rPr>
        <w:t xml:space="preserve"> Providers should </w:t>
      </w:r>
      <w:r w:rsidR="00F950B6" w:rsidRPr="00E61DB6">
        <w:rPr>
          <w:sz w:val="24"/>
        </w:rPr>
        <w:t>remember</w:t>
      </w:r>
      <w:r w:rsidR="000A4D3C" w:rsidRPr="00E61DB6">
        <w:rPr>
          <w:sz w:val="24"/>
        </w:rPr>
        <w:t xml:space="preserve"> that </w:t>
      </w:r>
      <w:r w:rsidR="002D411B" w:rsidRPr="00E61DB6">
        <w:rPr>
          <w:sz w:val="24"/>
        </w:rPr>
        <w:t>it is</w:t>
      </w:r>
      <w:r w:rsidR="000A4D3C" w:rsidRPr="00E61DB6">
        <w:rPr>
          <w:sz w:val="24"/>
        </w:rPr>
        <w:t xml:space="preserve"> up to a participant </w:t>
      </w:r>
      <w:proofErr w:type="gramStart"/>
      <w:r w:rsidR="000A4D3C" w:rsidRPr="00E61DB6">
        <w:rPr>
          <w:sz w:val="24"/>
        </w:rPr>
        <w:t>whether or not</w:t>
      </w:r>
      <w:proofErr w:type="gramEnd"/>
      <w:r w:rsidR="000A4D3C" w:rsidRPr="00E61DB6">
        <w:rPr>
          <w:sz w:val="24"/>
        </w:rPr>
        <w:t xml:space="preserve"> they share a copy of their plan.</w:t>
      </w:r>
    </w:p>
    <w:p w14:paraId="6D21E65C" w14:textId="278DA9AA" w:rsidR="000A4D3C" w:rsidRPr="00E61DB6" w:rsidRDefault="000A4D3C">
      <w:pPr>
        <w:rPr>
          <w:sz w:val="24"/>
        </w:rPr>
      </w:pPr>
      <w:r w:rsidRPr="00E61DB6">
        <w:rPr>
          <w:sz w:val="24"/>
        </w:rPr>
        <w:t>The changes to group</w:t>
      </w:r>
      <w:r w:rsidR="005856EF" w:rsidRPr="00E61DB6">
        <w:rPr>
          <w:sz w:val="24"/>
        </w:rPr>
        <w:t>-</w:t>
      </w:r>
      <w:r w:rsidRPr="00E61DB6">
        <w:rPr>
          <w:sz w:val="24"/>
        </w:rPr>
        <w:t xml:space="preserve">based pricing </w:t>
      </w:r>
      <w:r w:rsidR="00F950B6" w:rsidRPr="00E61DB6">
        <w:rPr>
          <w:sz w:val="24"/>
        </w:rPr>
        <w:t>are</w:t>
      </w:r>
      <w:r w:rsidRPr="00E61DB6">
        <w:rPr>
          <w:sz w:val="24"/>
        </w:rPr>
        <w:t xml:space="preserve"> intended to enable providers and participants to agree on the direct and </w:t>
      </w:r>
      <w:proofErr w:type="gramStart"/>
      <w:r w:rsidR="00EE3C7E" w:rsidRPr="00E61DB6">
        <w:rPr>
          <w:sz w:val="24"/>
        </w:rPr>
        <w:t>Non</w:t>
      </w:r>
      <w:r w:rsidRPr="00E61DB6">
        <w:rPr>
          <w:sz w:val="24"/>
        </w:rPr>
        <w:t>-</w:t>
      </w:r>
      <w:r w:rsidR="00EE3C7E" w:rsidRPr="00E61DB6">
        <w:rPr>
          <w:sz w:val="24"/>
        </w:rPr>
        <w:t>Face</w:t>
      </w:r>
      <w:proofErr w:type="gramEnd"/>
      <w:r w:rsidR="00EE3C7E" w:rsidRPr="00E61DB6">
        <w:rPr>
          <w:sz w:val="24"/>
        </w:rPr>
        <w:t xml:space="preserve"> </w:t>
      </w:r>
      <w:r w:rsidRPr="00E61DB6">
        <w:rPr>
          <w:sz w:val="24"/>
        </w:rPr>
        <w:t xml:space="preserve">to </w:t>
      </w:r>
      <w:r w:rsidR="00EE3C7E" w:rsidRPr="00E61DB6">
        <w:rPr>
          <w:sz w:val="24"/>
        </w:rPr>
        <w:t xml:space="preserve">Face </w:t>
      </w:r>
      <w:r w:rsidRPr="00E61DB6">
        <w:rPr>
          <w:sz w:val="24"/>
        </w:rPr>
        <w:t>supports provided and claim for these as they are provided based on the individual needs of each participant.</w:t>
      </w:r>
    </w:p>
    <w:p w14:paraId="070A0940" w14:textId="612490FD" w:rsidR="00750FD7" w:rsidRPr="00E61DB6" w:rsidRDefault="00FC563B" w:rsidP="00F82F36">
      <w:pPr>
        <w:rPr>
          <w:b/>
          <w:bCs/>
          <w:iCs/>
          <w:color w:val="6B2976"/>
          <w:sz w:val="24"/>
        </w:rPr>
      </w:pPr>
      <w:r w:rsidRPr="00E61DB6">
        <w:rPr>
          <w:sz w:val="24"/>
        </w:rPr>
        <w:t>Investing in understanding participants</w:t>
      </w:r>
      <w:r w:rsidR="000A4D3C" w:rsidRPr="00E61DB6">
        <w:rPr>
          <w:sz w:val="24"/>
        </w:rPr>
        <w:t xml:space="preserve"> and their goals</w:t>
      </w:r>
      <w:r w:rsidRPr="00E61DB6">
        <w:rPr>
          <w:sz w:val="24"/>
        </w:rPr>
        <w:t xml:space="preserve"> will help you deliver </w:t>
      </w:r>
      <w:r w:rsidR="000A4D3C" w:rsidRPr="00E61DB6">
        <w:rPr>
          <w:sz w:val="24"/>
        </w:rPr>
        <w:t xml:space="preserve">individualised and </w:t>
      </w:r>
      <w:r w:rsidR="00F950B6" w:rsidRPr="00E61DB6">
        <w:rPr>
          <w:sz w:val="24"/>
        </w:rPr>
        <w:t>outcomes-</w:t>
      </w:r>
      <w:r w:rsidR="000A4D3C" w:rsidRPr="00E61DB6">
        <w:rPr>
          <w:sz w:val="24"/>
        </w:rPr>
        <w:t>focused</w:t>
      </w:r>
      <w:r w:rsidR="00F950B6" w:rsidRPr="00E61DB6">
        <w:rPr>
          <w:sz w:val="24"/>
        </w:rPr>
        <w:t xml:space="preserve"> support</w:t>
      </w:r>
      <w:r w:rsidR="000A4D3C" w:rsidRPr="00E61DB6">
        <w:rPr>
          <w:sz w:val="24"/>
        </w:rPr>
        <w:t xml:space="preserve">. We encourage providers to </w:t>
      </w:r>
      <w:r w:rsidR="00216501" w:rsidRPr="00E61DB6">
        <w:rPr>
          <w:sz w:val="24"/>
        </w:rPr>
        <w:t>identify opportunities</w:t>
      </w:r>
      <w:r w:rsidR="000A4D3C" w:rsidRPr="00E61DB6">
        <w:rPr>
          <w:sz w:val="24"/>
        </w:rPr>
        <w:t xml:space="preserve"> for</w:t>
      </w:r>
      <w:r w:rsidR="005856EF" w:rsidRPr="00E61DB6">
        <w:rPr>
          <w:sz w:val="24"/>
        </w:rPr>
        <w:t xml:space="preserve"> </w:t>
      </w:r>
      <w:r w:rsidR="00216501" w:rsidRPr="00E61DB6">
        <w:rPr>
          <w:sz w:val="24"/>
        </w:rPr>
        <w:t>new and innovative ways to support participants</w:t>
      </w:r>
      <w:r w:rsidR="000A4D3C" w:rsidRPr="00E61DB6">
        <w:rPr>
          <w:sz w:val="24"/>
        </w:rPr>
        <w:t xml:space="preserve"> to achieve their goals and outcomes, which is facilitated through the changes to the pricing arrangements which better reflect the individual costs for each participant</w:t>
      </w:r>
      <w:r w:rsidR="00216501" w:rsidRPr="00E61DB6">
        <w:rPr>
          <w:sz w:val="24"/>
        </w:rPr>
        <w:t>.</w:t>
      </w:r>
    </w:p>
    <w:p w14:paraId="0A118818" w14:textId="629B9E05" w:rsidR="00C10729" w:rsidRPr="00777CD2" w:rsidRDefault="00C10729" w:rsidP="00C10729">
      <w:pPr>
        <w:pStyle w:val="Heading3"/>
        <w:numPr>
          <w:ilvl w:val="0"/>
          <w:numId w:val="0"/>
        </w:numPr>
        <w:ind w:left="720" w:hanging="720"/>
        <w:rPr>
          <w:bCs/>
        </w:rPr>
      </w:pPr>
      <w:bookmarkStart w:id="36" w:name="_Toc143524950"/>
      <w:r w:rsidRPr="00777CD2">
        <w:rPr>
          <w:bCs/>
          <w:iCs/>
        </w:rPr>
        <w:t xml:space="preserve">Will there be </w:t>
      </w:r>
      <w:r>
        <w:rPr>
          <w:bCs/>
          <w:iCs/>
        </w:rPr>
        <w:t>more</w:t>
      </w:r>
      <w:r w:rsidRPr="00777CD2">
        <w:rPr>
          <w:bCs/>
          <w:iCs/>
        </w:rPr>
        <w:t xml:space="preserve"> support</w:t>
      </w:r>
      <w:r>
        <w:rPr>
          <w:bCs/>
          <w:iCs/>
        </w:rPr>
        <w:t xml:space="preserve"> for transition</w:t>
      </w:r>
      <w:r w:rsidRPr="00777CD2">
        <w:rPr>
          <w:bCs/>
          <w:iCs/>
        </w:rPr>
        <w:t>?</w:t>
      </w:r>
      <w:bookmarkEnd w:id="36"/>
    </w:p>
    <w:p w14:paraId="7E2F4572" w14:textId="3BAB11B4" w:rsidR="00880212" w:rsidRPr="00E61DB6" w:rsidRDefault="00880212" w:rsidP="00C10729">
      <w:pPr>
        <w:rPr>
          <w:sz w:val="24"/>
        </w:rPr>
      </w:pPr>
      <w:r w:rsidRPr="00E61DB6">
        <w:rPr>
          <w:sz w:val="24"/>
        </w:rPr>
        <w:t xml:space="preserve">We </w:t>
      </w:r>
      <w:r w:rsidR="00E5181E" w:rsidRPr="00E61DB6">
        <w:rPr>
          <w:sz w:val="24"/>
        </w:rPr>
        <w:t>held</w:t>
      </w:r>
      <w:r w:rsidR="00431CC7" w:rsidRPr="00E61DB6">
        <w:rPr>
          <w:sz w:val="24"/>
        </w:rPr>
        <w:t xml:space="preserve"> virtual information sessions </w:t>
      </w:r>
      <w:r w:rsidR="00E5181E" w:rsidRPr="00E61DB6">
        <w:rPr>
          <w:sz w:val="24"/>
        </w:rPr>
        <w:t xml:space="preserve">for providers </w:t>
      </w:r>
      <w:r w:rsidR="00431CC7" w:rsidRPr="00E61DB6">
        <w:rPr>
          <w:sz w:val="24"/>
        </w:rPr>
        <w:t>during August and September 2023</w:t>
      </w:r>
      <w:r w:rsidR="00F6169D" w:rsidRPr="00E61DB6">
        <w:rPr>
          <w:sz w:val="24"/>
        </w:rPr>
        <w:t xml:space="preserve">. If you </w:t>
      </w:r>
      <w:r w:rsidR="00F950B6" w:rsidRPr="00E61DB6">
        <w:rPr>
          <w:sz w:val="24"/>
        </w:rPr>
        <w:t>could not</w:t>
      </w:r>
      <w:r w:rsidR="00E5181E" w:rsidRPr="00E61DB6">
        <w:rPr>
          <w:sz w:val="24"/>
        </w:rPr>
        <w:t xml:space="preserve"> attend</w:t>
      </w:r>
      <w:r w:rsidR="00F6169D" w:rsidRPr="00E61DB6">
        <w:rPr>
          <w:sz w:val="24"/>
        </w:rPr>
        <w:t>, keep an eye on the NDIS website, where a pre-recorded version will soon be available to watch at a time that suits you.</w:t>
      </w:r>
    </w:p>
    <w:p w14:paraId="4FDA82B1" w14:textId="2CD2F464" w:rsidR="00922730" w:rsidRPr="00E61DB6" w:rsidRDefault="00922730" w:rsidP="00C10729">
      <w:pPr>
        <w:rPr>
          <w:sz w:val="24"/>
        </w:rPr>
      </w:pPr>
      <w:r w:rsidRPr="00E61DB6">
        <w:rPr>
          <w:sz w:val="24"/>
        </w:rPr>
        <w:lastRenderedPageBreak/>
        <w:t>We will also be releasing participant</w:t>
      </w:r>
      <w:r w:rsidR="00F950B6" w:rsidRPr="00E61DB6">
        <w:rPr>
          <w:sz w:val="24"/>
        </w:rPr>
        <w:t>-</w:t>
      </w:r>
      <w:r w:rsidRPr="00E61DB6">
        <w:rPr>
          <w:sz w:val="24"/>
        </w:rPr>
        <w:t xml:space="preserve">focused resources </w:t>
      </w:r>
      <w:proofErr w:type="gramStart"/>
      <w:r w:rsidRPr="00E61DB6">
        <w:rPr>
          <w:sz w:val="24"/>
        </w:rPr>
        <w:t>in the near future</w:t>
      </w:r>
      <w:proofErr w:type="gramEnd"/>
      <w:r w:rsidRPr="00E61DB6">
        <w:rPr>
          <w:sz w:val="24"/>
        </w:rPr>
        <w:t>.</w:t>
      </w:r>
    </w:p>
    <w:p w14:paraId="423BC13B" w14:textId="481C1AB9" w:rsidR="008556E4" w:rsidRPr="00E61DB6" w:rsidRDefault="008556E4" w:rsidP="00C10729">
      <w:pPr>
        <w:rPr>
          <w:sz w:val="24"/>
        </w:rPr>
      </w:pPr>
      <w:r w:rsidRPr="00E61DB6">
        <w:rPr>
          <w:sz w:val="24"/>
        </w:rPr>
        <w:t>If you need more support, in the first instance</w:t>
      </w:r>
      <w:r w:rsidR="00F950B6" w:rsidRPr="00E61DB6">
        <w:rPr>
          <w:sz w:val="24"/>
        </w:rPr>
        <w:t>,</w:t>
      </w:r>
      <w:r w:rsidRPr="00E61DB6">
        <w:rPr>
          <w:sz w:val="24"/>
        </w:rPr>
        <w:t xml:space="preserve"> we encourage you to seek further information through your existing NDIA contact channels.</w:t>
      </w:r>
    </w:p>
    <w:p w14:paraId="46C8CF0F" w14:textId="7620F62E" w:rsidR="008D4B76" w:rsidRPr="00E61DB6" w:rsidRDefault="008556E4" w:rsidP="00C10729">
      <w:pPr>
        <w:rPr>
          <w:sz w:val="24"/>
        </w:rPr>
      </w:pPr>
      <w:r w:rsidRPr="00E61DB6">
        <w:rPr>
          <w:sz w:val="24"/>
        </w:rPr>
        <w:t xml:space="preserve">You can also email the transition team directly at </w:t>
      </w:r>
      <w:hyperlink r:id="rId22" w:history="1">
        <w:r w:rsidRPr="00E61DB6">
          <w:rPr>
            <w:rStyle w:val="Hyperlink"/>
            <w:sz w:val="24"/>
          </w:rPr>
          <w:t>group.supports.transition@ndis.gov.au</w:t>
        </w:r>
      </w:hyperlink>
      <w:r w:rsidRPr="00E61DB6">
        <w:rPr>
          <w:sz w:val="24"/>
        </w:rPr>
        <w:t>.</w:t>
      </w:r>
    </w:p>
    <w:sectPr w:rsidR="008D4B76" w:rsidRPr="00E61DB6" w:rsidSect="00B27820">
      <w:headerReference w:type="even" r:id="rId23"/>
      <w:footerReference w:type="even" r:id="rId24"/>
      <w:footerReference w:type="default" r:id="rId25"/>
      <w:headerReference w:type="first" r:id="rId26"/>
      <w:footerReference w:type="first" r:id="rId27"/>
      <w:pgSz w:w="11906" w:h="16838" w:code="9"/>
      <w:pgMar w:top="1440" w:right="1440" w:bottom="1440" w:left="1440" w:header="73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84FD" w14:textId="77777777" w:rsidR="00CC7D10" w:rsidRDefault="00CC7D10" w:rsidP="007219F1">
      <w:pPr>
        <w:spacing w:after="0" w:line="240" w:lineRule="auto"/>
      </w:pPr>
      <w:r>
        <w:separator/>
      </w:r>
    </w:p>
    <w:p w14:paraId="0722CA8F" w14:textId="77777777" w:rsidR="00CC7D10" w:rsidRDefault="00CC7D10"/>
    <w:p w14:paraId="5CC191F6" w14:textId="77777777" w:rsidR="00CC7D10" w:rsidRDefault="00CC7D10"/>
    <w:p w14:paraId="0909652F" w14:textId="77777777" w:rsidR="00CC7D10" w:rsidRDefault="00CC7D10"/>
    <w:p w14:paraId="487B753F" w14:textId="77777777" w:rsidR="00CC7D10" w:rsidRDefault="00CC7D10"/>
    <w:p w14:paraId="434DBC11" w14:textId="77777777" w:rsidR="00CC7D10" w:rsidRDefault="00CC7D10"/>
  </w:endnote>
  <w:endnote w:type="continuationSeparator" w:id="0">
    <w:p w14:paraId="379B60C4" w14:textId="77777777" w:rsidR="00CC7D10" w:rsidRDefault="00CC7D10" w:rsidP="007219F1">
      <w:pPr>
        <w:spacing w:after="0" w:line="240" w:lineRule="auto"/>
      </w:pPr>
      <w:r>
        <w:continuationSeparator/>
      </w:r>
    </w:p>
    <w:p w14:paraId="5EDC0BDA" w14:textId="77777777" w:rsidR="00CC7D10" w:rsidRDefault="00CC7D10"/>
    <w:p w14:paraId="3ABFA36E" w14:textId="77777777" w:rsidR="00CC7D10" w:rsidRDefault="00CC7D10"/>
    <w:p w14:paraId="64ED88C0" w14:textId="77777777" w:rsidR="00CC7D10" w:rsidRDefault="00CC7D10"/>
    <w:p w14:paraId="07A42D22" w14:textId="77777777" w:rsidR="00CC7D10" w:rsidRDefault="00CC7D10"/>
    <w:p w14:paraId="40641CBC" w14:textId="77777777" w:rsidR="00CC7D10" w:rsidRDefault="00CC7D10"/>
  </w:endnote>
  <w:endnote w:type="continuationNotice" w:id="1">
    <w:p w14:paraId="6C1D4F22" w14:textId="77777777" w:rsidR="00CC7D10" w:rsidRDefault="00CC7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FS Me Light">
    <w:altName w:val="Times New Roman"/>
    <w:panose1 w:val="00000000000000000000"/>
    <w:charset w:val="4D"/>
    <w:family w:val="auto"/>
    <w:notTrueType/>
    <w:pitch w:val="variable"/>
    <w:sig w:usb0="00000001" w:usb1="4000204A" w:usb2="00000000" w:usb3="00000000" w:csb0="0000009B"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4744" w14:textId="77777777" w:rsidR="008D4B76" w:rsidRDefault="008D4B76">
    <w:pPr>
      <w:pStyle w:val="Footer"/>
    </w:pPr>
  </w:p>
  <w:p w14:paraId="1B60DE63" w14:textId="77777777" w:rsidR="00AA6762" w:rsidRDefault="00AA6762"/>
  <w:p w14:paraId="6E4037E8" w14:textId="77777777" w:rsidR="00AA6762" w:rsidRDefault="00AA67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F752" w14:textId="77777777" w:rsidR="00180D51" w:rsidRDefault="00323BB7" w:rsidP="00950F57">
    <w:pPr>
      <w:pStyle w:val="Footer"/>
      <w:spacing w:after="480"/>
      <w:rPr>
        <w:sz w:val="22"/>
        <w:szCs w:val="22"/>
      </w:rPr>
    </w:pPr>
    <w:r w:rsidRPr="00FA334F">
      <w:rPr>
        <w:b/>
        <w:bCs/>
        <w:sz w:val="22"/>
        <w:szCs w:val="22"/>
      </w:rPr>
      <w:t>ndis.gov.au</w:t>
    </w:r>
    <w:r w:rsidR="0023603F">
      <w:rPr>
        <w:sz w:val="22"/>
        <w:szCs w:val="22"/>
      </w:rPr>
      <w:tab/>
    </w:r>
    <w:r w:rsidR="00813590">
      <w:rPr>
        <w:sz w:val="22"/>
        <w:szCs w:val="22"/>
      </w:rPr>
      <w:t>Group-Based Supports – Pricing Transition</w:t>
    </w:r>
    <w:r w:rsidR="0023603F">
      <w:rPr>
        <w:sz w:val="22"/>
        <w:szCs w:val="22"/>
      </w:rPr>
      <w:tab/>
    </w:r>
    <w:r w:rsidR="004D32B5" w:rsidRPr="00FA334F">
      <w:rPr>
        <w:sz w:val="22"/>
        <w:szCs w:val="22"/>
      </w:rPr>
      <w:fldChar w:fldCharType="begin"/>
    </w:r>
    <w:r w:rsidR="004D32B5" w:rsidRPr="00FA334F">
      <w:rPr>
        <w:sz w:val="22"/>
        <w:szCs w:val="22"/>
      </w:rPr>
      <w:instrText xml:space="preserve"> PAGE   \* MERGEFORMAT </w:instrText>
    </w:r>
    <w:r w:rsidR="004D32B5" w:rsidRPr="00FA334F">
      <w:rPr>
        <w:sz w:val="22"/>
        <w:szCs w:val="22"/>
      </w:rPr>
      <w:fldChar w:fldCharType="separate"/>
    </w:r>
    <w:r w:rsidR="00C2544D">
      <w:rPr>
        <w:noProof/>
        <w:sz w:val="22"/>
        <w:szCs w:val="22"/>
      </w:rPr>
      <w:t>2</w:t>
    </w:r>
    <w:r w:rsidR="004D32B5" w:rsidRPr="00FA334F">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7200" w14:textId="77777777" w:rsidR="00C27827" w:rsidRDefault="00C27827" w:rsidP="00C27827">
    <w:pPr>
      <w:rPr>
        <w:b/>
        <w:color w:val="FF0000"/>
        <w:sz w:val="24"/>
      </w:rPr>
    </w:pPr>
  </w:p>
  <w:p w14:paraId="0CF15CDE" w14:textId="23357D49" w:rsidR="00C27827" w:rsidRPr="006A0441" w:rsidRDefault="00C27827" w:rsidP="00A8115A">
    <w:pPr>
      <w:jc w:val="center"/>
      <w:rPr>
        <w:b/>
        <w:color w:val="C00000"/>
        <w:sz w:val="24"/>
      </w:rPr>
    </w:pPr>
    <w:r w:rsidRPr="006A0441">
      <w:rPr>
        <w:b/>
        <w:color w:val="C00000"/>
        <w:sz w:val="24"/>
      </w:rPr>
      <w:t>OFFICIAL</w:t>
    </w:r>
  </w:p>
  <w:p w14:paraId="22847596" w14:textId="77777777" w:rsidR="007219F1" w:rsidRPr="007219F1" w:rsidRDefault="007219F1" w:rsidP="00FB5514">
    <w:pPr>
      <w:spacing w:after="600"/>
      <w:rPr>
        <w:rFonts w:ascii="FS Me Light" w:hAnsi="FS Me Light"/>
        <w:color w:val="5E2D73"/>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6A08" w14:textId="77777777" w:rsidR="00CC7D10" w:rsidRDefault="00CC7D10" w:rsidP="007219F1">
      <w:pPr>
        <w:spacing w:after="0" w:line="240" w:lineRule="auto"/>
      </w:pPr>
      <w:r>
        <w:separator/>
      </w:r>
    </w:p>
    <w:p w14:paraId="7756781D" w14:textId="77777777" w:rsidR="00CC7D10" w:rsidRDefault="00CC7D10"/>
    <w:p w14:paraId="4B4AEE1D" w14:textId="77777777" w:rsidR="00CC7D10" w:rsidRDefault="00CC7D10"/>
    <w:p w14:paraId="149DB8DD" w14:textId="77777777" w:rsidR="00CC7D10" w:rsidRDefault="00CC7D10"/>
    <w:p w14:paraId="01C9A019" w14:textId="77777777" w:rsidR="00CC7D10" w:rsidRDefault="00CC7D10"/>
    <w:p w14:paraId="2F0FA032" w14:textId="77777777" w:rsidR="00CC7D10" w:rsidRDefault="00CC7D10"/>
  </w:footnote>
  <w:footnote w:type="continuationSeparator" w:id="0">
    <w:p w14:paraId="52029141" w14:textId="77777777" w:rsidR="00CC7D10" w:rsidRDefault="00CC7D10" w:rsidP="007219F1">
      <w:pPr>
        <w:spacing w:after="0" w:line="240" w:lineRule="auto"/>
      </w:pPr>
      <w:r>
        <w:continuationSeparator/>
      </w:r>
    </w:p>
    <w:p w14:paraId="478B4D98" w14:textId="77777777" w:rsidR="00CC7D10" w:rsidRDefault="00CC7D10"/>
    <w:p w14:paraId="462C9809" w14:textId="77777777" w:rsidR="00CC7D10" w:rsidRDefault="00CC7D10"/>
    <w:p w14:paraId="37D1669D" w14:textId="77777777" w:rsidR="00CC7D10" w:rsidRDefault="00CC7D10"/>
    <w:p w14:paraId="775A6A9A" w14:textId="77777777" w:rsidR="00CC7D10" w:rsidRDefault="00CC7D10"/>
    <w:p w14:paraId="62B8806B" w14:textId="77777777" w:rsidR="00CC7D10" w:rsidRDefault="00CC7D10"/>
  </w:footnote>
  <w:footnote w:type="continuationNotice" w:id="1">
    <w:p w14:paraId="78356A49" w14:textId="77777777" w:rsidR="00CC7D10" w:rsidRDefault="00CC7D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CE54" w14:textId="77777777" w:rsidR="008D4B76" w:rsidRDefault="008D4B76">
    <w:pPr>
      <w:pStyle w:val="Header"/>
    </w:pPr>
  </w:p>
  <w:p w14:paraId="5D3C6779" w14:textId="77777777" w:rsidR="00AA6762" w:rsidRDefault="00AA6762"/>
  <w:p w14:paraId="715A69A4" w14:textId="77777777" w:rsidR="00AA6762" w:rsidRDefault="00AA67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02FA" w14:textId="5FBEB574" w:rsidR="00180D51" w:rsidRPr="006A0441" w:rsidRDefault="007B0A67" w:rsidP="00C27827">
    <w:pPr>
      <w:jc w:val="center"/>
      <w:rPr>
        <w:b/>
        <w:color w:val="C00000"/>
        <w:sz w:val="24"/>
      </w:rPr>
    </w:pPr>
    <w:r w:rsidRPr="006A0441">
      <w:rPr>
        <w:noProof/>
        <w:color w:val="C00000"/>
        <w:lang w:val="en-AU" w:eastAsia="en-AU"/>
      </w:rPr>
      <w:drawing>
        <wp:anchor distT="0" distB="0" distL="114300" distR="114300" simplePos="0" relativeHeight="251658242" behindDoc="1" locked="0" layoutInCell="1" allowOverlap="1" wp14:anchorId="1E470BD5" wp14:editId="51CFD14E">
          <wp:simplePos x="0" y="0"/>
          <wp:positionH relativeFrom="column">
            <wp:posOffset>-1038225</wp:posOffset>
          </wp:positionH>
          <wp:positionV relativeFrom="paragraph">
            <wp:posOffset>3475355</wp:posOffset>
          </wp:positionV>
          <wp:extent cx="7752080" cy="6782435"/>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7462"/>
                  <a:stretch/>
                </pic:blipFill>
                <pic:spPr bwMode="auto">
                  <a:xfrm>
                    <a:off x="0" y="0"/>
                    <a:ext cx="7756633" cy="67864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5769" w:rsidRPr="006A0441">
      <w:rPr>
        <w:noProof/>
        <w:color w:val="C00000"/>
        <w:lang w:val="en-AU" w:eastAsia="en-AU"/>
      </w:rPr>
      <w:drawing>
        <wp:anchor distT="0" distB="0" distL="114300" distR="114300" simplePos="0" relativeHeight="251658241" behindDoc="1" locked="0" layoutInCell="1" allowOverlap="1" wp14:anchorId="77D12F77" wp14:editId="52BD7FD2">
          <wp:simplePos x="0" y="0"/>
          <wp:positionH relativeFrom="margin">
            <wp:posOffset>-2535555</wp:posOffset>
          </wp:positionH>
          <wp:positionV relativeFrom="paragraph">
            <wp:posOffset>-586650</wp:posOffset>
          </wp:positionV>
          <wp:extent cx="9247505" cy="6494172"/>
          <wp:effectExtent l="0" t="0" r="0" b="190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20572" b="15773"/>
                  <a:stretch/>
                </pic:blipFill>
                <pic:spPr bwMode="auto">
                  <a:xfrm>
                    <a:off x="0" y="0"/>
                    <a:ext cx="9247505" cy="64941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7599" w:rsidRPr="006A0441">
      <w:rPr>
        <w:noProof/>
        <w:color w:val="C00000"/>
        <w:lang w:val="en-AU" w:eastAsia="en-AU"/>
      </w:rPr>
      <mc:AlternateContent>
        <mc:Choice Requires="wps">
          <w:drawing>
            <wp:anchor distT="0" distB="0" distL="114300" distR="114300" simplePos="0" relativeHeight="251658240" behindDoc="1" locked="0" layoutInCell="1" allowOverlap="1" wp14:anchorId="0AF6A71E" wp14:editId="7AD082A6">
              <wp:simplePos x="0" y="0"/>
              <wp:positionH relativeFrom="column">
                <wp:posOffset>-939165</wp:posOffset>
              </wp:positionH>
              <wp:positionV relativeFrom="paragraph">
                <wp:posOffset>3875405</wp:posOffset>
              </wp:positionV>
              <wp:extent cx="7647305" cy="6498590"/>
              <wp:effectExtent l="0" t="0" r="0" b="0"/>
              <wp:wrapNone/>
              <wp:docPr id="36" name="Text Box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47305" cy="6498590"/>
                      </a:xfrm>
                      <a:prstGeom prst="rect">
                        <a:avLst/>
                      </a:prstGeom>
                      <a:noFill/>
                      <a:ln w="6350">
                        <a:noFill/>
                      </a:ln>
                    </wps:spPr>
                    <wps:txbx>
                      <w:txbxContent>
                        <w:p w14:paraId="0483CEF7" w14:textId="69281655" w:rsidR="003622D9" w:rsidRDefault="003622D9" w:rsidP="003622D9"/>
                        <w:p w14:paraId="6F8A31C8" w14:textId="77777777" w:rsidR="00A8115A" w:rsidRDefault="00A811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6A71E" id="_x0000_t202" coordsize="21600,21600" o:spt="202" path="m,l,21600r21600,l21600,xe">
              <v:stroke joinstyle="miter"/>
              <v:path gradientshapeok="t" o:connecttype="rect"/>
            </v:shapetype>
            <v:shape id="Text Box 36" o:spid="_x0000_s1027" type="#_x0000_t202" alt="&quot;&quot;" style="position:absolute;left:0;text-align:left;margin-left:-73.95pt;margin-top:305.15pt;width:602.15pt;height:5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" filled="f" stroked="f" strokeweight=".5pt">
              <v:textbox inset="0,0,0,0">
                <w:txbxContent>
                  <w:p w14:paraId="0483CEF7" w14:textId="69281655" w:rsidR="003622D9" w:rsidRDefault="003622D9" w:rsidP="003622D9"/>
                  <w:p w14:paraId="6F8A31C8" w14:textId="77777777" w:rsidR="00A8115A" w:rsidRDefault="00A8115A"/>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NDIS logo" style="width:76.6pt;height:39.95pt;visibility:visible" o:bullet="t">
        <v:imagedata r:id="rId1" o:title="NDIS logo"/>
      </v:shape>
    </w:pict>
  </w:numPicBullet>
  <w:abstractNum w:abstractNumId="0" w15:restartNumberingAfterBreak="0">
    <w:nsid w:val="03B72207"/>
    <w:multiLevelType w:val="multilevel"/>
    <w:tmpl w:val="4434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524BC"/>
    <w:multiLevelType w:val="hybridMultilevel"/>
    <w:tmpl w:val="68BEC1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A74D3B"/>
    <w:multiLevelType w:val="hybridMultilevel"/>
    <w:tmpl w:val="B2145E44"/>
    <w:lvl w:ilvl="0" w:tplc="C3A4F9D8">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3EEE036C"/>
    <w:multiLevelType w:val="hybridMultilevel"/>
    <w:tmpl w:val="ECD8B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631D03"/>
    <w:multiLevelType w:val="hybridMultilevel"/>
    <w:tmpl w:val="6A920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6E1F6188"/>
    <w:multiLevelType w:val="hybridMultilevel"/>
    <w:tmpl w:val="DF6CEF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72074226"/>
    <w:multiLevelType w:val="multilevel"/>
    <w:tmpl w:val="CDFA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0726770">
    <w:abstractNumId w:val="6"/>
  </w:num>
  <w:num w:numId="2" w16cid:durableId="353843894">
    <w:abstractNumId w:val="11"/>
  </w:num>
  <w:num w:numId="3" w16cid:durableId="62795207">
    <w:abstractNumId w:val="4"/>
  </w:num>
  <w:num w:numId="4" w16cid:durableId="1615020711">
    <w:abstractNumId w:val="7"/>
  </w:num>
  <w:num w:numId="5" w16cid:durableId="972641360">
    <w:abstractNumId w:val="5"/>
  </w:num>
  <w:num w:numId="6" w16cid:durableId="838349535">
    <w:abstractNumId w:val="10"/>
  </w:num>
  <w:num w:numId="7" w16cid:durableId="1707482481">
    <w:abstractNumId w:val="3"/>
  </w:num>
  <w:num w:numId="8" w16cid:durableId="1377660599">
    <w:abstractNumId w:val="2"/>
  </w:num>
  <w:num w:numId="9" w16cid:durableId="28800885">
    <w:abstractNumId w:val="0"/>
  </w:num>
  <w:num w:numId="10" w16cid:durableId="315494067">
    <w:abstractNumId w:val="9"/>
  </w:num>
  <w:num w:numId="11" w16cid:durableId="335378132">
    <w:abstractNumId w:val="7"/>
  </w:num>
  <w:num w:numId="12" w16cid:durableId="500850424">
    <w:abstractNumId w:val="1"/>
  </w:num>
  <w:num w:numId="13" w16cid:durableId="1868982930">
    <w:abstractNumId w:val="8"/>
  </w:num>
  <w:num w:numId="14" w16cid:durableId="476384137">
    <w:abstractNumId w:val="13"/>
  </w:num>
  <w:num w:numId="15" w16cid:durableId="1610812491">
    <w:abstractNumId w:val="7"/>
  </w:num>
  <w:num w:numId="16" w16cid:durableId="637226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02"/>
    <w:rsid w:val="00000BB4"/>
    <w:rsid w:val="00011114"/>
    <w:rsid w:val="000159F7"/>
    <w:rsid w:val="00015F7A"/>
    <w:rsid w:val="00020A35"/>
    <w:rsid w:val="00022B7E"/>
    <w:rsid w:val="00025410"/>
    <w:rsid w:val="00025F9C"/>
    <w:rsid w:val="00030A88"/>
    <w:rsid w:val="00034A47"/>
    <w:rsid w:val="000401E7"/>
    <w:rsid w:val="0004050D"/>
    <w:rsid w:val="00043CD4"/>
    <w:rsid w:val="00044CF5"/>
    <w:rsid w:val="0004540E"/>
    <w:rsid w:val="000503AC"/>
    <w:rsid w:val="00055CE1"/>
    <w:rsid w:val="00056D64"/>
    <w:rsid w:val="00057665"/>
    <w:rsid w:val="000609AF"/>
    <w:rsid w:val="000633E0"/>
    <w:rsid w:val="000738C0"/>
    <w:rsid w:val="00075561"/>
    <w:rsid w:val="0008436B"/>
    <w:rsid w:val="000857BB"/>
    <w:rsid w:val="0009414C"/>
    <w:rsid w:val="00094B15"/>
    <w:rsid w:val="000955AD"/>
    <w:rsid w:val="000A4D3C"/>
    <w:rsid w:val="000A5483"/>
    <w:rsid w:val="000A5593"/>
    <w:rsid w:val="000A7D11"/>
    <w:rsid w:val="000B288B"/>
    <w:rsid w:val="000B2C4F"/>
    <w:rsid w:val="000C00C4"/>
    <w:rsid w:val="000D3136"/>
    <w:rsid w:val="000D5560"/>
    <w:rsid w:val="000D5C72"/>
    <w:rsid w:val="000D7F13"/>
    <w:rsid w:val="000E1444"/>
    <w:rsid w:val="000E28FD"/>
    <w:rsid w:val="000E572E"/>
    <w:rsid w:val="000E7D56"/>
    <w:rsid w:val="000F16B1"/>
    <w:rsid w:val="000F2A3E"/>
    <w:rsid w:val="00104241"/>
    <w:rsid w:val="00112126"/>
    <w:rsid w:val="00112FFE"/>
    <w:rsid w:val="00115302"/>
    <w:rsid w:val="001153D9"/>
    <w:rsid w:val="0011773C"/>
    <w:rsid w:val="00117CA2"/>
    <w:rsid w:val="0012225C"/>
    <w:rsid w:val="001223C7"/>
    <w:rsid w:val="0012601A"/>
    <w:rsid w:val="0012626D"/>
    <w:rsid w:val="001271E0"/>
    <w:rsid w:val="00131F97"/>
    <w:rsid w:val="00133B9A"/>
    <w:rsid w:val="00135E53"/>
    <w:rsid w:val="001376EF"/>
    <w:rsid w:val="0013774F"/>
    <w:rsid w:val="00141B43"/>
    <w:rsid w:val="0014207A"/>
    <w:rsid w:val="00146087"/>
    <w:rsid w:val="00152FC5"/>
    <w:rsid w:val="00153036"/>
    <w:rsid w:val="001545FA"/>
    <w:rsid w:val="00155347"/>
    <w:rsid w:val="00165FC5"/>
    <w:rsid w:val="001665A1"/>
    <w:rsid w:val="00173CCB"/>
    <w:rsid w:val="001809B3"/>
    <w:rsid w:val="00180D51"/>
    <w:rsid w:val="001811E4"/>
    <w:rsid w:val="001815A8"/>
    <w:rsid w:val="0018461D"/>
    <w:rsid w:val="00186181"/>
    <w:rsid w:val="001876A5"/>
    <w:rsid w:val="00187EA6"/>
    <w:rsid w:val="00190A83"/>
    <w:rsid w:val="00191491"/>
    <w:rsid w:val="001A15AB"/>
    <w:rsid w:val="001A3365"/>
    <w:rsid w:val="001A60B4"/>
    <w:rsid w:val="001B1FB4"/>
    <w:rsid w:val="001B4803"/>
    <w:rsid w:val="001B5BC5"/>
    <w:rsid w:val="001B69ED"/>
    <w:rsid w:val="001B6DFF"/>
    <w:rsid w:val="001B758E"/>
    <w:rsid w:val="001D19F9"/>
    <w:rsid w:val="001D4E7B"/>
    <w:rsid w:val="001D6579"/>
    <w:rsid w:val="001D6703"/>
    <w:rsid w:val="001E3758"/>
    <w:rsid w:val="001E630D"/>
    <w:rsid w:val="001F18CA"/>
    <w:rsid w:val="001F2E9C"/>
    <w:rsid w:val="002054A0"/>
    <w:rsid w:val="00215226"/>
    <w:rsid w:val="00216501"/>
    <w:rsid w:val="00225619"/>
    <w:rsid w:val="0023170E"/>
    <w:rsid w:val="002321EA"/>
    <w:rsid w:val="0023537B"/>
    <w:rsid w:val="00235A0E"/>
    <w:rsid w:val="00235FCD"/>
    <w:rsid w:val="0023603F"/>
    <w:rsid w:val="00241088"/>
    <w:rsid w:val="00250581"/>
    <w:rsid w:val="0025230C"/>
    <w:rsid w:val="00252FC3"/>
    <w:rsid w:val="00256630"/>
    <w:rsid w:val="00263D55"/>
    <w:rsid w:val="00270104"/>
    <w:rsid w:val="00272A9B"/>
    <w:rsid w:val="002733EE"/>
    <w:rsid w:val="00277C94"/>
    <w:rsid w:val="0028024A"/>
    <w:rsid w:val="002821E1"/>
    <w:rsid w:val="00283311"/>
    <w:rsid w:val="00287854"/>
    <w:rsid w:val="00290A78"/>
    <w:rsid w:val="00291BDD"/>
    <w:rsid w:val="002A1BA5"/>
    <w:rsid w:val="002B4001"/>
    <w:rsid w:val="002B5513"/>
    <w:rsid w:val="002B6304"/>
    <w:rsid w:val="002C063C"/>
    <w:rsid w:val="002C70C0"/>
    <w:rsid w:val="002C7D4F"/>
    <w:rsid w:val="002D150E"/>
    <w:rsid w:val="002D1A28"/>
    <w:rsid w:val="002D1CD5"/>
    <w:rsid w:val="002D411B"/>
    <w:rsid w:val="002D782E"/>
    <w:rsid w:val="002E0532"/>
    <w:rsid w:val="002E1F26"/>
    <w:rsid w:val="002F6266"/>
    <w:rsid w:val="00302E2F"/>
    <w:rsid w:val="00314455"/>
    <w:rsid w:val="00315A22"/>
    <w:rsid w:val="00323BB7"/>
    <w:rsid w:val="00325148"/>
    <w:rsid w:val="003334A7"/>
    <w:rsid w:val="003347E7"/>
    <w:rsid w:val="003417D1"/>
    <w:rsid w:val="00341B7B"/>
    <w:rsid w:val="0035675B"/>
    <w:rsid w:val="00357627"/>
    <w:rsid w:val="003622D9"/>
    <w:rsid w:val="00367DB8"/>
    <w:rsid w:val="00370BAF"/>
    <w:rsid w:val="00370D15"/>
    <w:rsid w:val="00373A05"/>
    <w:rsid w:val="003746CF"/>
    <w:rsid w:val="003751E2"/>
    <w:rsid w:val="00382651"/>
    <w:rsid w:val="003864D5"/>
    <w:rsid w:val="003907E5"/>
    <w:rsid w:val="003915EA"/>
    <w:rsid w:val="003917EB"/>
    <w:rsid w:val="00395E18"/>
    <w:rsid w:val="003A60EF"/>
    <w:rsid w:val="003A763A"/>
    <w:rsid w:val="003B2BB8"/>
    <w:rsid w:val="003B3F1F"/>
    <w:rsid w:val="003B4885"/>
    <w:rsid w:val="003B48B0"/>
    <w:rsid w:val="003C121B"/>
    <w:rsid w:val="003C278B"/>
    <w:rsid w:val="003C366E"/>
    <w:rsid w:val="003D0116"/>
    <w:rsid w:val="003D34FF"/>
    <w:rsid w:val="003D4DF3"/>
    <w:rsid w:val="003D53AD"/>
    <w:rsid w:val="003D6B45"/>
    <w:rsid w:val="003D73F6"/>
    <w:rsid w:val="003E0F0E"/>
    <w:rsid w:val="003E2145"/>
    <w:rsid w:val="003E3C2B"/>
    <w:rsid w:val="003E4089"/>
    <w:rsid w:val="003E56C7"/>
    <w:rsid w:val="003F57AC"/>
    <w:rsid w:val="003F6ED7"/>
    <w:rsid w:val="0040062A"/>
    <w:rsid w:val="004149A4"/>
    <w:rsid w:val="00431CC7"/>
    <w:rsid w:val="0043374C"/>
    <w:rsid w:val="00441485"/>
    <w:rsid w:val="0044247C"/>
    <w:rsid w:val="0044395B"/>
    <w:rsid w:val="0044424D"/>
    <w:rsid w:val="00451FB4"/>
    <w:rsid w:val="00455BC9"/>
    <w:rsid w:val="00456777"/>
    <w:rsid w:val="00457B47"/>
    <w:rsid w:val="00463B13"/>
    <w:rsid w:val="0046532F"/>
    <w:rsid w:val="0048002C"/>
    <w:rsid w:val="00482338"/>
    <w:rsid w:val="004861C3"/>
    <w:rsid w:val="004876FD"/>
    <w:rsid w:val="004924CF"/>
    <w:rsid w:val="00495C21"/>
    <w:rsid w:val="00496B51"/>
    <w:rsid w:val="004B01CB"/>
    <w:rsid w:val="004B54CA"/>
    <w:rsid w:val="004B6D88"/>
    <w:rsid w:val="004B7789"/>
    <w:rsid w:val="004C2D9C"/>
    <w:rsid w:val="004C2FCC"/>
    <w:rsid w:val="004D32B5"/>
    <w:rsid w:val="004D60E0"/>
    <w:rsid w:val="004E273E"/>
    <w:rsid w:val="004E461E"/>
    <w:rsid w:val="004E5CBF"/>
    <w:rsid w:val="004E738B"/>
    <w:rsid w:val="004F531A"/>
    <w:rsid w:val="00505254"/>
    <w:rsid w:val="0050631A"/>
    <w:rsid w:val="0050728D"/>
    <w:rsid w:val="00513294"/>
    <w:rsid w:val="005140EE"/>
    <w:rsid w:val="00515AB6"/>
    <w:rsid w:val="00517347"/>
    <w:rsid w:val="00521F04"/>
    <w:rsid w:val="00522249"/>
    <w:rsid w:val="00531E4B"/>
    <w:rsid w:val="0053652E"/>
    <w:rsid w:val="005410ED"/>
    <w:rsid w:val="005437D9"/>
    <w:rsid w:val="0055156F"/>
    <w:rsid w:val="00551C3C"/>
    <w:rsid w:val="005521C4"/>
    <w:rsid w:val="005531CE"/>
    <w:rsid w:val="005547CD"/>
    <w:rsid w:val="0055492D"/>
    <w:rsid w:val="00554E2D"/>
    <w:rsid w:val="00560934"/>
    <w:rsid w:val="005614CC"/>
    <w:rsid w:val="00563A40"/>
    <w:rsid w:val="00564C45"/>
    <w:rsid w:val="005728DD"/>
    <w:rsid w:val="00575A22"/>
    <w:rsid w:val="00576162"/>
    <w:rsid w:val="00583B40"/>
    <w:rsid w:val="0058413E"/>
    <w:rsid w:val="00585028"/>
    <w:rsid w:val="005856EF"/>
    <w:rsid w:val="005870B0"/>
    <w:rsid w:val="00591D59"/>
    <w:rsid w:val="005938B8"/>
    <w:rsid w:val="00593C73"/>
    <w:rsid w:val="005960BE"/>
    <w:rsid w:val="005A1743"/>
    <w:rsid w:val="005A3E71"/>
    <w:rsid w:val="005A5D19"/>
    <w:rsid w:val="005A6312"/>
    <w:rsid w:val="005B0173"/>
    <w:rsid w:val="005B264B"/>
    <w:rsid w:val="005B2991"/>
    <w:rsid w:val="005C0247"/>
    <w:rsid w:val="005C3AA9"/>
    <w:rsid w:val="005D7498"/>
    <w:rsid w:val="005E23F9"/>
    <w:rsid w:val="005E3353"/>
    <w:rsid w:val="005E3924"/>
    <w:rsid w:val="005E3F51"/>
    <w:rsid w:val="005F406A"/>
    <w:rsid w:val="005F598B"/>
    <w:rsid w:val="006014FF"/>
    <w:rsid w:val="0060459D"/>
    <w:rsid w:val="006178B4"/>
    <w:rsid w:val="0062019E"/>
    <w:rsid w:val="00621480"/>
    <w:rsid w:val="006235AE"/>
    <w:rsid w:val="006338D6"/>
    <w:rsid w:val="00634C7C"/>
    <w:rsid w:val="00636268"/>
    <w:rsid w:val="006367BF"/>
    <w:rsid w:val="00647A12"/>
    <w:rsid w:val="00652343"/>
    <w:rsid w:val="00656087"/>
    <w:rsid w:val="00661EFE"/>
    <w:rsid w:val="0066249E"/>
    <w:rsid w:val="006638F9"/>
    <w:rsid w:val="00667D13"/>
    <w:rsid w:val="00670716"/>
    <w:rsid w:val="00670CBC"/>
    <w:rsid w:val="006732DE"/>
    <w:rsid w:val="00675D03"/>
    <w:rsid w:val="006765FF"/>
    <w:rsid w:val="00683081"/>
    <w:rsid w:val="00683992"/>
    <w:rsid w:val="006A0441"/>
    <w:rsid w:val="006A4CE7"/>
    <w:rsid w:val="006B150E"/>
    <w:rsid w:val="006B1FC3"/>
    <w:rsid w:val="006B46BC"/>
    <w:rsid w:val="006B54A8"/>
    <w:rsid w:val="006B5627"/>
    <w:rsid w:val="006C4802"/>
    <w:rsid w:val="006C66E2"/>
    <w:rsid w:val="006D0113"/>
    <w:rsid w:val="006D0624"/>
    <w:rsid w:val="006D1415"/>
    <w:rsid w:val="006D6C19"/>
    <w:rsid w:val="006E0A89"/>
    <w:rsid w:val="006E1E0D"/>
    <w:rsid w:val="006E42D0"/>
    <w:rsid w:val="006F6AD9"/>
    <w:rsid w:val="00700625"/>
    <w:rsid w:val="00700B65"/>
    <w:rsid w:val="00701B2C"/>
    <w:rsid w:val="007041A9"/>
    <w:rsid w:val="0070461B"/>
    <w:rsid w:val="00713460"/>
    <w:rsid w:val="007219F1"/>
    <w:rsid w:val="0072369D"/>
    <w:rsid w:val="007246D4"/>
    <w:rsid w:val="00724AF7"/>
    <w:rsid w:val="007265B3"/>
    <w:rsid w:val="007350FE"/>
    <w:rsid w:val="00736D32"/>
    <w:rsid w:val="007423E6"/>
    <w:rsid w:val="00746DBB"/>
    <w:rsid w:val="00750A3C"/>
    <w:rsid w:val="00750FD7"/>
    <w:rsid w:val="00756015"/>
    <w:rsid w:val="0075700E"/>
    <w:rsid w:val="007578DB"/>
    <w:rsid w:val="0076095D"/>
    <w:rsid w:val="00762C8D"/>
    <w:rsid w:val="007637EB"/>
    <w:rsid w:val="00763F2F"/>
    <w:rsid w:val="00764589"/>
    <w:rsid w:val="00766CD6"/>
    <w:rsid w:val="00772F38"/>
    <w:rsid w:val="007751A9"/>
    <w:rsid w:val="00780207"/>
    <w:rsid w:val="00784C2F"/>
    <w:rsid w:val="00785261"/>
    <w:rsid w:val="00785BC1"/>
    <w:rsid w:val="00791DC1"/>
    <w:rsid w:val="0079301E"/>
    <w:rsid w:val="00793A25"/>
    <w:rsid w:val="007961DB"/>
    <w:rsid w:val="007A2767"/>
    <w:rsid w:val="007A47B3"/>
    <w:rsid w:val="007B0256"/>
    <w:rsid w:val="007B04A8"/>
    <w:rsid w:val="007B0A67"/>
    <w:rsid w:val="007B1554"/>
    <w:rsid w:val="007B4101"/>
    <w:rsid w:val="007B4A42"/>
    <w:rsid w:val="007C1C01"/>
    <w:rsid w:val="007D31DE"/>
    <w:rsid w:val="007E10B2"/>
    <w:rsid w:val="007F1677"/>
    <w:rsid w:val="007F19EB"/>
    <w:rsid w:val="007F22EC"/>
    <w:rsid w:val="007F6953"/>
    <w:rsid w:val="007F6C84"/>
    <w:rsid w:val="007F6DC8"/>
    <w:rsid w:val="00801D58"/>
    <w:rsid w:val="00802467"/>
    <w:rsid w:val="008066CD"/>
    <w:rsid w:val="00807BD6"/>
    <w:rsid w:val="0081267E"/>
    <w:rsid w:val="00813590"/>
    <w:rsid w:val="0081475C"/>
    <w:rsid w:val="008154DC"/>
    <w:rsid w:val="008255BF"/>
    <w:rsid w:val="008270F1"/>
    <w:rsid w:val="00832A35"/>
    <w:rsid w:val="008358DA"/>
    <w:rsid w:val="00842041"/>
    <w:rsid w:val="008444C5"/>
    <w:rsid w:val="008458A0"/>
    <w:rsid w:val="00846803"/>
    <w:rsid w:val="008472BA"/>
    <w:rsid w:val="00847A68"/>
    <w:rsid w:val="00847CA2"/>
    <w:rsid w:val="008524BE"/>
    <w:rsid w:val="0085440D"/>
    <w:rsid w:val="008556E4"/>
    <w:rsid w:val="0085670B"/>
    <w:rsid w:val="00867582"/>
    <w:rsid w:val="00880212"/>
    <w:rsid w:val="00881D12"/>
    <w:rsid w:val="00883A9E"/>
    <w:rsid w:val="00887317"/>
    <w:rsid w:val="00887867"/>
    <w:rsid w:val="0089145F"/>
    <w:rsid w:val="00893E12"/>
    <w:rsid w:val="008941BB"/>
    <w:rsid w:val="00896C70"/>
    <w:rsid w:val="008A365A"/>
    <w:rsid w:val="008B0ABE"/>
    <w:rsid w:val="008B71FE"/>
    <w:rsid w:val="008C2777"/>
    <w:rsid w:val="008D0CCC"/>
    <w:rsid w:val="008D1DDF"/>
    <w:rsid w:val="008D4B76"/>
    <w:rsid w:val="008D58EF"/>
    <w:rsid w:val="008D681E"/>
    <w:rsid w:val="008D6F7D"/>
    <w:rsid w:val="008D777F"/>
    <w:rsid w:val="008E34D9"/>
    <w:rsid w:val="008E484B"/>
    <w:rsid w:val="00905783"/>
    <w:rsid w:val="009106F2"/>
    <w:rsid w:val="009115EF"/>
    <w:rsid w:val="00912D93"/>
    <w:rsid w:val="00912EE2"/>
    <w:rsid w:val="00913C73"/>
    <w:rsid w:val="009204DF"/>
    <w:rsid w:val="009225F0"/>
    <w:rsid w:val="00922730"/>
    <w:rsid w:val="00923ED2"/>
    <w:rsid w:val="00927D57"/>
    <w:rsid w:val="009302AF"/>
    <w:rsid w:val="009348A1"/>
    <w:rsid w:val="00937663"/>
    <w:rsid w:val="00950F57"/>
    <w:rsid w:val="0095542F"/>
    <w:rsid w:val="00955C59"/>
    <w:rsid w:val="0096523B"/>
    <w:rsid w:val="00971F6C"/>
    <w:rsid w:val="00973007"/>
    <w:rsid w:val="00973484"/>
    <w:rsid w:val="009739CF"/>
    <w:rsid w:val="009834AA"/>
    <w:rsid w:val="009838F2"/>
    <w:rsid w:val="00986715"/>
    <w:rsid w:val="00987244"/>
    <w:rsid w:val="00995476"/>
    <w:rsid w:val="00996D63"/>
    <w:rsid w:val="009A7A0B"/>
    <w:rsid w:val="009B0564"/>
    <w:rsid w:val="009B13B2"/>
    <w:rsid w:val="009B1A03"/>
    <w:rsid w:val="009B3CE7"/>
    <w:rsid w:val="009C746C"/>
    <w:rsid w:val="009D35B4"/>
    <w:rsid w:val="009E6E54"/>
    <w:rsid w:val="009F05CC"/>
    <w:rsid w:val="009F3628"/>
    <w:rsid w:val="009F463A"/>
    <w:rsid w:val="00A002D6"/>
    <w:rsid w:val="00A104C5"/>
    <w:rsid w:val="00A10598"/>
    <w:rsid w:val="00A13CC5"/>
    <w:rsid w:val="00A13DEC"/>
    <w:rsid w:val="00A17178"/>
    <w:rsid w:val="00A21351"/>
    <w:rsid w:val="00A217BE"/>
    <w:rsid w:val="00A26BFA"/>
    <w:rsid w:val="00A33FD8"/>
    <w:rsid w:val="00A345E1"/>
    <w:rsid w:val="00A3797F"/>
    <w:rsid w:val="00A40EA2"/>
    <w:rsid w:val="00A41292"/>
    <w:rsid w:val="00A41A83"/>
    <w:rsid w:val="00A47174"/>
    <w:rsid w:val="00A474D2"/>
    <w:rsid w:val="00A54A8D"/>
    <w:rsid w:val="00A5613B"/>
    <w:rsid w:val="00A614A0"/>
    <w:rsid w:val="00A627EE"/>
    <w:rsid w:val="00A63C5B"/>
    <w:rsid w:val="00A75E39"/>
    <w:rsid w:val="00A80D59"/>
    <w:rsid w:val="00A80DDA"/>
    <w:rsid w:val="00A8115A"/>
    <w:rsid w:val="00A81CEE"/>
    <w:rsid w:val="00A8314F"/>
    <w:rsid w:val="00A83E34"/>
    <w:rsid w:val="00A9065C"/>
    <w:rsid w:val="00A9093D"/>
    <w:rsid w:val="00A91802"/>
    <w:rsid w:val="00A932B8"/>
    <w:rsid w:val="00A9506B"/>
    <w:rsid w:val="00A95C1F"/>
    <w:rsid w:val="00AA0E0F"/>
    <w:rsid w:val="00AA4B19"/>
    <w:rsid w:val="00AA674F"/>
    <w:rsid w:val="00AA6762"/>
    <w:rsid w:val="00AB5DE9"/>
    <w:rsid w:val="00AC6ACE"/>
    <w:rsid w:val="00AC7554"/>
    <w:rsid w:val="00AD2FA6"/>
    <w:rsid w:val="00AD7736"/>
    <w:rsid w:val="00AE0E45"/>
    <w:rsid w:val="00AE5D2E"/>
    <w:rsid w:val="00AE5E1E"/>
    <w:rsid w:val="00AF4119"/>
    <w:rsid w:val="00B01A8E"/>
    <w:rsid w:val="00B078E1"/>
    <w:rsid w:val="00B12700"/>
    <w:rsid w:val="00B1295A"/>
    <w:rsid w:val="00B134AB"/>
    <w:rsid w:val="00B15B5F"/>
    <w:rsid w:val="00B25E25"/>
    <w:rsid w:val="00B2619E"/>
    <w:rsid w:val="00B27820"/>
    <w:rsid w:val="00B27E0E"/>
    <w:rsid w:val="00B32A26"/>
    <w:rsid w:val="00B366E2"/>
    <w:rsid w:val="00B37248"/>
    <w:rsid w:val="00B57AA3"/>
    <w:rsid w:val="00B649AE"/>
    <w:rsid w:val="00B67269"/>
    <w:rsid w:val="00B67DC9"/>
    <w:rsid w:val="00B717FE"/>
    <w:rsid w:val="00B73DA2"/>
    <w:rsid w:val="00B7777E"/>
    <w:rsid w:val="00B77C3E"/>
    <w:rsid w:val="00B848B4"/>
    <w:rsid w:val="00B95ABB"/>
    <w:rsid w:val="00B96300"/>
    <w:rsid w:val="00B96459"/>
    <w:rsid w:val="00B97A26"/>
    <w:rsid w:val="00BA03EF"/>
    <w:rsid w:val="00BA2DB9"/>
    <w:rsid w:val="00BA513B"/>
    <w:rsid w:val="00BA6A8C"/>
    <w:rsid w:val="00BC3724"/>
    <w:rsid w:val="00BC4525"/>
    <w:rsid w:val="00BD4A2C"/>
    <w:rsid w:val="00BD6FAA"/>
    <w:rsid w:val="00BE1E16"/>
    <w:rsid w:val="00BE407C"/>
    <w:rsid w:val="00BE632A"/>
    <w:rsid w:val="00BE7148"/>
    <w:rsid w:val="00BE7971"/>
    <w:rsid w:val="00BF365F"/>
    <w:rsid w:val="00BF63B7"/>
    <w:rsid w:val="00C042D7"/>
    <w:rsid w:val="00C06FD7"/>
    <w:rsid w:val="00C10729"/>
    <w:rsid w:val="00C107E1"/>
    <w:rsid w:val="00C13A40"/>
    <w:rsid w:val="00C13B43"/>
    <w:rsid w:val="00C15B21"/>
    <w:rsid w:val="00C16A7C"/>
    <w:rsid w:val="00C170B4"/>
    <w:rsid w:val="00C21D61"/>
    <w:rsid w:val="00C22F2F"/>
    <w:rsid w:val="00C23434"/>
    <w:rsid w:val="00C2544D"/>
    <w:rsid w:val="00C2636D"/>
    <w:rsid w:val="00C27672"/>
    <w:rsid w:val="00C277FE"/>
    <w:rsid w:val="00C27827"/>
    <w:rsid w:val="00C31B45"/>
    <w:rsid w:val="00C3374E"/>
    <w:rsid w:val="00C44CCE"/>
    <w:rsid w:val="00C44EE5"/>
    <w:rsid w:val="00C45D19"/>
    <w:rsid w:val="00C52A4B"/>
    <w:rsid w:val="00C534F1"/>
    <w:rsid w:val="00C54B33"/>
    <w:rsid w:val="00C55752"/>
    <w:rsid w:val="00C57B45"/>
    <w:rsid w:val="00C611BD"/>
    <w:rsid w:val="00C62B23"/>
    <w:rsid w:val="00C65774"/>
    <w:rsid w:val="00C66115"/>
    <w:rsid w:val="00C66991"/>
    <w:rsid w:val="00C66C2B"/>
    <w:rsid w:val="00C75181"/>
    <w:rsid w:val="00C85A1A"/>
    <w:rsid w:val="00C93D3F"/>
    <w:rsid w:val="00C95BA5"/>
    <w:rsid w:val="00CA4A34"/>
    <w:rsid w:val="00CA7DAA"/>
    <w:rsid w:val="00CB2835"/>
    <w:rsid w:val="00CB3B2A"/>
    <w:rsid w:val="00CC1310"/>
    <w:rsid w:val="00CC32EF"/>
    <w:rsid w:val="00CC4762"/>
    <w:rsid w:val="00CC7D10"/>
    <w:rsid w:val="00CD3DF5"/>
    <w:rsid w:val="00CE720A"/>
    <w:rsid w:val="00CF7336"/>
    <w:rsid w:val="00CF74D3"/>
    <w:rsid w:val="00D022A1"/>
    <w:rsid w:val="00D030CA"/>
    <w:rsid w:val="00D06006"/>
    <w:rsid w:val="00D12DE5"/>
    <w:rsid w:val="00D13A58"/>
    <w:rsid w:val="00D1493B"/>
    <w:rsid w:val="00D16AA7"/>
    <w:rsid w:val="00D22621"/>
    <w:rsid w:val="00D270AC"/>
    <w:rsid w:val="00D30C81"/>
    <w:rsid w:val="00D3465E"/>
    <w:rsid w:val="00D358EB"/>
    <w:rsid w:val="00D3613C"/>
    <w:rsid w:val="00D37CBF"/>
    <w:rsid w:val="00D4125D"/>
    <w:rsid w:val="00D44F58"/>
    <w:rsid w:val="00D541D4"/>
    <w:rsid w:val="00D54619"/>
    <w:rsid w:val="00D55030"/>
    <w:rsid w:val="00D61C54"/>
    <w:rsid w:val="00D712A0"/>
    <w:rsid w:val="00D752AC"/>
    <w:rsid w:val="00D81532"/>
    <w:rsid w:val="00D85829"/>
    <w:rsid w:val="00D87A0F"/>
    <w:rsid w:val="00DB30A1"/>
    <w:rsid w:val="00DB5769"/>
    <w:rsid w:val="00DC0EA9"/>
    <w:rsid w:val="00DC6013"/>
    <w:rsid w:val="00DC67ED"/>
    <w:rsid w:val="00DD0AD4"/>
    <w:rsid w:val="00DE3193"/>
    <w:rsid w:val="00DF0AC4"/>
    <w:rsid w:val="00DF2673"/>
    <w:rsid w:val="00DF6096"/>
    <w:rsid w:val="00E018DE"/>
    <w:rsid w:val="00E02952"/>
    <w:rsid w:val="00E02E5B"/>
    <w:rsid w:val="00E03C8E"/>
    <w:rsid w:val="00E0525B"/>
    <w:rsid w:val="00E11923"/>
    <w:rsid w:val="00E1362C"/>
    <w:rsid w:val="00E1554A"/>
    <w:rsid w:val="00E17E96"/>
    <w:rsid w:val="00E30990"/>
    <w:rsid w:val="00E3343C"/>
    <w:rsid w:val="00E36295"/>
    <w:rsid w:val="00E40ABC"/>
    <w:rsid w:val="00E46A7A"/>
    <w:rsid w:val="00E4770A"/>
    <w:rsid w:val="00E50122"/>
    <w:rsid w:val="00E5181E"/>
    <w:rsid w:val="00E52DED"/>
    <w:rsid w:val="00E53454"/>
    <w:rsid w:val="00E60A3A"/>
    <w:rsid w:val="00E61DB6"/>
    <w:rsid w:val="00E64C18"/>
    <w:rsid w:val="00E6666F"/>
    <w:rsid w:val="00E81EE2"/>
    <w:rsid w:val="00E82208"/>
    <w:rsid w:val="00E91918"/>
    <w:rsid w:val="00E93BD6"/>
    <w:rsid w:val="00E9520B"/>
    <w:rsid w:val="00EA3365"/>
    <w:rsid w:val="00EB0754"/>
    <w:rsid w:val="00EB0829"/>
    <w:rsid w:val="00EB4647"/>
    <w:rsid w:val="00EB4F2F"/>
    <w:rsid w:val="00EB60C2"/>
    <w:rsid w:val="00EC4273"/>
    <w:rsid w:val="00EC4364"/>
    <w:rsid w:val="00ED079B"/>
    <w:rsid w:val="00ED0F3B"/>
    <w:rsid w:val="00ED1AC8"/>
    <w:rsid w:val="00EE3C7E"/>
    <w:rsid w:val="00EE54E1"/>
    <w:rsid w:val="00EE7BDA"/>
    <w:rsid w:val="00EF601F"/>
    <w:rsid w:val="00EF69E7"/>
    <w:rsid w:val="00EF6BF1"/>
    <w:rsid w:val="00F0398B"/>
    <w:rsid w:val="00F130E9"/>
    <w:rsid w:val="00F25AB6"/>
    <w:rsid w:val="00F30C9A"/>
    <w:rsid w:val="00F34193"/>
    <w:rsid w:val="00F411F2"/>
    <w:rsid w:val="00F43237"/>
    <w:rsid w:val="00F476BF"/>
    <w:rsid w:val="00F50546"/>
    <w:rsid w:val="00F5262C"/>
    <w:rsid w:val="00F53339"/>
    <w:rsid w:val="00F5396C"/>
    <w:rsid w:val="00F6169D"/>
    <w:rsid w:val="00F621AE"/>
    <w:rsid w:val="00F65C7C"/>
    <w:rsid w:val="00F65DE0"/>
    <w:rsid w:val="00F70F9D"/>
    <w:rsid w:val="00F816EE"/>
    <w:rsid w:val="00F82F36"/>
    <w:rsid w:val="00F866FA"/>
    <w:rsid w:val="00F90E4E"/>
    <w:rsid w:val="00F91237"/>
    <w:rsid w:val="00F950B6"/>
    <w:rsid w:val="00FA334F"/>
    <w:rsid w:val="00FA3547"/>
    <w:rsid w:val="00FB0BF2"/>
    <w:rsid w:val="00FB1399"/>
    <w:rsid w:val="00FB5514"/>
    <w:rsid w:val="00FB7599"/>
    <w:rsid w:val="00FC0786"/>
    <w:rsid w:val="00FC1B09"/>
    <w:rsid w:val="00FC563B"/>
    <w:rsid w:val="00FC5B66"/>
    <w:rsid w:val="00FC69EA"/>
    <w:rsid w:val="00FD48A0"/>
    <w:rsid w:val="00FD7271"/>
    <w:rsid w:val="00FD7D85"/>
    <w:rsid w:val="00FD7F9E"/>
    <w:rsid w:val="00FE3582"/>
    <w:rsid w:val="00FE5286"/>
    <w:rsid w:val="00FE5760"/>
    <w:rsid w:val="00FF31B9"/>
    <w:rsid w:val="00FF7F65"/>
    <w:rsid w:val="0C387E55"/>
    <w:rsid w:val="537966BA"/>
    <w:rsid w:val="60E9BE7C"/>
    <w:rsid w:val="7A0E58D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C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after="200" w:line="288" w:lineRule="auto"/>
    </w:pPr>
    <w:rPr>
      <w:rFonts w:ascii="Arial" w:eastAsia="Times New Roman" w:hAnsi="Arial"/>
      <w:sz w:val="22"/>
      <w:szCs w:val="24"/>
      <w:lang w:val="en-US" w:eastAsia="ja-JP"/>
    </w:rPr>
  </w:style>
  <w:style w:type="paragraph" w:styleId="Heading1">
    <w:name w:val="heading 1"/>
    <w:aliases w:val="Report title (one line)"/>
    <w:basedOn w:val="Normal"/>
    <w:next w:val="Normal"/>
    <w:link w:val="Heading1Char"/>
    <w:uiPriority w:val="9"/>
    <w:qFormat/>
    <w:rsid w:val="006765FF"/>
    <w:pPr>
      <w:spacing w:before="8640" w:after="600"/>
      <w:outlineLvl w:val="0"/>
    </w:pPr>
    <w:rPr>
      <w:rFonts w:cs="Arial"/>
      <w:b/>
      <w:color w:val="FEFFFF"/>
      <w:sz w:val="80"/>
      <w:szCs w:val="96"/>
      <w:lang w:val="en-AU"/>
    </w:rPr>
  </w:style>
  <w:style w:type="paragraph" w:styleId="Heading2">
    <w:name w:val="heading 2"/>
    <w:basedOn w:val="Normal"/>
    <w:next w:val="Normal"/>
    <w:link w:val="Heading2Char"/>
    <w:uiPriority w:val="9"/>
    <w:unhideWhenUsed/>
    <w:qFormat/>
    <w:rsid w:val="00EC4364"/>
    <w:pPr>
      <w:numPr>
        <w:numId w:val="4"/>
      </w:numPr>
      <w:spacing w:before="200" w:after="240"/>
      <w:outlineLvl w:val="1"/>
    </w:pPr>
    <w:rPr>
      <w:b/>
      <w:bCs/>
      <w:color w:val="6B2976"/>
      <w:sz w:val="44"/>
      <w:szCs w:val="26"/>
    </w:rPr>
  </w:style>
  <w:style w:type="paragraph" w:styleId="Heading3">
    <w:name w:val="heading 3"/>
    <w:basedOn w:val="Normal"/>
    <w:next w:val="Normal"/>
    <w:link w:val="Heading3Char"/>
    <w:uiPriority w:val="9"/>
    <w:unhideWhenUsed/>
    <w:qFormat/>
    <w:rsid w:val="00EC4364"/>
    <w:pPr>
      <w:numPr>
        <w:ilvl w:val="1"/>
        <w:numId w:val="4"/>
      </w:numPr>
      <w:spacing w:before="400"/>
      <w:ind w:left="72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b/>
      <w:bCs/>
      <w:i/>
      <w:iCs/>
      <w:color w:val="C57CD1"/>
    </w:rPr>
  </w:style>
  <w:style w:type="paragraph" w:styleId="Heading7">
    <w:name w:val="heading 7"/>
    <w:basedOn w:val="Normal"/>
    <w:next w:val="Normal"/>
    <w:link w:val="Heading7Char"/>
    <w:uiPriority w:val="9"/>
    <w:unhideWhenUsed/>
    <w:qFormat/>
    <w:rsid w:val="004B54CA"/>
    <w:pPr>
      <w:spacing w:after="0"/>
      <w:outlineLvl w:val="6"/>
    </w:pPr>
    <w:rPr>
      <w:i/>
      <w:iCs/>
    </w:rPr>
  </w:style>
  <w:style w:type="paragraph" w:styleId="Heading8">
    <w:name w:val="heading 8"/>
    <w:basedOn w:val="Normal"/>
    <w:next w:val="Normal"/>
    <w:link w:val="Heading8Char"/>
    <w:uiPriority w:val="9"/>
    <w:unhideWhenUsed/>
    <w:qFormat/>
    <w:rsid w:val="004B54CA"/>
    <w:pPr>
      <w:spacing w:after="0"/>
      <w:outlineLvl w:val="7"/>
    </w:pPr>
    <w:rPr>
      <w:sz w:val="20"/>
      <w:szCs w:val="20"/>
    </w:rPr>
  </w:style>
  <w:style w:type="paragraph" w:styleId="Heading9">
    <w:name w:val="heading 9"/>
    <w:basedOn w:val="Normal"/>
    <w:next w:val="Normal"/>
    <w:link w:val="Heading9Char"/>
    <w:uiPriority w:val="9"/>
    <w:unhideWhenUsed/>
    <w:qFormat/>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link w:val="Heading1"/>
    <w:uiPriority w:val="9"/>
    <w:rsid w:val="006765FF"/>
    <w:rPr>
      <w:rFonts w:ascii="Arial" w:eastAsia="Times New Roman" w:hAnsi="Arial" w:cs="Arial"/>
      <w:b/>
      <w:color w:val="FEFFFF"/>
      <w:sz w:val="80"/>
      <w:szCs w:val="96"/>
      <w:lang w:eastAsia="ja-JP"/>
    </w:rPr>
  </w:style>
  <w:style w:type="character" w:customStyle="1" w:styleId="Heading2Char">
    <w:name w:val="Heading 2 Char"/>
    <w:link w:val="Heading2"/>
    <w:uiPriority w:val="9"/>
    <w:rsid w:val="00EC4364"/>
    <w:rPr>
      <w:rFonts w:ascii="Arial" w:eastAsia="Times New Roman" w:hAnsi="Arial" w:cs="Times New Roman"/>
      <w:b/>
      <w:bCs/>
      <w:color w:val="6B2976"/>
      <w:sz w:val="44"/>
      <w:szCs w:val="26"/>
      <w:lang w:val="en-US" w:eastAsia="ja-JP"/>
    </w:rPr>
  </w:style>
  <w:style w:type="paragraph" w:styleId="NoSpacing">
    <w:name w:val="No Spacing"/>
    <w:uiPriority w:val="1"/>
    <w:qFormat/>
    <w:rsid w:val="008D4B76"/>
    <w:rPr>
      <w:rFonts w:ascii="Arial" w:eastAsia="Times New Roman" w:hAnsi="Arial"/>
      <w:sz w:val="22"/>
      <w:szCs w:val="24"/>
      <w:lang w:val="en-US" w:eastAsia="ja-JP"/>
    </w:rPr>
  </w:style>
  <w:style w:type="character" w:customStyle="1" w:styleId="Heading3Char">
    <w:name w:val="Heading 3 Char"/>
    <w:link w:val="Heading3"/>
    <w:uiPriority w:val="9"/>
    <w:rsid w:val="00EC4364"/>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BE632A"/>
    <w:rPr>
      <w:rFonts w:ascii="Arial" w:eastAsia="Times New Roman" w:hAnsi="Arial"/>
      <w:b/>
      <w:sz w:val="24"/>
      <w:szCs w:val="24"/>
      <w:lang w:val="en-US" w:eastAsia="ja-JP"/>
    </w:rPr>
  </w:style>
  <w:style w:type="character" w:customStyle="1" w:styleId="Heading5Char">
    <w:name w:val="Heading 5 Char"/>
    <w:link w:val="Heading5"/>
    <w:uiPriority w:val="9"/>
    <w:rsid w:val="00EC4364"/>
    <w:rPr>
      <w:rFonts w:ascii="Arial" w:eastAsia="Times New Roman" w:hAnsi="Arial"/>
      <w:b/>
      <w:szCs w:val="24"/>
      <w:lang w:val="en-US" w:eastAsia="ja-JP"/>
    </w:rPr>
  </w:style>
  <w:style w:type="character" w:customStyle="1" w:styleId="Heading6Char">
    <w:name w:val="Heading 6 Char"/>
    <w:link w:val="Heading6"/>
    <w:uiPriority w:val="9"/>
    <w:rsid w:val="004B54CA"/>
    <w:rPr>
      <w:rFonts w:ascii="Arial" w:eastAsia="Times New Roman" w:hAnsi="Arial" w:cs="Times New Roman"/>
      <w:b/>
      <w:bCs/>
      <w:i/>
      <w:iCs/>
      <w:color w:val="C57CD1"/>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spacing w:val="5"/>
      <w:sz w:val="52"/>
      <w:szCs w:val="52"/>
    </w:rPr>
  </w:style>
  <w:style w:type="character" w:customStyle="1" w:styleId="TitleChar">
    <w:name w:val="Title Char"/>
    <w:link w:val="Title"/>
    <w:uiPriority w:val="10"/>
    <w:rsid w:val="004B54CA"/>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B54CA"/>
    <w:pPr>
      <w:spacing w:after="600"/>
    </w:pPr>
    <w:rPr>
      <w:i/>
      <w:iCs/>
      <w:spacing w:val="13"/>
      <w:sz w:val="24"/>
    </w:rPr>
  </w:style>
  <w:style w:type="character" w:customStyle="1" w:styleId="SubtitleChar">
    <w:name w:val="Subtitle Char"/>
    <w:link w:val="Subtitle"/>
    <w:uiPriority w:val="11"/>
    <w:rsid w:val="004B54CA"/>
    <w:rPr>
      <w:rFonts w:ascii="Arial" w:eastAsia="Times New Roman" w:hAnsi="Arial" w:cs="Times New Roman"/>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link w:val="Header"/>
    <w:uiPriority w:val="99"/>
    <w:rsid w:val="007219F1"/>
    <w:rPr>
      <w:rFonts w:ascii="Arial" w:eastAsia="Times New Roman"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ind w:left="113" w:right="113"/>
    </w:pPr>
    <w:rPr>
      <w:rFonts w:ascii="Arial" w:eastAsia="Times New Roman" w:hAnsi="Arial"/>
      <w:lang w:val="en-US" w:eastAsia="ja-JP"/>
    </w:rPr>
    <w:tblPr>
      <w:tblStyleRowBandSize w:val="1"/>
      <w:tblStyleColBandSize w:val="1"/>
      <w:tblBorders>
        <w:top w:val="single" w:sz="8" w:space="0" w:color="C5296D"/>
        <w:bottom w:val="single" w:sz="8" w:space="0" w:color="C5296D"/>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B96300"/>
    <w:pPr>
      <w:tabs>
        <w:tab w:val="right" w:pos="9016"/>
      </w:tabs>
      <w:spacing w:after="100"/>
    </w:pPr>
  </w:style>
  <w:style w:type="paragraph" w:styleId="TOC2">
    <w:name w:val="toc 2"/>
    <w:basedOn w:val="Normal"/>
    <w:next w:val="Normal"/>
    <w:autoRedefine/>
    <w:uiPriority w:val="39"/>
    <w:unhideWhenUsed/>
    <w:qFormat/>
    <w:rsid w:val="003746CF"/>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2C063C"/>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3B3F1F"/>
    <w:pPr>
      <w:spacing w:before="768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link w:val="TableDescription"/>
    <w:rsid w:val="001665A1"/>
    <w:rPr>
      <w:rFonts w:ascii="Arial" w:eastAsia="Times New Roman"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link w:val="Versionanddate"/>
    <w:rsid w:val="006765FF"/>
    <w:rPr>
      <w:rFonts w:ascii="Arial" w:eastAsia="Times New Roman" w:hAnsi="Arial"/>
      <w:color w:val="FEFFFF"/>
      <w:sz w:val="28"/>
      <w:szCs w:val="28"/>
      <w:lang w:val="en-US" w:eastAsia="ja-JP"/>
    </w:rPr>
  </w:style>
  <w:style w:type="character" w:customStyle="1" w:styleId="WebsiteChar">
    <w:name w:val="Website Char"/>
    <w:link w:val="Website"/>
    <w:rsid w:val="00B73DA2"/>
    <w:rPr>
      <w:rFonts w:ascii="Arial" w:eastAsia="Times New Roman" w:hAnsi="Arial" w:cs="Arial"/>
      <w:b/>
      <w:color w:val="FEFFFF"/>
      <w:sz w:val="28"/>
      <w:szCs w:val="28"/>
      <w:lang w:val="en-US" w:eastAsia="ja-JP"/>
    </w:rPr>
  </w:style>
  <w:style w:type="character" w:styleId="CommentReference">
    <w:name w:val="annotation reference"/>
    <w:basedOn w:val="DefaultParagraphFont"/>
    <w:uiPriority w:val="99"/>
    <w:semiHidden/>
    <w:unhideWhenUsed/>
    <w:rsid w:val="00044CF5"/>
    <w:rPr>
      <w:sz w:val="16"/>
      <w:szCs w:val="16"/>
    </w:rPr>
  </w:style>
  <w:style w:type="paragraph" w:styleId="CommentText">
    <w:name w:val="annotation text"/>
    <w:basedOn w:val="Normal"/>
    <w:link w:val="CommentTextChar"/>
    <w:uiPriority w:val="99"/>
    <w:unhideWhenUsed/>
    <w:rsid w:val="00044CF5"/>
    <w:pPr>
      <w:suppressAutoHyphens/>
      <w:spacing w:line="240" w:lineRule="auto"/>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044CF5"/>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A002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002D6"/>
    <w:pPr>
      <w:suppressAutoHyphens w:val="0"/>
    </w:pPr>
    <w:rPr>
      <w:rFonts w:ascii="Arial" w:eastAsia="Times New Roman" w:hAnsi="Arial" w:cs="Times New Roman"/>
      <w:b/>
      <w:bCs/>
      <w:lang w:val="en-US" w:eastAsia="ja-JP"/>
    </w:rPr>
  </w:style>
  <w:style w:type="character" w:customStyle="1" w:styleId="CommentSubjectChar">
    <w:name w:val="Comment Subject Char"/>
    <w:basedOn w:val="CommentTextChar"/>
    <w:link w:val="CommentSubject"/>
    <w:uiPriority w:val="99"/>
    <w:semiHidden/>
    <w:rsid w:val="00A002D6"/>
    <w:rPr>
      <w:rFonts w:ascii="Arial" w:eastAsia="Times New Roman" w:hAnsi="Arial" w:cstheme="minorBidi"/>
      <w:b/>
      <w:bCs/>
      <w:lang w:val="en-US" w:eastAsia="ja-JP"/>
    </w:rPr>
  </w:style>
  <w:style w:type="paragraph" w:styleId="Revision">
    <w:name w:val="Revision"/>
    <w:hidden/>
    <w:uiPriority w:val="99"/>
    <w:semiHidden/>
    <w:rsid w:val="00522249"/>
    <w:rPr>
      <w:rFonts w:ascii="Arial" w:eastAsia="Times New Roman" w:hAnsi="Arial"/>
      <w:sz w:val="22"/>
      <w:szCs w:val="24"/>
      <w:lang w:val="en-US" w:eastAsia="ja-JP"/>
    </w:rPr>
  </w:style>
  <w:style w:type="paragraph" w:customStyle="1" w:styleId="subsection">
    <w:name w:val="subsection"/>
    <w:basedOn w:val="Normal"/>
    <w:rsid w:val="0050728D"/>
    <w:pPr>
      <w:spacing w:before="100" w:beforeAutospacing="1" w:after="100" w:afterAutospacing="1" w:line="240" w:lineRule="auto"/>
    </w:pPr>
    <w:rPr>
      <w:rFonts w:ascii="Times New Roman" w:hAnsi="Times New Roman"/>
      <w:sz w:val="24"/>
      <w:lang w:val="en-AU" w:eastAsia="en-AU"/>
    </w:rPr>
  </w:style>
  <w:style w:type="paragraph" w:customStyle="1" w:styleId="paragraph">
    <w:name w:val="paragraph"/>
    <w:basedOn w:val="Normal"/>
    <w:rsid w:val="0050728D"/>
    <w:pPr>
      <w:spacing w:before="100" w:beforeAutospacing="1" w:after="100" w:afterAutospacing="1" w:line="240" w:lineRule="auto"/>
    </w:pPr>
    <w:rPr>
      <w:rFonts w:ascii="Times New Roman" w:hAnsi="Times New Roman"/>
      <w:sz w:val="24"/>
      <w:lang w:val="en-AU" w:eastAsia="en-AU"/>
    </w:rPr>
  </w:style>
  <w:style w:type="character" w:customStyle="1" w:styleId="cf01">
    <w:name w:val="cf01"/>
    <w:basedOn w:val="DefaultParagraphFont"/>
    <w:rsid w:val="00505254"/>
    <w:rPr>
      <w:rFonts w:ascii="Segoe UI" w:hAnsi="Segoe UI" w:cs="Segoe UI" w:hint="default"/>
      <w:sz w:val="18"/>
      <w:szCs w:val="18"/>
    </w:rPr>
  </w:style>
  <w:style w:type="character" w:customStyle="1" w:styleId="normaltextrun">
    <w:name w:val="normaltextrun"/>
    <w:basedOn w:val="DefaultParagraphFont"/>
    <w:rsid w:val="0035675B"/>
  </w:style>
  <w:style w:type="character" w:styleId="FollowedHyperlink">
    <w:name w:val="FollowedHyperlink"/>
    <w:basedOn w:val="DefaultParagraphFont"/>
    <w:uiPriority w:val="99"/>
    <w:semiHidden/>
    <w:unhideWhenUsed/>
    <w:rsid w:val="007802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08163">
      <w:bodyDiv w:val="1"/>
      <w:marLeft w:val="0"/>
      <w:marRight w:val="0"/>
      <w:marTop w:val="0"/>
      <w:marBottom w:val="0"/>
      <w:divBdr>
        <w:top w:val="none" w:sz="0" w:space="0" w:color="auto"/>
        <w:left w:val="none" w:sz="0" w:space="0" w:color="auto"/>
        <w:bottom w:val="none" w:sz="0" w:space="0" w:color="auto"/>
        <w:right w:val="none" w:sz="0" w:space="0" w:color="auto"/>
      </w:divBdr>
    </w:div>
    <w:div w:id="502478146">
      <w:bodyDiv w:val="1"/>
      <w:marLeft w:val="0"/>
      <w:marRight w:val="0"/>
      <w:marTop w:val="0"/>
      <w:marBottom w:val="0"/>
      <w:divBdr>
        <w:top w:val="none" w:sz="0" w:space="0" w:color="auto"/>
        <w:left w:val="none" w:sz="0" w:space="0" w:color="auto"/>
        <w:bottom w:val="none" w:sz="0" w:space="0" w:color="auto"/>
        <w:right w:val="none" w:sz="0" w:space="0" w:color="auto"/>
      </w:divBdr>
    </w:div>
    <w:div w:id="560403102">
      <w:bodyDiv w:val="1"/>
      <w:marLeft w:val="0"/>
      <w:marRight w:val="0"/>
      <w:marTop w:val="0"/>
      <w:marBottom w:val="0"/>
      <w:divBdr>
        <w:top w:val="none" w:sz="0" w:space="0" w:color="auto"/>
        <w:left w:val="none" w:sz="0" w:space="0" w:color="auto"/>
        <w:bottom w:val="none" w:sz="0" w:space="0" w:color="auto"/>
        <w:right w:val="none" w:sz="0" w:space="0" w:color="auto"/>
      </w:divBdr>
    </w:div>
    <w:div w:id="1430199082">
      <w:bodyDiv w:val="1"/>
      <w:marLeft w:val="0"/>
      <w:marRight w:val="0"/>
      <w:marTop w:val="0"/>
      <w:marBottom w:val="0"/>
      <w:divBdr>
        <w:top w:val="none" w:sz="0" w:space="0" w:color="auto"/>
        <w:left w:val="none" w:sz="0" w:space="0" w:color="auto"/>
        <w:bottom w:val="none" w:sz="0" w:space="0" w:color="auto"/>
        <w:right w:val="none" w:sz="0" w:space="0" w:color="auto"/>
      </w:divBdr>
    </w:div>
    <w:div w:id="1747532916">
      <w:bodyDiv w:val="1"/>
      <w:marLeft w:val="0"/>
      <w:marRight w:val="0"/>
      <w:marTop w:val="0"/>
      <w:marBottom w:val="0"/>
      <w:divBdr>
        <w:top w:val="none" w:sz="0" w:space="0" w:color="auto"/>
        <w:left w:val="none" w:sz="0" w:space="0" w:color="auto"/>
        <w:bottom w:val="none" w:sz="0" w:space="0" w:color="auto"/>
        <w:right w:val="none" w:sz="0" w:space="0" w:color="auto"/>
      </w:divBdr>
    </w:div>
    <w:div w:id="2085956686">
      <w:bodyDiv w:val="1"/>
      <w:marLeft w:val="0"/>
      <w:marRight w:val="0"/>
      <w:marTop w:val="0"/>
      <w:marBottom w:val="0"/>
      <w:divBdr>
        <w:top w:val="none" w:sz="0" w:space="0" w:color="auto"/>
        <w:left w:val="none" w:sz="0" w:space="0" w:color="auto"/>
        <w:bottom w:val="none" w:sz="0" w:space="0" w:color="auto"/>
        <w:right w:val="none" w:sz="0" w:space="0" w:color="auto"/>
      </w:divBdr>
      <w:divsChild>
        <w:div w:id="398332223">
          <w:marLeft w:val="0"/>
          <w:marRight w:val="0"/>
          <w:marTop w:val="0"/>
          <w:marBottom w:val="0"/>
          <w:divBdr>
            <w:top w:val="none" w:sz="0" w:space="0" w:color="auto"/>
            <w:left w:val="none" w:sz="0" w:space="0" w:color="auto"/>
            <w:bottom w:val="none" w:sz="0" w:space="0" w:color="auto"/>
            <w:right w:val="none" w:sz="0" w:space="0" w:color="auto"/>
          </w:divBdr>
        </w:div>
        <w:div w:id="461459305">
          <w:marLeft w:val="0"/>
          <w:marRight w:val="0"/>
          <w:marTop w:val="0"/>
          <w:marBottom w:val="0"/>
          <w:divBdr>
            <w:top w:val="none" w:sz="0" w:space="0" w:color="auto"/>
            <w:left w:val="none" w:sz="0" w:space="0" w:color="auto"/>
            <w:bottom w:val="none" w:sz="0" w:space="0" w:color="auto"/>
            <w:right w:val="none" w:sz="0" w:space="0" w:color="auto"/>
          </w:divBdr>
        </w:div>
        <w:div w:id="409423800">
          <w:marLeft w:val="0"/>
          <w:marRight w:val="0"/>
          <w:marTop w:val="0"/>
          <w:marBottom w:val="0"/>
          <w:divBdr>
            <w:top w:val="none" w:sz="0" w:space="0" w:color="auto"/>
            <w:left w:val="none" w:sz="0" w:space="0" w:color="auto"/>
            <w:bottom w:val="none" w:sz="0" w:space="0" w:color="auto"/>
            <w:right w:val="none" w:sz="0" w:space="0" w:color="auto"/>
          </w:divBdr>
        </w:div>
        <w:div w:id="904872638">
          <w:marLeft w:val="0"/>
          <w:marRight w:val="0"/>
          <w:marTop w:val="0"/>
          <w:marBottom w:val="0"/>
          <w:divBdr>
            <w:top w:val="none" w:sz="0" w:space="0" w:color="auto"/>
            <w:left w:val="none" w:sz="0" w:space="0" w:color="auto"/>
            <w:bottom w:val="none" w:sz="0" w:space="0" w:color="auto"/>
            <w:right w:val="none" w:sz="0" w:space="0" w:color="auto"/>
          </w:divBdr>
          <w:divsChild>
            <w:div w:id="471018330">
              <w:marLeft w:val="0"/>
              <w:marRight w:val="0"/>
              <w:marTop w:val="0"/>
              <w:marBottom w:val="0"/>
              <w:divBdr>
                <w:top w:val="none" w:sz="0" w:space="0" w:color="auto"/>
                <w:left w:val="none" w:sz="0" w:space="0" w:color="auto"/>
                <w:bottom w:val="none" w:sz="0" w:space="0" w:color="auto"/>
                <w:right w:val="none" w:sz="0" w:space="0" w:color="auto"/>
              </w:divBdr>
            </w:div>
          </w:divsChild>
        </w:div>
        <w:div w:id="323702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www.ndis.gov.au/providers/working-provider/myplace-provider-portal-and-resourc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ourguidelines.ndis.gov.au/supports-you-can-access-menu/social-and-community-participation/social-and-recreation-support"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dis.gov.au/about-us/research-and-evaluation/improving-outcomes-participants/social-inclusion-and-community-access-research" TargetMode="External"/><Relationship Id="rId20" Type="http://schemas.openxmlformats.org/officeDocument/2006/relationships/hyperlink" Target="https://ourguidelines.ndis.gov.au/how-ndis-supports-work-menu/reasonable-and-necessary-suppor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dis.gov.au/providers/working-provider/getting-pa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mailto:group.supports.transition@ndis.gov.au"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7a4896-92a0-4694-8fb0-d3b5c8304b94" xsi:nil="true"/>
    <lcf76f155ced4ddcb4097134ff3c332f xmlns="0bb63410-cb19-43bb-8ab6-b8276d577d05">
      <Terms xmlns="http://schemas.microsoft.com/office/infopath/2007/PartnerControls"/>
    </lcf76f155ced4ddcb4097134ff3c332f>
    <SharedWithUsers xmlns="517a4896-92a0-4694-8fb0-d3b5c8304b94">
      <UserInfo>
        <DisplayName>DAVEY, Simone</DisplayName>
        <AccountId>93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6FF4D2A41DE4E97B7091EB0F3FB13" ma:contentTypeVersion="14" ma:contentTypeDescription="Create a new document." ma:contentTypeScope="" ma:versionID="27d67e338bbcb7a5b033afa76744aef2">
  <xsd:schema xmlns:xsd="http://www.w3.org/2001/XMLSchema" xmlns:xs="http://www.w3.org/2001/XMLSchema" xmlns:p="http://schemas.microsoft.com/office/2006/metadata/properties" xmlns:ns2="0bb63410-cb19-43bb-8ab6-b8276d577d05" xmlns:ns3="517a4896-92a0-4694-8fb0-d3b5c8304b94" targetNamespace="http://schemas.microsoft.com/office/2006/metadata/properties" ma:root="true" ma:fieldsID="13c4dc619ff12b01047f1f4a1151fd20" ns2:_="" ns3:_="">
    <xsd:import namespace="0bb63410-cb19-43bb-8ab6-b8276d577d05"/>
    <xsd:import namespace="517a4896-92a0-4694-8fb0-d3b5c8304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63410-cb19-43bb-8ab6-b8276d577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7a4896-92a0-4694-8fb0-d3b5c8304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dcde468-deb9-4bfe-be13-9d5cf97261eb}" ma:internalName="TaxCatchAll" ma:showField="CatchAllData" ma:web="517a4896-92a0-4694-8fb0-d3b5c8304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6DE0-881E-4811-BECF-CF1774CA64C5}">
  <ds:schemaRefs>
    <ds:schemaRef ds:uri="http://schemas.microsoft.com/office/2006/metadata/properties"/>
    <ds:schemaRef ds:uri="http://schemas.microsoft.com/office/infopath/2007/PartnerControls"/>
    <ds:schemaRef ds:uri="517a4896-92a0-4694-8fb0-d3b5c8304b94"/>
    <ds:schemaRef ds:uri="0bb63410-cb19-43bb-8ab6-b8276d577d05"/>
  </ds:schemaRefs>
</ds:datastoreItem>
</file>

<file path=customXml/itemProps2.xml><?xml version="1.0" encoding="utf-8"?>
<ds:datastoreItem xmlns:ds="http://schemas.openxmlformats.org/officeDocument/2006/customXml" ds:itemID="{7AD2A499-46DB-4E15-9DED-3D87DE5A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63410-cb19-43bb-8ab6-b8276d577d05"/>
    <ds:schemaRef ds:uri="517a4896-92a0-4694-8fb0-d3b5c8304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BE5FD-DF61-46D2-BC45-6E42CBCFCF28}">
  <ds:schemaRefs>
    <ds:schemaRef ds:uri="http://schemas.microsoft.com/sharepoint/v3/contenttype/forms"/>
  </ds:schemaRefs>
</ds:datastoreItem>
</file>

<file path=customXml/itemProps4.xml><?xml version="1.0" encoding="utf-8"?>
<ds:datastoreItem xmlns:ds="http://schemas.openxmlformats.org/officeDocument/2006/customXml" ds:itemID="{C1D15620-6513-4CE6-BF51-D7C6F183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5475</Words>
  <Characters>31209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36611</CharactersWithSpaces>
  <SharedDoc>false</SharedDoc>
  <HLinks>
    <vt:vector size="234" baseType="variant">
      <vt:variant>
        <vt:i4>4390973</vt:i4>
      </vt:variant>
      <vt:variant>
        <vt:i4>216</vt:i4>
      </vt:variant>
      <vt:variant>
        <vt:i4>0</vt:i4>
      </vt:variant>
      <vt:variant>
        <vt:i4>5</vt:i4>
      </vt:variant>
      <vt:variant>
        <vt:lpwstr>mailto:group.supports.transition@ndis.gov.au</vt:lpwstr>
      </vt:variant>
      <vt:variant>
        <vt:lpwstr/>
      </vt:variant>
      <vt:variant>
        <vt:i4>7208992</vt:i4>
      </vt:variant>
      <vt:variant>
        <vt:i4>213</vt:i4>
      </vt:variant>
      <vt:variant>
        <vt:i4>0</vt:i4>
      </vt:variant>
      <vt:variant>
        <vt:i4>5</vt:i4>
      </vt:variant>
      <vt:variant>
        <vt:lpwstr>https://ourguidelines.ndis.gov.au/supports-you-can-access-menu/social-and-community-participation/social-and-recreation-support</vt:lpwstr>
      </vt:variant>
      <vt:variant>
        <vt:lpwstr/>
      </vt:variant>
      <vt:variant>
        <vt:i4>2687085</vt:i4>
      </vt:variant>
      <vt:variant>
        <vt:i4>210</vt:i4>
      </vt:variant>
      <vt:variant>
        <vt:i4>0</vt:i4>
      </vt:variant>
      <vt:variant>
        <vt:i4>5</vt:i4>
      </vt:variant>
      <vt:variant>
        <vt:lpwstr>https://ourguidelines.ndis.gov.au/how-ndis-supports-work-menu/reasonable-and-necessary-supports</vt:lpwstr>
      </vt:variant>
      <vt:variant>
        <vt:lpwstr/>
      </vt:variant>
      <vt:variant>
        <vt:i4>655435</vt:i4>
      </vt:variant>
      <vt:variant>
        <vt:i4>207</vt:i4>
      </vt:variant>
      <vt:variant>
        <vt:i4>0</vt:i4>
      </vt:variant>
      <vt:variant>
        <vt:i4>5</vt:i4>
      </vt:variant>
      <vt:variant>
        <vt:lpwstr>https://www.ndis.gov.au/providers/working-provider/getting-paid</vt:lpwstr>
      </vt:variant>
      <vt:variant>
        <vt:lpwstr>retaining-documentation-of-support-delivery</vt:lpwstr>
      </vt:variant>
      <vt:variant>
        <vt:i4>3866680</vt:i4>
      </vt:variant>
      <vt:variant>
        <vt:i4>204</vt:i4>
      </vt:variant>
      <vt:variant>
        <vt:i4>0</vt:i4>
      </vt:variant>
      <vt:variant>
        <vt:i4>5</vt:i4>
      </vt:variant>
      <vt:variant>
        <vt:lpwstr>https://www.ndis.gov.au/providers/working-provider/myplace-provider-portal-and-resources</vt:lpwstr>
      </vt:variant>
      <vt:variant>
        <vt:lpwstr>guides</vt:lpwstr>
      </vt:variant>
      <vt:variant>
        <vt:i4>6815855</vt:i4>
      </vt:variant>
      <vt:variant>
        <vt:i4>201</vt:i4>
      </vt:variant>
      <vt:variant>
        <vt:i4>0</vt:i4>
      </vt:variant>
      <vt:variant>
        <vt:i4>5</vt:i4>
      </vt:variant>
      <vt:variant>
        <vt:lpwstr>https://www.ndis.gov.au/about-us/research-and-evaluation/improving-outcomes-participants/social-inclusion-and-community-access-research</vt:lpwstr>
      </vt:variant>
      <vt:variant>
        <vt:lpwstr/>
      </vt:variant>
      <vt:variant>
        <vt:i4>1507385</vt:i4>
      </vt:variant>
      <vt:variant>
        <vt:i4>194</vt:i4>
      </vt:variant>
      <vt:variant>
        <vt:i4>0</vt:i4>
      </vt:variant>
      <vt:variant>
        <vt:i4>5</vt:i4>
      </vt:variant>
      <vt:variant>
        <vt:lpwstr/>
      </vt:variant>
      <vt:variant>
        <vt:lpwstr>_Toc143524950</vt:lpwstr>
      </vt:variant>
      <vt:variant>
        <vt:i4>1441849</vt:i4>
      </vt:variant>
      <vt:variant>
        <vt:i4>188</vt:i4>
      </vt:variant>
      <vt:variant>
        <vt:i4>0</vt:i4>
      </vt:variant>
      <vt:variant>
        <vt:i4>5</vt:i4>
      </vt:variant>
      <vt:variant>
        <vt:lpwstr/>
      </vt:variant>
      <vt:variant>
        <vt:lpwstr>_Toc143524949</vt:lpwstr>
      </vt:variant>
      <vt:variant>
        <vt:i4>1441849</vt:i4>
      </vt:variant>
      <vt:variant>
        <vt:i4>182</vt:i4>
      </vt:variant>
      <vt:variant>
        <vt:i4>0</vt:i4>
      </vt:variant>
      <vt:variant>
        <vt:i4>5</vt:i4>
      </vt:variant>
      <vt:variant>
        <vt:lpwstr/>
      </vt:variant>
      <vt:variant>
        <vt:lpwstr>_Toc143524948</vt:lpwstr>
      </vt:variant>
      <vt:variant>
        <vt:i4>1441849</vt:i4>
      </vt:variant>
      <vt:variant>
        <vt:i4>176</vt:i4>
      </vt:variant>
      <vt:variant>
        <vt:i4>0</vt:i4>
      </vt:variant>
      <vt:variant>
        <vt:i4>5</vt:i4>
      </vt:variant>
      <vt:variant>
        <vt:lpwstr/>
      </vt:variant>
      <vt:variant>
        <vt:lpwstr>_Toc143524947</vt:lpwstr>
      </vt:variant>
      <vt:variant>
        <vt:i4>1441849</vt:i4>
      </vt:variant>
      <vt:variant>
        <vt:i4>170</vt:i4>
      </vt:variant>
      <vt:variant>
        <vt:i4>0</vt:i4>
      </vt:variant>
      <vt:variant>
        <vt:i4>5</vt:i4>
      </vt:variant>
      <vt:variant>
        <vt:lpwstr/>
      </vt:variant>
      <vt:variant>
        <vt:lpwstr>_Toc143524946</vt:lpwstr>
      </vt:variant>
      <vt:variant>
        <vt:i4>1441849</vt:i4>
      </vt:variant>
      <vt:variant>
        <vt:i4>164</vt:i4>
      </vt:variant>
      <vt:variant>
        <vt:i4>0</vt:i4>
      </vt:variant>
      <vt:variant>
        <vt:i4>5</vt:i4>
      </vt:variant>
      <vt:variant>
        <vt:lpwstr/>
      </vt:variant>
      <vt:variant>
        <vt:lpwstr>_Toc143524945</vt:lpwstr>
      </vt:variant>
      <vt:variant>
        <vt:i4>1441849</vt:i4>
      </vt:variant>
      <vt:variant>
        <vt:i4>158</vt:i4>
      </vt:variant>
      <vt:variant>
        <vt:i4>0</vt:i4>
      </vt:variant>
      <vt:variant>
        <vt:i4>5</vt:i4>
      </vt:variant>
      <vt:variant>
        <vt:lpwstr/>
      </vt:variant>
      <vt:variant>
        <vt:lpwstr>_Toc143524944</vt:lpwstr>
      </vt:variant>
      <vt:variant>
        <vt:i4>1441849</vt:i4>
      </vt:variant>
      <vt:variant>
        <vt:i4>152</vt:i4>
      </vt:variant>
      <vt:variant>
        <vt:i4>0</vt:i4>
      </vt:variant>
      <vt:variant>
        <vt:i4>5</vt:i4>
      </vt:variant>
      <vt:variant>
        <vt:lpwstr/>
      </vt:variant>
      <vt:variant>
        <vt:lpwstr>_Toc143524943</vt:lpwstr>
      </vt:variant>
      <vt:variant>
        <vt:i4>1441849</vt:i4>
      </vt:variant>
      <vt:variant>
        <vt:i4>146</vt:i4>
      </vt:variant>
      <vt:variant>
        <vt:i4>0</vt:i4>
      </vt:variant>
      <vt:variant>
        <vt:i4>5</vt:i4>
      </vt:variant>
      <vt:variant>
        <vt:lpwstr/>
      </vt:variant>
      <vt:variant>
        <vt:lpwstr>_Toc143524942</vt:lpwstr>
      </vt:variant>
      <vt:variant>
        <vt:i4>1441849</vt:i4>
      </vt:variant>
      <vt:variant>
        <vt:i4>140</vt:i4>
      </vt:variant>
      <vt:variant>
        <vt:i4>0</vt:i4>
      </vt:variant>
      <vt:variant>
        <vt:i4>5</vt:i4>
      </vt:variant>
      <vt:variant>
        <vt:lpwstr/>
      </vt:variant>
      <vt:variant>
        <vt:lpwstr>_Toc143524941</vt:lpwstr>
      </vt:variant>
      <vt:variant>
        <vt:i4>1441849</vt:i4>
      </vt:variant>
      <vt:variant>
        <vt:i4>134</vt:i4>
      </vt:variant>
      <vt:variant>
        <vt:i4>0</vt:i4>
      </vt:variant>
      <vt:variant>
        <vt:i4>5</vt:i4>
      </vt:variant>
      <vt:variant>
        <vt:lpwstr/>
      </vt:variant>
      <vt:variant>
        <vt:lpwstr>_Toc143524940</vt:lpwstr>
      </vt:variant>
      <vt:variant>
        <vt:i4>1114169</vt:i4>
      </vt:variant>
      <vt:variant>
        <vt:i4>128</vt:i4>
      </vt:variant>
      <vt:variant>
        <vt:i4>0</vt:i4>
      </vt:variant>
      <vt:variant>
        <vt:i4>5</vt:i4>
      </vt:variant>
      <vt:variant>
        <vt:lpwstr/>
      </vt:variant>
      <vt:variant>
        <vt:lpwstr>_Toc143524939</vt:lpwstr>
      </vt:variant>
      <vt:variant>
        <vt:i4>1114169</vt:i4>
      </vt:variant>
      <vt:variant>
        <vt:i4>122</vt:i4>
      </vt:variant>
      <vt:variant>
        <vt:i4>0</vt:i4>
      </vt:variant>
      <vt:variant>
        <vt:i4>5</vt:i4>
      </vt:variant>
      <vt:variant>
        <vt:lpwstr/>
      </vt:variant>
      <vt:variant>
        <vt:lpwstr>_Toc143524938</vt:lpwstr>
      </vt:variant>
      <vt:variant>
        <vt:i4>1114169</vt:i4>
      </vt:variant>
      <vt:variant>
        <vt:i4>116</vt:i4>
      </vt:variant>
      <vt:variant>
        <vt:i4>0</vt:i4>
      </vt:variant>
      <vt:variant>
        <vt:i4>5</vt:i4>
      </vt:variant>
      <vt:variant>
        <vt:lpwstr/>
      </vt:variant>
      <vt:variant>
        <vt:lpwstr>_Toc143524937</vt:lpwstr>
      </vt:variant>
      <vt:variant>
        <vt:i4>1114169</vt:i4>
      </vt:variant>
      <vt:variant>
        <vt:i4>110</vt:i4>
      </vt:variant>
      <vt:variant>
        <vt:i4>0</vt:i4>
      </vt:variant>
      <vt:variant>
        <vt:i4>5</vt:i4>
      </vt:variant>
      <vt:variant>
        <vt:lpwstr/>
      </vt:variant>
      <vt:variant>
        <vt:lpwstr>_Toc143524936</vt:lpwstr>
      </vt:variant>
      <vt:variant>
        <vt:i4>1114169</vt:i4>
      </vt:variant>
      <vt:variant>
        <vt:i4>104</vt:i4>
      </vt:variant>
      <vt:variant>
        <vt:i4>0</vt:i4>
      </vt:variant>
      <vt:variant>
        <vt:i4>5</vt:i4>
      </vt:variant>
      <vt:variant>
        <vt:lpwstr/>
      </vt:variant>
      <vt:variant>
        <vt:lpwstr>_Toc143524935</vt:lpwstr>
      </vt:variant>
      <vt:variant>
        <vt:i4>1114169</vt:i4>
      </vt:variant>
      <vt:variant>
        <vt:i4>98</vt:i4>
      </vt:variant>
      <vt:variant>
        <vt:i4>0</vt:i4>
      </vt:variant>
      <vt:variant>
        <vt:i4>5</vt:i4>
      </vt:variant>
      <vt:variant>
        <vt:lpwstr/>
      </vt:variant>
      <vt:variant>
        <vt:lpwstr>_Toc143524934</vt:lpwstr>
      </vt:variant>
      <vt:variant>
        <vt:i4>1114169</vt:i4>
      </vt:variant>
      <vt:variant>
        <vt:i4>92</vt:i4>
      </vt:variant>
      <vt:variant>
        <vt:i4>0</vt:i4>
      </vt:variant>
      <vt:variant>
        <vt:i4>5</vt:i4>
      </vt:variant>
      <vt:variant>
        <vt:lpwstr/>
      </vt:variant>
      <vt:variant>
        <vt:lpwstr>_Toc143524933</vt:lpwstr>
      </vt:variant>
      <vt:variant>
        <vt:i4>1114169</vt:i4>
      </vt:variant>
      <vt:variant>
        <vt:i4>86</vt:i4>
      </vt:variant>
      <vt:variant>
        <vt:i4>0</vt:i4>
      </vt:variant>
      <vt:variant>
        <vt:i4>5</vt:i4>
      </vt:variant>
      <vt:variant>
        <vt:lpwstr/>
      </vt:variant>
      <vt:variant>
        <vt:lpwstr>_Toc143524932</vt:lpwstr>
      </vt:variant>
      <vt:variant>
        <vt:i4>1114169</vt:i4>
      </vt:variant>
      <vt:variant>
        <vt:i4>80</vt:i4>
      </vt:variant>
      <vt:variant>
        <vt:i4>0</vt:i4>
      </vt:variant>
      <vt:variant>
        <vt:i4>5</vt:i4>
      </vt:variant>
      <vt:variant>
        <vt:lpwstr/>
      </vt:variant>
      <vt:variant>
        <vt:lpwstr>_Toc143524931</vt:lpwstr>
      </vt:variant>
      <vt:variant>
        <vt:i4>1114169</vt:i4>
      </vt:variant>
      <vt:variant>
        <vt:i4>74</vt:i4>
      </vt:variant>
      <vt:variant>
        <vt:i4>0</vt:i4>
      </vt:variant>
      <vt:variant>
        <vt:i4>5</vt:i4>
      </vt:variant>
      <vt:variant>
        <vt:lpwstr/>
      </vt:variant>
      <vt:variant>
        <vt:lpwstr>_Toc143524930</vt:lpwstr>
      </vt:variant>
      <vt:variant>
        <vt:i4>1048633</vt:i4>
      </vt:variant>
      <vt:variant>
        <vt:i4>68</vt:i4>
      </vt:variant>
      <vt:variant>
        <vt:i4>0</vt:i4>
      </vt:variant>
      <vt:variant>
        <vt:i4>5</vt:i4>
      </vt:variant>
      <vt:variant>
        <vt:lpwstr/>
      </vt:variant>
      <vt:variant>
        <vt:lpwstr>_Toc143524929</vt:lpwstr>
      </vt:variant>
      <vt:variant>
        <vt:i4>1048633</vt:i4>
      </vt:variant>
      <vt:variant>
        <vt:i4>62</vt:i4>
      </vt:variant>
      <vt:variant>
        <vt:i4>0</vt:i4>
      </vt:variant>
      <vt:variant>
        <vt:i4>5</vt:i4>
      </vt:variant>
      <vt:variant>
        <vt:lpwstr/>
      </vt:variant>
      <vt:variant>
        <vt:lpwstr>_Toc143524928</vt:lpwstr>
      </vt:variant>
      <vt:variant>
        <vt:i4>1048633</vt:i4>
      </vt:variant>
      <vt:variant>
        <vt:i4>56</vt:i4>
      </vt:variant>
      <vt:variant>
        <vt:i4>0</vt:i4>
      </vt:variant>
      <vt:variant>
        <vt:i4>5</vt:i4>
      </vt:variant>
      <vt:variant>
        <vt:lpwstr/>
      </vt:variant>
      <vt:variant>
        <vt:lpwstr>_Toc143524927</vt:lpwstr>
      </vt:variant>
      <vt:variant>
        <vt:i4>1048633</vt:i4>
      </vt:variant>
      <vt:variant>
        <vt:i4>50</vt:i4>
      </vt:variant>
      <vt:variant>
        <vt:i4>0</vt:i4>
      </vt:variant>
      <vt:variant>
        <vt:i4>5</vt:i4>
      </vt:variant>
      <vt:variant>
        <vt:lpwstr/>
      </vt:variant>
      <vt:variant>
        <vt:lpwstr>_Toc143524926</vt:lpwstr>
      </vt:variant>
      <vt:variant>
        <vt:i4>1048633</vt:i4>
      </vt:variant>
      <vt:variant>
        <vt:i4>44</vt:i4>
      </vt:variant>
      <vt:variant>
        <vt:i4>0</vt:i4>
      </vt:variant>
      <vt:variant>
        <vt:i4>5</vt:i4>
      </vt:variant>
      <vt:variant>
        <vt:lpwstr/>
      </vt:variant>
      <vt:variant>
        <vt:lpwstr>_Toc143524925</vt:lpwstr>
      </vt:variant>
      <vt:variant>
        <vt:i4>1048633</vt:i4>
      </vt:variant>
      <vt:variant>
        <vt:i4>38</vt:i4>
      </vt:variant>
      <vt:variant>
        <vt:i4>0</vt:i4>
      </vt:variant>
      <vt:variant>
        <vt:i4>5</vt:i4>
      </vt:variant>
      <vt:variant>
        <vt:lpwstr/>
      </vt:variant>
      <vt:variant>
        <vt:lpwstr>_Toc143524924</vt:lpwstr>
      </vt:variant>
      <vt:variant>
        <vt:i4>1048633</vt:i4>
      </vt:variant>
      <vt:variant>
        <vt:i4>32</vt:i4>
      </vt:variant>
      <vt:variant>
        <vt:i4>0</vt:i4>
      </vt:variant>
      <vt:variant>
        <vt:i4>5</vt:i4>
      </vt:variant>
      <vt:variant>
        <vt:lpwstr/>
      </vt:variant>
      <vt:variant>
        <vt:lpwstr>_Toc143524923</vt:lpwstr>
      </vt:variant>
      <vt:variant>
        <vt:i4>1048633</vt:i4>
      </vt:variant>
      <vt:variant>
        <vt:i4>26</vt:i4>
      </vt:variant>
      <vt:variant>
        <vt:i4>0</vt:i4>
      </vt:variant>
      <vt:variant>
        <vt:i4>5</vt:i4>
      </vt:variant>
      <vt:variant>
        <vt:lpwstr/>
      </vt:variant>
      <vt:variant>
        <vt:lpwstr>_Toc143524922</vt:lpwstr>
      </vt:variant>
      <vt:variant>
        <vt:i4>1048633</vt:i4>
      </vt:variant>
      <vt:variant>
        <vt:i4>20</vt:i4>
      </vt:variant>
      <vt:variant>
        <vt:i4>0</vt:i4>
      </vt:variant>
      <vt:variant>
        <vt:i4>5</vt:i4>
      </vt:variant>
      <vt:variant>
        <vt:lpwstr/>
      </vt:variant>
      <vt:variant>
        <vt:lpwstr>_Toc143524921</vt:lpwstr>
      </vt:variant>
      <vt:variant>
        <vt:i4>1048633</vt:i4>
      </vt:variant>
      <vt:variant>
        <vt:i4>14</vt:i4>
      </vt:variant>
      <vt:variant>
        <vt:i4>0</vt:i4>
      </vt:variant>
      <vt:variant>
        <vt:i4>5</vt:i4>
      </vt:variant>
      <vt:variant>
        <vt:lpwstr/>
      </vt:variant>
      <vt:variant>
        <vt:lpwstr>_Toc143524920</vt:lpwstr>
      </vt:variant>
      <vt:variant>
        <vt:i4>1245241</vt:i4>
      </vt:variant>
      <vt:variant>
        <vt:i4>8</vt:i4>
      </vt:variant>
      <vt:variant>
        <vt:i4>0</vt:i4>
      </vt:variant>
      <vt:variant>
        <vt:i4>5</vt:i4>
      </vt:variant>
      <vt:variant>
        <vt:lpwstr/>
      </vt:variant>
      <vt:variant>
        <vt:lpwstr>_Toc143524919</vt:lpwstr>
      </vt:variant>
      <vt:variant>
        <vt:i4>1245241</vt:i4>
      </vt:variant>
      <vt:variant>
        <vt:i4>2</vt:i4>
      </vt:variant>
      <vt:variant>
        <vt:i4>0</vt:i4>
      </vt:variant>
      <vt:variant>
        <vt:i4>5</vt:i4>
      </vt:variant>
      <vt:variant>
        <vt:lpwstr/>
      </vt:variant>
      <vt:variant>
        <vt:lpwstr>_Toc143524918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2023-10-26T00:23:00Z</dcterms:created>
  <dcterms:modified xsi:type="dcterms:W3CDTF">2023-10-26T00:24:00Z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0x0101005486FF4D2A41DE4E97B7091EB0F3FB13</vt:lpwstr>
  </property>
  <property fmtid="{D5CDD505-2E9C-101B-9397-08002B2CF9AE}" pid="3" name="MSIP_Label_2b83f8d7-e91f-4eee-a336-52a8061c0503_Enabled">
    <vt:lpwstr>true</vt:lpwstr>
  </property>
  <property fmtid="{D5CDD505-2E9C-101B-9397-08002B2CF9AE}" pid="4" name="MSIP_Label_2b83f8d7-e91f-4eee-a336-52a8061c0503_SetDate">
    <vt:lpwstr>2023-05-12T03:05:13Z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38b55e67-a750-423d-9e9b-100325f58db9</vt:lpwstr>
  </property>
  <property fmtid="{D5CDD505-2E9C-101B-9397-08002B2CF9AE}" pid="9" name="MSIP_Label_2b83f8d7-e91f-4eee-a336-52a8061c0503_ContentBits">
    <vt:lpwstr>0</vt:lpwstr>
  </property>
  <property fmtid="{D5CDD505-2E9C-101B-9397-08002B2CF9AE}" pid="10" name="MediaServiceImageTags">
    <vt:lpwstr/>
  </property>
</Properties>
</file>