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10" w:rsidRDefault="00F6511D" w:rsidP="00F6511D">
      <w:pPr>
        <w:pStyle w:val="Title"/>
        <w:rPr>
          <w:lang w:eastAsia="zh-CN"/>
        </w:rPr>
      </w:pPr>
      <w:r w:rsidRPr="005F4BD0">
        <w:t>Intergovernmental Agreement</w:t>
      </w:r>
      <w:r>
        <w:t xml:space="preserve"> </w:t>
      </w:r>
      <w:r w:rsidRPr="005F4BD0">
        <w:t>for the National Disability Insurance Scheme (NDIS) Launch</w:t>
      </w:r>
    </w:p>
    <w:p w:rsidR="001725DC" w:rsidRDefault="001725DC" w:rsidP="0012161F">
      <w:pPr>
        <w:sectPr w:rsidR="001725DC" w:rsidSect="0036785F">
          <w:footerReference w:type="even" r:id="rId8"/>
          <w:footerReference w:type="default" r:id="rId9"/>
          <w:pgSz w:w="11906" w:h="16838" w:code="9"/>
          <w:pgMar w:top="1418" w:right="1418" w:bottom="1418" w:left="1418" w:header="1418" w:footer="1418" w:gutter="0"/>
          <w:cols w:space="708"/>
          <w:docGrid w:linePitch="360"/>
        </w:sectPr>
      </w:pPr>
    </w:p>
    <w:p w:rsidR="00E54916" w:rsidRPr="005F4BD0" w:rsidRDefault="00E54916" w:rsidP="00E54916">
      <w:pPr>
        <w:pStyle w:val="Heading1"/>
      </w:pPr>
      <w:r w:rsidRPr="005F4BD0">
        <w:lastRenderedPageBreak/>
        <w:t xml:space="preserve">Part 1 — Preliminaries </w:t>
      </w:r>
    </w:p>
    <w:p w:rsidR="00E54916" w:rsidRPr="00E54916" w:rsidRDefault="00A6378F" w:rsidP="00A6378F">
      <w:pPr>
        <w:ind w:left="562" w:hanging="562"/>
        <w:rPr>
          <w:szCs w:val="20"/>
        </w:rPr>
      </w:pPr>
      <w:r>
        <w:rPr>
          <w:szCs w:val="20"/>
        </w:rPr>
        <w:t>1.</w:t>
      </w:r>
      <w:r>
        <w:rPr>
          <w:szCs w:val="20"/>
        </w:rPr>
        <w:tab/>
      </w:r>
      <w:r w:rsidR="00E54916" w:rsidRPr="00E54916">
        <w:rPr>
          <w:szCs w:val="20"/>
        </w:rPr>
        <w:t xml:space="preserve">The Commonwealth of Australia (the Commonwealth) and States and Territories </w:t>
      </w:r>
      <w:r w:rsidR="00E54916" w:rsidRPr="00E54916">
        <w:rPr>
          <w:szCs w:val="20"/>
        </w:rPr>
        <w:br/>
        <w:t xml:space="preserve">(the States) are committed to a National Disability Insurance Scheme (NDIS).  The development and implementation of an NDIS will be a shared responsibility of the Commonwealth and the States. </w:t>
      </w:r>
    </w:p>
    <w:p w:rsidR="00E54916" w:rsidRPr="00E54916" w:rsidRDefault="00A6378F" w:rsidP="00A6378F">
      <w:pPr>
        <w:ind w:left="562" w:hanging="562"/>
        <w:rPr>
          <w:szCs w:val="20"/>
        </w:rPr>
      </w:pPr>
      <w:r>
        <w:rPr>
          <w:szCs w:val="20"/>
        </w:rPr>
        <w:t>2.</w:t>
      </w:r>
      <w:r>
        <w:rPr>
          <w:szCs w:val="20"/>
        </w:rPr>
        <w:tab/>
      </w:r>
      <w:r w:rsidR="00E54916" w:rsidRPr="00E54916">
        <w:rPr>
          <w:szCs w:val="20"/>
        </w:rPr>
        <w:t>Governments agree this is a substantial and important reform that will fundamentally change the nature of disability care and support in Australia. While the Commonwealth and the States continue to work towards a full scheme, work on implementing the first stage of an NDIS will start immediately. This Agreement covers the objectives, roles and responsibilities of all parties during the first stage of the NDIS, and provides a framework for progressing to a full scheme.</w:t>
      </w:r>
    </w:p>
    <w:p w:rsidR="00E54916" w:rsidRPr="00E54916" w:rsidRDefault="00A6378F" w:rsidP="00A6378F">
      <w:pPr>
        <w:ind w:left="562" w:hanging="562"/>
        <w:rPr>
          <w:szCs w:val="20"/>
        </w:rPr>
      </w:pPr>
      <w:r>
        <w:rPr>
          <w:szCs w:val="20"/>
        </w:rPr>
        <w:t>3.</w:t>
      </w:r>
      <w:r>
        <w:rPr>
          <w:szCs w:val="20"/>
        </w:rPr>
        <w:tab/>
      </w:r>
      <w:r w:rsidR="00E54916" w:rsidRPr="00E54916">
        <w:rPr>
          <w:szCs w:val="20"/>
        </w:rPr>
        <w:t>The lessons learned in implementing the first stage will inform governments about when and how to proceed to a full scheme. All Parties agree that the arrangements for launch sites do not set a precedent for design, funding, governance or operational arrangements for a full scheme.</w:t>
      </w:r>
    </w:p>
    <w:p w:rsidR="00E54916" w:rsidRPr="00E54916" w:rsidRDefault="00A6378F" w:rsidP="00A6378F">
      <w:pPr>
        <w:ind w:left="562" w:hanging="562"/>
        <w:rPr>
          <w:szCs w:val="20"/>
        </w:rPr>
      </w:pPr>
      <w:r>
        <w:rPr>
          <w:szCs w:val="20"/>
        </w:rPr>
        <w:t>4.</w:t>
      </w:r>
      <w:r>
        <w:rPr>
          <w:szCs w:val="20"/>
        </w:rPr>
        <w:tab/>
      </w:r>
      <w:r w:rsidR="00E54916" w:rsidRPr="00E54916">
        <w:rPr>
          <w:szCs w:val="20"/>
        </w:rPr>
        <w:t>All parties agree to continue refining and further developing an NDIS over time and recognise that this will require a careful and considered approach by all levels of government.</w:t>
      </w:r>
    </w:p>
    <w:p w:rsidR="00E54916" w:rsidRPr="00E54916" w:rsidRDefault="00E54916" w:rsidP="00A6378F">
      <w:pPr>
        <w:pStyle w:val="Heading1"/>
      </w:pPr>
      <w:r w:rsidRPr="00E54916">
        <w:t xml:space="preserve">Part 2 — </w:t>
      </w:r>
      <w:r w:rsidR="00A6378F" w:rsidRPr="00E54916">
        <w:t xml:space="preserve">Parties </w:t>
      </w:r>
      <w:r w:rsidRPr="00E54916">
        <w:t xml:space="preserve">and </w:t>
      </w:r>
      <w:r w:rsidR="00A6378F" w:rsidRPr="00E54916">
        <w:t xml:space="preserve">Operation </w:t>
      </w:r>
      <w:r w:rsidRPr="00E54916">
        <w:t xml:space="preserve">of </w:t>
      </w:r>
      <w:r w:rsidR="00A6378F" w:rsidRPr="00E54916">
        <w:t>Agreement</w:t>
      </w:r>
    </w:p>
    <w:p w:rsidR="00E54916" w:rsidRPr="000C65A6" w:rsidRDefault="00E54916" w:rsidP="000C65A6">
      <w:pPr>
        <w:pStyle w:val="Heading2"/>
      </w:pPr>
      <w:r w:rsidRPr="000C65A6">
        <w:t>Parties to this Agreement</w:t>
      </w:r>
    </w:p>
    <w:p w:rsidR="00E54916" w:rsidRPr="00E54916" w:rsidRDefault="00A6378F" w:rsidP="00A6378F">
      <w:pPr>
        <w:ind w:left="562" w:hanging="562"/>
        <w:rPr>
          <w:szCs w:val="20"/>
        </w:rPr>
      </w:pPr>
      <w:r>
        <w:rPr>
          <w:szCs w:val="20"/>
        </w:rPr>
        <w:t>5.</w:t>
      </w:r>
      <w:r>
        <w:rPr>
          <w:szCs w:val="20"/>
        </w:rPr>
        <w:tab/>
      </w:r>
      <w:r w:rsidR="00E54916" w:rsidRPr="00E54916">
        <w:rPr>
          <w:szCs w:val="20"/>
        </w:rPr>
        <w:t>This Agreement is between the Commonwealth and signatory States to the Agreement.</w:t>
      </w:r>
    </w:p>
    <w:p w:rsidR="00E54916" w:rsidRPr="00A6378F" w:rsidRDefault="00E54916" w:rsidP="000C65A6">
      <w:pPr>
        <w:pStyle w:val="Heading2"/>
      </w:pPr>
      <w:r w:rsidRPr="00A6378F">
        <w:t>Commencement of the Agreement</w:t>
      </w:r>
    </w:p>
    <w:p w:rsidR="00E54916" w:rsidRPr="00E54916" w:rsidRDefault="00A6378F" w:rsidP="00A6378F">
      <w:pPr>
        <w:ind w:left="562" w:hanging="562"/>
        <w:rPr>
          <w:bCs/>
          <w:iCs/>
          <w:szCs w:val="20"/>
        </w:rPr>
      </w:pPr>
      <w:r>
        <w:rPr>
          <w:bCs/>
          <w:iCs/>
          <w:szCs w:val="20"/>
        </w:rPr>
        <w:t>6.</w:t>
      </w:r>
      <w:r>
        <w:rPr>
          <w:bCs/>
          <w:iCs/>
          <w:szCs w:val="20"/>
        </w:rPr>
        <w:tab/>
      </w:r>
      <w:r w:rsidR="00E54916" w:rsidRPr="00E54916">
        <w:rPr>
          <w:bCs/>
          <w:iCs/>
          <w:szCs w:val="20"/>
        </w:rPr>
        <w:t>This Agreement will commence as soon as the Commonwealth and one host jurisdiction signs the Agreement.</w:t>
      </w:r>
      <w:r w:rsidR="00E54916" w:rsidRPr="00E54916" w:rsidDel="0088666E">
        <w:rPr>
          <w:bCs/>
          <w:iCs/>
          <w:szCs w:val="20"/>
        </w:rPr>
        <w:t xml:space="preserve"> </w:t>
      </w:r>
    </w:p>
    <w:p w:rsidR="00E54916" w:rsidRPr="00A6378F" w:rsidRDefault="00E54916" w:rsidP="000C65A6">
      <w:pPr>
        <w:pStyle w:val="Heading2"/>
      </w:pPr>
      <w:r w:rsidRPr="00A6378F">
        <w:t xml:space="preserve">Duration of the Agreement </w:t>
      </w:r>
    </w:p>
    <w:p w:rsidR="00E54916" w:rsidRPr="00E54916" w:rsidRDefault="00A6378F" w:rsidP="00A6378F">
      <w:pPr>
        <w:ind w:left="562" w:hanging="562"/>
        <w:rPr>
          <w:szCs w:val="20"/>
        </w:rPr>
      </w:pPr>
      <w:bookmarkStart w:id="0" w:name="_Ref341682173"/>
      <w:r>
        <w:rPr>
          <w:szCs w:val="20"/>
        </w:rPr>
        <w:t>7.</w:t>
      </w:r>
      <w:r>
        <w:rPr>
          <w:szCs w:val="20"/>
        </w:rPr>
        <w:tab/>
      </w:r>
      <w:r w:rsidR="00E54916" w:rsidRPr="00E54916">
        <w:rPr>
          <w:szCs w:val="20"/>
        </w:rPr>
        <w:t>This Agreement covers the period of launch, until replaced by a transitional agreement for a full scheme or an agreement covering ongoing support to launch participants supported in the first stage of the NDIS.</w:t>
      </w:r>
      <w:bookmarkEnd w:id="0"/>
      <w:r w:rsidR="00E54916" w:rsidRPr="00E54916">
        <w:rPr>
          <w:szCs w:val="20"/>
        </w:rPr>
        <w:t xml:space="preserve"> </w:t>
      </w:r>
    </w:p>
    <w:p w:rsidR="00E54916" w:rsidRPr="00E54916" w:rsidRDefault="00E54916" w:rsidP="000C65A6">
      <w:pPr>
        <w:pStyle w:val="Heading2"/>
      </w:pPr>
      <w:r w:rsidRPr="00E54916">
        <w:t>Interoperability with other instruments</w:t>
      </w:r>
    </w:p>
    <w:p w:rsidR="00E54916" w:rsidRPr="00E54916" w:rsidRDefault="00A6378F" w:rsidP="00A6378F">
      <w:pPr>
        <w:ind w:left="562" w:hanging="562"/>
        <w:rPr>
          <w:szCs w:val="20"/>
        </w:rPr>
      </w:pPr>
      <w:r>
        <w:rPr>
          <w:szCs w:val="20"/>
        </w:rPr>
        <w:t>8.</w:t>
      </w:r>
      <w:r>
        <w:rPr>
          <w:szCs w:val="20"/>
        </w:rPr>
        <w:tab/>
      </w:r>
      <w:r w:rsidR="00E54916" w:rsidRPr="00E54916">
        <w:rPr>
          <w:szCs w:val="20"/>
        </w:rPr>
        <w:t>This Agreement is to be read in conjunction with National Disability Insurance Scheme Bill 2012, as enacted into legislation, and other relevant Commonwealth and State legislation.</w:t>
      </w:r>
    </w:p>
    <w:p w:rsidR="00E54916" w:rsidRPr="00E54916" w:rsidRDefault="00E54916" w:rsidP="00E54916">
      <w:pPr>
        <w:rPr>
          <w:szCs w:val="20"/>
        </w:rPr>
      </w:pPr>
      <w:r w:rsidRPr="00E54916">
        <w:rPr>
          <w:b/>
          <w:bCs/>
          <w:iCs/>
          <w:szCs w:val="20"/>
        </w:rPr>
        <w:t>Interoperability with bilateral agreements and implementation plans</w:t>
      </w:r>
    </w:p>
    <w:p w:rsidR="00E54916" w:rsidRPr="00E54916" w:rsidRDefault="00A6378F" w:rsidP="00A6378F">
      <w:pPr>
        <w:ind w:left="562" w:hanging="562"/>
        <w:rPr>
          <w:szCs w:val="20"/>
        </w:rPr>
      </w:pPr>
      <w:r>
        <w:rPr>
          <w:szCs w:val="20"/>
        </w:rPr>
        <w:t>9.</w:t>
      </w:r>
      <w:r>
        <w:rPr>
          <w:szCs w:val="20"/>
        </w:rPr>
        <w:tab/>
      </w:r>
      <w:r w:rsidR="00E54916" w:rsidRPr="00E54916">
        <w:rPr>
          <w:szCs w:val="20"/>
        </w:rPr>
        <w:t xml:space="preserve">This Agreement is to be read in conjunction with the following Schedules which supplement this Agreement and set out the specific arrangements that have been agreed between the Commonwealth and host jurisdictions: </w:t>
      </w:r>
    </w:p>
    <w:p w:rsidR="00E54916" w:rsidRPr="00E54916" w:rsidRDefault="00A6378F" w:rsidP="00A6378F">
      <w:pPr>
        <w:ind w:left="1123" w:hanging="562"/>
        <w:rPr>
          <w:color w:val="000000"/>
          <w:szCs w:val="20"/>
        </w:rPr>
      </w:pPr>
      <w:r>
        <w:rPr>
          <w:color w:val="000000"/>
          <w:szCs w:val="20"/>
        </w:rPr>
        <w:lastRenderedPageBreak/>
        <w:t>a.</w:t>
      </w:r>
      <w:r>
        <w:rPr>
          <w:color w:val="000000"/>
          <w:szCs w:val="20"/>
        </w:rPr>
        <w:tab/>
      </w:r>
      <w:r w:rsidR="00E54916" w:rsidRPr="00E54916">
        <w:rPr>
          <w:color w:val="000000"/>
          <w:szCs w:val="20"/>
        </w:rPr>
        <w:t>New South Wales – Schedule A;</w:t>
      </w:r>
    </w:p>
    <w:p w:rsidR="00E54916" w:rsidRPr="00E54916" w:rsidRDefault="00A6378F" w:rsidP="00A6378F">
      <w:pPr>
        <w:ind w:left="1123" w:hanging="562"/>
        <w:rPr>
          <w:color w:val="000000"/>
          <w:szCs w:val="20"/>
        </w:rPr>
      </w:pPr>
      <w:r>
        <w:rPr>
          <w:color w:val="000000"/>
          <w:szCs w:val="20"/>
        </w:rPr>
        <w:t>b.</w:t>
      </w:r>
      <w:r>
        <w:rPr>
          <w:color w:val="000000"/>
          <w:szCs w:val="20"/>
        </w:rPr>
        <w:tab/>
      </w:r>
      <w:r w:rsidR="00E54916" w:rsidRPr="00E54916">
        <w:rPr>
          <w:color w:val="000000"/>
          <w:szCs w:val="20"/>
        </w:rPr>
        <w:t>Victoria – Schedule B;</w:t>
      </w:r>
    </w:p>
    <w:p w:rsidR="00E54916" w:rsidRPr="00E54916" w:rsidRDefault="00A6378F" w:rsidP="00A6378F">
      <w:pPr>
        <w:ind w:left="1123" w:hanging="562"/>
        <w:rPr>
          <w:color w:val="000000"/>
          <w:szCs w:val="20"/>
        </w:rPr>
      </w:pPr>
      <w:r>
        <w:rPr>
          <w:color w:val="000000"/>
          <w:szCs w:val="20"/>
        </w:rPr>
        <w:t>c.</w:t>
      </w:r>
      <w:r>
        <w:rPr>
          <w:color w:val="000000"/>
          <w:szCs w:val="20"/>
        </w:rPr>
        <w:tab/>
      </w:r>
      <w:r w:rsidR="00E54916" w:rsidRPr="00E54916">
        <w:rPr>
          <w:color w:val="000000"/>
          <w:szCs w:val="20"/>
        </w:rPr>
        <w:t>South Australia – Schedule C;</w:t>
      </w:r>
    </w:p>
    <w:p w:rsidR="00E54916" w:rsidRPr="00E54916" w:rsidRDefault="00A6378F" w:rsidP="00A6378F">
      <w:pPr>
        <w:ind w:left="1123" w:hanging="562"/>
        <w:rPr>
          <w:color w:val="000000"/>
          <w:szCs w:val="20"/>
        </w:rPr>
      </w:pPr>
      <w:r>
        <w:rPr>
          <w:color w:val="000000"/>
          <w:szCs w:val="20"/>
        </w:rPr>
        <w:t>d.</w:t>
      </w:r>
      <w:r>
        <w:rPr>
          <w:color w:val="000000"/>
          <w:szCs w:val="20"/>
        </w:rPr>
        <w:tab/>
      </w:r>
      <w:r w:rsidR="00E54916" w:rsidRPr="00E54916">
        <w:rPr>
          <w:color w:val="000000"/>
          <w:szCs w:val="20"/>
        </w:rPr>
        <w:t>Tasmania – Schedule D; and</w:t>
      </w:r>
    </w:p>
    <w:p w:rsidR="00E54916" w:rsidRPr="00E54916" w:rsidRDefault="00A6378F" w:rsidP="00A6378F">
      <w:pPr>
        <w:ind w:left="1123" w:hanging="562"/>
        <w:rPr>
          <w:color w:val="000000"/>
          <w:szCs w:val="20"/>
        </w:rPr>
      </w:pPr>
      <w:r>
        <w:rPr>
          <w:color w:val="000000"/>
          <w:szCs w:val="20"/>
        </w:rPr>
        <w:t>e.</w:t>
      </w:r>
      <w:r>
        <w:rPr>
          <w:color w:val="000000"/>
          <w:szCs w:val="20"/>
        </w:rPr>
        <w:tab/>
      </w:r>
      <w:r w:rsidR="00E54916" w:rsidRPr="00E54916">
        <w:rPr>
          <w:color w:val="000000"/>
          <w:szCs w:val="20"/>
        </w:rPr>
        <w:t>Australian Capital Territory – Schedule E.</w:t>
      </w:r>
    </w:p>
    <w:p w:rsidR="00E54916" w:rsidRPr="00E54916" w:rsidRDefault="00A6378F" w:rsidP="00A6378F">
      <w:pPr>
        <w:ind w:left="562" w:hanging="562"/>
        <w:rPr>
          <w:szCs w:val="20"/>
        </w:rPr>
      </w:pPr>
      <w:r>
        <w:rPr>
          <w:szCs w:val="20"/>
        </w:rPr>
        <w:t>10.</w:t>
      </w:r>
      <w:r>
        <w:rPr>
          <w:szCs w:val="20"/>
        </w:rPr>
        <w:tab/>
      </w:r>
      <w:r w:rsidR="00E54916" w:rsidRPr="00E54916">
        <w:rPr>
          <w:szCs w:val="20"/>
        </w:rPr>
        <w:t xml:space="preserve">This Agreement is also to be read in conjunction with implementation plans which the NDIS Launch Transition Agency (Agency) will develop for the first stage of the NDIS in each launch site, jointly with each host jurisdiction. The implementation plans will be focussed on the operations of the Agency in launch sites, and will: </w:t>
      </w:r>
    </w:p>
    <w:p w:rsidR="00E54916" w:rsidRPr="00E54916" w:rsidRDefault="00A6378F" w:rsidP="00A6378F">
      <w:pPr>
        <w:ind w:left="1123" w:hanging="562"/>
        <w:rPr>
          <w:szCs w:val="20"/>
        </w:rPr>
      </w:pPr>
      <w:proofErr w:type="gramStart"/>
      <w:r>
        <w:rPr>
          <w:szCs w:val="20"/>
        </w:rPr>
        <w:t>a</w:t>
      </w:r>
      <w:proofErr w:type="gramEnd"/>
      <w:r>
        <w:rPr>
          <w:szCs w:val="20"/>
        </w:rPr>
        <w:t>.</w:t>
      </w:r>
      <w:r>
        <w:rPr>
          <w:szCs w:val="20"/>
        </w:rPr>
        <w:tab/>
      </w:r>
      <w:r w:rsidR="00E54916" w:rsidRPr="00E54916">
        <w:rPr>
          <w:szCs w:val="20"/>
        </w:rPr>
        <w:t xml:space="preserve">specify the roles, responsibilities and accountabilities of the Agency, the Commonwealth and host jurisdictions for the implementation of the first stage of the NDIS and the operation of launch sites; </w:t>
      </w:r>
    </w:p>
    <w:p w:rsidR="00E54916" w:rsidRPr="00E54916" w:rsidRDefault="00A6378F" w:rsidP="00A6378F">
      <w:pPr>
        <w:ind w:left="1123" w:hanging="562"/>
        <w:rPr>
          <w:szCs w:val="20"/>
        </w:rPr>
      </w:pPr>
      <w:proofErr w:type="gramStart"/>
      <w:r>
        <w:rPr>
          <w:szCs w:val="20"/>
        </w:rPr>
        <w:t>b</w:t>
      </w:r>
      <w:proofErr w:type="gramEnd"/>
      <w:r>
        <w:rPr>
          <w:szCs w:val="20"/>
        </w:rPr>
        <w:t>.</w:t>
      </w:r>
      <w:r>
        <w:rPr>
          <w:szCs w:val="20"/>
        </w:rPr>
        <w:tab/>
      </w:r>
      <w:r w:rsidR="00E54916" w:rsidRPr="00E54916">
        <w:rPr>
          <w:szCs w:val="20"/>
        </w:rPr>
        <w:t>set out the implementation timeline, including critical milestones and interdependencies; and</w:t>
      </w:r>
    </w:p>
    <w:p w:rsidR="00E54916" w:rsidRPr="00E54916" w:rsidRDefault="00A6378F" w:rsidP="00A6378F">
      <w:pPr>
        <w:ind w:left="1123" w:hanging="562"/>
        <w:rPr>
          <w:szCs w:val="20"/>
        </w:rPr>
      </w:pPr>
      <w:proofErr w:type="gramStart"/>
      <w:r>
        <w:rPr>
          <w:szCs w:val="20"/>
        </w:rPr>
        <w:t>c</w:t>
      </w:r>
      <w:proofErr w:type="gramEnd"/>
      <w:r>
        <w:rPr>
          <w:szCs w:val="20"/>
        </w:rPr>
        <w:t>.</w:t>
      </w:r>
      <w:r>
        <w:rPr>
          <w:szCs w:val="20"/>
        </w:rPr>
        <w:tab/>
      </w:r>
      <w:r w:rsidR="00E54916" w:rsidRPr="00E54916">
        <w:rPr>
          <w:szCs w:val="20"/>
        </w:rPr>
        <w:t xml:space="preserve">take account of the particular circumstances in each host jurisdiction, including existing service delivery arrangements and infrastructure. </w:t>
      </w:r>
    </w:p>
    <w:p w:rsidR="00E54916" w:rsidRPr="00E54916" w:rsidRDefault="00A6378F" w:rsidP="00A6378F">
      <w:pPr>
        <w:pStyle w:val="Heading1"/>
      </w:pPr>
      <w:r w:rsidRPr="00E54916">
        <w:t xml:space="preserve">Part </w:t>
      </w:r>
      <w:r w:rsidR="00E54916" w:rsidRPr="00E54916">
        <w:t xml:space="preserve">3 — </w:t>
      </w:r>
      <w:r w:rsidRPr="00E54916">
        <w:t xml:space="preserve">Objectives </w:t>
      </w:r>
    </w:p>
    <w:p w:rsidR="00E54916" w:rsidRPr="00E54916" w:rsidRDefault="00E54916" w:rsidP="000C65A6">
      <w:pPr>
        <w:pStyle w:val="Heading2"/>
      </w:pPr>
      <w:r w:rsidRPr="00E54916">
        <w:t>Role and purpose of this Agreement</w:t>
      </w:r>
    </w:p>
    <w:p w:rsidR="00E54916" w:rsidRPr="00E54916" w:rsidRDefault="00A6378F" w:rsidP="00A6378F">
      <w:pPr>
        <w:ind w:left="562" w:hanging="562"/>
        <w:rPr>
          <w:szCs w:val="20"/>
        </w:rPr>
      </w:pPr>
      <w:r>
        <w:rPr>
          <w:szCs w:val="20"/>
        </w:rPr>
        <w:t>11.</w:t>
      </w:r>
      <w:r>
        <w:rPr>
          <w:szCs w:val="20"/>
        </w:rPr>
        <w:tab/>
      </w:r>
      <w:r w:rsidR="00E54916" w:rsidRPr="00E54916">
        <w:rPr>
          <w:szCs w:val="20"/>
        </w:rPr>
        <w:t xml:space="preserve">This Agreement provides the foundation for governments to work together to develop and implement the first stage of an NDIS. In addition, the Agreement provides Parties with the framework for progressing to a full scheme by: </w:t>
      </w:r>
    </w:p>
    <w:p w:rsidR="00E54916" w:rsidRPr="00E54916" w:rsidRDefault="00A6378F" w:rsidP="00A6378F">
      <w:pPr>
        <w:ind w:left="1123" w:hanging="562"/>
        <w:rPr>
          <w:szCs w:val="20"/>
        </w:rPr>
      </w:pPr>
      <w:proofErr w:type="gramStart"/>
      <w:r>
        <w:rPr>
          <w:szCs w:val="20"/>
        </w:rPr>
        <w:t>a</w:t>
      </w:r>
      <w:proofErr w:type="gramEnd"/>
      <w:r>
        <w:rPr>
          <w:szCs w:val="20"/>
        </w:rPr>
        <w:t>.</w:t>
      </w:r>
      <w:r>
        <w:rPr>
          <w:szCs w:val="20"/>
        </w:rPr>
        <w:tab/>
      </w:r>
      <w:r w:rsidR="00E54916" w:rsidRPr="00E54916">
        <w:rPr>
          <w:szCs w:val="20"/>
        </w:rPr>
        <w:t>setting out shared roles and responsibilities for working collaboratively on the policy for a full scheme;</w:t>
      </w:r>
    </w:p>
    <w:p w:rsidR="00E54916" w:rsidRPr="00E54916" w:rsidRDefault="00A6378F" w:rsidP="00A6378F">
      <w:pPr>
        <w:ind w:left="1123" w:hanging="562"/>
        <w:rPr>
          <w:szCs w:val="20"/>
        </w:rPr>
      </w:pPr>
      <w:r>
        <w:rPr>
          <w:szCs w:val="20"/>
        </w:rPr>
        <w:t>b.</w:t>
      </w:r>
      <w:r>
        <w:rPr>
          <w:szCs w:val="20"/>
        </w:rPr>
        <w:tab/>
      </w:r>
      <w:r w:rsidR="00E54916" w:rsidRPr="00E54916">
        <w:rPr>
          <w:szCs w:val="20"/>
        </w:rPr>
        <w:t>establishing arrangements for the Ministerial Council which will be responsible for formulating advice and agreeing policy on matters arising from launch, and related to the transition to a full scheme; and</w:t>
      </w:r>
    </w:p>
    <w:p w:rsidR="00E54916" w:rsidRPr="00E54916" w:rsidRDefault="00A6378F" w:rsidP="00A6378F">
      <w:pPr>
        <w:ind w:left="1123" w:hanging="562"/>
        <w:rPr>
          <w:szCs w:val="20"/>
        </w:rPr>
      </w:pPr>
      <w:proofErr w:type="gramStart"/>
      <w:r>
        <w:rPr>
          <w:szCs w:val="20"/>
        </w:rPr>
        <w:t>c</w:t>
      </w:r>
      <w:proofErr w:type="gramEnd"/>
      <w:r>
        <w:rPr>
          <w:szCs w:val="20"/>
        </w:rPr>
        <w:t>.</w:t>
      </w:r>
      <w:r>
        <w:rPr>
          <w:szCs w:val="20"/>
        </w:rPr>
        <w:tab/>
      </w:r>
      <w:r w:rsidR="00E54916" w:rsidRPr="00E54916">
        <w:rPr>
          <w:szCs w:val="20"/>
        </w:rPr>
        <w:t xml:space="preserve">establishing arrangements for the review and evaluation of the first stage which will inform the transition to a full scheme. </w:t>
      </w:r>
    </w:p>
    <w:p w:rsidR="00E54916" w:rsidRPr="00E54916" w:rsidRDefault="00E54916" w:rsidP="000C65A6">
      <w:pPr>
        <w:pStyle w:val="Heading2"/>
      </w:pPr>
      <w:r w:rsidRPr="00E54916">
        <w:t>Principles for an NDIS</w:t>
      </w:r>
    </w:p>
    <w:p w:rsidR="00E54916" w:rsidRPr="00E54916" w:rsidRDefault="00A6378F" w:rsidP="00A6378F">
      <w:pPr>
        <w:ind w:left="562" w:hanging="562"/>
        <w:rPr>
          <w:szCs w:val="20"/>
        </w:rPr>
      </w:pPr>
      <w:r>
        <w:rPr>
          <w:szCs w:val="20"/>
        </w:rPr>
        <w:t>12.</w:t>
      </w:r>
      <w:r>
        <w:rPr>
          <w:szCs w:val="20"/>
        </w:rPr>
        <w:tab/>
      </w:r>
      <w:r w:rsidR="00E54916" w:rsidRPr="00E54916">
        <w:rPr>
          <w:szCs w:val="20"/>
        </w:rPr>
        <w:t xml:space="preserve">The Council of Australian Governments (COAG) has agreed principles for an NDIS which are at Annex A to this Agreement. Under this Agreement, all parties will continue work on the policy for full scheme funding, governance and design in line with these Principles. </w:t>
      </w:r>
    </w:p>
    <w:p w:rsidR="00E54916" w:rsidRPr="00E54916" w:rsidRDefault="00E54916" w:rsidP="000C65A6">
      <w:pPr>
        <w:pStyle w:val="Heading2"/>
      </w:pPr>
      <w:r w:rsidRPr="00E54916">
        <w:t>Objectives for the first stage of an NDIS</w:t>
      </w:r>
    </w:p>
    <w:p w:rsidR="00E54916" w:rsidRPr="00E54916" w:rsidRDefault="00470846" w:rsidP="00470846">
      <w:pPr>
        <w:ind w:left="562" w:hanging="562"/>
        <w:rPr>
          <w:szCs w:val="20"/>
        </w:rPr>
      </w:pPr>
      <w:r>
        <w:rPr>
          <w:szCs w:val="20"/>
        </w:rPr>
        <w:t>13.</w:t>
      </w:r>
      <w:r>
        <w:rPr>
          <w:szCs w:val="20"/>
        </w:rPr>
        <w:tab/>
      </w:r>
      <w:r w:rsidR="00E54916" w:rsidRPr="00E54916">
        <w:rPr>
          <w:szCs w:val="20"/>
        </w:rPr>
        <w:t>The objects for the first stage of the NDIS are set out in the National Disability Insurance Scheme Bill 2012</w:t>
      </w:r>
      <w:r w:rsidR="00E54916" w:rsidRPr="00E54916">
        <w:rPr>
          <w:i/>
          <w:szCs w:val="20"/>
        </w:rPr>
        <w:t xml:space="preserve">, </w:t>
      </w:r>
      <w:r w:rsidR="00E54916" w:rsidRPr="00E54916">
        <w:rPr>
          <w:szCs w:val="20"/>
        </w:rPr>
        <w:t xml:space="preserve">as enacted into legislation. </w:t>
      </w:r>
    </w:p>
    <w:p w:rsidR="00E54916" w:rsidRPr="00E54916" w:rsidRDefault="00470846" w:rsidP="00470846">
      <w:pPr>
        <w:ind w:left="562" w:hanging="562"/>
        <w:rPr>
          <w:szCs w:val="20"/>
        </w:rPr>
      </w:pPr>
      <w:r>
        <w:rPr>
          <w:szCs w:val="20"/>
        </w:rPr>
        <w:lastRenderedPageBreak/>
        <w:t>14.</w:t>
      </w:r>
      <w:r>
        <w:rPr>
          <w:szCs w:val="20"/>
        </w:rPr>
        <w:tab/>
      </w:r>
      <w:r w:rsidR="00E54916" w:rsidRPr="00E54916">
        <w:rPr>
          <w:szCs w:val="20"/>
        </w:rPr>
        <w:t>In addition to the objects set out in the National Disability Insurance Scheme Bill 2012</w:t>
      </w:r>
      <w:r w:rsidR="00E54916" w:rsidRPr="00E54916">
        <w:rPr>
          <w:i/>
          <w:szCs w:val="20"/>
        </w:rPr>
        <w:t xml:space="preserve">, </w:t>
      </w:r>
      <w:r w:rsidR="00E54916" w:rsidRPr="00E54916">
        <w:rPr>
          <w:szCs w:val="20"/>
        </w:rPr>
        <w:t>as enacted into legislation, the first stage of an NDIS will also:</w:t>
      </w:r>
    </w:p>
    <w:p w:rsidR="00E54916" w:rsidRPr="00E54916" w:rsidRDefault="00470846" w:rsidP="00470846">
      <w:pPr>
        <w:ind w:left="1123" w:hanging="562"/>
        <w:rPr>
          <w:szCs w:val="20"/>
        </w:rPr>
      </w:pPr>
      <w:proofErr w:type="gramStart"/>
      <w:r>
        <w:rPr>
          <w:szCs w:val="20"/>
        </w:rPr>
        <w:t>a</w:t>
      </w:r>
      <w:proofErr w:type="gramEnd"/>
      <w:r>
        <w:rPr>
          <w:szCs w:val="20"/>
        </w:rPr>
        <w:t>.</w:t>
      </w:r>
      <w:r>
        <w:rPr>
          <w:szCs w:val="20"/>
        </w:rPr>
        <w:tab/>
      </w:r>
      <w:r w:rsidR="00E54916" w:rsidRPr="00E54916">
        <w:rPr>
          <w:szCs w:val="20"/>
        </w:rPr>
        <w:t>ensure clients experience a smooth transition to the NDIS;</w:t>
      </w:r>
    </w:p>
    <w:p w:rsidR="00E54916" w:rsidRPr="00E54916" w:rsidRDefault="00470846" w:rsidP="00470846">
      <w:pPr>
        <w:ind w:left="1123" w:hanging="562"/>
        <w:rPr>
          <w:szCs w:val="20"/>
        </w:rPr>
      </w:pPr>
      <w:proofErr w:type="gramStart"/>
      <w:r>
        <w:rPr>
          <w:szCs w:val="20"/>
        </w:rPr>
        <w:t>b</w:t>
      </w:r>
      <w:proofErr w:type="gramEnd"/>
      <w:r>
        <w:rPr>
          <w:szCs w:val="20"/>
        </w:rPr>
        <w:t>.</w:t>
      </w:r>
      <w:r>
        <w:rPr>
          <w:szCs w:val="20"/>
        </w:rPr>
        <w:tab/>
      </w:r>
      <w:r w:rsidR="00E54916" w:rsidRPr="00E54916">
        <w:rPr>
          <w:szCs w:val="20"/>
        </w:rPr>
        <w:t xml:space="preserve">further test and promote key aspects of an NDIS, including a self-directed approach to supports, individualised funding and local area coordination; </w:t>
      </w:r>
    </w:p>
    <w:p w:rsidR="00E54916" w:rsidRPr="00E54916" w:rsidRDefault="00470846" w:rsidP="00470846">
      <w:pPr>
        <w:ind w:left="1123" w:hanging="562"/>
        <w:rPr>
          <w:szCs w:val="20"/>
        </w:rPr>
      </w:pPr>
      <w:proofErr w:type="gramStart"/>
      <w:r>
        <w:rPr>
          <w:szCs w:val="20"/>
        </w:rPr>
        <w:t>c</w:t>
      </w:r>
      <w:proofErr w:type="gramEnd"/>
      <w:r>
        <w:rPr>
          <w:szCs w:val="20"/>
        </w:rPr>
        <w:t>.</w:t>
      </w:r>
      <w:r>
        <w:rPr>
          <w:szCs w:val="20"/>
        </w:rPr>
        <w:tab/>
      </w:r>
      <w:r w:rsidR="00E54916" w:rsidRPr="00E54916">
        <w:rPr>
          <w:szCs w:val="20"/>
        </w:rPr>
        <w:t>test the boundaries and interface between the NDIS and mainstream services;</w:t>
      </w:r>
    </w:p>
    <w:p w:rsidR="00E54916" w:rsidRPr="00E54916" w:rsidRDefault="00470846" w:rsidP="00470846">
      <w:pPr>
        <w:ind w:left="1123" w:hanging="562"/>
        <w:rPr>
          <w:szCs w:val="20"/>
        </w:rPr>
      </w:pPr>
      <w:proofErr w:type="gramStart"/>
      <w:r>
        <w:rPr>
          <w:szCs w:val="20"/>
        </w:rPr>
        <w:t>d</w:t>
      </w:r>
      <w:proofErr w:type="gramEnd"/>
      <w:r>
        <w:rPr>
          <w:szCs w:val="20"/>
        </w:rPr>
        <w:t>.</w:t>
      </w:r>
      <w:r>
        <w:rPr>
          <w:szCs w:val="20"/>
        </w:rPr>
        <w:tab/>
      </w:r>
      <w:r w:rsidR="00E54916" w:rsidRPr="00E54916">
        <w:rPr>
          <w:szCs w:val="20"/>
        </w:rPr>
        <w:t>test and promote the development of an effective market for disability services;</w:t>
      </w:r>
    </w:p>
    <w:p w:rsidR="00E54916" w:rsidRPr="00E54916" w:rsidRDefault="00470846" w:rsidP="00470846">
      <w:pPr>
        <w:ind w:left="1123" w:hanging="562"/>
        <w:rPr>
          <w:szCs w:val="20"/>
        </w:rPr>
      </w:pPr>
      <w:proofErr w:type="gramStart"/>
      <w:r>
        <w:rPr>
          <w:szCs w:val="20"/>
        </w:rPr>
        <w:t>e</w:t>
      </w:r>
      <w:proofErr w:type="gramEnd"/>
      <w:r>
        <w:rPr>
          <w:szCs w:val="20"/>
        </w:rPr>
        <w:t>.</w:t>
      </w:r>
      <w:r>
        <w:rPr>
          <w:szCs w:val="20"/>
        </w:rPr>
        <w:tab/>
      </w:r>
      <w:r w:rsidR="00E54916" w:rsidRPr="00E54916">
        <w:rPr>
          <w:szCs w:val="20"/>
        </w:rPr>
        <w:t xml:space="preserve">begin to build a comprehensive data and evidence base that would support the insurance approach and inform the </w:t>
      </w:r>
      <w:proofErr w:type="spellStart"/>
      <w:r w:rsidR="00E54916" w:rsidRPr="00E54916">
        <w:rPr>
          <w:szCs w:val="20"/>
        </w:rPr>
        <w:t>costings</w:t>
      </w:r>
      <w:proofErr w:type="spellEnd"/>
      <w:r w:rsidR="00E54916" w:rsidRPr="00E54916">
        <w:rPr>
          <w:szCs w:val="20"/>
        </w:rPr>
        <w:t xml:space="preserve"> for the full scheme, including actuarial analysis;</w:t>
      </w:r>
    </w:p>
    <w:p w:rsidR="00E54916" w:rsidRPr="00E54916" w:rsidRDefault="00470846" w:rsidP="00470846">
      <w:pPr>
        <w:ind w:left="1123" w:hanging="562"/>
        <w:rPr>
          <w:szCs w:val="20"/>
        </w:rPr>
      </w:pPr>
      <w:proofErr w:type="gramStart"/>
      <w:r>
        <w:rPr>
          <w:szCs w:val="20"/>
        </w:rPr>
        <w:t>f</w:t>
      </w:r>
      <w:proofErr w:type="gramEnd"/>
      <w:r>
        <w:rPr>
          <w:szCs w:val="20"/>
        </w:rPr>
        <w:t>.</w:t>
      </w:r>
      <w:r>
        <w:rPr>
          <w:szCs w:val="20"/>
        </w:rPr>
        <w:tab/>
      </w:r>
      <w:r w:rsidR="00E54916" w:rsidRPr="00E54916">
        <w:rPr>
          <w:szCs w:val="20"/>
        </w:rPr>
        <w:t>test the operation of the Agency, and the effectiveness of the legislative framework and other governance arrangements; and</w:t>
      </w:r>
    </w:p>
    <w:p w:rsidR="00E54916" w:rsidRPr="00E54916" w:rsidRDefault="00470846" w:rsidP="00470846">
      <w:pPr>
        <w:ind w:left="1123" w:hanging="562"/>
        <w:rPr>
          <w:szCs w:val="20"/>
        </w:rPr>
      </w:pPr>
      <w:r>
        <w:rPr>
          <w:szCs w:val="20"/>
        </w:rPr>
        <w:t>g.</w:t>
      </w:r>
      <w:r>
        <w:rPr>
          <w:szCs w:val="20"/>
        </w:rPr>
        <w:tab/>
      </w:r>
      <w:r w:rsidR="00E54916" w:rsidRPr="00E54916">
        <w:rPr>
          <w:szCs w:val="20"/>
        </w:rPr>
        <w:t xml:space="preserve">test and develop elements required for a full scheme including national planning and assessment tools and processes, safeguards, workforce development strategies, and information technology and data systems. </w:t>
      </w:r>
    </w:p>
    <w:p w:rsidR="00E54916" w:rsidRPr="00E54916" w:rsidRDefault="00E54916" w:rsidP="00470846">
      <w:pPr>
        <w:pStyle w:val="Heading1"/>
      </w:pPr>
      <w:r w:rsidRPr="00E54916">
        <w:t>4 – Natio</w:t>
      </w:r>
      <w:r w:rsidR="00470846">
        <w:t>nal Disability Insurance Scheme</w:t>
      </w:r>
    </w:p>
    <w:p w:rsidR="00E54916" w:rsidRPr="00E54916" w:rsidRDefault="00E54916" w:rsidP="000C65A6">
      <w:pPr>
        <w:pStyle w:val="Heading2"/>
      </w:pPr>
      <w:r w:rsidRPr="00E54916">
        <w:t>Shared roles and responsibilities during the first stage of the NDIS</w:t>
      </w:r>
    </w:p>
    <w:p w:rsidR="00E54916" w:rsidRPr="00E54916" w:rsidRDefault="00470846" w:rsidP="00470846">
      <w:pPr>
        <w:ind w:left="562" w:hanging="562"/>
        <w:rPr>
          <w:szCs w:val="20"/>
        </w:rPr>
      </w:pPr>
      <w:r>
        <w:rPr>
          <w:szCs w:val="20"/>
        </w:rPr>
        <w:t>15.</w:t>
      </w:r>
      <w:r>
        <w:rPr>
          <w:szCs w:val="20"/>
        </w:rPr>
        <w:tab/>
      </w:r>
      <w:r w:rsidR="00E54916" w:rsidRPr="00E54916">
        <w:rPr>
          <w:szCs w:val="20"/>
        </w:rPr>
        <w:t>The Commonwealth and States will:</w:t>
      </w:r>
    </w:p>
    <w:p w:rsidR="00E54916" w:rsidRPr="00E54916" w:rsidRDefault="00470846" w:rsidP="00470846">
      <w:pPr>
        <w:ind w:left="1123" w:hanging="562"/>
        <w:rPr>
          <w:szCs w:val="20"/>
        </w:rPr>
      </w:pPr>
      <w:r>
        <w:rPr>
          <w:szCs w:val="20"/>
        </w:rPr>
        <w:t>a.</w:t>
      </w:r>
      <w:r>
        <w:rPr>
          <w:szCs w:val="20"/>
        </w:rPr>
        <w:tab/>
      </w:r>
      <w:r w:rsidR="00E54916" w:rsidRPr="00E54916">
        <w:rPr>
          <w:szCs w:val="20"/>
        </w:rPr>
        <w:t xml:space="preserve">Work collaboratively to develop policy that supports the design and implementation of launch, which is as far as possible consistent across host </w:t>
      </w:r>
      <w:proofErr w:type="gramStart"/>
      <w:r w:rsidR="00E54916" w:rsidRPr="00E54916">
        <w:rPr>
          <w:szCs w:val="20"/>
        </w:rPr>
        <w:t>jurisdictions,</w:t>
      </w:r>
      <w:proofErr w:type="gramEnd"/>
      <w:r w:rsidR="00E54916" w:rsidRPr="00E54916">
        <w:rPr>
          <w:szCs w:val="20"/>
        </w:rPr>
        <w:t xml:space="preserve"> and in line with the COAG high-level principles for an NDIS;</w:t>
      </w:r>
    </w:p>
    <w:p w:rsidR="00E54916" w:rsidRPr="00E54916" w:rsidRDefault="00470846" w:rsidP="00470846">
      <w:pPr>
        <w:ind w:left="1123" w:hanging="562"/>
        <w:rPr>
          <w:szCs w:val="20"/>
        </w:rPr>
      </w:pPr>
      <w:r>
        <w:rPr>
          <w:szCs w:val="20"/>
        </w:rPr>
        <w:t>b.</w:t>
      </w:r>
      <w:r>
        <w:rPr>
          <w:szCs w:val="20"/>
        </w:rPr>
        <w:tab/>
      </w:r>
      <w:r w:rsidR="00E54916" w:rsidRPr="00E54916">
        <w:rPr>
          <w:szCs w:val="20"/>
        </w:rPr>
        <w:t xml:space="preserve">Share information and data during the </w:t>
      </w:r>
      <w:proofErr w:type="gramStart"/>
      <w:r w:rsidR="00E54916" w:rsidRPr="00E54916">
        <w:rPr>
          <w:szCs w:val="20"/>
        </w:rPr>
        <w:t>launch ,</w:t>
      </w:r>
      <w:proofErr w:type="gramEnd"/>
      <w:r w:rsidR="00E54916" w:rsidRPr="00E54916">
        <w:rPr>
          <w:szCs w:val="20"/>
        </w:rPr>
        <w:t xml:space="preserve"> subject to Privacy requirements, to promote best practice supports and services and to facilitate national research;</w:t>
      </w:r>
    </w:p>
    <w:p w:rsidR="00E54916" w:rsidRPr="00E54916" w:rsidRDefault="00470846" w:rsidP="00470846">
      <w:pPr>
        <w:ind w:left="1123" w:hanging="562"/>
        <w:rPr>
          <w:szCs w:val="20"/>
        </w:rPr>
      </w:pPr>
      <w:r>
        <w:rPr>
          <w:szCs w:val="20"/>
        </w:rPr>
        <w:t>c.</w:t>
      </w:r>
      <w:r>
        <w:rPr>
          <w:szCs w:val="20"/>
        </w:rPr>
        <w:tab/>
      </w:r>
      <w:r w:rsidR="00E54916" w:rsidRPr="00E54916">
        <w:rPr>
          <w:szCs w:val="20"/>
        </w:rPr>
        <w:t xml:space="preserve">Monitor </w:t>
      </w:r>
      <w:proofErr w:type="gramStart"/>
      <w:r w:rsidR="00E54916" w:rsidRPr="00E54916">
        <w:rPr>
          <w:szCs w:val="20"/>
        </w:rPr>
        <w:t>launch</w:t>
      </w:r>
      <w:proofErr w:type="gramEnd"/>
      <w:r w:rsidR="00E54916" w:rsidRPr="00E54916">
        <w:rPr>
          <w:szCs w:val="20"/>
        </w:rPr>
        <w:t xml:space="preserve"> progress, results and outcomes to inform the transition to a full scheme;</w:t>
      </w:r>
    </w:p>
    <w:p w:rsidR="00E54916" w:rsidRPr="00E54916" w:rsidRDefault="00470846" w:rsidP="00470846">
      <w:pPr>
        <w:ind w:left="1123" w:hanging="562"/>
        <w:rPr>
          <w:szCs w:val="20"/>
        </w:rPr>
      </w:pPr>
      <w:r>
        <w:rPr>
          <w:szCs w:val="20"/>
        </w:rPr>
        <w:t>d.</w:t>
      </w:r>
      <w:r>
        <w:rPr>
          <w:szCs w:val="20"/>
        </w:rPr>
        <w:tab/>
      </w:r>
      <w:r w:rsidR="00E54916" w:rsidRPr="00E54916">
        <w:rPr>
          <w:szCs w:val="20"/>
        </w:rPr>
        <w:t>Continue to support people with disability who are not receiving support through the NDIS launch;</w:t>
      </w:r>
    </w:p>
    <w:p w:rsidR="00E54916" w:rsidRPr="00E54916" w:rsidRDefault="00470846" w:rsidP="00470846">
      <w:pPr>
        <w:ind w:left="1123" w:hanging="562"/>
        <w:rPr>
          <w:szCs w:val="20"/>
        </w:rPr>
      </w:pPr>
      <w:r>
        <w:rPr>
          <w:szCs w:val="20"/>
        </w:rPr>
        <w:t>e.</w:t>
      </w:r>
      <w:r>
        <w:rPr>
          <w:szCs w:val="20"/>
        </w:rPr>
        <w:tab/>
      </w:r>
      <w:r w:rsidR="00E54916" w:rsidRPr="00E54916">
        <w:rPr>
          <w:szCs w:val="20"/>
        </w:rPr>
        <w:t>Pursue their commitment to the aims of the National Disability Strategy, which include “driving improved performance of mainstream service in delivering outcomes for people with disability”;</w:t>
      </w:r>
    </w:p>
    <w:p w:rsidR="00E54916" w:rsidRPr="00E54916" w:rsidRDefault="00470846" w:rsidP="00470846">
      <w:pPr>
        <w:ind w:left="1123" w:hanging="562"/>
        <w:rPr>
          <w:szCs w:val="20"/>
        </w:rPr>
      </w:pPr>
      <w:r>
        <w:rPr>
          <w:szCs w:val="20"/>
        </w:rPr>
        <w:t>f.</w:t>
      </w:r>
      <w:r>
        <w:rPr>
          <w:szCs w:val="20"/>
        </w:rPr>
        <w:tab/>
      </w:r>
      <w:r w:rsidR="00E54916" w:rsidRPr="00E54916">
        <w:rPr>
          <w:szCs w:val="20"/>
        </w:rPr>
        <w:t>Ensure that launch of the NDIS does not lead to any unnecessary reduction in mainstream services that would lead to increased calls on the NDIS;</w:t>
      </w:r>
    </w:p>
    <w:p w:rsidR="00E54916" w:rsidRPr="00E54916" w:rsidRDefault="00470846" w:rsidP="00470846">
      <w:pPr>
        <w:ind w:left="1123" w:hanging="562"/>
        <w:rPr>
          <w:szCs w:val="20"/>
        </w:rPr>
      </w:pPr>
      <w:r>
        <w:rPr>
          <w:szCs w:val="20"/>
        </w:rPr>
        <w:t>g.</w:t>
      </w:r>
      <w:r>
        <w:rPr>
          <w:szCs w:val="20"/>
        </w:rPr>
        <w:tab/>
      </w:r>
      <w:r w:rsidR="00E54916" w:rsidRPr="00E54916">
        <w:rPr>
          <w:szCs w:val="20"/>
        </w:rPr>
        <w:t>Identify and report issues to the Agency or Ministerial Council or responsible government, as appropriate, in a timely manner where launch arrangements are having unintended impacts on:</w:t>
      </w:r>
    </w:p>
    <w:p w:rsidR="00E54916" w:rsidRPr="00E54916" w:rsidRDefault="00470846" w:rsidP="008F7ABB">
      <w:pPr>
        <w:ind w:left="1685" w:hanging="562"/>
        <w:rPr>
          <w:szCs w:val="20"/>
        </w:rPr>
      </w:pPr>
      <w:proofErr w:type="spellStart"/>
      <w:proofErr w:type="gramStart"/>
      <w:r>
        <w:rPr>
          <w:szCs w:val="20"/>
        </w:rPr>
        <w:lastRenderedPageBreak/>
        <w:t>i</w:t>
      </w:r>
      <w:proofErr w:type="spellEnd"/>
      <w:proofErr w:type="gramEnd"/>
      <w:r>
        <w:rPr>
          <w:szCs w:val="20"/>
        </w:rPr>
        <w:t>.</w:t>
      </w:r>
      <w:r>
        <w:rPr>
          <w:szCs w:val="20"/>
        </w:rPr>
        <w:tab/>
      </w:r>
      <w:r w:rsidR="00E54916" w:rsidRPr="00E54916">
        <w:rPr>
          <w:szCs w:val="20"/>
        </w:rPr>
        <w:t xml:space="preserve">people with disability, their family and carers; </w:t>
      </w:r>
    </w:p>
    <w:p w:rsidR="00E54916" w:rsidRPr="00E54916" w:rsidRDefault="00470846" w:rsidP="008F7ABB">
      <w:pPr>
        <w:ind w:left="1685" w:hanging="562"/>
        <w:rPr>
          <w:szCs w:val="20"/>
        </w:rPr>
      </w:pPr>
      <w:r>
        <w:rPr>
          <w:szCs w:val="20"/>
        </w:rPr>
        <w:t>ii.</w:t>
      </w:r>
      <w:r>
        <w:rPr>
          <w:szCs w:val="20"/>
        </w:rPr>
        <w:tab/>
      </w:r>
      <w:proofErr w:type="gramStart"/>
      <w:r w:rsidR="00E54916" w:rsidRPr="00E54916">
        <w:rPr>
          <w:szCs w:val="20"/>
        </w:rPr>
        <w:t>providers</w:t>
      </w:r>
      <w:proofErr w:type="gramEnd"/>
      <w:r w:rsidR="00E54916" w:rsidRPr="00E54916">
        <w:rPr>
          <w:szCs w:val="20"/>
        </w:rPr>
        <w:t xml:space="preserve"> of disability supports and services; and</w:t>
      </w:r>
    </w:p>
    <w:p w:rsidR="00E54916" w:rsidRPr="00E54916" w:rsidRDefault="00470846" w:rsidP="008F7ABB">
      <w:pPr>
        <w:ind w:left="1685" w:hanging="562"/>
        <w:rPr>
          <w:szCs w:val="20"/>
        </w:rPr>
      </w:pPr>
      <w:r>
        <w:rPr>
          <w:szCs w:val="20"/>
        </w:rPr>
        <w:t>iii.</w:t>
      </w:r>
      <w:r>
        <w:rPr>
          <w:szCs w:val="20"/>
        </w:rPr>
        <w:tab/>
      </w:r>
      <w:proofErr w:type="gramStart"/>
      <w:r w:rsidR="00E54916" w:rsidRPr="00E54916">
        <w:rPr>
          <w:szCs w:val="20"/>
        </w:rPr>
        <w:t>mainstream</w:t>
      </w:r>
      <w:proofErr w:type="gramEnd"/>
      <w:r w:rsidR="00E54916" w:rsidRPr="00E54916">
        <w:rPr>
          <w:szCs w:val="20"/>
        </w:rPr>
        <w:t xml:space="preserve"> services, supports or organisations;</w:t>
      </w:r>
    </w:p>
    <w:p w:rsidR="00E54916" w:rsidRPr="00E54916" w:rsidRDefault="00CE6873" w:rsidP="00140123">
      <w:pPr>
        <w:ind w:left="1123" w:hanging="562"/>
        <w:rPr>
          <w:szCs w:val="20"/>
        </w:rPr>
      </w:pPr>
      <w:r>
        <w:rPr>
          <w:szCs w:val="20"/>
        </w:rPr>
        <w:t>h.</w:t>
      </w:r>
      <w:r>
        <w:rPr>
          <w:szCs w:val="20"/>
        </w:rPr>
        <w:tab/>
      </w:r>
      <w:r w:rsidR="00E54916" w:rsidRPr="00E54916">
        <w:rPr>
          <w:szCs w:val="20"/>
        </w:rPr>
        <w:t>Participate in the Ministerial Council;</w:t>
      </w:r>
    </w:p>
    <w:p w:rsidR="00E54916" w:rsidRPr="00E54916" w:rsidRDefault="00140123" w:rsidP="00140123">
      <w:pPr>
        <w:ind w:left="1123" w:hanging="562"/>
        <w:rPr>
          <w:szCs w:val="20"/>
        </w:rPr>
      </w:pPr>
      <w:proofErr w:type="spellStart"/>
      <w:r>
        <w:rPr>
          <w:szCs w:val="20"/>
        </w:rPr>
        <w:t>i</w:t>
      </w:r>
      <w:proofErr w:type="spellEnd"/>
      <w:r>
        <w:rPr>
          <w:szCs w:val="20"/>
        </w:rPr>
        <w:t>.</w:t>
      </w:r>
      <w:r>
        <w:rPr>
          <w:szCs w:val="20"/>
        </w:rPr>
        <w:tab/>
      </w:r>
      <w:r w:rsidR="00E54916" w:rsidRPr="00E54916">
        <w:rPr>
          <w:szCs w:val="20"/>
        </w:rPr>
        <w:t xml:space="preserve">Ensure there are opportunities for people with disability, their families and carers to provide input into the design of a full scheme; </w:t>
      </w:r>
    </w:p>
    <w:p w:rsidR="00E54916" w:rsidRPr="00E54916" w:rsidRDefault="00140123" w:rsidP="00140123">
      <w:pPr>
        <w:ind w:left="1123" w:hanging="562"/>
        <w:rPr>
          <w:szCs w:val="20"/>
        </w:rPr>
      </w:pPr>
      <w:r>
        <w:rPr>
          <w:szCs w:val="20"/>
        </w:rPr>
        <w:t>j.</w:t>
      </w:r>
      <w:r>
        <w:rPr>
          <w:szCs w:val="20"/>
        </w:rPr>
        <w:tab/>
      </w:r>
      <w:r w:rsidR="00E54916" w:rsidRPr="00E54916">
        <w:rPr>
          <w:szCs w:val="20"/>
        </w:rPr>
        <w:t>Pursue ongoing reforms to disability systems to support a full scheme; and</w:t>
      </w:r>
    </w:p>
    <w:p w:rsidR="00E54916" w:rsidRPr="00E54916" w:rsidRDefault="00140123" w:rsidP="00140123">
      <w:pPr>
        <w:ind w:left="1123" w:hanging="562"/>
        <w:rPr>
          <w:szCs w:val="20"/>
        </w:rPr>
      </w:pPr>
      <w:r>
        <w:rPr>
          <w:szCs w:val="20"/>
        </w:rPr>
        <w:t>k.</w:t>
      </w:r>
      <w:r>
        <w:rPr>
          <w:szCs w:val="20"/>
        </w:rPr>
        <w:tab/>
      </w:r>
      <w:r w:rsidR="00E54916" w:rsidRPr="00E54916">
        <w:rPr>
          <w:szCs w:val="20"/>
        </w:rPr>
        <w:t>Determine funding, governance scheme management and any other policy for a full scheme.</w:t>
      </w:r>
    </w:p>
    <w:p w:rsidR="00E54916" w:rsidRPr="00E54916" w:rsidRDefault="00140123" w:rsidP="00140123">
      <w:pPr>
        <w:ind w:left="562" w:hanging="562"/>
        <w:rPr>
          <w:szCs w:val="20"/>
        </w:rPr>
      </w:pPr>
      <w:r>
        <w:rPr>
          <w:szCs w:val="20"/>
        </w:rPr>
        <w:t>16.</w:t>
      </w:r>
      <w:r>
        <w:rPr>
          <w:szCs w:val="20"/>
        </w:rPr>
        <w:tab/>
      </w:r>
      <w:r w:rsidR="00E54916" w:rsidRPr="00E54916">
        <w:rPr>
          <w:szCs w:val="20"/>
        </w:rPr>
        <w:t xml:space="preserve">The Commonwealth and States may establish, accelerate and/or trial elements of an NDIS, or the design and delivery of services and supports which align to the broad policy intent of an NDIS, for groups or locations outside formal launch sites. </w:t>
      </w:r>
    </w:p>
    <w:p w:rsidR="00E54916" w:rsidRPr="00E54916" w:rsidRDefault="00140123" w:rsidP="00140123">
      <w:pPr>
        <w:ind w:left="562" w:hanging="562"/>
        <w:rPr>
          <w:szCs w:val="20"/>
        </w:rPr>
      </w:pPr>
      <w:r>
        <w:rPr>
          <w:szCs w:val="20"/>
        </w:rPr>
        <w:t>17.</w:t>
      </w:r>
      <w:r>
        <w:rPr>
          <w:szCs w:val="20"/>
        </w:rPr>
        <w:tab/>
      </w:r>
      <w:r w:rsidR="00E54916" w:rsidRPr="00E54916">
        <w:rPr>
          <w:szCs w:val="20"/>
        </w:rPr>
        <w:t>All parties will fulfil the responsibilities set out under Schedule F of the National Health Reform Agreement in relation to aged care and disability services, to the extent relevant to Parties of the Agreement.</w:t>
      </w:r>
    </w:p>
    <w:p w:rsidR="00E54916" w:rsidRPr="00E54916" w:rsidRDefault="00E54916" w:rsidP="000C65A6">
      <w:pPr>
        <w:pStyle w:val="Heading2"/>
      </w:pPr>
      <w:r w:rsidRPr="00E54916">
        <w:t>Roles and responsibilities of the Commonwealth</w:t>
      </w:r>
    </w:p>
    <w:p w:rsidR="00E54916" w:rsidRPr="00E54916" w:rsidRDefault="00D55CB4" w:rsidP="00D55CB4">
      <w:pPr>
        <w:ind w:left="562" w:hanging="562"/>
        <w:rPr>
          <w:szCs w:val="20"/>
        </w:rPr>
      </w:pPr>
      <w:r>
        <w:rPr>
          <w:szCs w:val="20"/>
        </w:rPr>
        <w:t>18.</w:t>
      </w:r>
      <w:r>
        <w:rPr>
          <w:szCs w:val="20"/>
        </w:rPr>
        <w:tab/>
      </w:r>
      <w:r w:rsidR="00E54916" w:rsidRPr="00E54916">
        <w:rPr>
          <w:szCs w:val="20"/>
        </w:rPr>
        <w:t>The Commonwealth Government will:</w:t>
      </w:r>
    </w:p>
    <w:p w:rsidR="00E54916" w:rsidRPr="00E54916" w:rsidRDefault="00E7487E" w:rsidP="00D55CB4">
      <w:pPr>
        <w:ind w:left="1123" w:hanging="562"/>
        <w:rPr>
          <w:szCs w:val="20"/>
        </w:rPr>
      </w:pPr>
      <w:r>
        <w:rPr>
          <w:szCs w:val="20"/>
        </w:rPr>
        <w:t>a.</w:t>
      </w:r>
      <w:r>
        <w:rPr>
          <w:szCs w:val="20"/>
        </w:rPr>
        <w:tab/>
      </w:r>
      <w:r w:rsidR="00E54916" w:rsidRPr="00E54916">
        <w:rPr>
          <w:szCs w:val="20"/>
        </w:rPr>
        <w:t>Introduce the National Disability Insurance Scheme Bill 2012 and support its passage through the Parliament and manage the legislation as set out in the legislation and this Agreement;</w:t>
      </w:r>
    </w:p>
    <w:p w:rsidR="00E54916" w:rsidRPr="00E54916" w:rsidRDefault="00E7487E" w:rsidP="00D55CB4">
      <w:pPr>
        <w:ind w:left="1123" w:hanging="562"/>
        <w:rPr>
          <w:szCs w:val="20"/>
        </w:rPr>
      </w:pPr>
      <w:r>
        <w:rPr>
          <w:szCs w:val="20"/>
        </w:rPr>
        <w:t>b.</w:t>
      </w:r>
      <w:r>
        <w:rPr>
          <w:szCs w:val="20"/>
        </w:rPr>
        <w:tab/>
      </w:r>
      <w:r w:rsidR="00E54916" w:rsidRPr="00E54916">
        <w:rPr>
          <w:szCs w:val="20"/>
        </w:rPr>
        <w:t>Have the following funding responsibilities as set out in Schedules A – E:</w:t>
      </w:r>
    </w:p>
    <w:p w:rsidR="00E54916" w:rsidRPr="00E54916" w:rsidRDefault="00D55CB4" w:rsidP="00D55CB4">
      <w:pPr>
        <w:ind w:left="1685" w:hanging="562"/>
        <w:rPr>
          <w:szCs w:val="20"/>
        </w:rPr>
      </w:pPr>
      <w:proofErr w:type="spellStart"/>
      <w:r>
        <w:rPr>
          <w:szCs w:val="20"/>
        </w:rPr>
        <w:t>i</w:t>
      </w:r>
      <w:proofErr w:type="spellEnd"/>
      <w:r>
        <w:rPr>
          <w:szCs w:val="20"/>
        </w:rPr>
        <w:t>.</w:t>
      </w:r>
      <w:r>
        <w:rPr>
          <w:szCs w:val="20"/>
        </w:rPr>
        <w:tab/>
      </w:r>
      <w:r w:rsidR="00E54916" w:rsidRPr="00E54916">
        <w:rPr>
          <w:szCs w:val="20"/>
        </w:rPr>
        <w:t>Jointly fund NDIS support for launch participants during the launch, as set out in Schedules A – E, and provide ongoing support to participants in launch sites, until transition to a full scheme commences or an agreement is made covering ongoing support to launch participants supported in the first stage of the NDIS;</w:t>
      </w:r>
      <w:r w:rsidR="00E54916" w:rsidRPr="00E54916">
        <w:rPr>
          <w:color w:val="000000"/>
          <w:szCs w:val="20"/>
        </w:rPr>
        <w:t xml:space="preserve"> </w:t>
      </w:r>
      <w:r w:rsidR="00E54916" w:rsidRPr="00E54916">
        <w:rPr>
          <w:szCs w:val="20"/>
        </w:rPr>
        <w:t xml:space="preserve"> </w:t>
      </w:r>
    </w:p>
    <w:p w:rsidR="00E54916" w:rsidRPr="00E54916" w:rsidRDefault="00D55CB4" w:rsidP="00D55CB4">
      <w:pPr>
        <w:ind w:left="1685" w:hanging="562"/>
        <w:rPr>
          <w:szCs w:val="20"/>
        </w:rPr>
      </w:pPr>
      <w:r>
        <w:rPr>
          <w:szCs w:val="20"/>
        </w:rPr>
        <w:t>ii.</w:t>
      </w:r>
      <w:r>
        <w:rPr>
          <w:szCs w:val="20"/>
        </w:rPr>
        <w:tab/>
      </w:r>
      <w:r w:rsidR="00E54916" w:rsidRPr="00E54916">
        <w:rPr>
          <w:szCs w:val="20"/>
        </w:rPr>
        <w:t>Fund the establishment, administrative and system support costs of the launch, including the costs of the Agency and sector and workforce development; and</w:t>
      </w:r>
    </w:p>
    <w:p w:rsidR="00E54916" w:rsidRPr="00E54916" w:rsidRDefault="00D55CB4" w:rsidP="00D55CB4">
      <w:pPr>
        <w:ind w:left="1685" w:hanging="562"/>
        <w:rPr>
          <w:szCs w:val="20"/>
        </w:rPr>
      </w:pPr>
      <w:r>
        <w:rPr>
          <w:szCs w:val="20"/>
        </w:rPr>
        <w:t>iii.</w:t>
      </w:r>
      <w:r>
        <w:rPr>
          <w:szCs w:val="20"/>
        </w:rPr>
        <w:tab/>
      </w:r>
      <w:r w:rsidR="00E54916" w:rsidRPr="00E54916">
        <w:rPr>
          <w:szCs w:val="20"/>
        </w:rPr>
        <w:t>Meet 100 per cent of the risk of cost overrun through increased client numbers or higher average NDIS funded support costs, 100 per cent of the Agency’s cash flow risk and any other risk sharing arrangements identified in Schedules A – E during the launch and transition to a full scheme (noting arrangements for the full scheme will be agreed as per paragraph 7 of this Agreement);</w:t>
      </w:r>
    </w:p>
    <w:p w:rsidR="00E54916" w:rsidRPr="00E54916" w:rsidRDefault="00D55CB4" w:rsidP="00D55CB4">
      <w:pPr>
        <w:ind w:left="1123" w:hanging="562"/>
        <w:rPr>
          <w:szCs w:val="20"/>
        </w:rPr>
      </w:pPr>
      <w:r>
        <w:rPr>
          <w:szCs w:val="20"/>
        </w:rPr>
        <w:t>c.</w:t>
      </w:r>
      <w:r>
        <w:rPr>
          <w:szCs w:val="20"/>
        </w:rPr>
        <w:tab/>
      </w:r>
      <w:r w:rsidR="00E54916" w:rsidRPr="00E54916">
        <w:rPr>
          <w:szCs w:val="20"/>
        </w:rPr>
        <w:t>Chair and provide secretariat support for the Ministerial Council during launch and transition to full scheme;</w:t>
      </w:r>
    </w:p>
    <w:p w:rsidR="00E54916" w:rsidRPr="00E54916" w:rsidRDefault="00D55CB4" w:rsidP="00D55CB4">
      <w:pPr>
        <w:ind w:left="1123" w:hanging="562"/>
        <w:rPr>
          <w:szCs w:val="20"/>
        </w:rPr>
      </w:pPr>
      <w:r>
        <w:rPr>
          <w:szCs w:val="20"/>
        </w:rPr>
        <w:lastRenderedPageBreak/>
        <w:t>d.</w:t>
      </w:r>
      <w:r>
        <w:rPr>
          <w:szCs w:val="20"/>
        </w:rPr>
        <w:tab/>
      </w:r>
      <w:r w:rsidR="00E54916" w:rsidRPr="00E54916">
        <w:rPr>
          <w:szCs w:val="20"/>
        </w:rPr>
        <w:t>Work together with host-jurisdictions to finalise the balance of cash and in-kind contributions;</w:t>
      </w:r>
    </w:p>
    <w:p w:rsidR="00E54916" w:rsidRPr="00E54916" w:rsidRDefault="00D55CB4" w:rsidP="00D55CB4">
      <w:pPr>
        <w:ind w:left="1123" w:hanging="562"/>
        <w:rPr>
          <w:szCs w:val="20"/>
        </w:rPr>
      </w:pPr>
      <w:r>
        <w:rPr>
          <w:szCs w:val="20"/>
        </w:rPr>
        <w:t>e.</w:t>
      </w:r>
      <w:r>
        <w:rPr>
          <w:szCs w:val="20"/>
        </w:rPr>
        <w:tab/>
      </w:r>
      <w:r w:rsidR="00E54916" w:rsidRPr="00E54916">
        <w:rPr>
          <w:szCs w:val="20"/>
        </w:rPr>
        <w:t>Support and facilitate local implementation of launch arrangements, including supporting transition arrangements for existing Commonwealth providers consistent with the detailed implementation plan agreed with the Agency;</w:t>
      </w:r>
    </w:p>
    <w:p w:rsidR="00E54916" w:rsidRPr="00E54916" w:rsidRDefault="00D55CB4" w:rsidP="00D55CB4">
      <w:pPr>
        <w:ind w:left="1123" w:hanging="562"/>
        <w:rPr>
          <w:szCs w:val="20"/>
        </w:rPr>
      </w:pPr>
      <w:r>
        <w:rPr>
          <w:szCs w:val="20"/>
        </w:rPr>
        <w:t>f.</w:t>
      </w:r>
      <w:r>
        <w:rPr>
          <w:szCs w:val="20"/>
        </w:rPr>
        <w:tab/>
      </w:r>
      <w:r w:rsidR="00E54916" w:rsidRPr="00E54916">
        <w:rPr>
          <w:szCs w:val="20"/>
        </w:rPr>
        <w:t>Support the Agency to coordinate, and promote, links between the NDIS and mainstream Commonwealth Government services and non</w:t>
      </w:r>
      <w:r w:rsidR="00E54916" w:rsidRPr="00E54916">
        <w:rPr>
          <w:szCs w:val="20"/>
        </w:rPr>
        <w:noBreakHyphen/>
        <w:t>government and community based supports in each launch site to support the objectives of launch; and</w:t>
      </w:r>
    </w:p>
    <w:p w:rsidR="00E54916" w:rsidRPr="00E54916" w:rsidRDefault="00D55CB4" w:rsidP="00D55CB4">
      <w:pPr>
        <w:ind w:left="1123" w:hanging="562"/>
        <w:rPr>
          <w:szCs w:val="20"/>
        </w:rPr>
      </w:pPr>
      <w:r>
        <w:rPr>
          <w:szCs w:val="20"/>
        </w:rPr>
        <w:t>g.</w:t>
      </w:r>
      <w:r>
        <w:rPr>
          <w:szCs w:val="20"/>
        </w:rPr>
        <w:tab/>
      </w:r>
      <w:r w:rsidR="00E54916" w:rsidRPr="00E54916">
        <w:rPr>
          <w:szCs w:val="20"/>
        </w:rPr>
        <w:t>Fund the evaluation of launch sites.</w:t>
      </w:r>
    </w:p>
    <w:p w:rsidR="00E54916" w:rsidRPr="00E54916" w:rsidRDefault="00E54916" w:rsidP="000C65A6">
      <w:pPr>
        <w:pStyle w:val="Heading2"/>
      </w:pPr>
      <w:r w:rsidRPr="00E54916">
        <w:t xml:space="preserve">Roles and responsibilities of host jurisdictions </w:t>
      </w:r>
    </w:p>
    <w:p w:rsidR="00E54916" w:rsidRPr="00E54916" w:rsidRDefault="00D55CB4" w:rsidP="00D55CB4">
      <w:pPr>
        <w:ind w:left="562" w:hanging="562"/>
        <w:rPr>
          <w:szCs w:val="20"/>
        </w:rPr>
      </w:pPr>
      <w:r>
        <w:rPr>
          <w:szCs w:val="20"/>
        </w:rPr>
        <w:t>19.</w:t>
      </w:r>
      <w:r>
        <w:rPr>
          <w:szCs w:val="20"/>
        </w:rPr>
        <w:tab/>
      </w:r>
      <w:r w:rsidR="00E54916" w:rsidRPr="00E54916">
        <w:rPr>
          <w:szCs w:val="20"/>
        </w:rPr>
        <w:t>Within their respective jurisdiction, each host State Government will:</w:t>
      </w:r>
    </w:p>
    <w:p w:rsidR="00E54916" w:rsidRPr="00E54916" w:rsidRDefault="00D55CB4" w:rsidP="00D55CB4">
      <w:pPr>
        <w:ind w:left="1123" w:hanging="562"/>
        <w:rPr>
          <w:szCs w:val="20"/>
        </w:rPr>
      </w:pPr>
      <w:r>
        <w:rPr>
          <w:szCs w:val="20"/>
        </w:rPr>
        <w:t>a.</w:t>
      </w:r>
      <w:r>
        <w:rPr>
          <w:szCs w:val="20"/>
        </w:rPr>
        <w:tab/>
      </w:r>
      <w:r w:rsidR="00E54916" w:rsidRPr="00E54916">
        <w:rPr>
          <w:szCs w:val="20"/>
        </w:rPr>
        <w:t>Have the following funding responsibilities as set out in Schedules A – E:</w:t>
      </w:r>
    </w:p>
    <w:p w:rsidR="00E54916" w:rsidRPr="00E54916" w:rsidRDefault="00D55CB4" w:rsidP="00D55CB4">
      <w:pPr>
        <w:ind w:left="1685" w:hanging="562"/>
        <w:rPr>
          <w:szCs w:val="20"/>
        </w:rPr>
      </w:pPr>
      <w:proofErr w:type="spellStart"/>
      <w:r>
        <w:rPr>
          <w:szCs w:val="20"/>
        </w:rPr>
        <w:t>i</w:t>
      </w:r>
      <w:proofErr w:type="spellEnd"/>
      <w:r>
        <w:rPr>
          <w:szCs w:val="20"/>
        </w:rPr>
        <w:t>.</w:t>
      </w:r>
      <w:r>
        <w:rPr>
          <w:szCs w:val="20"/>
        </w:rPr>
        <w:tab/>
      </w:r>
      <w:r w:rsidR="00E54916" w:rsidRPr="00E54916">
        <w:rPr>
          <w:szCs w:val="20"/>
        </w:rPr>
        <w:t xml:space="preserve">Jointly fund NDIS support for launch participants during the launch as set out in Schedules A – E, and provide ongoing support to participants in launch sites until transition to a full scheme commences or an agreement is made covering ongoing support to launch participants supported in the first stage of the NDIS;  </w:t>
      </w:r>
    </w:p>
    <w:p w:rsidR="00E54916" w:rsidRPr="00E54916" w:rsidRDefault="00D55CB4" w:rsidP="00D55CB4">
      <w:pPr>
        <w:ind w:left="1123" w:hanging="562"/>
        <w:rPr>
          <w:szCs w:val="20"/>
        </w:rPr>
      </w:pPr>
      <w:r>
        <w:rPr>
          <w:szCs w:val="20"/>
        </w:rPr>
        <w:t>b.</w:t>
      </w:r>
      <w:r>
        <w:rPr>
          <w:szCs w:val="20"/>
        </w:rPr>
        <w:tab/>
      </w:r>
      <w:r w:rsidR="00E54916" w:rsidRPr="00E54916">
        <w:rPr>
          <w:szCs w:val="20"/>
        </w:rPr>
        <w:t>Work together with the Commonwealth to finalise the balance of cash and in-kind contributions;</w:t>
      </w:r>
    </w:p>
    <w:p w:rsidR="00E54916" w:rsidRPr="00E54916" w:rsidRDefault="00D55CB4" w:rsidP="00D55CB4">
      <w:pPr>
        <w:ind w:left="1123" w:hanging="562"/>
        <w:rPr>
          <w:szCs w:val="20"/>
        </w:rPr>
      </w:pPr>
      <w:r>
        <w:rPr>
          <w:szCs w:val="20"/>
        </w:rPr>
        <w:t>c.</w:t>
      </w:r>
      <w:r>
        <w:rPr>
          <w:szCs w:val="20"/>
        </w:rPr>
        <w:tab/>
      </w:r>
      <w:r w:rsidR="00E54916" w:rsidRPr="00E54916">
        <w:rPr>
          <w:szCs w:val="20"/>
        </w:rPr>
        <w:t>Support and facilitate local implementation of launch arrangements, including supporting transition arrangements for existing State providers, consistent with the detailed implementation plan agreed with the Agency; and</w:t>
      </w:r>
    </w:p>
    <w:p w:rsidR="00E54916" w:rsidRPr="00E54916" w:rsidRDefault="00D55CB4" w:rsidP="00D55CB4">
      <w:pPr>
        <w:ind w:left="1123" w:hanging="562"/>
        <w:rPr>
          <w:szCs w:val="20"/>
        </w:rPr>
      </w:pPr>
      <w:r>
        <w:rPr>
          <w:szCs w:val="20"/>
        </w:rPr>
        <w:t>d.</w:t>
      </w:r>
      <w:r>
        <w:rPr>
          <w:szCs w:val="20"/>
        </w:rPr>
        <w:tab/>
      </w:r>
      <w:r w:rsidR="00E54916" w:rsidRPr="00E54916">
        <w:rPr>
          <w:szCs w:val="20"/>
        </w:rPr>
        <w:t>Support the Agency to coordinate, and promote, links between the NDIS and mainstream State Government services and non</w:t>
      </w:r>
      <w:r w:rsidR="00E54916" w:rsidRPr="00E54916">
        <w:rPr>
          <w:szCs w:val="20"/>
        </w:rPr>
        <w:noBreakHyphen/>
        <w:t>government and community based supports to support the objectives of the launch.</w:t>
      </w:r>
    </w:p>
    <w:p w:rsidR="00E54916" w:rsidRPr="00E54916" w:rsidRDefault="00E54916" w:rsidP="00D46F34">
      <w:pPr>
        <w:pStyle w:val="Heading1"/>
      </w:pPr>
      <w:r w:rsidRPr="00E54916">
        <w:t xml:space="preserve">Part 5 — </w:t>
      </w:r>
      <w:r w:rsidR="00D46F34" w:rsidRPr="00E54916">
        <w:t xml:space="preserve">First Stage of an </w:t>
      </w:r>
      <w:r w:rsidR="00D46F34">
        <w:t>NDIS</w:t>
      </w:r>
    </w:p>
    <w:p w:rsidR="00E54916" w:rsidRPr="00E54916" w:rsidRDefault="00E54916" w:rsidP="000C65A6">
      <w:pPr>
        <w:pStyle w:val="Heading2"/>
      </w:pPr>
      <w:r w:rsidRPr="00E54916">
        <w:t xml:space="preserve">Portability of supports </w:t>
      </w:r>
    </w:p>
    <w:p w:rsidR="00E54916" w:rsidRPr="00E54916" w:rsidRDefault="00D46F34" w:rsidP="00D46F34">
      <w:pPr>
        <w:ind w:left="562" w:hanging="562"/>
        <w:rPr>
          <w:szCs w:val="20"/>
        </w:rPr>
      </w:pPr>
      <w:r>
        <w:rPr>
          <w:szCs w:val="20"/>
        </w:rPr>
        <w:t>20.</w:t>
      </w:r>
      <w:r>
        <w:rPr>
          <w:szCs w:val="20"/>
        </w:rPr>
        <w:tab/>
      </w:r>
      <w:r w:rsidR="00E54916" w:rsidRPr="00E54916">
        <w:rPr>
          <w:szCs w:val="20"/>
        </w:rPr>
        <w:t>In accordance with the definition of eligibility contained in the National Disability Insurance Scheme Bill 2012</w:t>
      </w:r>
      <w:r w:rsidR="00E54916" w:rsidRPr="00E54916">
        <w:rPr>
          <w:i/>
          <w:szCs w:val="20"/>
        </w:rPr>
        <w:t xml:space="preserve">, </w:t>
      </w:r>
      <w:r w:rsidR="00E54916" w:rsidRPr="00E54916">
        <w:rPr>
          <w:szCs w:val="20"/>
        </w:rPr>
        <w:t xml:space="preserve">as enacted into legislation, people who are not a resident in the launch site location on the date the launch commences will not be automatically entitled to NDIS supports in the launch site, with the exception of children who are born during the launch and whose parents (as defined in legislation) reside in the launch site, who will be regarded as launch site residents.  </w:t>
      </w:r>
    </w:p>
    <w:p w:rsidR="00E54916" w:rsidRPr="00E54916" w:rsidRDefault="00D46F34" w:rsidP="00D46F34">
      <w:pPr>
        <w:ind w:left="562" w:hanging="562"/>
        <w:rPr>
          <w:szCs w:val="20"/>
        </w:rPr>
      </w:pPr>
      <w:r>
        <w:rPr>
          <w:szCs w:val="20"/>
        </w:rPr>
        <w:t>21.</w:t>
      </w:r>
      <w:r>
        <w:rPr>
          <w:szCs w:val="20"/>
        </w:rPr>
        <w:tab/>
      </w:r>
      <w:r w:rsidR="00E54916" w:rsidRPr="00E54916">
        <w:rPr>
          <w:szCs w:val="20"/>
        </w:rPr>
        <w:t>Until there is national coverage, the commitment by governments to continue to provide support to launch participants in the NDIS will generally only cover people with disability who live in areas where the scheme is operating.</w:t>
      </w:r>
    </w:p>
    <w:p w:rsidR="00E54916" w:rsidRPr="00E54916" w:rsidRDefault="00D46F34" w:rsidP="00D46F34">
      <w:pPr>
        <w:ind w:left="562" w:hanging="562"/>
        <w:rPr>
          <w:szCs w:val="20"/>
        </w:rPr>
      </w:pPr>
      <w:r>
        <w:rPr>
          <w:szCs w:val="20"/>
        </w:rPr>
        <w:t>22.</w:t>
      </w:r>
      <w:r>
        <w:rPr>
          <w:szCs w:val="20"/>
        </w:rPr>
        <w:tab/>
      </w:r>
      <w:r w:rsidR="00E54916" w:rsidRPr="00E54916">
        <w:rPr>
          <w:szCs w:val="20"/>
        </w:rPr>
        <w:t xml:space="preserve">Consistent with the NDIS rules, and paragraph 20 of this Agreement, the Agency will have some limited discretionary capacity and would consult with the relevant </w:t>
      </w:r>
      <w:r w:rsidR="00E54916" w:rsidRPr="00E54916">
        <w:rPr>
          <w:szCs w:val="20"/>
        </w:rPr>
        <w:lastRenderedPageBreak/>
        <w:t xml:space="preserve">Parties to consider what support the NDIS may continue to fund for people moving into or out of launch sites within Australia.  </w:t>
      </w:r>
    </w:p>
    <w:p w:rsidR="00E54916" w:rsidRPr="00E54916" w:rsidRDefault="00D46F34" w:rsidP="00D46F34">
      <w:pPr>
        <w:ind w:left="562" w:hanging="562"/>
        <w:rPr>
          <w:szCs w:val="20"/>
        </w:rPr>
      </w:pPr>
      <w:r>
        <w:rPr>
          <w:szCs w:val="20"/>
        </w:rPr>
        <w:t>23.</w:t>
      </w:r>
      <w:r>
        <w:rPr>
          <w:szCs w:val="20"/>
        </w:rPr>
        <w:tab/>
      </w:r>
      <w:r w:rsidR="00E54916" w:rsidRPr="00E54916">
        <w:rPr>
          <w:szCs w:val="20"/>
        </w:rPr>
        <w:t>All Parties will continue to undertake work on the arrangements for portability of supports, including any associated cost implications, by mid-February 2013, with the details to be attached as an appendix to this Agreement and reflected in the NDIS Rules.</w:t>
      </w:r>
    </w:p>
    <w:p w:rsidR="00E54916" w:rsidRPr="00E54916" w:rsidRDefault="00D46F34" w:rsidP="00D46F34">
      <w:pPr>
        <w:ind w:left="562" w:hanging="562"/>
        <w:rPr>
          <w:szCs w:val="20"/>
        </w:rPr>
      </w:pPr>
      <w:r>
        <w:rPr>
          <w:szCs w:val="20"/>
        </w:rPr>
        <w:t>24.</w:t>
      </w:r>
      <w:r>
        <w:rPr>
          <w:szCs w:val="20"/>
        </w:rPr>
        <w:tab/>
      </w:r>
      <w:r w:rsidR="00E54916" w:rsidRPr="00E54916">
        <w:rPr>
          <w:szCs w:val="20"/>
        </w:rPr>
        <w:t>Once NDIS is fully implemented as a national scheme, NDIS supports will be fully portable across Australia.</w:t>
      </w:r>
    </w:p>
    <w:p w:rsidR="00E54916" w:rsidRPr="00E54916" w:rsidRDefault="00E54916" w:rsidP="000C65A6">
      <w:pPr>
        <w:pStyle w:val="Heading2"/>
      </w:pPr>
      <w:r w:rsidRPr="00E54916">
        <w:t xml:space="preserve">Role of the NDIS Launch Transition Agency </w:t>
      </w:r>
    </w:p>
    <w:p w:rsidR="00E54916" w:rsidRPr="00E54916" w:rsidRDefault="00D46F34" w:rsidP="00D46F34">
      <w:pPr>
        <w:ind w:left="562" w:hanging="562"/>
        <w:rPr>
          <w:szCs w:val="20"/>
        </w:rPr>
      </w:pPr>
      <w:r>
        <w:rPr>
          <w:szCs w:val="20"/>
        </w:rPr>
        <w:t>25.</w:t>
      </w:r>
      <w:r>
        <w:rPr>
          <w:szCs w:val="20"/>
        </w:rPr>
        <w:tab/>
      </w:r>
      <w:r w:rsidR="00E54916" w:rsidRPr="00E54916">
        <w:rPr>
          <w:szCs w:val="20"/>
        </w:rPr>
        <w:t>The Agency will have responsibility for delivery and management of the NDIS as provided in the National Disability Insurance Scheme Bill 2012,</w:t>
      </w:r>
      <w:r w:rsidR="00E54916" w:rsidRPr="00E54916">
        <w:rPr>
          <w:i/>
          <w:szCs w:val="20"/>
        </w:rPr>
        <w:t xml:space="preserve"> </w:t>
      </w:r>
      <w:r w:rsidR="00E54916" w:rsidRPr="00E54916">
        <w:rPr>
          <w:szCs w:val="20"/>
        </w:rPr>
        <w:t>as enacted into legislation</w:t>
      </w:r>
      <w:r w:rsidR="00E54916" w:rsidRPr="00E54916" w:rsidDel="00C41107">
        <w:rPr>
          <w:szCs w:val="20"/>
        </w:rPr>
        <w:t xml:space="preserve"> </w:t>
      </w:r>
      <w:r w:rsidR="00E54916" w:rsidRPr="00E54916">
        <w:rPr>
          <w:szCs w:val="20"/>
        </w:rPr>
        <w:t xml:space="preserve">and in compliance with the </w:t>
      </w:r>
      <w:r w:rsidR="00E54916" w:rsidRPr="00E54916">
        <w:rPr>
          <w:i/>
          <w:szCs w:val="20"/>
        </w:rPr>
        <w:t>Commonwealth Authorities and Companies Act 1997.</w:t>
      </w:r>
    </w:p>
    <w:p w:rsidR="00E54916" w:rsidRPr="00E54916" w:rsidRDefault="00E54916" w:rsidP="00D46F34">
      <w:pPr>
        <w:pStyle w:val="Heading1"/>
      </w:pPr>
      <w:r w:rsidRPr="00E54916">
        <w:t xml:space="preserve">Part 6 — </w:t>
      </w:r>
      <w:r w:rsidR="00D46F34" w:rsidRPr="00E54916">
        <w:t>Funding Arrangements</w:t>
      </w:r>
    </w:p>
    <w:p w:rsidR="00E54916" w:rsidRPr="00E54916" w:rsidRDefault="00E54916" w:rsidP="000C65A6">
      <w:pPr>
        <w:pStyle w:val="Heading2"/>
      </w:pPr>
      <w:r w:rsidRPr="00E54916">
        <w:t xml:space="preserve">Funding arrangements for host jurisdictions and the Commonwealth </w:t>
      </w:r>
    </w:p>
    <w:p w:rsidR="00E54916" w:rsidRPr="00E54916" w:rsidRDefault="00D46F34" w:rsidP="00D46F34">
      <w:pPr>
        <w:ind w:left="562" w:hanging="562"/>
        <w:rPr>
          <w:i/>
          <w:szCs w:val="20"/>
        </w:rPr>
      </w:pPr>
      <w:r>
        <w:rPr>
          <w:szCs w:val="20"/>
        </w:rPr>
        <w:t>26.</w:t>
      </w:r>
      <w:r>
        <w:rPr>
          <w:szCs w:val="20"/>
        </w:rPr>
        <w:tab/>
      </w:r>
      <w:r w:rsidR="00E54916" w:rsidRPr="00E54916">
        <w:rPr>
          <w:szCs w:val="20"/>
        </w:rPr>
        <w:t xml:space="preserve">Both the Commonwealth and host jurisdictions will make financial contributions to the cost of care and support for participants in NDIS launch sites in accordance with details outlined in Schedules A - E. </w:t>
      </w:r>
    </w:p>
    <w:p w:rsidR="00E54916" w:rsidRPr="00E54916" w:rsidRDefault="00D46F34" w:rsidP="00D46F34">
      <w:pPr>
        <w:ind w:left="562" w:hanging="562"/>
        <w:rPr>
          <w:i/>
          <w:szCs w:val="20"/>
        </w:rPr>
      </w:pPr>
      <w:r>
        <w:rPr>
          <w:szCs w:val="20"/>
        </w:rPr>
        <w:t>27.</w:t>
      </w:r>
      <w:r>
        <w:rPr>
          <w:szCs w:val="20"/>
        </w:rPr>
        <w:tab/>
      </w:r>
      <w:r w:rsidR="00E54916" w:rsidRPr="00E54916">
        <w:rPr>
          <w:szCs w:val="20"/>
        </w:rPr>
        <w:t xml:space="preserve">The Commonwealth will be responsible for all </w:t>
      </w:r>
      <w:proofErr w:type="gramStart"/>
      <w:r w:rsidR="00E54916" w:rsidRPr="00E54916">
        <w:rPr>
          <w:szCs w:val="20"/>
        </w:rPr>
        <w:t>establishment</w:t>
      </w:r>
      <w:proofErr w:type="gramEnd"/>
      <w:r w:rsidR="00E54916" w:rsidRPr="00E54916">
        <w:rPr>
          <w:szCs w:val="20"/>
        </w:rPr>
        <w:t>, administrative and system support costs associated with delivering NDIS funded support, unless otherwise agreed in Schedules A - E.</w:t>
      </w:r>
    </w:p>
    <w:p w:rsidR="00E54916" w:rsidRPr="00E54916" w:rsidRDefault="00D46F34" w:rsidP="00D46F34">
      <w:pPr>
        <w:ind w:left="562" w:hanging="562"/>
        <w:rPr>
          <w:szCs w:val="20"/>
        </w:rPr>
      </w:pPr>
      <w:r>
        <w:rPr>
          <w:szCs w:val="20"/>
        </w:rPr>
        <w:t>28.</w:t>
      </w:r>
      <w:r>
        <w:rPr>
          <w:szCs w:val="20"/>
        </w:rPr>
        <w:tab/>
      </w:r>
      <w:r w:rsidR="00E54916" w:rsidRPr="00E54916">
        <w:rPr>
          <w:szCs w:val="20"/>
        </w:rPr>
        <w:t>Governments agree that managing unexpected costs is a critical issue. The Commonwealth agrees that it will fund any costs associated with higher population numbers, higher per person care and support costs, 100 per cent of the Agency’s cash flow risk and any other risk sharing arrangements identified in Schedules A – E during the launch and transition to a full scheme</w:t>
      </w:r>
      <w:r w:rsidR="00E54916" w:rsidRPr="00E54916" w:rsidDel="00BD0235">
        <w:rPr>
          <w:szCs w:val="20"/>
        </w:rPr>
        <w:t xml:space="preserve"> </w:t>
      </w:r>
      <w:r w:rsidR="00E54916" w:rsidRPr="00E54916">
        <w:rPr>
          <w:szCs w:val="20"/>
        </w:rPr>
        <w:t>(as well as the full cost of establishment, administrative and system support costs, and workforce and sector development costs).</w:t>
      </w:r>
    </w:p>
    <w:p w:rsidR="00E54916" w:rsidRPr="00E54916" w:rsidRDefault="00D46F34" w:rsidP="00D46F34">
      <w:pPr>
        <w:ind w:left="562" w:hanging="562"/>
        <w:rPr>
          <w:i/>
          <w:szCs w:val="20"/>
        </w:rPr>
      </w:pPr>
      <w:r>
        <w:rPr>
          <w:szCs w:val="20"/>
        </w:rPr>
        <w:t>29.</w:t>
      </w:r>
      <w:r>
        <w:rPr>
          <w:szCs w:val="20"/>
        </w:rPr>
        <w:tab/>
      </w:r>
      <w:r w:rsidR="00E54916" w:rsidRPr="00E54916">
        <w:rPr>
          <w:szCs w:val="20"/>
        </w:rPr>
        <w:t xml:space="preserve">Contributions from host jurisdictions and the Commonwealth will be in the form of cash paid to the Agency and through in-kind support to individuals on behalf of the Agency through existing government programs. Schedules A - E estimate the overall contribution from each host jurisdiction and the Commonwealth, and what will be provided in kind, and from which programs, and how much will be provided in cash.  While the total contribution will not change, each party may revise </w:t>
      </w:r>
      <w:proofErr w:type="gramStart"/>
      <w:r w:rsidR="00E54916" w:rsidRPr="00E54916">
        <w:rPr>
          <w:szCs w:val="20"/>
        </w:rPr>
        <w:t>their own</w:t>
      </w:r>
      <w:proofErr w:type="gramEnd"/>
      <w:r w:rsidR="00E54916" w:rsidRPr="00E54916">
        <w:rPr>
          <w:szCs w:val="20"/>
        </w:rPr>
        <w:t xml:space="preserve"> estimated mix of cash and in-kind support at any time, and must provide at least one month's notice to the Agency of any such change.</w:t>
      </w:r>
    </w:p>
    <w:p w:rsidR="00E54916" w:rsidRPr="00E54916" w:rsidRDefault="00D46F34" w:rsidP="00D46F34">
      <w:pPr>
        <w:ind w:left="562" w:hanging="562"/>
        <w:rPr>
          <w:szCs w:val="20"/>
        </w:rPr>
      </w:pPr>
      <w:r>
        <w:rPr>
          <w:szCs w:val="20"/>
        </w:rPr>
        <w:t>30.</w:t>
      </w:r>
      <w:r>
        <w:rPr>
          <w:szCs w:val="20"/>
        </w:rPr>
        <w:tab/>
      </w:r>
      <w:r w:rsidR="00E54916" w:rsidRPr="00E54916">
        <w:rPr>
          <w:szCs w:val="20"/>
        </w:rPr>
        <w:t>Schedules A – E will be reviewed and updated by Treasurers, in consultation with Disability Ministers, in December each year to revise estimates of the mix of cash and in-kind service provision and include funding estimates for 2016-17 and subsequent years to account for either a transition to a full scheme or alternative arrangements for continuity of support.</w:t>
      </w:r>
    </w:p>
    <w:p w:rsidR="00E54916" w:rsidRPr="00E54916" w:rsidRDefault="00D46F34" w:rsidP="00D46F34">
      <w:pPr>
        <w:ind w:left="1123" w:hanging="562"/>
        <w:rPr>
          <w:szCs w:val="20"/>
        </w:rPr>
      </w:pPr>
      <w:r>
        <w:rPr>
          <w:szCs w:val="20"/>
        </w:rPr>
        <w:lastRenderedPageBreak/>
        <w:t>a.</w:t>
      </w:r>
      <w:r>
        <w:rPr>
          <w:szCs w:val="20"/>
        </w:rPr>
        <w:tab/>
      </w:r>
      <w:r w:rsidR="00E54916" w:rsidRPr="00E54916">
        <w:rPr>
          <w:szCs w:val="20"/>
        </w:rPr>
        <w:t>The update will be based on the same methodology used to cost funding for the first stage of an NDIS in years 2013-14 to 2015-16 and agreed between the Commonwealth and host jurisdictions.</w:t>
      </w:r>
    </w:p>
    <w:p w:rsidR="00E54916" w:rsidRPr="00E54916" w:rsidRDefault="00E54916" w:rsidP="000C65A6">
      <w:pPr>
        <w:pStyle w:val="Heading2"/>
      </w:pPr>
      <w:r w:rsidRPr="00E54916">
        <w:t xml:space="preserve">Implications on distribution of the Goods and Services Tax </w:t>
      </w:r>
    </w:p>
    <w:p w:rsidR="00E54916" w:rsidRPr="00E54916" w:rsidRDefault="00D46F34" w:rsidP="00D46F34">
      <w:pPr>
        <w:ind w:left="562" w:hanging="562"/>
        <w:rPr>
          <w:szCs w:val="20"/>
        </w:rPr>
      </w:pPr>
      <w:r>
        <w:rPr>
          <w:szCs w:val="20"/>
        </w:rPr>
        <w:t>31.</w:t>
      </w:r>
      <w:r>
        <w:rPr>
          <w:szCs w:val="20"/>
        </w:rPr>
        <w:tab/>
      </w:r>
      <w:r w:rsidR="00E54916" w:rsidRPr="00E54916">
        <w:rPr>
          <w:szCs w:val="20"/>
        </w:rPr>
        <w:t>For the purpose of the Commonwealth Grants Commission determining Goods and Services Tax (GST) revenue sharing relativities, all jurisdictions agree that the additional Commonwealth funding contribution for the first stage of an NDIS will not impact on State GST shares.  This Clause will be reflected in any relevant Terms of Reference issued by the Commonwealth Treasurer to the Commonwealth Grants Commission.</w:t>
      </w:r>
    </w:p>
    <w:p w:rsidR="00E54916" w:rsidRPr="00E54916" w:rsidRDefault="00E54916" w:rsidP="000C65A6">
      <w:pPr>
        <w:pStyle w:val="Heading2"/>
      </w:pPr>
      <w:r w:rsidRPr="00E54916">
        <w:t>Financial contributions</w:t>
      </w:r>
    </w:p>
    <w:p w:rsidR="00E54916" w:rsidRPr="00E54916" w:rsidRDefault="00D46F34" w:rsidP="00D46F34">
      <w:pPr>
        <w:ind w:left="562" w:hanging="562"/>
        <w:rPr>
          <w:szCs w:val="20"/>
        </w:rPr>
      </w:pPr>
      <w:r>
        <w:rPr>
          <w:szCs w:val="20"/>
        </w:rPr>
        <w:t>32.</w:t>
      </w:r>
      <w:r>
        <w:rPr>
          <w:szCs w:val="20"/>
        </w:rPr>
        <w:tab/>
      </w:r>
      <w:r w:rsidR="00E54916" w:rsidRPr="00E54916">
        <w:rPr>
          <w:szCs w:val="20"/>
        </w:rPr>
        <w:t>The Commonwealth and host jurisdictions will make payments for care and support for participants into a national pool that is managed by the Agency. The pool will have state-specific accounting to transparently show how Commonwealth and host jurisdiction funding is allocated and spent within each jurisdiction.</w:t>
      </w:r>
    </w:p>
    <w:p w:rsidR="00E54916" w:rsidRPr="00E54916" w:rsidRDefault="00D46F34" w:rsidP="00D46F34">
      <w:pPr>
        <w:ind w:left="562" w:hanging="562"/>
        <w:rPr>
          <w:szCs w:val="20"/>
        </w:rPr>
      </w:pPr>
      <w:r>
        <w:rPr>
          <w:szCs w:val="20"/>
        </w:rPr>
        <w:t>33.</w:t>
      </w:r>
      <w:r>
        <w:rPr>
          <w:szCs w:val="20"/>
        </w:rPr>
        <w:tab/>
      </w:r>
      <w:r w:rsidR="00E54916" w:rsidRPr="00E54916">
        <w:rPr>
          <w:szCs w:val="20"/>
        </w:rPr>
        <w:t xml:space="preserve">The first cash payment from the Commonwealth and each host jurisdiction upon commencement of the launch in that jurisdiction will be for one quarter of the total cash contribution of funding for the first year of launch in order to manage any significant upfront demand.  </w:t>
      </w:r>
    </w:p>
    <w:p w:rsidR="00E54916" w:rsidRPr="00E54916" w:rsidRDefault="00D46F34" w:rsidP="00D46F34">
      <w:pPr>
        <w:ind w:left="562" w:hanging="562"/>
        <w:rPr>
          <w:szCs w:val="20"/>
        </w:rPr>
      </w:pPr>
      <w:r>
        <w:rPr>
          <w:szCs w:val="20"/>
        </w:rPr>
        <w:t>34.</w:t>
      </w:r>
      <w:r>
        <w:rPr>
          <w:szCs w:val="20"/>
        </w:rPr>
        <w:tab/>
      </w:r>
      <w:r w:rsidR="00E54916" w:rsidRPr="00E54916">
        <w:rPr>
          <w:szCs w:val="20"/>
        </w:rPr>
        <w:t>Following the initial payment, all funding transfers from both the Commonwealth and host jurisdictions will be made monthly in advance through payments to the Agency on the 1st day of the month.</w:t>
      </w:r>
    </w:p>
    <w:p w:rsidR="00E54916" w:rsidRPr="00E54916" w:rsidRDefault="00D46F34" w:rsidP="00D46F34">
      <w:pPr>
        <w:ind w:left="562" w:hanging="562"/>
        <w:rPr>
          <w:szCs w:val="20"/>
        </w:rPr>
      </w:pPr>
      <w:r>
        <w:rPr>
          <w:szCs w:val="20"/>
        </w:rPr>
        <w:t>35.</w:t>
      </w:r>
      <w:r>
        <w:rPr>
          <w:szCs w:val="20"/>
        </w:rPr>
        <w:tab/>
      </w:r>
      <w:r w:rsidR="00E54916" w:rsidRPr="00E54916">
        <w:rPr>
          <w:szCs w:val="20"/>
        </w:rPr>
        <w:t>Monthly payments from the second month and thereafter will be for one twelfth of the amount for the relevant year for both the Commonwealth and the host jurisdictions specified in Schedules A – E.</w:t>
      </w:r>
    </w:p>
    <w:p w:rsidR="00E54916" w:rsidRPr="00E54916" w:rsidRDefault="00D46F34" w:rsidP="00D46F34">
      <w:pPr>
        <w:ind w:left="562" w:hanging="562"/>
        <w:rPr>
          <w:szCs w:val="20"/>
        </w:rPr>
      </w:pPr>
      <w:r>
        <w:rPr>
          <w:szCs w:val="20"/>
        </w:rPr>
        <w:t>36.</w:t>
      </w:r>
      <w:r>
        <w:rPr>
          <w:szCs w:val="20"/>
        </w:rPr>
        <w:tab/>
      </w:r>
      <w:r w:rsidR="00E54916" w:rsidRPr="00E54916">
        <w:rPr>
          <w:szCs w:val="20"/>
        </w:rPr>
        <w:t>The Agency's cash flow projections will be reviewed after three, six and nine months.  If at the end of the first three, six or nine months of launch it is estimated that there may be insufficient cash to allow the Agency to fund NDIS support until the end of the financial year, governments will jointly consider the Agency’s cash flow and agree to an appropriate joint response strategy. Should the agreed strategy require cash to be brought forward, the Commonwealth would cover that cash flow.</w:t>
      </w:r>
      <w:r w:rsidR="00E54916" w:rsidRPr="00E54916" w:rsidDel="000B2B2A">
        <w:rPr>
          <w:szCs w:val="20"/>
        </w:rPr>
        <w:t xml:space="preserve"> </w:t>
      </w:r>
    </w:p>
    <w:p w:rsidR="00E54916" w:rsidRPr="00E54916" w:rsidRDefault="00D46F34" w:rsidP="00D46F34">
      <w:pPr>
        <w:ind w:left="1123" w:hanging="562"/>
        <w:rPr>
          <w:szCs w:val="20"/>
        </w:rPr>
      </w:pPr>
      <w:r>
        <w:rPr>
          <w:szCs w:val="20"/>
        </w:rPr>
        <w:t>a.</w:t>
      </w:r>
      <w:r>
        <w:rPr>
          <w:szCs w:val="20"/>
        </w:rPr>
        <w:tab/>
      </w:r>
      <w:r w:rsidR="00E54916" w:rsidRPr="00E54916">
        <w:rPr>
          <w:szCs w:val="20"/>
        </w:rPr>
        <w:t>The Agency will also immediately inform relevant jurisdictions if at any time the Agency estimates there are cash flow issues that inhibit the funding of care and support.  Governments will then jointly consider the Agency’s cash flow and agree to an appropriate joint response strategy. Should the agreed strategy require cash to be brought forward, the Commonwealth would cover that cash flow.</w:t>
      </w:r>
    </w:p>
    <w:p w:rsidR="00E54916" w:rsidRPr="00E54916" w:rsidRDefault="00D46F34" w:rsidP="00D46F34">
      <w:pPr>
        <w:ind w:left="562" w:hanging="562"/>
        <w:rPr>
          <w:szCs w:val="20"/>
        </w:rPr>
      </w:pPr>
      <w:r>
        <w:rPr>
          <w:szCs w:val="20"/>
        </w:rPr>
        <w:t>37.</w:t>
      </w:r>
      <w:r>
        <w:rPr>
          <w:szCs w:val="20"/>
        </w:rPr>
        <w:tab/>
      </w:r>
      <w:r w:rsidR="00E54916" w:rsidRPr="00E54916">
        <w:rPr>
          <w:szCs w:val="20"/>
        </w:rPr>
        <w:t xml:space="preserve">Where the scheduled payment day is a Saturday, Sunday or public holiday in the relevant jurisdiction, the payment will be made on the next business day. </w:t>
      </w:r>
    </w:p>
    <w:p w:rsidR="00E54916" w:rsidRPr="00E54916" w:rsidRDefault="00D46F34" w:rsidP="00D46F34">
      <w:pPr>
        <w:ind w:left="562" w:hanging="562"/>
        <w:rPr>
          <w:szCs w:val="20"/>
        </w:rPr>
      </w:pPr>
      <w:r>
        <w:rPr>
          <w:szCs w:val="20"/>
        </w:rPr>
        <w:t>38.</w:t>
      </w:r>
      <w:r>
        <w:rPr>
          <w:szCs w:val="20"/>
        </w:rPr>
        <w:tab/>
      </w:r>
      <w:r w:rsidR="00E54916" w:rsidRPr="00E54916">
        <w:rPr>
          <w:szCs w:val="20"/>
        </w:rPr>
        <w:t>The Agency will provide advice to host jurisdictions and the Commonwealth prior to each payment being made.  The advice for each payment will include:</w:t>
      </w:r>
    </w:p>
    <w:p w:rsidR="00E54916" w:rsidRPr="00E54916" w:rsidRDefault="00D46F34" w:rsidP="00D46F34">
      <w:pPr>
        <w:ind w:left="1123" w:hanging="562"/>
        <w:rPr>
          <w:szCs w:val="20"/>
        </w:rPr>
      </w:pPr>
      <w:proofErr w:type="gramStart"/>
      <w:r>
        <w:rPr>
          <w:szCs w:val="20"/>
        </w:rPr>
        <w:t>a</w:t>
      </w:r>
      <w:proofErr w:type="gramEnd"/>
      <w:r>
        <w:rPr>
          <w:szCs w:val="20"/>
        </w:rPr>
        <w:t>.</w:t>
      </w:r>
      <w:r>
        <w:rPr>
          <w:szCs w:val="20"/>
        </w:rPr>
        <w:tab/>
      </w:r>
      <w:r w:rsidR="00E54916" w:rsidRPr="00E54916">
        <w:rPr>
          <w:szCs w:val="20"/>
        </w:rPr>
        <w:t>the date of payment;</w:t>
      </w:r>
    </w:p>
    <w:p w:rsidR="00E54916" w:rsidRPr="00E54916" w:rsidRDefault="00D46F34" w:rsidP="00D46F34">
      <w:pPr>
        <w:ind w:left="1123" w:hanging="562"/>
        <w:rPr>
          <w:szCs w:val="20"/>
        </w:rPr>
      </w:pPr>
      <w:proofErr w:type="gramStart"/>
      <w:r>
        <w:rPr>
          <w:szCs w:val="20"/>
        </w:rPr>
        <w:lastRenderedPageBreak/>
        <w:t>b</w:t>
      </w:r>
      <w:proofErr w:type="gramEnd"/>
      <w:r>
        <w:rPr>
          <w:szCs w:val="20"/>
        </w:rPr>
        <w:t>.</w:t>
      </w:r>
      <w:r>
        <w:rPr>
          <w:szCs w:val="20"/>
        </w:rPr>
        <w:tab/>
      </w:r>
      <w:r w:rsidR="00E54916" w:rsidRPr="00E54916">
        <w:rPr>
          <w:szCs w:val="20"/>
        </w:rPr>
        <w:t xml:space="preserve">a summary of monthly payments to individuals; </w:t>
      </w:r>
    </w:p>
    <w:p w:rsidR="00E54916" w:rsidRPr="00E54916" w:rsidRDefault="00D46F34" w:rsidP="00D46F34">
      <w:pPr>
        <w:ind w:left="1123" w:hanging="562"/>
        <w:rPr>
          <w:szCs w:val="20"/>
        </w:rPr>
      </w:pPr>
      <w:proofErr w:type="gramStart"/>
      <w:r>
        <w:rPr>
          <w:szCs w:val="20"/>
        </w:rPr>
        <w:t>c</w:t>
      </w:r>
      <w:proofErr w:type="gramEnd"/>
      <w:r>
        <w:rPr>
          <w:szCs w:val="20"/>
        </w:rPr>
        <w:t>.</w:t>
      </w:r>
      <w:r>
        <w:rPr>
          <w:szCs w:val="20"/>
        </w:rPr>
        <w:tab/>
      </w:r>
      <w:r w:rsidR="00E54916" w:rsidRPr="00E54916">
        <w:rPr>
          <w:szCs w:val="20"/>
        </w:rPr>
        <w:t>a summary of year to date payments to the Agency by each jurisdiction and the Commonwealth; and</w:t>
      </w:r>
    </w:p>
    <w:p w:rsidR="00E54916" w:rsidRPr="00E54916" w:rsidRDefault="00D46F34" w:rsidP="00D46F34">
      <w:pPr>
        <w:ind w:left="1123" w:hanging="562"/>
        <w:rPr>
          <w:szCs w:val="20"/>
        </w:rPr>
      </w:pPr>
      <w:proofErr w:type="gramStart"/>
      <w:r>
        <w:rPr>
          <w:szCs w:val="20"/>
        </w:rPr>
        <w:t>d</w:t>
      </w:r>
      <w:proofErr w:type="gramEnd"/>
      <w:r>
        <w:rPr>
          <w:szCs w:val="20"/>
        </w:rPr>
        <w:t>.</w:t>
      </w:r>
      <w:r>
        <w:rPr>
          <w:szCs w:val="20"/>
        </w:rPr>
        <w:tab/>
      </w:r>
      <w:r w:rsidR="00E54916" w:rsidRPr="00E54916">
        <w:rPr>
          <w:szCs w:val="20"/>
        </w:rPr>
        <w:t>a summary of cash flow including any issues that could inhibit</w:t>
      </w:r>
      <w:r>
        <w:rPr>
          <w:szCs w:val="20"/>
        </w:rPr>
        <w:t xml:space="preserve"> funding of care and support.</w:t>
      </w:r>
    </w:p>
    <w:p w:rsidR="00E54916" w:rsidRPr="00E54916" w:rsidRDefault="00D46F34" w:rsidP="00D46F34">
      <w:pPr>
        <w:ind w:left="562" w:hanging="562"/>
        <w:rPr>
          <w:szCs w:val="20"/>
        </w:rPr>
      </w:pPr>
      <w:r>
        <w:rPr>
          <w:szCs w:val="20"/>
        </w:rPr>
        <w:t>39.</w:t>
      </w:r>
      <w:r>
        <w:rPr>
          <w:szCs w:val="20"/>
        </w:rPr>
        <w:tab/>
      </w:r>
      <w:r w:rsidR="00E54916" w:rsidRPr="00E54916">
        <w:rPr>
          <w:szCs w:val="20"/>
        </w:rPr>
        <w:t>The timing and amount of payments, or other administrative arrangements in this Agreement, may be varied when necessary by the agreement in writing of the affected parties.</w:t>
      </w:r>
    </w:p>
    <w:p w:rsidR="00E54916" w:rsidRPr="00E54916" w:rsidRDefault="00E54916" w:rsidP="000C65A6">
      <w:pPr>
        <w:pStyle w:val="Heading2"/>
      </w:pPr>
      <w:r w:rsidRPr="00E54916">
        <w:t>Contribution from existing funding arrangements</w:t>
      </w:r>
    </w:p>
    <w:p w:rsidR="00E54916" w:rsidRPr="00E54916" w:rsidRDefault="00D46F34" w:rsidP="00D46F34">
      <w:pPr>
        <w:ind w:left="562" w:hanging="562"/>
        <w:rPr>
          <w:szCs w:val="20"/>
        </w:rPr>
      </w:pPr>
      <w:r>
        <w:rPr>
          <w:szCs w:val="20"/>
        </w:rPr>
        <w:t>40.</w:t>
      </w:r>
      <w:r>
        <w:rPr>
          <w:szCs w:val="20"/>
        </w:rPr>
        <w:tab/>
      </w:r>
      <w:r w:rsidR="00E54916" w:rsidRPr="00E54916">
        <w:rPr>
          <w:szCs w:val="20"/>
        </w:rPr>
        <w:t>The Commonwealth and host jurisdictions acknowledge that to give effect to choice and control of individuals within the launch sites funding for existing services should transition to cash contributions to the greatest extent possible.</w:t>
      </w:r>
    </w:p>
    <w:p w:rsidR="00E54916" w:rsidRPr="00E54916" w:rsidRDefault="00D46F34" w:rsidP="00D46F34">
      <w:pPr>
        <w:ind w:left="562" w:hanging="562"/>
        <w:rPr>
          <w:szCs w:val="20"/>
        </w:rPr>
      </w:pPr>
      <w:r>
        <w:rPr>
          <w:szCs w:val="20"/>
        </w:rPr>
        <w:t>41.</w:t>
      </w:r>
      <w:r>
        <w:rPr>
          <w:szCs w:val="20"/>
        </w:rPr>
        <w:tab/>
      </w:r>
      <w:r w:rsidR="00E54916" w:rsidRPr="00E54916">
        <w:rPr>
          <w:szCs w:val="20"/>
        </w:rPr>
        <w:t xml:space="preserve">Principles guiding the interaction of existing mainstream services and the NDIS will be developed by mid-February 2013 and reflect the National Disability Strategy and be attached as a separate schedule to this Agreement. </w:t>
      </w:r>
    </w:p>
    <w:p w:rsidR="00E54916" w:rsidRPr="00E54916" w:rsidRDefault="00D46F34" w:rsidP="00D46F34">
      <w:pPr>
        <w:ind w:left="562" w:hanging="562"/>
        <w:rPr>
          <w:szCs w:val="20"/>
        </w:rPr>
      </w:pPr>
      <w:r>
        <w:rPr>
          <w:szCs w:val="20"/>
        </w:rPr>
        <w:t>42.</w:t>
      </w:r>
      <w:r>
        <w:rPr>
          <w:szCs w:val="20"/>
        </w:rPr>
        <w:tab/>
      </w:r>
      <w:r w:rsidR="00E54916" w:rsidRPr="00E54916">
        <w:rPr>
          <w:szCs w:val="20"/>
        </w:rPr>
        <w:t>Schedules A – E set out how much of each jurisdiction's total contribution will be provided directly through in-kind support and how much will be provided in cash. These schedules also document the timeframes in which contributions from existing funding arrangements are expected to be transitioned into cash contributions, noting that not all programs will necessarily be transitioned into cash.</w:t>
      </w:r>
    </w:p>
    <w:p w:rsidR="00E54916" w:rsidRPr="00E54916" w:rsidRDefault="00D46F34" w:rsidP="00D46F34">
      <w:pPr>
        <w:ind w:left="562" w:hanging="562"/>
        <w:rPr>
          <w:szCs w:val="20"/>
        </w:rPr>
      </w:pPr>
      <w:bookmarkStart w:id="1" w:name="_Ref341107896"/>
      <w:r>
        <w:rPr>
          <w:szCs w:val="20"/>
        </w:rPr>
        <w:t>43.</w:t>
      </w:r>
      <w:r>
        <w:rPr>
          <w:szCs w:val="20"/>
        </w:rPr>
        <w:tab/>
      </w:r>
      <w:r w:rsidR="00E54916" w:rsidRPr="00E54916">
        <w:rPr>
          <w:szCs w:val="20"/>
        </w:rPr>
        <w:t>Accounting for existing services delivered in a launch site by the Commonwealth or a State will be through a mechanism agreed between the Commonwealth and host jurisdictions by mid-February 2013, or as otherwise indicated in Schedules A - E.  This mechanism will be conveyed to the Agency and service providers in the launch site, and the Agency will be responsible for implementing the first stage of an NDIS in accordance with the mechanism.</w:t>
      </w:r>
      <w:bookmarkEnd w:id="1"/>
    </w:p>
    <w:p w:rsidR="00E54916" w:rsidRPr="00E54916" w:rsidRDefault="00D46F34" w:rsidP="00D46F34">
      <w:pPr>
        <w:ind w:left="562" w:hanging="562"/>
        <w:rPr>
          <w:szCs w:val="20"/>
        </w:rPr>
      </w:pPr>
      <w:r>
        <w:rPr>
          <w:szCs w:val="20"/>
        </w:rPr>
        <w:t>44.</w:t>
      </w:r>
      <w:r>
        <w:rPr>
          <w:szCs w:val="20"/>
        </w:rPr>
        <w:tab/>
      </w:r>
      <w:r w:rsidR="00E54916" w:rsidRPr="00E54916">
        <w:rPr>
          <w:szCs w:val="20"/>
        </w:rPr>
        <w:t xml:space="preserve">The mechanism referred to in paragraph 43 will recognise that a service provider has provided a service to a client, but the service provider already receives funding from a jurisdiction. The amount that will be accounted will be based on the unit cost of the service that reflects the notional actual cost per client of providing the services, as agreed between the Agency and the relevant government authority. </w:t>
      </w:r>
    </w:p>
    <w:p w:rsidR="00E54916" w:rsidRPr="00E54916" w:rsidRDefault="00D46F34" w:rsidP="00D46F34">
      <w:pPr>
        <w:ind w:left="562" w:hanging="562"/>
        <w:rPr>
          <w:szCs w:val="20"/>
        </w:rPr>
      </w:pPr>
      <w:bookmarkStart w:id="2" w:name="_Ref341259532"/>
      <w:r>
        <w:rPr>
          <w:szCs w:val="20"/>
        </w:rPr>
        <w:t>45.</w:t>
      </w:r>
      <w:r>
        <w:rPr>
          <w:szCs w:val="20"/>
        </w:rPr>
        <w:tab/>
      </w:r>
      <w:r w:rsidR="00E54916" w:rsidRPr="00E54916">
        <w:rPr>
          <w:szCs w:val="20"/>
        </w:rPr>
        <w:t>The Commonwealth and host jurisdictions will commit to make available the level of existing disability services outlined in Schedules A – E.</w:t>
      </w:r>
      <w:bookmarkEnd w:id="2"/>
    </w:p>
    <w:p w:rsidR="00E54916" w:rsidRPr="00E54916" w:rsidRDefault="00D46F34" w:rsidP="00D46F34">
      <w:pPr>
        <w:ind w:left="1123" w:hanging="562"/>
        <w:rPr>
          <w:szCs w:val="20"/>
        </w:rPr>
      </w:pPr>
      <w:r>
        <w:rPr>
          <w:szCs w:val="20"/>
        </w:rPr>
        <w:t>a.</w:t>
      </w:r>
      <w:r>
        <w:rPr>
          <w:szCs w:val="20"/>
        </w:rPr>
        <w:tab/>
      </w:r>
      <w:r w:rsidR="00E54916" w:rsidRPr="00E54916">
        <w:rPr>
          <w:szCs w:val="20"/>
        </w:rPr>
        <w:t>The Agency will be required to use the existing services as outlined in Schedules A – E over the financial year.</w:t>
      </w:r>
    </w:p>
    <w:p w:rsidR="00E54916" w:rsidRPr="00E54916" w:rsidRDefault="00D46F34" w:rsidP="00D46F34">
      <w:pPr>
        <w:ind w:left="1123" w:hanging="562"/>
        <w:rPr>
          <w:szCs w:val="20"/>
        </w:rPr>
      </w:pPr>
      <w:r>
        <w:rPr>
          <w:szCs w:val="20"/>
        </w:rPr>
        <w:t>b.</w:t>
      </w:r>
      <w:r>
        <w:rPr>
          <w:szCs w:val="20"/>
        </w:rPr>
        <w:tab/>
      </w:r>
      <w:r w:rsidR="00E54916" w:rsidRPr="00E54916">
        <w:rPr>
          <w:szCs w:val="20"/>
        </w:rPr>
        <w:t xml:space="preserve">However, </w:t>
      </w:r>
      <w:proofErr w:type="gramStart"/>
      <w:r w:rsidR="00E54916" w:rsidRPr="00E54916">
        <w:rPr>
          <w:szCs w:val="20"/>
        </w:rPr>
        <w:t>if :</w:t>
      </w:r>
      <w:proofErr w:type="gramEnd"/>
    </w:p>
    <w:p w:rsidR="00E54916" w:rsidRPr="00E54916" w:rsidRDefault="00D46F34" w:rsidP="00D46F34">
      <w:pPr>
        <w:ind w:left="1685" w:hanging="562"/>
        <w:rPr>
          <w:szCs w:val="20"/>
        </w:rPr>
      </w:pPr>
      <w:proofErr w:type="spellStart"/>
      <w:r>
        <w:rPr>
          <w:szCs w:val="20"/>
        </w:rPr>
        <w:t>i</w:t>
      </w:r>
      <w:proofErr w:type="spellEnd"/>
      <w:r>
        <w:rPr>
          <w:szCs w:val="20"/>
        </w:rPr>
        <w:t>.</w:t>
      </w:r>
      <w:r>
        <w:rPr>
          <w:szCs w:val="20"/>
        </w:rPr>
        <w:tab/>
      </w:r>
      <w:r w:rsidR="00E54916" w:rsidRPr="00E54916">
        <w:rPr>
          <w:szCs w:val="20"/>
        </w:rPr>
        <w:t>the Commonwealth or a host jurisdiction is unable to provide the value of existing services during the financial year specified in Schedules A – E; or</w:t>
      </w:r>
    </w:p>
    <w:p w:rsidR="00E54916" w:rsidRPr="00E54916" w:rsidRDefault="00D46F34" w:rsidP="00D46F34">
      <w:pPr>
        <w:ind w:left="1685" w:hanging="562"/>
        <w:rPr>
          <w:szCs w:val="20"/>
        </w:rPr>
      </w:pPr>
      <w:r>
        <w:rPr>
          <w:szCs w:val="20"/>
        </w:rPr>
        <w:t>ii.</w:t>
      </w:r>
      <w:r>
        <w:rPr>
          <w:szCs w:val="20"/>
        </w:rPr>
        <w:tab/>
      </w:r>
      <w:proofErr w:type="gramStart"/>
      <w:r w:rsidR="00E54916" w:rsidRPr="00E54916">
        <w:rPr>
          <w:szCs w:val="20"/>
        </w:rPr>
        <w:t>the</w:t>
      </w:r>
      <w:proofErr w:type="gramEnd"/>
      <w:r w:rsidR="00E54916" w:rsidRPr="00E54916">
        <w:rPr>
          <w:szCs w:val="20"/>
        </w:rPr>
        <w:t xml:space="preserve"> Agency or the client is unable to access that value of existing services; </w:t>
      </w:r>
    </w:p>
    <w:p w:rsidR="00E54916" w:rsidRPr="00E54916" w:rsidRDefault="00E54916" w:rsidP="00D46F34">
      <w:pPr>
        <w:ind w:left="1686"/>
        <w:rPr>
          <w:szCs w:val="20"/>
        </w:rPr>
      </w:pPr>
      <w:proofErr w:type="gramStart"/>
      <w:r w:rsidRPr="00E54916">
        <w:rPr>
          <w:szCs w:val="20"/>
        </w:rPr>
        <w:lastRenderedPageBreak/>
        <w:t>the</w:t>
      </w:r>
      <w:proofErr w:type="gramEnd"/>
      <w:r w:rsidRPr="00E54916">
        <w:rPr>
          <w:szCs w:val="20"/>
        </w:rPr>
        <w:t xml:space="preserve"> relevant jurisdiction will provide an additional payment to the Agency at the first available scheduled payment. This reflects the fact that if the jurisdiction does not make the services available, the Agency will have to source the services from other providers and pay for those services from cash contributions. The Agency will provide notice to relevant jurisdictions if the Agency is unable to access the existing services and the services will therefore not be utilised.</w:t>
      </w:r>
    </w:p>
    <w:p w:rsidR="00E54916" w:rsidRPr="00E54916" w:rsidRDefault="00D46F34" w:rsidP="00D46F34">
      <w:pPr>
        <w:ind w:left="1123" w:hanging="562"/>
        <w:rPr>
          <w:szCs w:val="20"/>
        </w:rPr>
      </w:pPr>
      <w:r>
        <w:rPr>
          <w:szCs w:val="20"/>
        </w:rPr>
        <w:t>c.</w:t>
      </w:r>
      <w:r>
        <w:rPr>
          <w:szCs w:val="20"/>
        </w:rPr>
        <w:tab/>
      </w:r>
      <w:r w:rsidR="00E54916" w:rsidRPr="00E54916">
        <w:rPr>
          <w:szCs w:val="20"/>
        </w:rPr>
        <w:t xml:space="preserve">If the Agency identifies that some or all of the existing types of services are not necessary for clients in the launch site during the individual planning and assessment process: </w:t>
      </w:r>
    </w:p>
    <w:p w:rsidR="00E54916" w:rsidRPr="00E54916" w:rsidRDefault="00D46F34" w:rsidP="00D46F34">
      <w:pPr>
        <w:ind w:left="1685" w:hanging="562"/>
        <w:rPr>
          <w:szCs w:val="20"/>
        </w:rPr>
      </w:pPr>
      <w:proofErr w:type="spellStart"/>
      <w:r>
        <w:rPr>
          <w:szCs w:val="20"/>
        </w:rPr>
        <w:t>i</w:t>
      </w:r>
      <w:proofErr w:type="spellEnd"/>
      <w:r>
        <w:rPr>
          <w:szCs w:val="20"/>
        </w:rPr>
        <w:t>.</w:t>
      </w:r>
      <w:r>
        <w:rPr>
          <w:szCs w:val="20"/>
        </w:rPr>
        <w:tab/>
      </w:r>
      <w:r w:rsidR="00E54916" w:rsidRPr="00E54916">
        <w:rPr>
          <w:szCs w:val="20"/>
        </w:rPr>
        <w:t xml:space="preserve">the Agency will provide notice to relevant jurisdictions that it considers the existing types of services are not necessary for clients in the launch site and therefore will not be utilised; </w:t>
      </w:r>
    </w:p>
    <w:p w:rsidR="00E54916" w:rsidRPr="00E54916" w:rsidRDefault="00D46F34" w:rsidP="00D46F34">
      <w:pPr>
        <w:ind w:left="1685" w:hanging="562"/>
        <w:rPr>
          <w:szCs w:val="20"/>
        </w:rPr>
      </w:pPr>
      <w:r>
        <w:rPr>
          <w:szCs w:val="20"/>
        </w:rPr>
        <w:t>ii.</w:t>
      </w:r>
      <w:r>
        <w:rPr>
          <w:szCs w:val="20"/>
        </w:rPr>
        <w:tab/>
      </w:r>
      <w:proofErr w:type="gramStart"/>
      <w:r w:rsidR="00E54916" w:rsidRPr="00E54916">
        <w:rPr>
          <w:szCs w:val="20"/>
        </w:rPr>
        <w:t>the</w:t>
      </w:r>
      <w:proofErr w:type="gramEnd"/>
      <w:r w:rsidR="00E54916" w:rsidRPr="00E54916">
        <w:rPr>
          <w:szCs w:val="20"/>
        </w:rPr>
        <w:t xml:space="preserve"> Agency will consult the relevant host jurisdiction to agree an arrangement for making an appropriate contribution, including an additional cash or in-kind contribution where necessary; and</w:t>
      </w:r>
    </w:p>
    <w:p w:rsidR="00E54916" w:rsidRPr="00E54916" w:rsidRDefault="00D46F34" w:rsidP="00D46F34">
      <w:pPr>
        <w:ind w:left="1685" w:hanging="562"/>
        <w:rPr>
          <w:szCs w:val="20"/>
        </w:rPr>
      </w:pPr>
      <w:r>
        <w:rPr>
          <w:szCs w:val="20"/>
        </w:rPr>
        <w:t>iii.</w:t>
      </w:r>
      <w:r>
        <w:rPr>
          <w:szCs w:val="20"/>
        </w:rPr>
        <w:tab/>
      </w:r>
      <w:proofErr w:type="gramStart"/>
      <w:r w:rsidR="00E54916" w:rsidRPr="00E54916">
        <w:rPr>
          <w:szCs w:val="20"/>
        </w:rPr>
        <w:t>governments</w:t>
      </w:r>
      <w:proofErr w:type="gramEnd"/>
      <w:r w:rsidR="00E54916" w:rsidRPr="00E54916">
        <w:rPr>
          <w:szCs w:val="20"/>
        </w:rPr>
        <w:t xml:space="preserve"> will amend the relevant Schedule to this Agreement as appropriate to reflect the changed contributions.</w:t>
      </w:r>
    </w:p>
    <w:p w:rsidR="00E54916" w:rsidRPr="00E54916" w:rsidRDefault="00D46F34" w:rsidP="00D46F34">
      <w:pPr>
        <w:ind w:left="1123" w:hanging="562"/>
        <w:rPr>
          <w:szCs w:val="20"/>
        </w:rPr>
      </w:pPr>
      <w:r>
        <w:rPr>
          <w:szCs w:val="20"/>
        </w:rPr>
        <w:t>d.</w:t>
      </w:r>
      <w:r>
        <w:rPr>
          <w:szCs w:val="20"/>
        </w:rPr>
        <w:tab/>
      </w:r>
      <w:r w:rsidR="00E54916" w:rsidRPr="00E54916">
        <w:rPr>
          <w:szCs w:val="20"/>
        </w:rPr>
        <w:t xml:space="preserve">If, in the above circumstances, the Commonwealth was required to make additional cash payments to the Agency to fund service provision due to insufficient cash being available to cover the cost of service provision, then any additional payments made by a jurisdiction to the Agency (as outlined in paragraph 45.b or c) will be taken into account in determining the Commonwealth’s contribution. </w:t>
      </w:r>
    </w:p>
    <w:p w:rsidR="00E54916" w:rsidRPr="00E54916" w:rsidRDefault="00D46F34" w:rsidP="00D46F34">
      <w:pPr>
        <w:ind w:left="562" w:hanging="562"/>
        <w:rPr>
          <w:szCs w:val="20"/>
        </w:rPr>
      </w:pPr>
      <w:r>
        <w:rPr>
          <w:szCs w:val="20"/>
        </w:rPr>
        <w:t>46.</w:t>
      </w:r>
      <w:r>
        <w:rPr>
          <w:szCs w:val="20"/>
        </w:rPr>
        <w:tab/>
      </w:r>
      <w:r w:rsidR="00E54916" w:rsidRPr="00E54916">
        <w:rPr>
          <w:szCs w:val="20"/>
        </w:rPr>
        <w:t xml:space="preserve">If there is an overall underspend on existing services in a launch site during the financial year, the relevant jurisdiction will not be required to make an additional payment. </w:t>
      </w:r>
    </w:p>
    <w:p w:rsidR="00E54916" w:rsidRPr="00E54916" w:rsidRDefault="00D46F34" w:rsidP="00D46F34">
      <w:pPr>
        <w:ind w:left="562" w:hanging="562"/>
        <w:rPr>
          <w:szCs w:val="20"/>
        </w:rPr>
      </w:pPr>
      <w:r>
        <w:rPr>
          <w:szCs w:val="20"/>
        </w:rPr>
        <w:t>47.</w:t>
      </w:r>
      <w:r>
        <w:rPr>
          <w:szCs w:val="20"/>
        </w:rPr>
        <w:tab/>
      </w:r>
      <w:r w:rsidR="00E54916" w:rsidRPr="00E54916">
        <w:rPr>
          <w:szCs w:val="20"/>
        </w:rPr>
        <w:t xml:space="preserve">It is recognised that during the first stage of an NDIS the transitional arrangements for funding of existing services may limit choice and control for some clients.  </w:t>
      </w:r>
    </w:p>
    <w:p w:rsidR="00E54916" w:rsidRPr="00E54916" w:rsidRDefault="00E54916" w:rsidP="000C65A6">
      <w:pPr>
        <w:pStyle w:val="Heading2"/>
      </w:pPr>
      <w:r w:rsidRPr="00E54916">
        <w:t>Overspends and underspends</w:t>
      </w:r>
    </w:p>
    <w:p w:rsidR="00E54916" w:rsidRPr="00E54916" w:rsidRDefault="00D46F34" w:rsidP="00D46F34">
      <w:pPr>
        <w:ind w:left="562" w:hanging="562"/>
        <w:rPr>
          <w:szCs w:val="20"/>
        </w:rPr>
      </w:pPr>
      <w:r>
        <w:rPr>
          <w:szCs w:val="20"/>
        </w:rPr>
        <w:t>48.</w:t>
      </w:r>
      <w:r>
        <w:rPr>
          <w:szCs w:val="20"/>
        </w:rPr>
        <w:tab/>
      </w:r>
      <w:r w:rsidR="00E54916" w:rsidRPr="00E54916">
        <w:rPr>
          <w:szCs w:val="20"/>
        </w:rPr>
        <w:t xml:space="preserve">The Commonwealth's commitment to meet 100 per cent of any costs associated with higher population numbers or higher per person NDIS funded supports costs and 100 per cent of the Agency’s cash flow risk will apply during the launch and transition to a full scheme, as specified in Schedules A – E, in recognition of the likely variability in costs in the early stages of the scheme. </w:t>
      </w:r>
    </w:p>
    <w:p w:rsidR="00E54916" w:rsidRPr="00E54916" w:rsidRDefault="00D46F34" w:rsidP="00D46F34">
      <w:pPr>
        <w:ind w:left="1123" w:hanging="562"/>
        <w:rPr>
          <w:szCs w:val="20"/>
        </w:rPr>
      </w:pPr>
      <w:r>
        <w:rPr>
          <w:szCs w:val="20"/>
        </w:rPr>
        <w:t>a.</w:t>
      </w:r>
      <w:r>
        <w:rPr>
          <w:szCs w:val="20"/>
        </w:rPr>
        <w:tab/>
      </w:r>
      <w:r w:rsidR="00E54916" w:rsidRPr="00E54916">
        <w:rPr>
          <w:szCs w:val="20"/>
        </w:rPr>
        <w:t xml:space="preserve">This commitment will be met by the Commonwealth in real time. </w:t>
      </w:r>
    </w:p>
    <w:p w:rsidR="00E54916" w:rsidRPr="00E54916" w:rsidRDefault="00D46F34" w:rsidP="00D46F34">
      <w:pPr>
        <w:ind w:left="1123" w:hanging="562"/>
        <w:rPr>
          <w:szCs w:val="20"/>
        </w:rPr>
      </w:pPr>
      <w:r>
        <w:rPr>
          <w:szCs w:val="20"/>
        </w:rPr>
        <w:t>b.</w:t>
      </w:r>
      <w:r>
        <w:rPr>
          <w:szCs w:val="20"/>
        </w:rPr>
        <w:tab/>
      </w:r>
      <w:r w:rsidR="00E54916" w:rsidRPr="00E54916">
        <w:rPr>
          <w:szCs w:val="20"/>
        </w:rPr>
        <w:t xml:space="preserve">Arrangements for subsequent periods will be agreed as per paragraph </w:t>
      </w:r>
      <w:r w:rsidR="00E54916" w:rsidRPr="00E54916">
        <w:rPr>
          <w:szCs w:val="20"/>
        </w:rPr>
        <w:fldChar w:fldCharType="begin"/>
      </w:r>
      <w:r w:rsidR="00E54916" w:rsidRPr="00E54916">
        <w:rPr>
          <w:szCs w:val="20"/>
        </w:rPr>
        <w:instrText xml:space="preserve"> REF _Ref341682173 \r \h  \* MERGEFORMAT </w:instrText>
      </w:r>
      <w:r w:rsidR="00E54916" w:rsidRPr="00E54916">
        <w:rPr>
          <w:szCs w:val="20"/>
        </w:rPr>
      </w:r>
      <w:r w:rsidR="00E54916" w:rsidRPr="00E54916">
        <w:rPr>
          <w:szCs w:val="20"/>
        </w:rPr>
        <w:fldChar w:fldCharType="separate"/>
      </w:r>
      <w:r w:rsidR="004A0D41">
        <w:rPr>
          <w:szCs w:val="20"/>
        </w:rPr>
        <w:t>0</w:t>
      </w:r>
      <w:r w:rsidR="00E54916" w:rsidRPr="00E54916">
        <w:rPr>
          <w:szCs w:val="20"/>
        </w:rPr>
        <w:fldChar w:fldCharType="end"/>
      </w:r>
      <w:r w:rsidR="00E54916" w:rsidRPr="00E54916">
        <w:rPr>
          <w:szCs w:val="20"/>
        </w:rPr>
        <w:t xml:space="preserve"> of this Agreement. </w:t>
      </w:r>
    </w:p>
    <w:p w:rsidR="00E54916" w:rsidRPr="00E54916" w:rsidRDefault="00D46F34" w:rsidP="00D46F34">
      <w:pPr>
        <w:ind w:left="562" w:hanging="562"/>
        <w:rPr>
          <w:szCs w:val="20"/>
        </w:rPr>
      </w:pPr>
      <w:r>
        <w:rPr>
          <w:szCs w:val="20"/>
        </w:rPr>
        <w:t>49.</w:t>
      </w:r>
      <w:r>
        <w:rPr>
          <w:szCs w:val="20"/>
        </w:rPr>
        <w:tab/>
      </w:r>
      <w:r w:rsidR="00E54916" w:rsidRPr="00E54916">
        <w:rPr>
          <w:szCs w:val="20"/>
        </w:rPr>
        <w:t>Overspends and underspends will be calculated and managed separately for each host jurisdiction.</w:t>
      </w:r>
    </w:p>
    <w:p w:rsidR="00E54916" w:rsidRPr="00E54916" w:rsidRDefault="00D46F34" w:rsidP="00D46F34">
      <w:pPr>
        <w:ind w:left="562" w:hanging="562"/>
        <w:rPr>
          <w:szCs w:val="20"/>
        </w:rPr>
      </w:pPr>
      <w:bookmarkStart w:id="3" w:name="_Ref341259587"/>
      <w:r>
        <w:rPr>
          <w:szCs w:val="20"/>
        </w:rPr>
        <w:t>50.</w:t>
      </w:r>
      <w:r>
        <w:rPr>
          <w:szCs w:val="20"/>
        </w:rPr>
        <w:tab/>
      </w:r>
      <w:r w:rsidR="00E54916" w:rsidRPr="00E54916">
        <w:rPr>
          <w:szCs w:val="20"/>
        </w:rPr>
        <w:t xml:space="preserve">Any cash underspends in a host jurisdiction and/or revenue earned by the Agency from other sources would be retained by the Agency and be taken into account to </w:t>
      </w:r>
      <w:r w:rsidR="00E54916" w:rsidRPr="00E54916">
        <w:rPr>
          <w:szCs w:val="20"/>
        </w:rPr>
        <w:lastRenderedPageBreak/>
        <w:t>reduce the Commonwealth’s and that host jurisdiction's contribution by an equivalent amount in the following financial year. Underspent funds in a host jurisdiction may only be taken into account in determining contributions in that host jurisdiction in the following financial year.</w:t>
      </w:r>
      <w:bookmarkEnd w:id="3"/>
    </w:p>
    <w:p w:rsidR="00E54916" w:rsidRPr="00E54916" w:rsidRDefault="00D46F34" w:rsidP="00D46F34">
      <w:pPr>
        <w:ind w:left="562" w:hanging="562"/>
        <w:rPr>
          <w:szCs w:val="20"/>
        </w:rPr>
      </w:pPr>
      <w:r>
        <w:rPr>
          <w:szCs w:val="20"/>
        </w:rPr>
        <w:t>51.</w:t>
      </w:r>
      <w:r>
        <w:rPr>
          <w:szCs w:val="20"/>
        </w:rPr>
        <w:tab/>
      </w:r>
      <w:r w:rsidR="00E54916" w:rsidRPr="00E54916">
        <w:rPr>
          <w:szCs w:val="20"/>
        </w:rPr>
        <w:t xml:space="preserve">If at any point in time there is a requirement for the Agency to return funds to governments, this would occur based on the relative proportions of contributions. The circumstances in which funds will be returned are set out in Annex B which is referenced in paragraph 54 below. </w:t>
      </w:r>
    </w:p>
    <w:p w:rsidR="00E54916" w:rsidRPr="00E54916" w:rsidRDefault="00D46F34" w:rsidP="00D46F34">
      <w:pPr>
        <w:ind w:left="562" w:hanging="562"/>
        <w:rPr>
          <w:szCs w:val="20"/>
        </w:rPr>
      </w:pPr>
      <w:r>
        <w:rPr>
          <w:szCs w:val="20"/>
        </w:rPr>
        <w:t>52.</w:t>
      </w:r>
      <w:r>
        <w:rPr>
          <w:szCs w:val="20"/>
        </w:rPr>
        <w:tab/>
      </w:r>
      <w:r w:rsidR="00E54916" w:rsidRPr="00E54916">
        <w:rPr>
          <w:szCs w:val="20"/>
        </w:rPr>
        <w:t>If, at the end of the first three years in a launch, total three year costs equal or exceed total three year funding and the host jurisdiction’s actual total contribution is less than that jurisdiction’s total NDIS commitment, as outlined in Schedules A – E, the host jurisdiction will provide a payment to the Commonwealth for the difference.</w:t>
      </w:r>
    </w:p>
    <w:p w:rsidR="00E54916" w:rsidRPr="00E54916" w:rsidRDefault="00D46F34" w:rsidP="00D46F34">
      <w:pPr>
        <w:ind w:left="562" w:hanging="562"/>
        <w:rPr>
          <w:szCs w:val="20"/>
        </w:rPr>
      </w:pPr>
      <w:r>
        <w:rPr>
          <w:szCs w:val="20"/>
        </w:rPr>
        <w:t>53.</w:t>
      </w:r>
      <w:r>
        <w:rPr>
          <w:szCs w:val="20"/>
        </w:rPr>
        <w:tab/>
      </w:r>
      <w:r w:rsidR="00E54916" w:rsidRPr="00E54916">
        <w:rPr>
          <w:szCs w:val="20"/>
        </w:rPr>
        <w:t xml:space="preserve">If, at the end of the first three years in a launch site, total three year costs are less than the anticipated three year funding commitment set out in Schedules A – E, and the operation of paragraph </w:t>
      </w:r>
      <w:r w:rsidR="00E54916" w:rsidRPr="00E54916">
        <w:rPr>
          <w:szCs w:val="20"/>
        </w:rPr>
        <w:fldChar w:fldCharType="begin"/>
      </w:r>
      <w:r w:rsidR="00E54916" w:rsidRPr="00E54916">
        <w:rPr>
          <w:szCs w:val="20"/>
        </w:rPr>
        <w:instrText xml:space="preserve"> REF _Ref341259532 \r \h  \* MERGEFORMAT </w:instrText>
      </w:r>
      <w:r w:rsidR="00E54916" w:rsidRPr="00E54916">
        <w:rPr>
          <w:szCs w:val="20"/>
        </w:rPr>
      </w:r>
      <w:r w:rsidR="00E54916" w:rsidRPr="00E54916">
        <w:rPr>
          <w:szCs w:val="20"/>
        </w:rPr>
        <w:fldChar w:fldCharType="separate"/>
      </w:r>
      <w:r w:rsidR="004A0D41">
        <w:rPr>
          <w:szCs w:val="20"/>
        </w:rPr>
        <w:t>0</w:t>
      </w:r>
      <w:r w:rsidR="00E54916" w:rsidRPr="00E54916">
        <w:rPr>
          <w:szCs w:val="20"/>
        </w:rPr>
        <w:fldChar w:fldCharType="end"/>
      </w:r>
      <w:r w:rsidR="00E54916" w:rsidRPr="00E54916">
        <w:rPr>
          <w:szCs w:val="20"/>
        </w:rPr>
        <w:t xml:space="preserve"> of this Agreement results in a jurisdiction's actual contribution being a different proportion of actual cost than that jurisdiction's proportion of expected costs, an additional adjustment will be made. Arrangements for how this adjustment will be made are set of in Schedules A – E. </w:t>
      </w:r>
    </w:p>
    <w:p w:rsidR="00E54916" w:rsidRPr="00E54916" w:rsidRDefault="00D46F34" w:rsidP="00D46F34">
      <w:pPr>
        <w:ind w:left="562" w:hanging="562"/>
        <w:rPr>
          <w:szCs w:val="20"/>
        </w:rPr>
      </w:pPr>
      <w:r>
        <w:rPr>
          <w:szCs w:val="20"/>
        </w:rPr>
        <w:t>54.</w:t>
      </w:r>
      <w:r>
        <w:rPr>
          <w:szCs w:val="20"/>
        </w:rPr>
        <w:tab/>
      </w:r>
      <w:r w:rsidR="00E54916" w:rsidRPr="00E54916">
        <w:rPr>
          <w:szCs w:val="20"/>
        </w:rPr>
        <w:t xml:space="preserve">Examples of the treatment of </w:t>
      </w:r>
      <w:proofErr w:type="gramStart"/>
      <w:r w:rsidR="00E54916" w:rsidRPr="00E54916">
        <w:rPr>
          <w:szCs w:val="20"/>
        </w:rPr>
        <w:t>overspends</w:t>
      </w:r>
      <w:proofErr w:type="gramEnd"/>
      <w:r w:rsidR="00E54916" w:rsidRPr="00E54916">
        <w:rPr>
          <w:szCs w:val="20"/>
        </w:rPr>
        <w:t xml:space="preserve"> and underspends across the three years 2013</w:t>
      </w:r>
      <w:r w:rsidR="00E54916" w:rsidRPr="00E54916">
        <w:rPr>
          <w:szCs w:val="20"/>
        </w:rPr>
        <w:noBreakHyphen/>
        <w:t>14 to 2015-16 are set out in Annex B.</w:t>
      </w:r>
    </w:p>
    <w:p w:rsidR="00E54916" w:rsidRPr="00E54916" w:rsidRDefault="00D46F34" w:rsidP="00D46F34">
      <w:pPr>
        <w:ind w:left="562" w:hanging="562"/>
        <w:rPr>
          <w:szCs w:val="20"/>
        </w:rPr>
      </w:pPr>
      <w:r>
        <w:rPr>
          <w:szCs w:val="20"/>
        </w:rPr>
        <w:t>55.</w:t>
      </w:r>
      <w:r>
        <w:rPr>
          <w:szCs w:val="20"/>
        </w:rPr>
        <w:tab/>
      </w:r>
      <w:r w:rsidR="00E54916" w:rsidRPr="00E54916">
        <w:rPr>
          <w:szCs w:val="20"/>
        </w:rPr>
        <w:t xml:space="preserve">In the event that this Agreement is replaced within the timeframes set out </w:t>
      </w:r>
      <w:proofErr w:type="gramStart"/>
      <w:r w:rsidR="00E54916" w:rsidRPr="00E54916">
        <w:rPr>
          <w:szCs w:val="20"/>
        </w:rPr>
        <w:t>in  Schedules</w:t>
      </w:r>
      <w:proofErr w:type="gramEnd"/>
      <w:r w:rsidR="00E54916" w:rsidRPr="00E54916">
        <w:rPr>
          <w:szCs w:val="20"/>
        </w:rPr>
        <w:t xml:space="preserve"> A – E, and if there is a requirement for the Agency to return funds, this arrangement will be negotiated as part of the new transition Agreement on the basis of relative contributions to, and expenditure by,  the Agency.</w:t>
      </w:r>
    </w:p>
    <w:p w:rsidR="00E54916" w:rsidRPr="00E54916" w:rsidRDefault="00E54916" w:rsidP="000C65A6">
      <w:pPr>
        <w:pStyle w:val="Heading2"/>
      </w:pPr>
      <w:r w:rsidRPr="00E54916">
        <w:t>Specific Purpose Payments arrangements</w:t>
      </w:r>
    </w:p>
    <w:p w:rsidR="00E54916" w:rsidRPr="00E54916" w:rsidRDefault="00D46F34" w:rsidP="00D46F34">
      <w:pPr>
        <w:ind w:left="562" w:hanging="562"/>
        <w:rPr>
          <w:szCs w:val="20"/>
        </w:rPr>
      </w:pPr>
      <w:bookmarkStart w:id="4" w:name="_Ref341681804"/>
      <w:r>
        <w:rPr>
          <w:szCs w:val="20"/>
        </w:rPr>
        <w:t>56.</w:t>
      </w:r>
      <w:r>
        <w:rPr>
          <w:szCs w:val="20"/>
        </w:rPr>
        <w:tab/>
      </w:r>
      <w:r w:rsidR="00E54916" w:rsidRPr="00E54916">
        <w:rPr>
          <w:szCs w:val="20"/>
        </w:rPr>
        <w:t>It is agreed that a proportion of Commonwealth funding from the National Disability SPP (NSPP) and payments made under the National Partnership on Transitioning Responsibilities for Aged Care and Disability Services and the Home and Community Care Agreement will be contributed to the Agency by host jurisdictions on behalf of the Commonwealth to meet part of the Commonwealth contribution to the cost of an NDIS in launch sites.</w:t>
      </w:r>
      <w:bookmarkEnd w:id="4"/>
      <w:r w:rsidR="00E54916" w:rsidRPr="00E54916">
        <w:rPr>
          <w:szCs w:val="20"/>
        </w:rPr>
        <w:t xml:space="preserve"> </w:t>
      </w:r>
    </w:p>
    <w:p w:rsidR="00E54916" w:rsidRPr="00E54916" w:rsidRDefault="00D46F34" w:rsidP="00D46F34">
      <w:pPr>
        <w:ind w:left="562" w:hanging="562"/>
        <w:rPr>
          <w:szCs w:val="20"/>
        </w:rPr>
      </w:pPr>
      <w:r>
        <w:rPr>
          <w:szCs w:val="20"/>
        </w:rPr>
        <w:t>57.</w:t>
      </w:r>
      <w:r>
        <w:rPr>
          <w:szCs w:val="20"/>
        </w:rPr>
        <w:tab/>
      </w:r>
      <w:r w:rsidR="00E54916" w:rsidRPr="00E54916">
        <w:rPr>
          <w:szCs w:val="20"/>
        </w:rPr>
        <w:t>The amount of these intergovernmental payments for each host jurisdiction that will be counted towards the Commonwealth’s contribution to the cost of the NDIS launch is set out in Schedules A – E.</w:t>
      </w:r>
    </w:p>
    <w:p w:rsidR="00E54916" w:rsidRPr="00E54916" w:rsidRDefault="00D46F34" w:rsidP="00D46F34">
      <w:pPr>
        <w:ind w:left="562" w:hanging="562"/>
        <w:rPr>
          <w:szCs w:val="20"/>
        </w:rPr>
      </w:pPr>
      <w:r>
        <w:rPr>
          <w:szCs w:val="20"/>
        </w:rPr>
        <w:t>58.</w:t>
      </w:r>
      <w:r>
        <w:rPr>
          <w:szCs w:val="20"/>
        </w:rPr>
        <w:tab/>
      </w:r>
      <w:r w:rsidR="00E54916" w:rsidRPr="00E54916">
        <w:rPr>
          <w:szCs w:val="20"/>
        </w:rPr>
        <w:t xml:space="preserve">The amount of the NSPP and payments made under the National Partnership on Transitioning Responsibilities for Aged Care and Disability Services and the Home and Community Care Agreement that will be counted towards the Commonwealth’s contribution will be reviewed and amended if necessary at the end of each financial year if actual client numbers are lower than estimated client numbers. </w:t>
      </w:r>
    </w:p>
    <w:p w:rsidR="00E54916" w:rsidRPr="00E54916" w:rsidRDefault="00D46F34" w:rsidP="00D46F34">
      <w:pPr>
        <w:ind w:left="562" w:hanging="562"/>
        <w:rPr>
          <w:szCs w:val="20"/>
        </w:rPr>
      </w:pPr>
      <w:r>
        <w:rPr>
          <w:szCs w:val="20"/>
        </w:rPr>
        <w:t>59.</w:t>
      </w:r>
      <w:r>
        <w:rPr>
          <w:szCs w:val="20"/>
        </w:rPr>
        <w:tab/>
      </w:r>
      <w:r w:rsidR="00E54916" w:rsidRPr="00E54916">
        <w:rPr>
          <w:szCs w:val="20"/>
        </w:rPr>
        <w:t xml:space="preserve">In recognition of the fact that States have full budget flexibility to allocate NSPP funds within the disability sector, it is acknowledged that some jurisdictions may not be able to release NSPP funding from some existing programs. The amount of NSPP funding that can be released in cash to meet part of the Commonwealth </w:t>
      </w:r>
      <w:r w:rsidR="00E54916" w:rsidRPr="00E54916">
        <w:rPr>
          <w:szCs w:val="20"/>
        </w:rPr>
        <w:lastRenderedPageBreak/>
        <w:t>contribution to the NDIS launch will therefore depend on the plans for releasing funding from existing programs in each jurisdiction.</w:t>
      </w:r>
    </w:p>
    <w:p w:rsidR="00E54916" w:rsidRPr="00E54916" w:rsidRDefault="00E54916" w:rsidP="000C65A6">
      <w:pPr>
        <w:pStyle w:val="Heading2"/>
      </w:pPr>
      <w:r w:rsidRPr="00E54916">
        <w:t xml:space="preserve">Continuity of Support  </w:t>
      </w:r>
    </w:p>
    <w:p w:rsidR="00E54916" w:rsidRPr="00E54916" w:rsidRDefault="00D46F34" w:rsidP="00D46F34">
      <w:pPr>
        <w:ind w:left="562" w:hanging="562"/>
        <w:rPr>
          <w:szCs w:val="20"/>
        </w:rPr>
      </w:pPr>
      <w:r>
        <w:rPr>
          <w:szCs w:val="20"/>
        </w:rPr>
        <w:t>60.</w:t>
      </w:r>
      <w:r>
        <w:rPr>
          <w:szCs w:val="20"/>
        </w:rPr>
        <w:tab/>
      </w:r>
      <w:r w:rsidR="00E54916" w:rsidRPr="00E54916">
        <w:rPr>
          <w:szCs w:val="20"/>
        </w:rPr>
        <w:t xml:space="preserve">COAG has committed to provide continuity of support to people with disability currently receiving services to ensure that they are not disadvantaged in the transition to a NDIS. </w:t>
      </w:r>
    </w:p>
    <w:p w:rsidR="00E54916" w:rsidRPr="00E54916" w:rsidRDefault="00D46F34" w:rsidP="00D46F34">
      <w:pPr>
        <w:ind w:left="562" w:hanging="562"/>
        <w:rPr>
          <w:szCs w:val="20"/>
        </w:rPr>
      </w:pPr>
      <w:r>
        <w:rPr>
          <w:szCs w:val="20"/>
        </w:rPr>
        <w:t>61.</w:t>
      </w:r>
      <w:r>
        <w:rPr>
          <w:szCs w:val="20"/>
        </w:rPr>
        <w:tab/>
      </w:r>
      <w:r w:rsidR="00E54916" w:rsidRPr="00E54916">
        <w:rPr>
          <w:szCs w:val="20"/>
        </w:rPr>
        <w:t>People resident in a launch site eligible for support under the definitions in the National Disability Insurance Scheme Bill 2012</w:t>
      </w:r>
      <w:r w:rsidR="00E54916" w:rsidRPr="00E54916">
        <w:rPr>
          <w:i/>
          <w:szCs w:val="20"/>
        </w:rPr>
        <w:t xml:space="preserve">, </w:t>
      </w:r>
      <w:r w:rsidR="00E54916" w:rsidRPr="00E54916">
        <w:rPr>
          <w:szCs w:val="20"/>
        </w:rPr>
        <w:t>as enacted into legislation</w:t>
      </w:r>
      <w:r w:rsidR="00E54916" w:rsidRPr="00E54916" w:rsidDel="00C41107">
        <w:rPr>
          <w:szCs w:val="20"/>
        </w:rPr>
        <w:t xml:space="preserve"> </w:t>
      </w:r>
      <w:r w:rsidR="00E54916" w:rsidRPr="00E54916">
        <w:rPr>
          <w:szCs w:val="20"/>
        </w:rPr>
        <w:t>will transition into the NDIS in accordance with the phase-in arrangements agreed with the Agency and set out in Schedules A – E and the Implementation Plans.</w:t>
      </w:r>
    </w:p>
    <w:p w:rsidR="00E54916" w:rsidRPr="00E54916" w:rsidRDefault="00D46F34" w:rsidP="00D46F34">
      <w:pPr>
        <w:ind w:left="562" w:hanging="562"/>
        <w:rPr>
          <w:szCs w:val="20"/>
        </w:rPr>
      </w:pPr>
      <w:bookmarkStart w:id="5" w:name="_Ref341682250"/>
      <w:r>
        <w:rPr>
          <w:szCs w:val="20"/>
        </w:rPr>
        <w:t>62.</w:t>
      </w:r>
      <w:r>
        <w:rPr>
          <w:szCs w:val="20"/>
        </w:rPr>
        <w:tab/>
      </w:r>
      <w:r w:rsidR="00E54916" w:rsidRPr="00E54916">
        <w:rPr>
          <w:szCs w:val="20"/>
        </w:rPr>
        <w:t>People resident in a launch site who are who are currently receiving support but do not meet the definitions of eligibility or are receiving supports that do not meet the definition of reasonable and necessary support in the National Disability Insurance Scheme Bill 2012</w:t>
      </w:r>
      <w:r w:rsidR="00E54916" w:rsidRPr="00E54916">
        <w:rPr>
          <w:i/>
          <w:szCs w:val="20"/>
        </w:rPr>
        <w:t xml:space="preserve">, </w:t>
      </w:r>
      <w:r w:rsidR="00E54916" w:rsidRPr="00E54916">
        <w:rPr>
          <w:szCs w:val="20"/>
        </w:rPr>
        <w:t>as enacted into legislation, will continue to receive support consistent with their currently agreed arrangements (support outcomes and levels) if:</w:t>
      </w:r>
      <w:bookmarkEnd w:id="5"/>
      <w:r w:rsidR="00E54916" w:rsidRPr="00E54916">
        <w:rPr>
          <w:szCs w:val="20"/>
        </w:rPr>
        <w:t xml:space="preserve"> </w:t>
      </w:r>
    </w:p>
    <w:p w:rsidR="00E54916" w:rsidRPr="00E54916" w:rsidRDefault="00D46F34" w:rsidP="00D46F34">
      <w:pPr>
        <w:ind w:left="1123" w:hanging="562"/>
        <w:rPr>
          <w:szCs w:val="20"/>
        </w:rPr>
      </w:pPr>
      <w:proofErr w:type="gramStart"/>
      <w:r>
        <w:rPr>
          <w:szCs w:val="20"/>
        </w:rPr>
        <w:t>a</w:t>
      </w:r>
      <w:proofErr w:type="gramEnd"/>
      <w:r>
        <w:rPr>
          <w:szCs w:val="20"/>
        </w:rPr>
        <w:t>.</w:t>
      </w:r>
      <w:r>
        <w:rPr>
          <w:szCs w:val="20"/>
        </w:rPr>
        <w:tab/>
      </w:r>
      <w:r w:rsidR="00E54916" w:rsidRPr="00E54916">
        <w:rPr>
          <w:szCs w:val="20"/>
        </w:rPr>
        <w:t xml:space="preserve">the funding for this support is attributed to a program/service, or part of a program/service, has been (or will be) transferred — or phased out and funding redirected — to the NDIS in a launch site in accordance with the Schedules A – E. </w:t>
      </w:r>
    </w:p>
    <w:p w:rsidR="00E54916" w:rsidRPr="00E54916" w:rsidRDefault="00D46F34" w:rsidP="00D46F34">
      <w:pPr>
        <w:ind w:left="562" w:hanging="562"/>
        <w:rPr>
          <w:szCs w:val="20"/>
        </w:rPr>
      </w:pPr>
      <w:r>
        <w:rPr>
          <w:szCs w:val="20"/>
        </w:rPr>
        <w:t>63.</w:t>
      </w:r>
      <w:r>
        <w:rPr>
          <w:szCs w:val="20"/>
        </w:rPr>
        <w:tab/>
      </w:r>
      <w:r w:rsidR="00E54916" w:rsidRPr="00E54916">
        <w:rPr>
          <w:szCs w:val="20"/>
        </w:rPr>
        <w:t>Where the NDIS takes on responsibility for providing continuity of supports for a person under paragraph 62 above the Agency will work with the person to develop a transition strategy for that person.  This strategy will:</w:t>
      </w:r>
    </w:p>
    <w:p w:rsidR="00E54916" w:rsidRPr="00E54916" w:rsidRDefault="00D46F34" w:rsidP="00D46F34">
      <w:pPr>
        <w:ind w:left="1123" w:hanging="562"/>
        <w:rPr>
          <w:szCs w:val="20"/>
        </w:rPr>
      </w:pPr>
      <w:proofErr w:type="gramStart"/>
      <w:r>
        <w:rPr>
          <w:szCs w:val="20"/>
        </w:rPr>
        <w:t>a</w:t>
      </w:r>
      <w:proofErr w:type="gramEnd"/>
      <w:r>
        <w:rPr>
          <w:szCs w:val="20"/>
        </w:rPr>
        <w:t>.</w:t>
      </w:r>
      <w:r>
        <w:rPr>
          <w:szCs w:val="20"/>
        </w:rPr>
        <w:tab/>
      </w:r>
      <w:r w:rsidR="00E54916" w:rsidRPr="00E54916">
        <w:rPr>
          <w:szCs w:val="20"/>
        </w:rPr>
        <w:t xml:space="preserve">ensure no disadvantage in a person’s outcomes — the supports provided by the NDIS will enable the person to achieve at least the same level of social and economic participation (or undertake the same range of activities) as enabled by their previously provided support; and </w:t>
      </w:r>
    </w:p>
    <w:p w:rsidR="00E54916" w:rsidRPr="00E54916" w:rsidRDefault="00D46F34" w:rsidP="00D46F34">
      <w:pPr>
        <w:ind w:left="1123" w:hanging="562"/>
        <w:rPr>
          <w:szCs w:val="20"/>
        </w:rPr>
      </w:pPr>
      <w:proofErr w:type="gramStart"/>
      <w:r>
        <w:rPr>
          <w:szCs w:val="20"/>
        </w:rPr>
        <w:t>b</w:t>
      </w:r>
      <w:proofErr w:type="gramEnd"/>
      <w:r>
        <w:rPr>
          <w:szCs w:val="20"/>
        </w:rPr>
        <w:t>.</w:t>
      </w:r>
      <w:r>
        <w:rPr>
          <w:szCs w:val="20"/>
        </w:rPr>
        <w:tab/>
      </w:r>
      <w:r w:rsidR="00E54916" w:rsidRPr="00E54916">
        <w:rPr>
          <w:szCs w:val="20"/>
        </w:rPr>
        <w:t>the period of this transition will depend on the person’s circumstances and the type of support being provided, and the extent to which there are alternative supports to transition to.</w:t>
      </w:r>
    </w:p>
    <w:p w:rsidR="00E54916" w:rsidRPr="00E54916" w:rsidRDefault="00D46F34" w:rsidP="00D46F34">
      <w:pPr>
        <w:ind w:left="562" w:hanging="562"/>
        <w:rPr>
          <w:szCs w:val="20"/>
        </w:rPr>
      </w:pPr>
      <w:r>
        <w:rPr>
          <w:szCs w:val="20"/>
        </w:rPr>
        <w:t>64.</w:t>
      </w:r>
      <w:r>
        <w:rPr>
          <w:szCs w:val="20"/>
        </w:rPr>
        <w:tab/>
      </w:r>
      <w:r w:rsidR="00E54916" w:rsidRPr="00E54916">
        <w:rPr>
          <w:szCs w:val="20"/>
        </w:rPr>
        <w:t>A list of programs that will be ceasing, phasing out or transferring to the NDIS, in whole or in part, in NDIS launch sites (and that a proportion of the NSPP will also be a Commonwealth contribution as per paragraph 56) will be agreed by the Commonwealth and host jurisdictions and attached to Schedules A – E by mid-February 2013, or as otherwise indicated in Schedules A – E.</w:t>
      </w:r>
    </w:p>
    <w:p w:rsidR="00E54916" w:rsidRPr="00E54916" w:rsidRDefault="00D46F34" w:rsidP="00D46F34">
      <w:pPr>
        <w:ind w:left="562" w:hanging="562"/>
        <w:rPr>
          <w:szCs w:val="20"/>
        </w:rPr>
      </w:pPr>
      <w:bookmarkStart w:id="6" w:name="_Ref341258404"/>
      <w:r>
        <w:rPr>
          <w:szCs w:val="20"/>
        </w:rPr>
        <w:t>65.</w:t>
      </w:r>
      <w:r>
        <w:rPr>
          <w:szCs w:val="20"/>
        </w:rPr>
        <w:tab/>
      </w:r>
      <w:r w:rsidR="00E54916" w:rsidRPr="00E54916">
        <w:rPr>
          <w:szCs w:val="20"/>
        </w:rPr>
        <w:t xml:space="preserve">All Parties will continue to undertake work on the arrangements for continued support for people currently receiving funded supports, </w:t>
      </w:r>
      <w:r w:rsidR="00E54916" w:rsidRPr="00E54916">
        <w:rPr>
          <w:iCs/>
          <w:szCs w:val="20"/>
        </w:rPr>
        <w:t>and the approach to these ongoing arrangements will be informed by the outcomes of the review of this Agreement and Schedules A - E</w:t>
      </w:r>
      <w:r w:rsidR="00E54916" w:rsidRPr="00E54916">
        <w:rPr>
          <w:szCs w:val="20"/>
        </w:rPr>
        <w:t>.</w:t>
      </w:r>
      <w:bookmarkEnd w:id="6"/>
      <w:r w:rsidR="00E54916" w:rsidRPr="00E54916">
        <w:rPr>
          <w:szCs w:val="20"/>
        </w:rPr>
        <w:t xml:space="preserve"> </w:t>
      </w:r>
    </w:p>
    <w:p w:rsidR="00E54916" w:rsidRPr="00D46F34" w:rsidRDefault="00E54916" w:rsidP="000C65A6">
      <w:pPr>
        <w:pStyle w:val="Heading2"/>
        <w:rPr>
          <w:bCs/>
          <w:caps/>
        </w:rPr>
      </w:pPr>
      <w:r w:rsidRPr="00D46F34">
        <w:t>Financial and Performance Reporting</w:t>
      </w:r>
    </w:p>
    <w:p w:rsidR="00E54916" w:rsidRPr="00E54916" w:rsidRDefault="00D46F34" w:rsidP="00D46F34">
      <w:pPr>
        <w:ind w:left="562" w:hanging="562"/>
        <w:rPr>
          <w:szCs w:val="20"/>
        </w:rPr>
      </w:pPr>
      <w:r>
        <w:rPr>
          <w:szCs w:val="20"/>
        </w:rPr>
        <w:t>66.</w:t>
      </w:r>
      <w:r>
        <w:rPr>
          <w:szCs w:val="20"/>
        </w:rPr>
        <w:tab/>
      </w:r>
      <w:r w:rsidR="00E54916" w:rsidRPr="00E54916">
        <w:rPr>
          <w:szCs w:val="20"/>
        </w:rPr>
        <w:t xml:space="preserve">The Commonwealth and host jurisdictions recognise the importance of transparent funding allocation and expenditure. As such, the Agency will be required to provide state-specific accounting that reports on how Commonwealth and host jurisdiction </w:t>
      </w:r>
      <w:r w:rsidR="00E54916" w:rsidRPr="00E54916">
        <w:rPr>
          <w:szCs w:val="20"/>
        </w:rPr>
        <w:lastRenderedPageBreak/>
        <w:t>funding is allocated from within the national pool, covering all services provided to launch participants at the end of every 12 month period.</w:t>
      </w:r>
    </w:p>
    <w:p w:rsidR="00E54916" w:rsidRPr="00E54916" w:rsidRDefault="00D46F34" w:rsidP="00D46F34">
      <w:pPr>
        <w:ind w:left="562" w:hanging="562"/>
        <w:rPr>
          <w:szCs w:val="20"/>
        </w:rPr>
      </w:pPr>
      <w:r>
        <w:rPr>
          <w:szCs w:val="20"/>
        </w:rPr>
        <w:t>67.</w:t>
      </w:r>
      <w:r>
        <w:rPr>
          <w:szCs w:val="20"/>
        </w:rPr>
        <w:tab/>
      </w:r>
      <w:r w:rsidR="00E54916" w:rsidRPr="00E54916">
        <w:rPr>
          <w:szCs w:val="20"/>
        </w:rPr>
        <w:t xml:space="preserve">The Agency will provide receipts for funding contributed by host jurisdictions and account for the use of host jurisdiction in-kind services on a monthly reporting schedule. </w:t>
      </w:r>
    </w:p>
    <w:p w:rsidR="00E54916" w:rsidRPr="00E54916" w:rsidRDefault="00D46F34" w:rsidP="00D46F34">
      <w:pPr>
        <w:ind w:left="562" w:hanging="562"/>
        <w:rPr>
          <w:szCs w:val="20"/>
        </w:rPr>
      </w:pPr>
      <w:r>
        <w:rPr>
          <w:szCs w:val="20"/>
        </w:rPr>
        <w:t>68.</w:t>
      </w:r>
      <w:r>
        <w:rPr>
          <w:szCs w:val="20"/>
        </w:rPr>
        <w:tab/>
      </w:r>
      <w:r w:rsidR="00E54916" w:rsidRPr="00E54916">
        <w:rPr>
          <w:szCs w:val="20"/>
        </w:rPr>
        <w:t>The Agency will provide quarterly reports on participants and expenditure, consistent with the requirements in clause 174 of the National Disability Insurance Scheme Bill 2012, as enacted into legislation and any legislative instruments made under clause 174(3) of the National Disability Insurance Scheme Bill 2012, as enacted into legislation, in a standardised format as determined by the Board. This will include state specific reports. In addition the Agency will provide to a nominated official a download from the database (de-identified as appropriate) of participant data at client unit record and aggregate level for all services provided launch area.  </w:t>
      </w:r>
    </w:p>
    <w:p w:rsidR="00E54916" w:rsidRPr="00E54916" w:rsidRDefault="00D46F34" w:rsidP="00D46F34">
      <w:pPr>
        <w:ind w:left="562" w:hanging="562"/>
        <w:rPr>
          <w:szCs w:val="20"/>
        </w:rPr>
      </w:pPr>
      <w:r>
        <w:rPr>
          <w:szCs w:val="20"/>
        </w:rPr>
        <w:t>69.</w:t>
      </w:r>
      <w:r>
        <w:rPr>
          <w:szCs w:val="20"/>
        </w:rPr>
        <w:tab/>
      </w:r>
      <w:r w:rsidR="00E54916" w:rsidRPr="00E54916">
        <w:rPr>
          <w:szCs w:val="20"/>
        </w:rPr>
        <w:t>The Agency will provide access to a nominated official in each host jurisdiction to the Agency case management and financial management system in real time on a read only basis.  The official will need to abide by the Agency's confidentiality and privacy requirements.</w:t>
      </w:r>
    </w:p>
    <w:p w:rsidR="00E54916" w:rsidRPr="00E54916" w:rsidRDefault="00D46F34" w:rsidP="00D46F34">
      <w:pPr>
        <w:ind w:left="562" w:hanging="562"/>
        <w:rPr>
          <w:szCs w:val="20"/>
        </w:rPr>
      </w:pPr>
      <w:r>
        <w:rPr>
          <w:szCs w:val="20"/>
        </w:rPr>
        <w:t>70.</w:t>
      </w:r>
      <w:r>
        <w:rPr>
          <w:szCs w:val="20"/>
        </w:rPr>
        <w:tab/>
      </w:r>
      <w:r w:rsidR="00E54916" w:rsidRPr="00E54916">
        <w:rPr>
          <w:szCs w:val="20"/>
        </w:rPr>
        <w:t xml:space="preserve">Any reporting additional to that set out in this Part 6 and Part 8 of this Agreement may be negotiated with the Agency on a fee for service basis and cost neutral changes to reporting may be agreed between the Agency and the host jurisdiction at any time. </w:t>
      </w:r>
    </w:p>
    <w:p w:rsidR="00E54916" w:rsidRPr="00D46F34" w:rsidRDefault="00E54916" w:rsidP="000C65A6">
      <w:pPr>
        <w:pStyle w:val="Heading2"/>
      </w:pPr>
      <w:r w:rsidRPr="00D46F34">
        <w:t>Auditing arrangements</w:t>
      </w:r>
    </w:p>
    <w:p w:rsidR="00E54916" w:rsidRPr="00E54916" w:rsidRDefault="00D46F34" w:rsidP="00D46F34">
      <w:pPr>
        <w:ind w:left="562" w:hanging="562"/>
        <w:rPr>
          <w:szCs w:val="20"/>
        </w:rPr>
      </w:pPr>
      <w:r>
        <w:rPr>
          <w:szCs w:val="20"/>
        </w:rPr>
        <w:t>71.</w:t>
      </w:r>
      <w:r>
        <w:rPr>
          <w:szCs w:val="20"/>
        </w:rPr>
        <w:tab/>
      </w:r>
      <w:r w:rsidR="00E54916" w:rsidRPr="00E54916">
        <w:rPr>
          <w:szCs w:val="20"/>
        </w:rPr>
        <w:t xml:space="preserve">The parties agree that, noting the independence of the Commonwealth Auditor-General, the variation in collaboration arrangements available to State Government auditors across host jurisdictions and the variation in the scope of audit powers, the Commonwealth and host jurisdictions will jointly write to the Commonwealth and host jurisdiction Auditors-General requesting that the Commonwealth Auditor-General undertake performance audits of the NDIS launch in conjunction with the nominated State Government auditors.  </w:t>
      </w:r>
    </w:p>
    <w:p w:rsidR="00E54916" w:rsidRPr="00E54916" w:rsidRDefault="00D46F34" w:rsidP="00D46F34">
      <w:pPr>
        <w:ind w:left="562" w:hanging="562"/>
        <w:rPr>
          <w:szCs w:val="20"/>
        </w:rPr>
      </w:pPr>
      <w:r>
        <w:rPr>
          <w:szCs w:val="20"/>
        </w:rPr>
        <w:t>72.</w:t>
      </w:r>
      <w:r>
        <w:rPr>
          <w:szCs w:val="20"/>
        </w:rPr>
        <w:tab/>
      </w:r>
      <w:r w:rsidR="00E54916" w:rsidRPr="00E54916">
        <w:rPr>
          <w:szCs w:val="20"/>
        </w:rPr>
        <w:t xml:space="preserve">The Commonwealth will request the Commonwealth Auditor-General to ensure that the financial audit of the Agency undertaken annually by the Australian National Audit Office under the </w:t>
      </w:r>
      <w:r w:rsidR="00E54916" w:rsidRPr="00E54916">
        <w:rPr>
          <w:i/>
          <w:szCs w:val="20"/>
        </w:rPr>
        <w:t xml:space="preserve">Auditor General Act 1997 </w:t>
      </w:r>
      <w:r w:rsidR="00E54916" w:rsidRPr="00E54916">
        <w:rPr>
          <w:szCs w:val="20"/>
        </w:rPr>
        <w:t>(</w:t>
      </w:r>
      <w:proofErr w:type="spellStart"/>
      <w:r w:rsidR="00E54916" w:rsidRPr="00E54916">
        <w:rPr>
          <w:szCs w:val="20"/>
        </w:rPr>
        <w:t>Cth</w:t>
      </w:r>
      <w:proofErr w:type="spellEnd"/>
      <w:r w:rsidR="00E54916" w:rsidRPr="00E54916">
        <w:rPr>
          <w:szCs w:val="20"/>
        </w:rPr>
        <w:t xml:space="preserve">) will include certification from him or her that funds paid by host jurisdictions to the Agency have been acquitted consistently with this Agreement and the Schedules thereto. </w:t>
      </w:r>
    </w:p>
    <w:p w:rsidR="00E54916" w:rsidRPr="00E54916" w:rsidRDefault="00E54916" w:rsidP="00D46F34">
      <w:pPr>
        <w:pStyle w:val="Heading1"/>
      </w:pPr>
      <w:r w:rsidRPr="00E54916">
        <w:t xml:space="preserve">Part 7 — Ministerial </w:t>
      </w:r>
      <w:r w:rsidR="00D46F34">
        <w:t>Council</w:t>
      </w:r>
    </w:p>
    <w:p w:rsidR="00E54916" w:rsidRPr="00E54916" w:rsidRDefault="00642AA0" w:rsidP="00642AA0">
      <w:pPr>
        <w:ind w:left="562" w:hanging="562"/>
        <w:rPr>
          <w:szCs w:val="20"/>
        </w:rPr>
      </w:pPr>
      <w:r>
        <w:rPr>
          <w:szCs w:val="20"/>
        </w:rPr>
        <w:t>73.</w:t>
      </w:r>
      <w:r>
        <w:rPr>
          <w:szCs w:val="20"/>
        </w:rPr>
        <w:tab/>
      </w:r>
      <w:r w:rsidR="00E54916" w:rsidRPr="00E54916">
        <w:rPr>
          <w:szCs w:val="20"/>
        </w:rPr>
        <w:t xml:space="preserve">The Ministerial Council referred to in this Agreement will be the Standing Council on Disability Reform (SCDR) unless the Parties determine by agreement between them that another Ministerial Council will have responsibility for this Agreement.  </w:t>
      </w:r>
    </w:p>
    <w:p w:rsidR="00E54916" w:rsidRPr="00E54916" w:rsidRDefault="00642AA0" w:rsidP="00642AA0">
      <w:pPr>
        <w:ind w:left="562" w:hanging="562"/>
        <w:rPr>
          <w:szCs w:val="20"/>
        </w:rPr>
      </w:pPr>
      <w:r>
        <w:rPr>
          <w:szCs w:val="20"/>
        </w:rPr>
        <w:t>74.</w:t>
      </w:r>
      <w:r>
        <w:rPr>
          <w:szCs w:val="20"/>
        </w:rPr>
        <w:tab/>
      </w:r>
      <w:r w:rsidR="00E54916" w:rsidRPr="00E54916">
        <w:rPr>
          <w:szCs w:val="20"/>
        </w:rPr>
        <w:t xml:space="preserve">COAG will establish the Ministerial Council, which will commence operation on </w:t>
      </w:r>
      <w:r w:rsidR="00E54916" w:rsidRPr="00E54916">
        <w:rPr>
          <w:szCs w:val="20"/>
        </w:rPr>
        <w:br/>
        <w:t>1 January 2013.</w:t>
      </w:r>
    </w:p>
    <w:p w:rsidR="00E54916" w:rsidRPr="00642AA0" w:rsidRDefault="00E54916" w:rsidP="000C65A6">
      <w:pPr>
        <w:pStyle w:val="Heading2"/>
      </w:pPr>
      <w:r w:rsidRPr="00642AA0">
        <w:t>Role of the Ministerial Council</w:t>
      </w:r>
    </w:p>
    <w:p w:rsidR="00E54916" w:rsidRPr="00E54916" w:rsidRDefault="00642AA0" w:rsidP="00642AA0">
      <w:pPr>
        <w:ind w:left="562" w:hanging="562"/>
        <w:rPr>
          <w:szCs w:val="20"/>
        </w:rPr>
      </w:pPr>
      <w:r>
        <w:rPr>
          <w:szCs w:val="20"/>
        </w:rPr>
        <w:lastRenderedPageBreak/>
        <w:t>75.</w:t>
      </w:r>
      <w:r>
        <w:rPr>
          <w:szCs w:val="20"/>
        </w:rPr>
        <w:tab/>
      </w:r>
      <w:r w:rsidR="00E54916" w:rsidRPr="00E54916">
        <w:rPr>
          <w:szCs w:val="20"/>
        </w:rPr>
        <w:t>The Ministerial Council will be responsible for NDIS policy settings, in relation to the development of and transition to a full scheme.</w:t>
      </w:r>
    </w:p>
    <w:p w:rsidR="00E54916" w:rsidRPr="00E54916" w:rsidRDefault="00642AA0" w:rsidP="00642AA0">
      <w:pPr>
        <w:ind w:left="562" w:hanging="562"/>
        <w:rPr>
          <w:szCs w:val="20"/>
        </w:rPr>
      </w:pPr>
      <w:r>
        <w:rPr>
          <w:szCs w:val="20"/>
        </w:rPr>
        <w:t>76.</w:t>
      </w:r>
      <w:r>
        <w:rPr>
          <w:szCs w:val="20"/>
        </w:rPr>
        <w:tab/>
      </w:r>
      <w:r w:rsidR="00E54916" w:rsidRPr="00E54916">
        <w:rPr>
          <w:szCs w:val="20"/>
        </w:rPr>
        <w:t>The Ministerial Council will be the forum for agreement on policy settings and to oversee the launch of the NDIS, its interaction with existing services and other policy frameworks.</w:t>
      </w:r>
    </w:p>
    <w:p w:rsidR="00E54916" w:rsidRPr="00E54916" w:rsidRDefault="00642AA0" w:rsidP="00642AA0">
      <w:pPr>
        <w:ind w:left="562" w:hanging="562"/>
        <w:rPr>
          <w:szCs w:val="20"/>
        </w:rPr>
      </w:pPr>
      <w:r>
        <w:rPr>
          <w:szCs w:val="20"/>
        </w:rPr>
        <w:t>77.</w:t>
      </w:r>
      <w:r>
        <w:rPr>
          <w:szCs w:val="20"/>
        </w:rPr>
        <w:tab/>
      </w:r>
      <w:r w:rsidR="00E54916" w:rsidRPr="00E54916">
        <w:rPr>
          <w:szCs w:val="20"/>
        </w:rPr>
        <w:t>For the purposes of the</w:t>
      </w:r>
      <w:r w:rsidR="00E54916" w:rsidRPr="00E54916">
        <w:rPr>
          <w:i/>
          <w:szCs w:val="20"/>
        </w:rPr>
        <w:t xml:space="preserve"> </w:t>
      </w:r>
      <w:r w:rsidR="00E54916" w:rsidRPr="00E54916">
        <w:rPr>
          <w:szCs w:val="20"/>
        </w:rPr>
        <w:t>National Disability Insurance Scheme Bill 2012, as enacted into legislation, the Commonwealth will use the Ministerial Council as the forum to:</w:t>
      </w:r>
    </w:p>
    <w:p w:rsidR="00E54916" w:rsidRPr="00E54916" w:rsidRDefault="00642AA0" w:rsidP="00642AA0">
      <w:pPr>
        <w:ind w:left="1123" w:hanging="562"/>
        <w:rPr>
          <w:szCs w:val="20"/>
        </w:rPr>
      </w:pPr>
      <w:proofErr w:type="gramStart"/>
      <w:r>
        <w:rPr>
          <w:szCs w:val="20"/>
        </w:rPr>
        <w:t>a</w:t>
      </w:r>
      <w:proofErr w:type="gramEnd"/>
      <w:r>
        <w:rPr>
          <w:szCs w:val="20"/>
        </w:rPr>
        <w:t>.</w:t>
      </w:r>
      <w:r>
        <w:rPr>
          <w:szCs w:val="20"/>
        </w:rPr>
        <w:tab/>
      </w:r>
      <w:r w:rsidR="00E54916" w:rsidRPr="00E54916">
        <w:rPr>
          <w:szCs w:val="20"/>
        </w:rPr>
        <w:t xml:space="preserve">obtain views on the making, amendment or repeal of any proposed launch legislation;  </w:t>
      </w:r>
    </w:p>
    <w:p w:rsidR="00E54916" w:rsidRPr="00E54916" w:rsidRDefault="00642AA0" w:rsidP="00642AA0">
      <w:pPr>
        <w:ind w:left="1123" w:hanging="562"/>
        <w:rPr>
          <w:szCs w:val="20"/>
        </w:rPr>
      </w:pPr>
      <w:r>
        <w:rPr>
          <w:szCs w:val="20"/>
        </w:rPr>
        <w:t>b.</w:t>
      </w:r>
      <w:r>
        <w:rPr>
          <w:szCs w:val="20"/>
        </w:rPr>
        <w:tab/>
      </w:r>
      <w:r w:rsidR="00E54916" w:rsidRPr="00E54916">
        <w:rPr>
          <w:szCs w:val="20"/>
        </w:rPr>
        <w:t>obtain agreement of host jurisdictions on NDIS rules outlined in categories A and C, clause 209 of the National Disability Insurance Scheme Bill 2012, as enacted into legislation; and</w:t>
      </w:r>
    </w:p>
    <w:p w:rsidR="00E54916" w:rsidRPr="00E54916" w:rsidRDefault="00642AA0" w:rsidP="00642AA0">
      <w:pPr>
        <w:ind w:left="1123" w:hanging="562"/>
        <w:rPr>
          <w:szCs w:val="20"/>
        </w:rPr>
      </w:pPr>
      <w:r>
        <w:rPr>
          <w:szCs w:val="20"/>
        </w:rPr>
        <w:t>c.</w:t>
      </w:r>
      <w:r>
        <w:rPr>
          <w:szCs w:val="20"/>
        </w:rPr>
        <w:tab/>
      </w:r>
      <w:r w:rsidR="00E54916" w:rsidRPr="00E54916">
        <w:rPr>
          <w:szCs w:val="20"/>
        </w:rPr>
        <w:t>obtain the views of all host jurisdictions on NDIS rules outlined in category D under clause 209 of the National Disability Insurance Scheme Bill 2012, as enacted into legislation.</w:t>
      </w:r>
    </w:p>
    <w:p w:rsidR="00E54916" w:rsidRPr="00E54916" w:rsidRDefault="00642AA0" w:rsidP="00642AA0">
      <w:pPr>
        <w:ind w:left="562" w:hanging="562"/>
        <w:rPr>
          <w:szCs w:val="20"/>
        </w:rPr>
      </w:pPr>
      <w:r>
        <w:rPr>
          <w:szCs w:val="20"/>
        </w:rPr>
        <w:t>78.</w:t>
      </w:r>
      <w:r>
        <w:rPr>
          <w:szCs w:val="20"/>
        </w:rPr>
        <w:tab/>
      </w:r>
      <w:r w:rsidR="00E54916" w:rsidRPr="00E54916">
        <w:rPr>
          <w:szCs w:val="20"/>
        </w:rPr>
        <w:t>Decision making by host jurisdictions and the Commonwealth, as provided for under the National Disability Insurance Scheme Bill 2012, as enacted into legislation, will be managed through the Ministerial Council.</w:t>
      </w:r>
    </w:p>
    <w:p w:rsidR="00E54916" w:rsidRPr="00E54916" w:rsidRDefault="00642AA0" w:rsidP="00642AA0">
      <w:pPr>
        <w:ind w:left="562" w:hanging="562"/>
        <w:rPr>
          <w:szCs w:val="20"/>
        </w:rPr>
      </w:pPr>
      <w:r>
        <w:rPr>
          <w:szCs w:val="20"/>
        </w:rPr>
        <w:t>79.</w:t>
      </w:r>
      <w:r>
        <w:rPr>
          <w:szCs w:val="20"/>
        </w:rPr>
        <w:tab/>
      </w:r>
      <w:r w:rsidR="00E54916" w:rsidRPr="00E54916">
        <w:rPr>
          <w:szCs w:val="20"/>
        </w:rPr>
        <w:t xml:space="preserve">The Ministerial Council will hold the Board of the NDIS Launch Transition Agency accountable for its decisions and actions in accordance with the performance information and reporting in clause 172-176 of the National Disability Insurance Scheme Bill 2012, as enacted into legislation. The Board will report to the Ministerial Council to give all jurisdictions visibility of the Agency’s service delivery and fiscal outcomes. In particular, the Ministerial Council will: </w:t>
      </w:r>
    </w:p>
    <w:p w:rsidR="00E54916" w:rsidRPr="00E54916" w:rsidRDefault="00642AA0" w:rsidP="00642AA0">
      <w:pPr>
        <w:ind w:left="1123" w:hanging="562"/>
        <w:rPr>
          <w:szCs w:val="20"/>
        </w:rPr>
      </w:pPr>
      <w:proofErr w:type="gramStart"/>
      <w:r>
        <w:rPr>
          <w:szCs w:val="20"/>
        </w:rPr>
        <w:t>a</w:t>
      </w:r>
      <w:proofErr w:type="gramEnd"/>
      <w:r>
        <w:rPr>
          <w:szCs w:val="20"/>
        </w:rPr>
        <w:t>.</w:t>
      </w:r>
      <w:r>
        <w:rPr>
          <w:szCs w:val="20"/>
        </w:rPr>
        <w:tab/>
      </w:r>
      <w:r w:rsidR="00E54916" w:rsidRPr="00E54916">
        <w:rPr>
          <w:szCs w:val="20"/>
        </w:rPr>
        <w:t>provide advice to COAG on policy issues relevant to transition and a full scheme;</w:t>
      </w:r>
    </w:p>
    <w:p w:rsidR="00E54916" w:rsidRPr="00E54916" w:rsidRDefault="00642AA0" w:rsidP="00642AA0">
      <w:pPr>
        <w:ind w:left="1123" w:hanging="562"/>
        <w:rPr>
          <w:szCs w:val="20"/>
        </w:rPr>
      </w:pPr>
      <w:proofErr w:type="gramStart"/>
      <w:r>
        <w:rPr>
          <w:szCs w:val="20"/>
        </w:rPr>
        <w:t>b</w:t>
      </w:r>
      <w:proofErr w:type="gramEnd"/>
      <w:r>
        <w:rPr>
          <w:szCs w:val="20"/>
        </w:rPr>
        <w:t>.</w:t>
      </w:r>
      <w:r>
        <w:rPr>
          <w:szCs w:val="20"/>
        </w:rPr>
        <w:tab/>
      </w:r>
      <w:r w:rsidR="00E54916" w:rsidRPr="00E54916">
        <w:rPr>
          <w:szCs w:val="20"/>
        </w:rPr>
        <w:t>consider all reports from the Board of the Agency required to be tabled in the Commonwealth Parliament before they are tabled;</w:t>
      </w:r>
    </w:p>
    <w:p w:rsidR="00E54916" w:rsidRPr="00E54916" w:rsidRDefault="00642AA0" w:rsidP="00642AA0">
      <w:pPr>
        <w:ind w:left="1123" w:hanging="562"/>
        <w:rPr>
          <w:szCs w:val="20"/>
        </w:rPr>
      </w:pPr>
      <w:proofErr w:type="gramStart"/>
      <w:r>
        <w:rPr>
          <w:szCs w:val="20"/>
        </w:rPr>
        <w:t>c</w:t>
      </w:r>
      <w:proofErr w:type="gramEnd"/>
      <w:r>
        <w:rPr>
          <w:szCs w:val="20"/>
        </w:rPr>
        <w:t>.</w:t>
      </w:r>
      <w:r>
        <w:rPr>
          <w:szCs w:val="20"/>
        </w:rPr>
        <w:tab/>
      </w:r>
      <w:r w:rsidR="00E54916" w:rsidRPr="00E54916">
        <w:rPr>
          <w:szCs w:val="20"/>
        </w:rPr>
        <w:t>consider any other reports to the Ministerial Council agreed as part of the performance framework for NDIS launch;</w:t>
      </w:r>
    </w:p>
    <w:p w:rsidR="00E54916" w:rsidRPr="00E54916" w:rsidRDefault="00642AA0" w:rsidP="00642AA0">
      <w:pPr>
        <w:ind w:left="1123" w:hanging="562"/>
        <w:rPr>
          <w:szCs w:val="20"/>
        </w:rPr>
      </w:pPr>
      <w:r>
        <w:rPr>
          <w:szCs w:val="20"/>
        </w:rPr>
        <w:t>d.</w:t>
      </w:r>
      <w:r>
        <w:rPr>
          <w:szCs w:val="20"/>
        </w:rPr>
        <w:tab/>
      </w:r>
      <w:r w:rsidR="00E54916" w:rsidRPr="00E54916">
        <w:rPr>
          <w:szCs w:val="20"/>
        </w:rPr>
        <w:t>consider Board recommendations related to any reports required to be in paragraphs 79b and 79c of this Agreement and agree to any response to the recommendations that are not more appropriately addressed directly by the relevant Ministers or that fall within the scope of matters to be agreed by host jurisdictions only; and</w:t>
      </w:r>
    </w:p>
    <w:p w:rsidR="00E54916" w:rsidRPr="00E54916" w:rsidRDefault="00642AA0" w:rsidP="00642AA0">
      <w:pPr>
        <w:ind w:left="1123" w:hanging="562"/>
        <w:rPr>
          <w:szCs w:val="20"/>
        </w:rPr>
      </w:pPr>
      <w:proofErr w:type="gramStart"/>
      <w:r>
        <w:rPr>
          <w:szCs w:val="20"/>
        </w:rPr>
        <w:t>e</w:t>
      </w:r>
      <w:proofErr w:type="gramEnd"/>
      <w:r>
        <w:rPr>
          <w:szCs w:val="20"/>
        </w:rPr>
        <w:t>.</w:t>
      </w:r>
      <w:r>
        <w:rPr>
          <w:szCs w:val="20"/>
        </w:rPr>
        <w:tab/>
      </w:r>
      <w:r w:rsidR="00E54916" w:rsidRPr="00E54916">
        <w:rPr>
          <w:szCs w:val="20"/>
        </w:rPr>
        <w:t>consider statements of strategic guidance proposed to be given to the Board of the Agency under clause 125.</w:t>
      </w:r>
    </w:p>
    <w:p w:rsidR="00E54916" w:rsidRPr="00E54916" w:rsidRDefault="00642AA0" w:rsidP="00642AA0">
      <w:pPr>
        <w:ind w:left="562" w:hanging="562"/>
        <w:rPr>
          <w:szCs w:val="20"/>
        </w:rPr>
      </w:pPr>
      <w:r>
        <w:rPr>
          <w:szCs w:val="20"/>
        </w:rPr>
        <w:t>80.</w:t>
      </w:r>
      <w:r>
        <w:rPr>
          <w:szCs w:val="20"/>
        </w:rPr>
        <w:tab/>
      </w:r>
      <w:r w:rsidR="00E54916" w:rsidRPr="00E54916">
        <w:rPr>
          <w:szCs w:val="20"/>
        </w:rPr>
        <w:t>During the first stage of the NDIS, the Ministerial Council will:</w:t>
      </w:r>
    </w:p>
    <w:p w:rsidR="00E54916" w:rsidRPr="00E54916" w:rsidRDefault="00642AA0" w:rsidP="00642AA0">
      <w:pPr>
        <w:ind w:left="1123" w:hanging="562"/>
        <w:rPr>
          <w:szCs w:val="20"/>
        </w:rPr>
      </w:pPr>
      <w:proofErr w:type="gramStart"/>
      <w:r>
        <w:rPr>
          <w:szCs w:val="20"/>
        </w:rPr>
        <w:t>a</w:t>
      </w:r>
      <w:proofErr w:type="gramEnd"/>
      <w:r>
        <w:rPr>
          <w:szCs w:val="20"/>
        </w:rPr>
        <w:t>.</w:t>
      </w:r>
      <w:r>
        <w:rPr>
          <w:szCs w:val="20"/>
        </w:rPr>
        <w:tab/>
      </w:r>
      <w:r w:rsidR="00E54916" w:rsidRPr="00E54916">
        <w:rPr>
          <w:szCs w:val="20"/>
        </w:rPr>
        <w:t>monitor outcomes of the launch of an NDIS and the performance of launch sites, including in relation to implications for rollout to full coverage of an NDIS;</w:t>
      </w:r>
    </w:p>
    <w:p w:rsidR="00E54916" w:rsidRPr="00E54916" w:rsidRDefault="00642AA0" w:rsidP="00642AA0">
      <w:pPr>
        <w:ind w:left="1123" w:hanging="562"/>
        <w:rPr>
          <w:szCs w:val="20"/>
        </w:rPr>
      </w:pPr>
      <w:proofErr w:type="gramStart"/>
      <w:r>
        <w:rPr>
          <w:szCs w:val="20"/>
        </w:rPr>
        <w:lastRenderedPageBreak/>
        <w:t>b</w:t>
      </w:r>
      <w:proofErr w:type="gramEnd"/>
      <w:r>
        <w:rPr>
          <w:szCs w:val="20"/>
        </w:rPr>
        <w:t>.</w:t>
      </w:r>
      <w:r>
        <w:rPr>
          <w:szCs w:val="20"/>
        </w:rPr>
        <w:tab/>
      </w:r>
      <w:r w:rsidR="00E54916" w:rsidRPr="00E54916">
        <w:rPr>
          <w:szCs w:val="20"/>
        </w:rPr>
        <w:t xml:space="preserve">consider outcomes and performance indicators for agreement by all host jurisdictions against which Board performance is to be reported during launch; </w:t>
      </w:r>
    </w:p>
    <w:p w:rsidR="00E54916" w:rsidRPr="00E54916" w:rsidRDefault="00642AA0" w:rsidP="00642AA0">
      <w:pPr>
        <w:ind w:left="1123" w:hanging="562"/>
        <w:rPr>
          <w:szCs w:val="20"/>
        </w:rPr>
      </w:pPr>
      <w:proofErr w:type="gramStart"/>
      <w:r>
        <w:rPr>
          <w:color w:val="000000"/>
          <w:szCs w:val="20"/>
        </w:rPr>
        <w:t>c</w:t>
      </w:r>
      <w:proofErr w:type="gramEnd"/>
      <w:r>
        <w:rPr>
          <w:color w:val="000000"/>
          <w:szCs w:val="20"/>
        </w:rPr>
        <w:t>.</w:t>
      </w:r>
      <w:r>
        <w:rPr>
          <w:color w:val="000000"/>
          <w:szCs w:val="20"/>
        </w:rPr>
        <w:tab/>
      </w:r>
      <w:r w:rsidR="00E54916" w:rsidRPr="00E54916">
        <w:rPr>
          <w:color w:val="000000"/>
          <w:szCs w:val="20"/>
        </w:rPr>
        <w:t>agree the framework and methodology for a comprehensive independent evaluation of the launch sites, and the person or persons to conduct the evaluation;</w:t>
      </w:r>
    </w:p>
    <w:p w:rsidR="00E54916" w:rsidRPr="00E54916" w:rsidRDefault="00642AA0" w:rsidP="00642AA0">
      <w:pPr>
        <w:ind w:left="1123" w:hanging="562"/>
        <w:rPr>
          <w:szCs w:val="20"/>
        </w:rPr>
      </w:pPr>
      <w:proofErr w:type="gramStart"/>
      <w:r>
        <w:rPr>
          <w:color w:val="000000"/>
          <w:szCs w:val="20"/>
        </w:rPr>
        <w:t>d</w:t>
      </w:r>
      <w:proofErr w:type="gramEnd"/>
      <w:r>
        <w:rPr>
          <w:color w:val="000000"/>
          <w:szCs w:val="20"/>
        </w:rPr>
        <w:t>.</w:t>
      </w:r>
      <w:r>
        <w:rPr>
          <w:color w:val="000000"/>
          <w:szCs w:val="20"/>
        </w:rPr>
        <w:tab/>
      </w:r>
      <w:r w:rsidR="00E54916" w:rsidRPr="00E54916">
        <w:rPr>
          <w:color w:val="000000"/>
          <w:szCs w:val="20"/>
        </w:rPr>
        <w:t>oversee and consider the outcomes of the evaluation of the launch sites, and making recommendations to COAG on the transition to a full scheme;</w:t>
      </w:r>
    </w:p>
    <w:p w:rsidR="00E54916" w:rsidRPr="00E54916" w:rsidRDefault="00642AA0" w:rsidP="00642AA0">
      <w:pPr>
        <w:ind w:left="1123" w:hanging="562"/>
        <w:rPr>
          <w:szCs w:val="20"/>
        </w:rPr>
      </w:pPr>
      <w:proofErr w:type="gramStart"/>
      <w:r>
        <w:rPr>
          <w:szCs w:val="20"/>
        </w:rPr>
        <w:t>e</w:t>
      </w:r>
      <w:proofErr w:type="gramEnd"/>
      <w:r>
        <w:rPr>
          <w:szCs w:val="20"/>
        </w:rPr>
        <w:t>.</w:t>
      </w:r>
      <w:r>
        <w:rPr>
          <w:szCs w:val="20"/>
        </w:rPr>
        <w:tab/>
      </w:r>
      <w:r w:rsidR="00E54916" w:rsidRPr="00E54916">
        <w:rPr>
          <w:szCs w:val="20"/>
        </w:rPr>
        <w:t>consider the outcomes of the review of legislation and make recommendations on legislative amendments; and</w:t>
      </w:r>
    </w:p>
    <w:p w:rsidR="00E54916" w:rsidRPr="00E54916" w:rsidRDefault="00642AA0" w:rsidP="00642AA0">
      <w:pPr>
        <w:ind w:left="1123" w:hanging="562"/>
        <w:rPr>
          <w:szCs w:val="20"/>
        </w:rPr>
      </w:pPr>
      <w:proofErr w:type="gramStart"/>
      <w:r>
        <w:rPr>
          <w:szCs w:val="20"/>
        </w:rPr>
        <w:t>f</w:t>
      </w:r>
      <w:proofErr w:type="gramEnd"/>
      <w:r>
        <w:rPr>
          <w:szCs w:val="20"/>
        </w:rPr>
        <w:t>.</w:t>
      </w:r>
      <w:r>
        <w:rPr>
          <w:szCs w:val="20"/>
        </w:rPr>
        <w:tab/>
      </w:r>
      <w:r w:rsidR="00E54916" w:rsidRPr="00E54916">
        <w:rPr>
          <w:szCs w:val="20"/>
        </w:rPr>
        <w:t>consider other matters as are referred to the Council by COAG.</w:t>
      </w:r>
    </w:p>
    <w:p w:rsidR="00E54916" w:rsidRPr="00642AA0" w:rsidRDefault="00E54916" w:rsidP="000C65A6">
      <w:pPr>
        <w:pStyle w:val="Heading2"/>
      </w:pPr>
      <w:r w:rsidRPr="00642AA0">
        <w:t>Transition Arrangements for the Ministerial Council</w:t>
      </w:r>
    </w:p>
    <w:p w:rsidR="00E54916" w:rsidRPr="00E54916" w:rsidRDefault="00642AA0" w:rsidP="00642AA0">
      <w:pPr>
        <w:ind w:left="562" w:hanging="562"/>
        <w:rPr>
          <w:szCs w:val="20"/>
        </w:rPr>
      </w:pPr>
      <w:r>
        <w:rPr>
          <w:szCs w:val="20"/>
        </w:rPr>
        <w:t>81.</w:t>
      </w:r>
      <w:r>
        <w:rPr>
          <w:szCs w:val="20"/>
        </w:rPr>
        <w:tab/>
      </w:r>
      <w:r w:rsidR="00E54916" w:rsidRPr="00E54916">
        <w:rPr>
          <w:szCs w:val="20"/>
        </w:rPr>
        <w:t xml:space="preserve">In addition to the roles outlined above, the Ministerial Council will be responsible for all disability-related matters currently under the responsibility of the Standing Council on Community and Disability Services (SCCDS).  </w:t>
      </w:r>
    </w:p>
    <w:p w:rsidR="00E54916" w:rsidRPr="00E54916" w:rsidRDefault="00642AA0" w:rsidP="00642AA0">
      <w:pPr>
        <w:ind w:left="562" w:hanging="562"/>
        <w:rPr>
          <w:szCs w:val="20"/>
        </w:rPr>
      </w:pPr>
      <w:r>
        <w:rPr>
          <w:szCs w:val="20"/>
        </w:rPr>
        <w:t>82.</w:t>
      </w:r>
      <w:r>
        <w:rPr>
          <w:szCs w:val="20"/>
        </w:rPr>
        <w:tab/>
      </w:r>
      <w:r w:rsidR="00E54916" w:rsidRPr="00E54916">
        <w:rPr>
          <w:szCs w:val="20"/>
        </w:rPr>
        <w:t xml:space="preserve">These responsibilities of the SCCDS will transition to the Ministerial Council by </w:t>
      </w:r>
      <w:r w:rsidR="00E54916" w:rsidRPr="00E54916">
        <w:rPr>
          <w:szCs w:val="20"/>
        </w:rPr>
        <w:br/>
        <w:t>1 January 2014.</w:t>
      </w:r>
    </w:p>
    <w:p w:rsidR="00E54916" w:rsidRPr="00642AA0" w:rsidRDefault="00E54916" w:rsidP="000C65A6">
      <w:pPr>
        <w:pStyle w:val="Heading2"/>
      </w:pPr>
      <w:r w:rsidRPr="00642AA0">
        <w:t>Membership and structure</w:t>
      </w:r>
    </w:p>
    <w:p w:rsidR="00E54916" w:rsidRPr="00E54916" w:rsidRDefault="00642AA0" w:rsidP="00642AA0">
      <w:pPr>
        <w:ind w:left="562" w:hanging="562"/>
        <w:rPr>
          <w:szCs w:val="20"/>
        </w:rPr>
      </w:pPr>
      <w:r>
        <w:rPr>
          <w:szCs w:val="20"/>
        </w:rPr>
        <w:t>83.</w:t>
      </w:r>
      <w:r>
        <w:rPr>
          <w:szCs w:val="20"/>
        </w:rPr>
        <w:tab/>
      </w:r>
      <w:r w:rsidR="00E54916" w:rsidRPr="00E54916">
        <w:rPr>
          <w:szCs w:val="20"/>
        </w:rPr>
        <w:t>Membership of the Ministerial Council will comprise the Treasurer and Minister with responsibility for disability reform from the Commonwealth and each State.</w:t>
      </w:r>
    </w:p>
    <w:p w:rsidR="00E54916" w:rsidRPr="00E54916" w:rsidRDefault="00642AA0" w:rsidP="00642AA0">
      <w:pPr>
        <w:ind w:left="562" w:hanging="562"/>
        <w:rPr>
          <w:szCs w:val="20"/>
        </w:rPr>
      </w:pPr>
      <w:r>
        <w:rPr>
          <w:szCs w:val="20"/>
        </w:rPr>
        <w:t>84.</w:t>
      </w:r>
      <w:r>
        <w:rPr>
          <w:szCs w:val="20"/>
        </w:rPr>
        <w:tab/>
      </w:r>
      <w:r w:rsidR="00E54916" w:rsidRPr="00E54916">
        <w:rPr>
          <w:szCs w:val="20"/>
        </w:rPr>
        <w:t xml:space="preserve">The Commonwealth will chair and provide secretariat support to the Ministerial Council during the launch and transition to full scheme, after which there will be a rotating chair. If the Chair receives a request from a member of the Council, the Chair will consult the other members concerning convening a meeting. </w:t>
      </w:r>
    </w:p>
    <w:p w:rsidR="00E54916" w:rsidRPr="00E54916" w:rsidRDefault="00642AA0" w:rsidP="00642AA0">
      <w:pPr>
        <w:ind w:left="562" w:hanging="562"/>
        <w:rPr>
          <w:szCs w:val="20"/>
        </w:rPr>
      </w:pPr>
      <w:r>
        <w:rPr>
          <w:szCs w:val="20"/>
        </w:rPr>
        <w:t>85.</w:t>
      </w:r>
      <w:r>
        <w:rPr>
          <w:szCs w:val="20"/>
        </w:rPr>
        <w:tab/>
      </w:r>
      <w:r w:rsidR="00E54916" w:rsidRPr="00E54916">
        <w:rPr>
          <w:szCs w:val="20"/>
        </w:rPr>
        <w:t xml:space="preserve">The Council may also conduct its business by correspondence. </w:t>
      </w:r>
    </w:p>
    <w:p w:rsidR="00E54916" w:rsidRPr="00E54916" w:rsidRDefault="00642AA0" w:rsidP="00642AA0">
      <w:pPr>
        <w:ind w:left="562" w:hanging="562"/>
        <w:rPr>
          <w:szCs w:val="20"/>
        </w:rPr>
      </w:pPr>
      <w:r>
        <w:rPr>
          <w:szCs w:val="20"/>
        </w:rPr>
        <w:t>86.</w:t>
      </w:r>
      <w:r>
        <w:rPr>
          <w:szCs w:val="20"/>
        </w:rPr>
        <w:tab/>
      </w:r>
      <w:r w:rsidR="00E54916" w:rsidRPr="00E54916">
        <w:rPr>
          <w:szCs w:val="20"/>
        </w:rPr>
        <w:t>The Ministerial Council may appoint sub-committees as it sees fit.</w:t>
      </w:r>
    </w:p>
    <w:p w:rsidR="00E54916" w:rsidRPr="00266F99" w:rsidRDefault="00266F99" w:rsidP="000C65A6">
      <w:pPr>
        <w:pStyle w:val="Heading2"/>
      </w:pPr>
      <w:r>
        <w:t>Decision Making</w:t>
      </w:r>
    </w:p>
    <w:p w:rsidR="00E54916" w:rsidRPr="00E54916" w:rsidRDefault="00266F99" w:rsidP="00266F99">
      <w:pPr>
        <w:ind w:left="562" w:hanging="562"/>
        <w:rPr>
          <w:szCs w:val="20"/>
        </w:rPr>
      </w:pPr>
      <w:r>
        <w:rPr>
          <w:szCs w:val="20"/>
        </w:rPr>
        <w:t>87.</w:t>
      </w:r>
      <w:r>
        <w:rPr>
          <w:szCs w:val="20"/>
        </w:rPr>
        <w:tab/>
      </w:r>
      <w:r w:rsidR="00E54916" w:rsidRPr="00E54916">
        <w:rPr>
          <w:szCs w:val="20"/>
        </w:rPr>
        <w:t xml:space="preserve">Unless otherwise specified in legislation, the Ministerial Council will make decisions on the basis of consensus, unless a matter is only subject to the Commonwealth and host jurisdictions as set out in this Agreement and the National Disability Insurance Scheme Bill 2012, as enacted into legislation. </w:t>
      </w:r>
    </w:p>
    <w:p w:rsidR="00E54916" w:rsidRPr="00E54916" w:rsidRDefault="00266F99" w:rsidP="00266F99">
      <w:pPr>
        <w:ind w:left="562" w:hanging="562"/>
        <w:rPr>
          <w:szCs w:val="20"/>
        </w:rPr>
      </w:pPr>
      <w:r>
        <w:rPr>
          <w:szCs w:val="20"/>
        </w:rPr>
        <w:t>88.</w:t>
      </w:r>
      <w:r>
        <w:rPr>
          <w:szCs w:val="20"/>
        </w:rPr>
        <w:tab/>
      </w:r>
      <w:r w:rsidR="00E54916" w:rsidRPr="00E54916">
        <w:rPr>
          <w:szCs w:val="20"/>
        </w:rPr>
        <w:t>Where the Chair is unable to obtain consensus, agreement will instead be by consensus of host jurisdictions. The principle of one vote per jurisdiction should apply when deciding on matters by vote.</w:t>
      </w:r>
    </w:p>
    <w:p w:rsidR="00E54916" w:rsidRPr="00E54916" w:rsidRDefault="00266F99" w:rsidP="00266F99">
      <w:pPr>
        <w:ind w:left="562" w:hanging="562"/>
        <w:rPr>
          <w:szCs w:val="20"/>
        </w:rPr>
      </w:pPr>
      <w:r>
        <w:rPr>
          <w:szCs w:val="20"/>
        </w:rPr>
        <w:t>89.</w:t>
      </w:r>
      <w:r>
        <w:rPr>
          <w:szCs w:val="20"/>
        </w:rPr>
        <w:tab/>
      </w:r>
      <w:r w:rsidR="00E54916" w:rsidRPr="00E54916">
        <w:rPr>
          <w:szCs w:val="20"/>
        </w:rPr>
        <w:t xml:space="preserve">The arrangements for agreeing the following matters will be set out in the National Disability Insurance Scheme Bill 2012, as enacted into legislation: </w:t>
      </w:r>
    </w:p>
    <w:p w:rsidR="00E54916" w:rsidRPr="00E54916" w:rsidRDefault="00266F99" w:rsidP="00266F99">
      <w:pPr>
        <w:ind w:left="1123" w:hanging="562"/>
        <w:rPr>
          <w:color w:val="000000"/>
          <w:szCs w:val="20"/>
        </w:rPr>
      </w:pPr>
      <w:proofErr w:type="gramStart"/>
      <w:r>
        <w:rPr>
          <w:color w:val="000000"/>
          <w:szCs w:val="20"/>
        </w:rPr>
        <w:t>a</w:t>
      </w:r>
      <w:proofErr w:type="gramEnd"/>
      <w:r>
        <w:rPr>
          <w:color w:val="000000"/>
          <w:szCs w:val="20"/>
        </w:rPr>
        <w:t>.</w:t>
      </w:r>
      <w:r>
        <w:rPr>
          <w:color w:val="000000"/>
          <w:szCs w:val="20"/>
        </w:rPr>
        <w:tab/>
      </w:r>
      <w:r w:rsidR="00E54916" w:rsidRPr="00E54916">
        <w:rPr>
          <w:color w:val="000000"/>
          <w:szCs w:val="20"/>
        </w:rPr>
        <w:t>any directions given by the Commonwealth Minister to the Agency;</w:t>
      </w:r>
    </w:p>
    <w:p w:rsidR="00E54916" w:rsidRPr="00E54916" w:rsidRDefault="00266F99" w:rsidP="00266F99">
      <w:pPr>
        <w:ind w:left="1123" w:hanging="562"/>
        <w:rPr>
          <w:color w:val="000000"/>
          <w:szCs w:val="20"/>
        </w:rPr>
      </w:pPr>
      <w:proofErr w:type="gramStart"/>
      <w:r>
        <w:rPr>
          <w:color w:val="000000"/>
          <w:szCs w:val="20"/>
        </w:rPr>
        <w:lastRenderedPageBreak/>
        <w:t>b</w:t>
      </w:r>
      <w:proofErr w:type="gramEnd"/>
      <w:r>
        <w:rPr>
          <w:color w:val="000000"/>
          <w:szCs w:val="20"/>
        </w:rPr>
        <w:t>.</w:t>
      </w:r>
      <w:r>
        <w:rPr>
          <w:color w:val="000000"/>
          <w:szCs w:val="20"/>
        </w:rPr>
        <w:tab/>
      </w:r>
      <w:r w:rsidR="00E54916" w:rsidRPr="00E54916">
        <w:rPr>
          <w:color w:val="000000"/>
          <w:szCs w:val="20"/>
        </w:rPr>
        <w:t>any statements of strategic guidance given by the Commonwealth Minister to the Board;</w:t>
      </w:r>
    </w:p>
    <w:p w:rsidR="00E54916" w:rsidRPr="00E54916" w:rsidRDefault="00266F99" w:rsidP="00266F99">
      <w:pPr>
        <w:ind w:left="1123" w:hanging="562"/>
        <w:rPr>
          <w:color w:val="000000"/>
          <w:szCs w:val="20"/>
        </w:rPr>
      </w:pPr>
      <w:proofErr w:type="gramStart"/>
      <w:r>
        <w:rPr>
          <w:color w:val="000000"/>
          <w:szCs w:val="20"/>
        </w:rPr>
        <w:t>c</w:t>
      </w:r>
      <w:proofErr w:type="gramEnd"/>
      <w:r>
        <w:rPr>
          <w:color w:val="000000"/>
          <w:szCs w:val="20"/>
        </w:rPr>
        <w:t>.</w:t>
      </w:r>
      <w:r>
        <w:rPr>
          <w:color w:val="000000"/>
          <w:szCs w:val="20"/>
        </w:rPr>
        <w:tab/>
      </w:r>
      <w:r w:rsidR="00E54916" w:rsidRPr="00E54916">
        <w:rPr>
          <w:color w:val="000000"/>
          <w:szCs w:val="20"/>
        </w:rPr>
        <w:t>the appointment and termination of appointments of the Chair and other members of the Board;</w:t>
      </w:r>
    </w:p>
    <w:p w:rsidR="00E54916" w:rsidRPr="00E54916" w:rsidRDefault="00266F99" w:rsidP="00266F99">
      <w:pPr>
        <w:ind w:left="1123" w:hanging="562"/>
        <w:rPr>
          <w:color w:val="000000"/>
          <w:szCs w:val="20"/>
        </w:rPr>
      </w:pPr>
      <w:proofErr w:type="gramStart"/>
      <w:r>
        <w:rPr>
          <w:color w:val="000000"/>
          <w:szCs w:val="20"/>
        </w:rPr>
        <w:t>d</w:t>
      </w:r>
      <w:proofErr w:type="gramEnd"/>
      <w:r>
        <w:rPr>
          <w:color w:val="000000"/>
          <w:szCs w:val="20"/>
        </w:rPr>
        <w:t>.</w:t>
      </w:r>
      <w:r>
        <w:rPr>
          <w:color w:val="000000"/>
          <w:szCs w:val="20"/>
        </w:rPr>
        <w:tab/>
      </w:r>
      <w:r w:rsidR="00E54916" w:rsidRPr="00E54916">
        <w:rPr>
          <w:color w:val="000000"/>
          <w:szCs w:val="20"/>
        </w:rPr>
        <w:t>the appointment and termination of appointments of the Principal Member and other members of the Advisory Council;</w:t>
      </w:r>
    </w:p>
    <w:p w:rsidR="00E54916" w:rsidRPr="00E54916" w:rsidRDefault="00266F99" w:rsidP="00266F99">
      <w:pPr>
        <w:ind w:left="1123" w:hanging="562"/>
        <w:rPr>
          <w:color w:val="000000"/>
          <w:szCs w:val="20"/>
        </w:rPr>
      </w:pPr>
      <w:proofErr w:type="gramStart"/>
      <w:r>
        <w:rPr>
          <w:color w:val="000000"/>
          <w:szCs w:val="20"/>
        </w:rPr>
        <w:t>e</w:t>
      </w:r>
      <w:proofErr w:type="gramEnd"/>
      <w:r>
        <w:rPr>
          <w:color w:val="000000"/>
          <w:szCs w:val="20"/>
        </w:rPr>
        <w:t>.</w:t>
      </w:r>
      <w:r>
        <w:rPr>
          <w:color w:val="000000"/>
          <w:szCs w:val="20"/>
        </w:rPr>
        <w:tab/>
      </w:r>
      <w:r w:rsidR="00E54916" w:rsidRPr="00E54916">
        <w:rPr>
          <w:color w:val="000000"/>
          <w:szCs w:val="20"/>
        </w:rPr>
        <w:t>the terms of reference of, and person to undertake, the review of the legislation and recommendations in response to the review;</w:t>
      </w:r>
    </w:p>
    <w:p w:rsidR="00E54916" w:rsidRPr="00E54916" w:rsidRDefault="00266F99" w:rsidP="00266F99">
      <w:pPr>
        <w:ind w:left="1123" w:hanging="562"/>
        <w:rPr>
          <w:color w:val="000000"/>
          <w:szCs w:val="20"/>
        </w:rPr>
      </w:pPr>
      <w:proofErr w:type="gramStart"/>
      <w:r>
        <w:rPr>
          <w:color w:val="000000"/>
          <w:szCs w:val="20"/>
        </w:rPr>
        <w:t>f</w:t>
      </w:r>
      <w:proofErr w:type="gramEnd"/>
      <w:r>
        <w:rPr>
          <w:color w:val="000000"/>
          <w:szCs w:val="20"/>
        </w:rPr>
        <w:t>.</w:t>
      </w:r>
      <w:r>
        <w:rPr>
          <w:color w:val="000000"/>
          <w:szCs w:val="20"/>
        </w:rPr>
        <w:tab/>
      </w:r>
      <w:r w:rsidR="00E54916" w:rsidRPr="00E54916">
        <w:rPr>
          <w:color w:val="000000"/>
          <w:szCs w:val="20"/>
        </w:rPr>
        <w:t xml:space="preserve">the content of legislative instruments, including NDIS rules, and regulations; and </w:t>
      </w:r>
    </w:p>
    <w:p w:rsidR="00E54916" w:rsidRPr="00E54916" w:rsidRDefault="00266F99" w:rsidP="00266F99">
      <w:pPr>
        <w:ind w:left="1123" w:hanging="562"/>
        <w:rPr>
          <w:color w:val="000000"/>
          <w:szCs w:val="20"/>
        </w:rPr>
      </w:pPr>
      <w:proofErr w:type="gramStart"/>
      <w:r>
        <w:rPr>
          <w:color w:val="000000"/>
          <w:szCs w:val="20"/>
        </w:rPr>
        <w:t>g</w:t>
      </w:r>
      <w:proofErr w:type="gramEnd"/>
      <w:r>
        <w:rPr>
          <w:color w:val="000000"/>
          <w:szCs w:val="20"/>
        </w:rPr>
        <w:t>.</w:t>
      </w:r>
      <w:r>
        <w:rPr>
          <w:color w:val="000000"/>
          <w:szCs w:val="20"/>
        </w:rPr>
        <w:tab/>
      </w:r>
      <w:r w:rsidR="00E54916" w:rsidRPr="00E54916">
        <w:rPr>
          <w:color w:val="000000"/>
          <w:szCs w:val="20"/>
        </w:rPr>
        <w:t xml:space="preserve">any delegation by the Commonwealth Minister of the power to make legislative instruments and regulations. </w:t>
      </w:r>
    </w:p>
    <w:p w:rsidR="00E54916" w:rsidRPr="00E54916" w:rsidRDefault="00266F99" w:rsidP="00266F99">
      <w:pPr>
        <w:ind w:left="562" w:hanging="562"/>
        <w:rPr>
          <w:szCs w:val="20"/>
        </w:rPr>
      </w:pPr>
      <w:r>
        <w:rPr>
          <w:szCs w:val="20"/>
        </w:rPr>
        <w:t>90.</w:t>
      </w:r>
      <w:r>
        <w:rPr>
          <w:szCs w:val="20"/>
        </w:rPr>
        <w:tab/>
      </w:r>
      <w:r w:rsidR="00E54916" w:rsidRPr="00E54916">
        <w:rPr>
          <w:szCs w:val="20"/>
        </w:rPr>
        <w:t xml:space="preserve">The general practice will be for decisions to be made at meetings of the Ministerial Council. </w:t>
      </w:r>
      <w:proofErr w:type="gramStart"/>
      <w:r w:rsidR="00E54916" w:rsidRPr="00E54916">
        <w:rPr>
          <w:szCs w:val="20"/>
        </w:rPr>
        <w:t xml:space="preserve">Where practical, Parties will be given at least 28 </w:t>
      </w:r>
      <w:proofErr w:type="spellStart"/>
      <w:r w:rsidR="00E54916" w:rsidRPr="00E54916">
        <w:rPr>
          <w:szCs w:val="20"/>
        </w:rPr>
        <w:t>days notice</w:t>
      </w:r>
      <w:proofErr w:type="spellEnd"/>
      <w:r w:rsidR="00E54916" w:rsidRPr="00E54916">
        <w:rPr>
          <w:szCs w:val="20"/>
        </w:rPr>
        <w:t xml:space="preserve"> of any matters to be voted on at meetings of the Ministerial Council.</w:t>
      </w:r>
      <w:proofErr w:type="gramEnd"/>
    </w:p>
    <w:p w:rsidR="00E54916" w:rsidRPr="00E54916" w:rsidRDefault="00266F99" w:rsidP="00266F99">
      <w:pPr>
        <w:ind w:left="562" w:hanging="562"/>
        <w:rPr>
          <w:szCs w:val="20"/>
        </w:rPr>
      </w:pPr>
      <w:r>
        <w:rPr>
          <w:szCs w:val="20"/>
        </w:rPr>
        <w:t>91.</w:t>
      </w:r>
      <w:r>
        <w:rPr>
          <w:szCs w:val="20"/>
        </w:rPr>
        <w:tab/>
      </w:r>
      <w:r w:rsidR="00E54916" w:rsidRPr="00E54916">
        <w:rPr>
          <w:szCs w:val="20"/>
        </w:rPr>
        <w:t>Where a decision is required out of session, the Chair of the Ministerial Council will call a vote on the matters identified above by sending a written notice to Members of the Ministerial Council.</w:t>
      </w:r>
    </w:p>
    <w:p w:rsidR="00E54916" w:rsidRPr="00E54916" w:rsidRDefault="00266F99" w:rsidP="00266F99">
      <w:pPr>
        <w:ind w:left="562" w:hanging="562"/>
        <w:rPr>
          <w:szCs w:val="20"/>
        </w:rPr>
      </w:pPr>
      <w:r>
        <w:rPr>
          <w:szCs w:val="20"/>
        </w:rPr>
        <w:t>92.</w:t>
      </w:r>
      <w:r>
        <w:rPr>
          <w:szCs w:val="20"/>
        </w:rPr>
        <w:tab/>
      </w:r>
      <w:r w:rsidR="00E54916" w:rsidRPr="00E54916">
        <w:rPr>
          <w:szCs w:val="20"/>
        </w:rPr>
        <w:t>Parties will have 28 days from the date of the Chair sending the notice to vote.</w:t>
      </w:r>
    </w:p>
    <w:p w:rsidR="00E54916" w:rsidRPr="00E54916" w:rsidRDefault="00266F99" w:rsidP="00266F99">
      <w:pPr>
        <w:ind w:left="562" w:hanging="562"/>
        <w:rPr>
          <w:szCs w:val="20"/>
        </w:rPr>
      </w:pPr>
      <w:r>
        <w:rPr>
          <w:szCs w:val="20"/>
        </w:rPr>
        <w:t>93.</w:t>
      </w:r>
      <w:r>
        <w:rPr>
          <w:szCs w:val="20"/>
        </w:rPr>
        <w:tab/>
      </w:r>
      <w:r w:rsidR="00E54916" w:rsidRPr="00E54916">
        <w:rPr>
          <w:szCs w:val="20"/>
        </w:rPr>
        <w:t>The only circumstance in which a Party may abstain from the vote is if a Party is in caretaker mode at any time during the voting period.</w:t>
      </w:r>
    </w:p>
    <w:p w:rsidR="00E54916" w:rsidRPr="00E54916" w:rsidRDefault="00266F99" w:rsidP="00266F99">
      <w:pPr>
        <w:ind w:left="562" w:hanging="562"/>
        <w:rPr>
          <w:szCs w:val="20"/>
        </w:rPr>
      </w:pPr>
      <w:r>
        <w:rPr>
          <w:szCs w:val="20"/>
        </w:rPr>
        <w:t>94.</w:t>
      </w:r>
      <w:r>
        <w:rPr>
          <w:szCs w:val="20"/>
        </w:rPr>
        <w:tab/>
      </w:r>
      <w:r w:rsidR="00E54916" w:rsidRPr="00E54916">
        <w:rPr>
          <w:szCs w:val="20"/>
        </w:rPr>
        <w:t xml:space="preserve">Depending on the nature of the decision, the Chair and Ministerial Council members may agree to shorten or lengthen the timeframes specified above. </w:t>
      </w:r>
    </w:p>
    <w:p w:rsidR="00E54916" w:rsidRPr="00E54916" w:rsidRDefault="00E54916" w:rsidP="00266F99">
      <w:pPr>
        <w:pStyle w:val="Heading1"/>
      </w:pPr>
      <w:r w:rsidRPr="00E54916">
        <w:t xml:space="preserve">Part 8 – Accountability, Reporting, Evaluation and </w:t>
      </w:r>
      <w:r w:rsidR="00266F99" w:rsidRPr="00E54916">
        <w:t>Data</w:t>
      </w:r>
    </w:p>
    <w:p w:rsidR="00E54916" w:rsidRPr="00E54916" w:rsidRDefault="00E54916" w:rsidP="000C65A6">
      <w:pPr>
        <w:pStyle w:val="Heading2"/>
      </w:pPr>
      <w:r w:rsidRPr="00E54916">
        <w:t xml:space="preserve">Performance Reporting </w:t>
      </w:r>
    </w:p>
    <w:p w:rsidR="00E54916" w:rsidRPr="00E54916" w:rsidRDefault="00E54916" w:rsidP="00E54916">
      <w:pPr>
        <w:rPr>
          <w:i/>
          <w:szCs w:val="20"/>
        </w:rPr>
      </w:pPr>
      <w:r w:rsidRPr="00E54916">
        <w:rPr>
          <w:i/>
          <w:szCs w:val="20"/>
        </w:rPr>
        <w:t>Objectives</w:t>
      </w:r>
    </w:p>
    <w:p w:rsidR="00E54916" w:rsidRPr="00E54916" w:rsidRDefault="008C6644" w:rsidP="008C6644">
      <w:pPr>
        <w:ind w:left="562" w:hanging="562"/>
        <w:rPr>
          <w:szCs w:val="20"/>
        </w:rPr>
      </w:pPr>
      <w:r>
        <w:rPr>
          <w:szCs w:val="20"/>
        </w:rPr>
        <w:t>95.</w:t>
      </w:r>
      <w:r>
        <w:rPr>
          <w:szCs w:val="20"/>
        </w:rPr>
        <w:tab/>
      </w:r>
      <w:r w:rsidR="00E54916" w:rsidRPr="00E54916">
        <w:rPr>
          <w:szCs w:val="20"/>
        </w:rPr>
        <w:t xml:space="preserve">The NDIS launch performance reporting is intended to: </w:t>
      </w:r>
    </w:p>
    <w:p w:rsidR="00E54916" w:rsidRPr="00E54916" w:rsidRDefault="008C6644" w:rsidP="008C6644">
      <w:pPr>
        <w:ind w:left="1123" w:hanging="562"/>
        <w:rPr>
          <w:szCs w:val="20"/>
        </w:rPr>
      </w:pPr>
      <w:proofErr w:type="gramStart"/>
      <w:r>
        <w:rPr>
          <w:szCs w:val="20"/>
        </w:rPr>
        <w:t>a</w:t>
      </w:r>
      <w:proofErr w:type="gramEnd"/>
      <w:r>
        <w:rPr>
          <w:szCs w:val="20"/>
        </w:rPr>
        <w:t>.</w:t>
      </w:r>
      <w:r>
        <w:rPr>
          <w:szCs w:val="20"/>
        </w:rPr>
        <w:tab/>
      </w:r>
      <w:r w:rsidR="00E54916" w:rsidRPr="00E54916">
        <w:rPr>
          <w:szCs w:val="20"/>
        </w:rPr>
        <w:t>reflect shared governance of the launch of the NDIS by ensuring all jurisdictions have visibility of the operations of the scheme and whether the Agency is meeting agreed performance targets during launch;</w:t>
      </w:r>
    </w:p>
    <w:p w:rsidR="00E54916" w:rsidRPr="00E54916" w:rsidRDefault="008C6644" w:rsidP="008C6644">
      <w:pPr>
        <w:ind w:left="1123" w:hanging="562"/>
        <w:rPr>
          <w:szCs w:val="20"/>
        </w:rPr>
      </w:pPr>
      <w:r>
        <w:rPr>
          <w:szCs w:val="20"/>
        </w:rPr>
        <w:t>b.</w:t>
      </w:r>
      <w:r>
        <w:rPr>
          <w:szCs w:val="20"/>
        </w:rPr>
        <w:tab/>
      </w:r>
      <w:r w:rsidR="00E54916" w:rsidRPr="00E54916">
        <w:rPr>
          <w:szCs w:val="20"/>
        </w:rPr>
        <w:t>reflect the independence from governments of the Agency and the Board, while ensuring that the Board provides the Ministerial Council with sufficient insight into the operation of the scheme to allow it to have confidence in scheme governance, long-term fiscal sustainability and the capacity to deliver its policy objectives;</w:t>
      </w:r>
    </w:p>
    <w:p w:rsidR="00E54916" w:rsidRPr="00E54916" w:rsidRDefault="008C6644" w:rsidP="008C6644">
      <w:pPr>
        <w:ind w:left="1123" w:hanging="562"/>
        <w:rPr>
          <w:szCs w:val="20"/>
        </w:rPr>
      </w:pPr>
      <w:proofErr w:type="gramStart"/>
      <w:r>
        <w:rPr>
          <w:szCs w:val="20"/>
        </w:rPr>
        <w:lastRenderedPageBreak/>
        <w:t>c</w:t>
      </w:r>
      <w:proofErr w:type="gramEnd"/>
      <w:r>
        <w:rPr>
          <w:szCs w:val="20"/>
        </w:rPr>
        <w:t>.</w:t>
      </w:r>
      <w:r>
        <w:rPr>
          <w:szCs w:val="20"/>
        </w:rPr>
        <w:tab/>
      </w:r>
      <w:r w:rsidR="00E54916" w:rsidRPr="00E54916">
        <w:rPr>
          <w:szCs w:val="20"/>
        </w:rPr>
        <w:t>provide public transparency of the scheme, including its progress, outcomes, and current and future costs; and</w:t>
      </w:r>
    </w:p>
    <w:p w:rsidR="00E54916" w:rsidRPr="00E54916" w:rsidRDefault="008C6644" w:rsidP="008C6644">
      <w:pPr>
        <w:ind w:left="1123" w:hanging="562"/>
        <w:rPr>
          <w:szCs w:val="20"/>
        </w:rPr>
      </w:pPr>
      <w:proofErr w:type="gramStart"/>
      <w:r>
        <w:rPr>
          <w:szCs w:val="20"/>
        </w:rPr>
        <w:t>d</w:t>
      </w:r>
      <w:proofErr w:type="gramEnd"/>
      <w:r>
        <w:rPr>
          <w:szCs w:val="20"/>
        </w:rPr>
        <w:t>.</w:t>
      </w:r>
      <w:r>
        <w:rPr>
          <w:szCs w:val="20"/>
        </w:rPr>
        <w:tab/>
      </w:r>
      <w:r w:rsidR="00E54916" w:rsidRPr="00E54916">
        <w:rPr>
          <w:szCs w:val="20"/>
        </w:rPr>
        <w:t xml:space="preserve">minimise the reporting burden for all parties and the Agency, as far as possible. </w:t>
      </w:r>
    </w:p>
    <w:p w:rsidR="00E54916" w:rsidRPr="00E54916" w:rsidRDefault="008C6644" w:rsidP="008C6644">
      <w:pPr>
        <w:ind w:left="562" w:hanging="562"/>
        <w:rPr>
          <w:i/>
          <w:szCs w:val="20"/>
        </w:rPr>
      </w:pPr>
      <w:r>
        <w:rPr>
          <w:szCs w:val="20"/>
        </w:rPr>
        <w:t>96.</w:t>
      </w:r>
      <w:r>
        <w:rPr>
          <w:szCs w:val="20"/>
        </w:rPr>
        <w:tab/>
      </w:r>
      <w:r w:rsidR="00E54916" w:rsidRPr="00E54916">
        <w:rPr>
          <w:szCs w:val="20"/>
        </w:rPr>
        <w:t xml:space="preserve">Performance reporting will complement the evaluation of the NDIS launch paragraph </w:t>
      </w:r>
      <w:r w:rsidR="00E54916" w:rsidRPr="00E54916">
        <w:rPr>
          <w:szCs w:val="20"/>
        </w:rPr>
        <w:fldChar w:fldCharType="begin"/>
      </w:r>
      <w:r w:rsidR="00E54916" w:rsidRPr="00E54916">
        <w:rPr>
          <w:szCs w:val="20"/>
        </w:rPr>
        <w:instrText xml:space="preserve"> REF _Ref341115741 \w \h  \* MERGEFORMAT </w:instrText>
      </w:r>
      <w:r w:rsidR="00E54916" w:rsidRPr="00E54916">
        <w:rPr>
          <w:szCs w:val="20"/>
        </w:rPr>
      </w:r>
      <w:r w:rsidR="00E54916" w:rsidRPr="00E54916">
        <w:rPr>
          <w:szCs w:val="20"/>
        </w:rPr>
        <w:fldChar w:fldCharType="separate"/>
      </w:r>
      <w:r w:rsidR="004A0D41">
        <w:rPr>
          <w:szCs w:val="20"/>
        </w:rPr>
        <w:t>0</w:t>
      </w:r>
      <w:r w:rsidR="00E54916" w:rsidRPr="00E54916">
        <w:rPr>
          <w:szCs w:val="20"/>
        </w:rPr>
        <w:fldChar w:fldCharType="end"/>
      </w:r>
      <w:r>
        <w:rPr>
          <w:szCs w:val="20"/>
        </w:rPr>
        <w:t>.</w:t>
      </w:r>
    </w:p>
    <w:p w:rsidR="00E54916" w:rsidRPr="00E54916" w:rsidRDefault="00E54916" w:rsidP="00E54916">
      <w:pPr>
        <w:rPr>
          <w:i/>
          <w:szCs w:val="20"/>
        </w:rPr>
      </w:pPr>
      <w:r w:rsidRPr="00E54916">
        <w:rPr>
          <w:i/>
          <w:szCs w:val="20"/>
        </w:rPr>
        <w:t>Reporting requirements</w:t>
      </w:r>
    </w:p>
    <w:p w:rsidR="00E54916" w:rsidRPr="00E54916" w:rsidRDefault="008C6644" w:rsidP="008C6644">
      <w:pPr>
        <w:ind w:left="562" w:hanging="562"/>
        <w:rPr>
          <w:szCs w:val="20"/>
        </w:rPr>
      </w:pPr>
      <w:r>
        <w:rPr>
          <w:szCs w:val="20"/>
        </w:rPr>
        <w:t>97.</w:t>
      </w:r>
      <w:r>
        <w:rPr>
          <w:szCs w:val="20"/>
        </w:rPr>
        <w:tab/>
      </w:r>
      <w:r w:rsidR="00E54916" w:rsidRPr="00E54916">
        <w:rPr>
          <w:szCs w:val="20"/>
        </w:rPr>
        <w:t>Requirements for the Board to report to the Ministerial Council are set out in clause 172-174 of the National Disability Insurance Scheme Bill 2012, as enacted into legislation.</w:t>
      </w:r>
    </w:p>
    <w:p w:rsidR="00E54916" w:rsidRPr="00E54916" w:rsidRDefault="008C6644" w:rsidP="008C6644">
      <w:pPr>
        <w:ind w:left="562" w:hanging="562"/>
        <w:rPr>
          <w:szCs w:val="20"/>
        </w:rPr>
      </w:pPr>
      <w:r>
        <w:rPr>
          <w:szCs w:val="20"/>
        </w:rPr>
        <w:t>98.</w:t>
      </w:r>
      <w:r>
        <w:rPr>
          <w:szCs w:val="20"/>
        </w:rPr>
        <w:tab/>
      </w:r>
      <w:r w:rsidR="00E54916" w:rsidRPr="00E54916">
        <w:rPr>
          <w:szCs w:val="20"/>
        </w:rPr>
        <w:t>The content of Board reports to the Ministerial Council will be set out in legislative instruments, as specified in clause 174 of the National Disability Insurance Scheme Bill 2012, as enacted into legislation.</w:t>
      </w:r>
    </w:p>
    <w:p w:rsidR="00E54916" w:rsidRPr="00E54916" w:rsidRDefault="008C6644" w:rsidP="008C6644">
      <w:pPr>
        <w:ind w:left="562" w:hanging="562"/>
        <w:rPr>
          <w:szCs w:val="20"/>
        </w:rPr>
      </w:pPr>
      <w:r>
        <w:rPr>
          <w:szCs w:val="20"/>
        </w:rPr>
        <w:t>99.</w:t>
      </w:r>
      <w:r>
        <w:rPr>
          <w:szCs w:val="20"/>
        </w:rPr>
        <w:tab/>
      </w:r>
      <w:r w:rsidR="00E54916" w:rsidRPr="00E54916">
        <w:rPr>
          <w:szCs w:val="20"/>
        </w:rPr>
        <w:t>A schedule outlining the reporting requirements beyond those that will be set out in legislative instruments will be agreed by the Ministerial Council by March 2013. At a minimum, this will include reporting on:</w:t>
      </w:r>
    </w:p>
    <w:p w:rsidR="00E54916" w:rsidRPr="00E54916" w:rsidRDefault="008C6644" w:rsidP="008C6644">
      <w:pPr>
        <w:ind w:left="1123" w:hanging="562"/>
        <w:rPr>
          <w:szCs w:val="20"/>
        </w:rPr>
      </w:pPr>
      <w:proofErr w:type="gramStart"/>
      <w:r>
        <w:rPr>
          <w:szCs w:val="20"/>
        </w:rPr>
        <w:t>a</w:t>
      </w:r>
      <w:proofErr w:type="gramEnd"/>
      <w:r>
        <w:rPr>
          <w:szCs w:val="20"/>
        </w:rPr>
        <w:t>.</w:t>
      </w:r>
      <w:r>
        <w:rPr>
          <w:szCs w:val="20"/>
        </w:rPr>
        <w:tab/>
      </w:r>
      <w:r w:rsidR="00E54916" w:rsidRPr="00E54916">
        <w:rPr>
          <w:szCs w:val="20"/>
        </w:rPr>
        <w:t xml:space="preserve">reviews/appeals; </w:t>
      </w:r>
    </w:p>
    <w:p w:rsidR="00E54916" w:rsidRPr="00E54916" w:rsidRDefault="008C6644" w:rsidP="008C6644">
      <w:pPr>
        <w:ind w:left="1123" w:hanging="562"/>
        <w:rPr>
          <w:szCs w:val="20"/>
        </w:rPr>
      </w:pPr>
      <w:proofErr w:type="gramStart"/>
      <w:r>
        <w:rPr>
          <w:szCs w:val="20"/>
        </w:rPr>
        <w:t>b</w:t>
      </w:r>
      <w:proofErr w:type="gramEnd"/>
      <w:r>
        <w:rPr>
          <w:szCs w:val="20"/>
        </w:rPr>
        <w:t>.</w:t>
      </w:r>
      <w:r>
        <w:rPr>
          <w:szCs w:val="20"/>
        </w:rPr>
        <w:tab/>
      </w:r>
      <w:r w:rsidR="00E54916" w:rsidRPr="00E54916">
        <w:rPr>
          <w:szCs w:val="20"/>
        </w:rPr>
        <w:t>complaints;</w:t>
      </w:r>
    </w:p>
    <w:p w:rsidR="00E54916" w:rsidRPr="00E54916" w:rsidRDefault="008C6644" w:rsidP="008C6644">
      <w:pPr>
        <w:ind w:left="1123" w:hanging="562"/>
        <w:rPr>
          <w:szCs w:val="20"/>
        </w:rPr>
      </w:pPr>
      <w:proofErr w:type="gramStart"/>
      <w:r>
        <w:rPr>
          <w:szCs w:val="20"/>
        </w:rPr>
        <w:t>c</w:t>
      </w:r>
      <w:proofErr w:type="gramEnd"/>
      <w:r>
        <w:rPr>
          <w:szCs w:val="20"/>
        </w:rPr>
        <w:t>.</w:t>
      </w:r>
      <w:r>
        <w:rPr>
          <w:szCs w:val="20"/>
        </w:rPr>
        <w:tab/>
      </w:r>
      <w:r w:rsidR="00E54916" w:rsidRPr="00E54916">
        <w:rPr>
          <w:szCs w:val="20"/>
        </w:rPr>
        <w:t>access to services (e.g. how many access requests are successful/unsuccessful);</w:t>
      </w:r>
    </w:p>
    <w:p w:rsidR="00E54916" w:rsidRPr="00E54916" w:rsidRDefault="008C6644" w:rsidP="008C6644">
      <w:pPr>
        <w:ind w:left="1123" w:hanging="562"/>
        <w:rPr>
          <w:szCs w:val="20"/>
        </w:rPr>
      </w:pPr>
      <w:proofErr w:type="gramStart"/>
      <w:r>
        <w:rPr>
          <w:szCs w:val="20"/>
        </w:rPr>
        <w:t>d</w:t>
      </w:r>
      <w:proofErr w:type="gramEnd"/>
      <w:r>
        <w:rPr>
          <w:szCs w:val="20"/>
        </w:rPr>
        <w:t>.</w:t>
      </w:r>
      <w:r>
        <w:rPr>
          <w:szCs w:val="20"/>
        </w:rPr>
        <w:tab/>
      </w:r>
      <w:r w:rsidR="00E54916" w:rsidRPr="00E54916">
        <w:rPr>
          <w:szCs w:val="20"/>
        </w:rPr>
        <w:t>client outcomes;</w:t>
      </w:r>
    </w:p>
    <w:p w:rsidR="00E54916" w:rsidRPr="00E54916" w:rsidRDefault="008C6644" w:rsidP="008C6644">
      <w:pPr>
        <w:ind w:left="1123" w:hanging="562"/>
        <w:rPr>
          <w:szCs w:val="20"/>
        </w:rPr>
      </w:pPr>
      <w:proofErr w:type="gramStart"/>
      <w:r>
        <w:rPr>
          <w:szCs w:val="20"/>
        </w:rPr>
        <w:t>e</w:t>
      </w:r>
      <w:proofErr w:type="gramEnd"/>
      <w:r>
        <w:rPr>
          <w:szCs w:val="20"/>
        </w:rPr>
        <w:t>.</w:t>
      </w:r>
      <w:r>
        <w:rPr>
          <w:szCs w:val="20"/>
        </w:rPr>
        <w:tab/>
      </w:r>
      <w:r w:rsidR="00E54916" w:rsidRPr="00E54916">
        <w:rPr>
          <w:szCs w:val="20"/>
        </w:rPr>
        <w:t>client experience (including choice and control);</w:t>
      </w:r>
    </w:p>
    <w:p w:rsidR="00E54916" w:rsidRPr="00E54916" w:rsidRDefault="008C6644" w:rsidP="008C6644">
      <w:pPr>
        <w:ind w:left="1123" w:hanging="562"/>
        <w:rPr>
          <w:szCs w:val="20"/>
        </w:rPr>
      </w:pPr>
      <w:proofErr w:type="gramStart"/>
      <w:r>
        <w:rPr>
          <w:szCs w:val="20"/>
        </w:rPr>
        <w:t>f</w:t>
      </w:r>
      <w:proofErr w:type="gramEnd"/>
      <w:r>
        <w:rPr>
          <w:szCs w:val="20"/>
        </w:rPr>
        <w:t>.</w:t>
      </w:r>
      <w:r>
        <w:rPr>
          <w:szCs w:val="20"/>
        </w:rPr>
        <w:tab/>
      </w:r>
      <w:r w:rsidR="00E54916" w:rsidRPr="00E54916">
        <w:rPr>
          <w:szCs w:val="20"/>
        </w:rPr>
        <w:t>service provider characteristics and market profile;</w:t>
      </w:r>
    </w:p>
    <w:p w:rsidR="00E54916" w:rsidRPr="00E54916" w:rsidRDefault="008C6644" w:rsidP="008C6644">
      <w:pPr>
        <w:ind w:left="1123" w:hanging="562"/>
        <w:rPr>
          <w:szCs w:val="20"/>
        </w:rPr>
      </w:pPr>
      <w:proofErr w:type="gramStart"/>
      <w:r>
        <w:rPr>
          <w:szCs w:val="20"/>
        </w:rPr>
        <w:t>g</w:t>
      </w:r>
      <w:proofErr w:type="gramEnd"/>
      <w:r>
        <w:rPr>
          <w:szCs w:val="20"/>
        </w:rPr>
        <w:t>.</w:t>
      </w:r>
      <w:r>
        <w:rPr>
          <w:szCs w:val="20"/>
        </w:rPr>
        <w:tab/>
      </w:r>
      <w:r w:rsidR="00E54916" w:rsidRPr="00E54916">
        <w:rPr>
          <w:szCs w:val="20"/>
        </w:rPr>
        <w:t>service provider experience;</w:t>
      </w:r>
    </w:p>
    <w:p w:rsidR="00E54916" w:rsidRPr="00E54916" w:rsidRDefault="008C6644" w:rsidP="008C6644">
      <w:pPr>
        <w:ind w:left="1123" w:hanging="562"/>
        <w:rPr>
          <w:szCs w:val="20"/>
        </w:rPr>
      </w:pPr>
      <w:proofErr w:type="gramStart"/>
      <w:r>
        <w:rPr>
          <w:szCs w:val="20"/>
        </w:rPr>
        <w:t>h</w:t>
      </w:r>
      <w:proofErr w:type="gramEnd"/>
      <w:r>
        <w:rPr>
          <w:szCs w:val="20"/>
        </w:rPr>
        <w:t>.</w:t>
      </w:r>
      <w:r>
        <w:rPr>
          <w:szCs w:val="20"/>
        </w:rPr>
        <w:tab/>
      </w:r>
      <w:r w:rsidR="00E54916" w:rsidRPr="00E54916">
        <w:rPr>
          <w:szCs w:val="20"/>
        </w:rPr>
        <w:t>investment in research and innovation;</w:t>
      </w:r>
    </w:p>
    <w:p w:rsidR="00E54916" w:rsidRPr="00E54916" w:rsidRDefault="008C6644" w:rsidP="008C6644">
      <w:pPr>
        <w:ind w:left="1123" w:hanging="562"/>
        <w:rPr>
          <w:szCs w:val="20"/>
        </w:rPr>
      </w:pPr>
      <w:proofErr w:type="spellStart"/>
      <w:proofErr w:type="gramStart"/>
      <w:r>
        <w:rPr>
          <w:szCs w:val="20"/>
        </w:rPr>
        <w:t>i</w:t>
      </w:r>
      <w:proofErr w:type="spellEnd"/>
      <w:proofErr w:type="gramEnd"/>
      <w:r>
        <w:rPr>
          <w:szCs w:val="20"/>
        </w:rPr>
        <w:t>.</w:t>
      </w:r>
      <w:r>
        <w:rPr>
          <w:szCs w:val="20"/>
        </w:rPr>
        <w:tab/>
      </w:r>
      <w:r w:rsidR="00E54916" w:rsidRPr="00E54916">
        <w:rPr>
          <w:szCs w:val="20"/>
        </w:rPr>
        <w:t>change in community awareness of disability; and</w:t>
      </w:r>
    </w:p>
    <w:p w:rsidR="00E54916" w:rsidRPr="00E54916" w:rsidRDefault="008C6644" w:rsidP="008C6644">
      <w:pPr>
        <w:ind w:left="1123" w:hanging="562"/>
        <w:rPr>
          <w:szCs w:val="20"/>
        </w:rPr>
      </w:pPr>
      <w:proofErr w:type="gramStart"/>
      <w:r>
        <w:rPr>
          <w:szCs w:val="20"/>
        </w:rPr>
        <w:t>j</w:t>
      </w:r>
      <w:proofErr w:type="gramEnd"/>
      <w:r>
        <w:rPr>
          <w:szCs w:val="20"/>
        </w:rPr>
        <w:t>.</w:t>
      </w:r>
      <w:r>
        <w:rPr>
          <w:szCs w:val="20"/>
        </w:rPr>
        <w:tab/>
      </w:r>
      <w:r w:rsidR="00E54916" w:rsidRPr="00E54916">
        <w:rPr>
          <w:szCs w:val="20"/>
        </w:rPr>
        <w:t>financial sustainability measures.</w:t>
      </w:r>
    </w:p>
    <w:p w:rsidR="00E54916" w:rsidRPr="00E54916" w:rsidRDefault="008C6644" w:rsidP="008C6644">
      <w:pPr>
        <w:ind w:left="562" w:hanging="562"/>
        <w:rPr>
          <w:szCs w:val="20"/>
        </w:rPr>
      </w:pPr>
      <w:r>
        <w:rPr>
          <w:szCs w:val="20"/>
        </w:rPr>
        <w:t>100.</w:t>
      </w:r>
      <w:r>
        <w:rPr>
          <w:szCs w:val="20"/>
        </w:rPr>
        <w:tab/>
      </w:r>
      <w:r w:rsidR="00E54916" w:rsidRPr="00E54916">
        <w:rPr>
          <w:szCs w:val="20"/>
        </w:rPr>
        <w:t>Members of the Ministerial Council may choose to table the Agency’s Annual Report within their Parliaments, once it has been considered by the Ministerial Council.</w:t>
      </w:r>
    </w:p>
    <w:p w:rsidR="00E54916" w:rsidRPr="00E54916" w:rsidRDefault="008C6644" w:rsidP="008C6644">
      <w:pPr>
        <w:ind w:left="562" w:hanging="562"/>
        <w:rPr>
          <w:szCs w:val="20"/>
        </w:rPr>
      </w:pPr>
      <w:r>
        <w:rPr>
          <w:szCs w:val="20"/>
        </w:rPr>
        <w:t>101.</w:t>
      </w:r>
      <w:r>
        <w:rPr>
          <w:szCs w:val="20"/>
        </w:rPr>
        <w:tab/>
      </w:r>
      <w:r w:rsidR="00E54916" w:rsidRPr="00E54916">
        <w:rPr>
          <w:szCs w:val="20"/>
        </w:rPr>
        <w:t>Reporting by the Agency to the Board will comply with the requirement that performance standards for the Agency senior management should align to scheme objectives, including long-term sustainability, as expressed in the National Disability Insurance Scheme Bill 2012, as enacted into legislation.</w:t>
      </w:r>
    </w:p>
    <w:p w:rsidR="00E54916" w:rsidRPr="00E54916" w:rsidRDefault="00E54916" w:rsidP="00E54916">
      <w:pPr>
        <w:rPr>
          <w:i/>
          <w:szCs w:val="20"/>
        </w:rPr>
      </w:pPr>
      <w:r w:rsidRPr="00E54916">
        <w:rPr>
          <w:i/>
          <w:szCs w:val="20"/>
        </w:rPr>
        <w:t>Performance indicators</w:t>
      </w:r>
    </w:p>
    <w:p w:rsidR="00E54916" w:rsidRPr="00E54916" w:rsidRDefault="008C6644" w:rsidP="008C6644">
      <w:pPr>
        <w:ind w:left="562" w:hanging="562"/>
        <w:rPr>
          <w:szCs w:val="20"/>
        </w:rPr>
      </w:pPr>
      <w:r>
        <w:rPr>
          <w:szCs w:val="20"/>
        </w:rPr>
        <w:lastRenderedPageBreak/>
        <w:t>102.</w:t>
      </w:r>
      <w:r>
        <w:rPr>
          <w:szCs w:val="20"/>
        </w:rPr>
        <w:tab/>
      </w:r>
      <w:r w:rsidR="00E54916" w:rsidRPr="00E54916">
        <w:rPr>
          <w:szCs w:val="20"/>
        </w:rPr>
        <w:t xml:space="preserve">Expected outcomes and performance indicators for assessing scheme performance will be agreed by the Ministerial Council by March 2013 and attached as a schedule to this Agreement. </w:t>
      </w:r>
    </w:p>
    <w:p w:rsidR="00E54916" w:rsidRPr="00E54916" w:rsidRDefault="008C6644" w:rsidP="008C6644">
      <w:pPr>
        <w:ind w:left="562" w:hanging="562"/>
        <w:rPr>
          <w:szCs w:val="20"/>
        </w:rPr>
      </w:pPr>
      <w:r>
        <w:rPr>
          <w:szCs w:val="20"/>
        </w:rPr>
        <w:t>103.</w:t>
      </w:r>
      <w:r>
        <w:rPr>
          <w:szCs w:val="20"/>
        </w:rPr>
        <w:tab/>
      </w:r>
      <w:r w:rsidR="00E54916" w:rsidRPr="00E54916">
        <w:rPr>
          <w:szCs w:val="20"/>
        </w:rPr>
        <w:t>Outcomes and performance indicators will be linked to scheme objectives as set out in the National</w:t>
      </w:r>
      <w:r w:rsidR="00E54916" w:rsidRPr="00E54916">
        <w:rPr>
          <w:i/>
          <w:szCs w:val="20"/>
        </w:rPr>
        <w:t xml:space="preserve"> </w:t>
      </w:r>
      <w:r w:rsidR="00E54916" w:rsidRPr="00E54916">
        <w:rPr>
          <w:szCs w:val="20"/>
        </w:rPr>
        <w:t>Disability Insurance Scheme Bill 2012, as enacted into legislation, and this Agreement.</w:t>
      </w:r>
    </w:p>
    <w:p w:rsidR="00E54916" w:rsidRPr="00E54916" w:rsidRDefault="008C6644" w:rsidP="008C6644">
      <w:pPr>
        <w:ind w:left="562" w:hanging="562"/>
        <w:rPr>
          <w:szCs w:val="20"/>
        </w:rPr>
      </w:pPr>
      <w:r>
        <w:rPr>
          <w:szCs w:val="20"/>
        </w:rPr>
        <w:t>104.</w:t>
      </w:r>
      <w:r>
        <w:rPr>
          <w:szCs w:val="20"/>
        </w:rPr>
        <w:tab/>
      </w:r>
      <w:r w:rsidR="00E54916" w:rsidRPr="00E54916">
        <w:rPr>
          <w:szCs w:val="20"/>
        </w:rPr>
        <w:t xml:space="preserve">Performance indicators will be based on existing data sources to enable improvements in outcomes to be monitored against a control population. As further data is generated during launch, additional and/or alternative performance indicators may be developed. </w:t>
      </w:r>
    </w:p>
    <w:p w:rsidR="00E54916" w:rsidRPr="00E54916" w:rsidRDefault="00E54916" w:rsidP="00E54916">
      <w:pPr>
        <w:rPr>
          <w:szCs w:val="20"/>
        </w:rPr>
      </w:pPr>
      <w:r w:rsidRPr="00E54916">
        <w:rPr>
          <w:i/>
          <w:szCs w:val="20"/>
        </w:rPr>
        <w:t>Data collection and transfer</w:t>
      </w:r>
    </w:p>
    <w:p w:rsidR="00E54916" w:rsidRPr="00E54916" w:rsidRDefault="008C6644" w:rsidP="008C6644">
      <w:pPr>
        <w:ind w:left="562" w:hanging="562"/>
        <w:rPr>
          <w:szCs w:val="20"/>
        </w:rPr>
      </w:pPr>
      <w:r>
        <w:rPr>
          <w:szCs w:val="20"/>
        </w:rPr>
        <w:t>105.</w:t>
      </w:r>
      <w:r>
        <w:rPr>
          <w:szCs w:val="20"/>
        </w:rPr>
        <w:tab/>
      </w:r>
      <w:r w:rsidR="00E54916" w:rsidRPr="00E54916">
        <w:rPr>
          <w:szCs w:val="20"/>
        </w:rPr>
        <w:t>Data collection and transfer will occur in line with nationally agreed data migration principles developed by the NDIS Data Experts Group.</w:t>
      </w:r>
    </w:p>
    <w:p w:rsidR="00E54916" w:rsidRPr="008C6644" w:rsidRDefault="00E54916" w:rsidP="000C65A6">
      <w:pPr>
        <w:pStyle w:val="Heading2"/>
      </w:pPr>
      <w:r w:rsidRPr="008C6644">
        <w:t>Evaluation and Review</w:t>
      </w:r>
    </w:p>
    <w:p w:rsidR="00E54916" w:rsidRPr="00E54916" w:rsidRDefault="008C6644" w:rsidP="008C6644">
      <w:pPr>
        <w:ind w:left="562" w:hanging="562"/>
        <w:rPr>
          <w:szCs w:val="20"/>
        </w:rPr>
      </w:pPr>
      <w:bookmarkStart w:id="7" w:name="_Ref341115741"/>
      <w:r>
        <w:rPr>
          <w:szCs w:val="20"/>
        </w:rPr>
        <w:t>106.</w:t>
      </w:r>
      <w:r>
        <w:rPr>
          <w:szCs w:val="20"/>
        </w:rPr>
        <w:tab/>
      </w:r>
      <w:r w:rsidR="00E54916" w:rsidRPr="00E54916">
        <w:rPr>
          <w:szCs w:val="20"/>
        </w:rPr>
        <w:t>The evaluation and review of the NDIS launch will include:</w:t>
      </w:r>
      <w:bookmarkEnd w:id="7"/>
    </w:p>
    <w:p w:rsidR="00E54916" w:rsidRPr="00E54916" w:rsidRDefault="00A9029C" w:rsidP="00A9029C">
      <w:pPr>
        <w:ind w:left="1123" w:hanging="562"/>
        <w:rPr>
          <w:szCs w:val="20"/>
        </w:rPr>
      </w:pPr>
      <w:r>
        <w:rPr>
          <w:szCs w:val="20"/>
        </w:rPr>
        <w:t>a.</w:t>
      </w:r>
      <w:r>
        <w:rPr>
          <w:szCs w:val="20"/>
        </w:rPr>
        <w:tab/>
      </w:r>
      <w:r w:rsidR="00E54916" w:rsidRPr="00E54916">
        <w:rPr>
          <w:szCs w:val="20"/>
        </w:rPr>
        <w:t xml:space="preserve">external evaluation of client experiences and outcomes against plans during launch to track progress, consider impacts and identify any changes needed for a full scheme; ultimately enabling an NDIS to better meet the needs of people with disability, their families and carers: </w:t>
      </w:r>
    </w:p>
    <w:p w:rsidR="00E54916" w:rsidRPr="00E54916" w:rsidRDefault="00A9029C" w:rsidP="00A9029C">
      <w:pPr>
        <w:ind w:left="1685" w:hanging="562"/>
        <w:rPr>
          <w:szCs w:val="20"/>
        </w:rPr>
      </w:pPr>
      <w:proofErr w:type="spellStart"/>
      <w:proofErr w:type="gramStart"/>
      <w:r>
        <w:rPr>
          <w:szCs w:val="20"/>
          <w:lang w:val="en-US"/>
        </w:rPr>
        <w:t>i</w:t>
      </w:r>
      <w:proofErr w:type="spellEnd"/>
      <w:proofErr w:type="gramEnd"/>
      <w:r>
        <w:rPr>
          <w:szCs w:val="20"/>
          <w:lang w:val="en-US"/>
        </w:rPr>
        <w:t>.</w:t>
      </w:r>
      <w:r>
        <w:rPr>
          <w:szCs w:val="20"/>
          <w:lang w:val="en-US"/>
        </w:rPr>
        <w:tab/>
      </w:r>
      <w:r w:rsidR="00E54916" w:rsidRPr="00E54916">
        <w:rPr>
          <w:szCs w:val="20"/>
          <w:lang w:val="en-US"/>
        </w:rPr>
        <w:t xml:space="preserve">the evaluation will run for four years, starting with a baseline component in 2012-13 and a final evaluation and review report by May 2016. The conduct of the evaluation will be overseen by an Evaluation Steering Committee chaired by the Commonwealth and including representatives from all </w:t>
      </w:r>
      <w:r w:rsidR="00E54916" w:rsidRPr="00E54916">
        <w:rPr>
          <w:szCs w:val="20"/>
        </w:rPr>
        <w:t xml:space="preserve">States; and </w:t>
      </w:r>
    </w:p>
    <w:p w:rsidR="00E54916" w:rsidRPr="00E54916" w:rsidRDefault="00A9029C" w:rsidP="00A9029C">
      <w:pPr>
        <w:ind w:left="1685" w:hanging="562"/>
        <w:rPr>
          <w:szCs w:val="20"/>
        </w:rPr>
      </w:pPr>
      <w:r>
        <w:rPr>
          <w:szCs w:val="20"/>
          <w:lang w:val="en-US"/>
        </w:rPr>
        <w:t>ii.</w:t>
      </w:r>
      <w:r>
        <w:rPr>
          <w:szCs w:val="20"/>
          <w:lang w:val="en-US"/>
        </w:rPr>
        <w:tab/>
      </w:r>
      <w:proofErr w:type="gramStart"/>
      <w:r w:rsidR="00E54916" w:rsidRPr="00E54916">
        <w:rPr>
          <w:szCs w:val="20"/>
          <w:lang w:val="en-US"/>
        </w:rPr>
        <w:t>once</w:t>
      </w:r>
      <w:proofErr w:type="gramEnd"/>
      <w:r w:rsidR="00E54916" w:rsidRPr="00E54916">
        <w:rPr>
          <w:szCs w:val="20"/>
          <w:lang w:val="en-US"/>
        </w:rPr>
        <w:t xml:space="preserve"> the evaluation report is </w:t>
      </w:r>
      <w:proofErr w:type="spellStart"/>
      <w:r w:rsidR="00E54916" w:rsidRPr="00E54916">
        <w:rPr>
          <w:szCs w:val="20"/>
          <w:lang w:val="en-US"/>
        </w:rPr>
        <w:t>finalised</w:t>
      </w:r>
      <w:proofErr w:type="spellEnd"/>
      <w:r w:rsidR="00E54916" w:rsidRPr="00E54916">
        <w:rPr>
          <w:szCs w:val="20"/>
          <w:lang w:val="en-US"/>
        </w:rPr>
        <w:t xml:space="preserve"> it will be provided to the Ministerial Council and COAG for consideration. </w:t>
      </w:r>
    </w:p>
    <w:p w:rsidR="00E54916" w:rsidRPr="00E54916" w:rsidRDefault="00A9029C" w:rsidP="00A9029C">
      <w:pPr>
        <w:ind w:left="1123" w:hanging="562"/>
        <w:rPr>
          <w:szCs w:val="20"/>
        </w:rPr>
      </w:pPr>
      <w:r>
        <w:rPr>
          <w:szCs w:val="20"/>
        </w:rPr>
        <w:t>b.</w:t>
      </w:r>
      <w:r>
        <w:rPr>
          <w:szCs w:val="20"/>
        </w:rPr>
        <w:tab/>
      </w:r>
      <w:r w:rsidR="00E54916" w:rsidRPr="00E54916">
        <w:rPr>
          <w:szCs w:val="20"/>
        </w:rPr>
        <w:t xml:space="preserve">review of financial outcomes of the launch experience based on independent actuarial reporting and monitoring on; outcomes against estimates of lifetime costs of participants; medium and long term projections of cash flow and accrued liabilities; and expenditure against reference packages, factors driving care and support costs; is also vital to assure governments and the community about scheme viability and inform transition to a full scheme; </w:t>
      </w:r>
    </w:p>
    <w:p w:rsidR="00E54916" w:rsidRPr="00E54916" w:rsidRDefault="00A9029C" w:rsidP="00A9029C">
      <w:pPr>
        <w:ind w:left="1123" w:hanging="562"/>
        <w:rPr>
          <w:szCs w:val="20"/>
        </w:rPr>
      </w:pPr>
      <w:r>
        <w:rPr>
          <w:szCs w:val="20"/>
        </w:rPr>
        <w:t>c.</w:t>
      </w:r>
      <w:r>
        <w:rPr>
          <w:szCs w:val="20"/>
        </w:rPr>
        <w:tab/>
      </w:r>
      <w:r w:rsidR="00E54916" w:rsidRPr="00E54916">
        <w:rPr>
          <w:szCs w:val="20"/>
        </w:rPr>
        <w:t>Agency performance against performance benchmarks and client service standards, including administrative efficiency and cost-effectiveness of delivery; and</w:t>
      </w:r>
    </w:p>
    <w:p w:rsidR="00E54916" w:rsidRPr="00E54916" w:rsidRDefault="00A9029C" w:rsidP="00A9029C">
      <w:pPr>
        <w:ind w:left="1123" w:hanging="562"/>
        <w:rPr>
          <w:szCs w:val="20"/>
        </w:rPr>
      </w:pPr>
      <w:proofErr w:type="gramStart"/>
      <w:r>
        <w:rPr>
          <w:szCs w:val="20"/>
        </w:rPr>
        <w:t>d</w:t>
      </w:r>
      <w:proofErr w:type="gramEnd"/>
      <w:r>
        <w:rPr>
          <w:szCs w:val="20"/>
        </w:rPr>
        <w:t>.</w:t>
      </w:r>
      <w:r>
        <w:rPr>
          <w:szCs w:val="20"/>
        </w:rPr>
        <w:tab/>
      </w:r>
      <w:r w:rsidR="00E54916" w:rsidRPr="00E54916">
        <w:rPr>
          <w:szCs w:val="20"/>
        </w:rPr>
        <w:t>review of external factors impacting upon launch such as workforce, market capacity, service availability and availability of and linkages with mainstream services.</w:t>
      </w:r>
    </w:p>
    <w:p w:rsidR="00E54916" w:rsidRPr="00E54916" w:rsidRDefault="00A9029C" w:rsidP="00A9029C">
      <w:pPr>
        <w:ind w:left="562" w:hanging="562"/>
        <w:rPr>
          <w:szCs w:val="20"/>
        </w:rPr>
      </w:pPr>
      <w:r>
        <w:rPr>
          <w:szCs w:val="20"/>
        </w:rPr>
        <w:t>107.</w:t>
      </w:r>
      <w:r>
        <w:rPr>
          <w:szCs w:val="20"/>
        </w:rPr>
        <w:tab/>
      </w:r>
      <w:r w:rsidR="00E54916" w:rsidRPr="00E54916">
        <w:rPr>
          <w:szCs w:val="20"/>
        </w:rPr>
        <w:t>Collectively, the evaluations and reviews will:</w:t>
      </w:r>
    </w:p>
    <w:p w:rsidR="00E54916" w:rsidRPr="00E54916" w:rsidRDefault="00A9029C" w:rsidP="00A9029C">
      <w:pPr>
        <w:ind w:left="1123" w:hanging="562"/>
        <w:rPr>
          <w:szCs w:val="20"/>
        </w:rPr>
      </w:pPr>
      <w:proofErr w:type="gramStart"/>
      <w:r>
        <w:rPr>
          <w:szCs w:val="20"/>
        </w:rPr>
        <w:t>a</w:t>
      </w:r>
      <w:proofErr w:type="gramEnd"/>
      <w:r>
        <w:rPr>
          <w:szCs w:val="20"/>
        </w:rPr>
        <w:t>.</w:t>
      </w:r>
      <w:r>
        <w:rPr>
          <w:szCs w:val="20"/>
        </w:rPr>
        <w:tab/>
      </w:r>
      <w:r w:rsidR="00E54916" w:rsidRPr="00E54916">
        <w:rPr>
          <w:szCs w:val="20"/>
        </w:rPr>
        <w:t>inform transition towards a full scheme; and</w:t>
      </w:r>
    </w:p>
    <w:p w:rsidR="00E54916" w:rsidRPr="00E54916" w:rsidRDefault="00A9029C" w:rsidP="00A9029C">
      <w:pPr>
        <w:ind w:left="1123" w:hanging="562"/>
        <w:rPr>
          <w:szCs w:val="20"/>
        </w:rPr>
      </w:pPr>
      <w:proofErr w:type="gramStart"/>
      <w:r>
        <w:rPr>
          <w:szCs w:val="20"/>
        </w:rPr>
        <w:lastRenderedPageBreak/>
        <w:t>b</w:t>
      </w:r>
      <w:proofErr w:type="gramEnd"/>
      <w:r>
        <w:rPr>
          <w:szCs w:val="20"/>
        </w:rPr>
        <w:t>.</w:t>
      </w:r>
      <w:r>
        <w:rPr>
          <w:szCs w:val="20"/>
        </w:rPr>
        <w:tab/>
      </w:r>
      <w:r w:rsidR="00E54916" w:rsidRPr="00E54916">
        <w:rPr>
          <w:szCs w:val="20"/>
        </w:rPr>
        <w:t>employ a consultative framework for engagement with the key stakeholders, including people with disability and carers.</w:t>
      </w:r>
    </w:p>
    <w:p w:rsidR="00E54916" w:rsidRPr="00E54916" w:rsidRDefault="005C0BBC" w:rsidP="005C0BBC">
      <w:pPr>
        <w:pStyle w:val="Heading1"/>
      </w:pPr>
      <w:r w:rsidRPr="00E54916">
        <w:t xml:space="preserve">Part </w:t>
      </w:r>
      <w:r w:rsidR="00E54916" w:rsidRPr="00E54916">
        <w:t xml:space="preserve">9 — </w:t>
      </w:r>
      <w:r w:rsidRPr="00E54916">
        <w:t>Changes to Launch Legislation</w:t>
      </w:r>
    </w:p>
    <w:p w:rsidR="00E54916" w:rsidRPr="00E54916" w:rsidRDefault="005C0BBC" w:rsidP="005C0BBC">
      <w:pPr>
        <w:ind w:left="562" w:hanging="562"/>
        <w:rPr>
          <w:szCs w:val="20"/>
        </w:rPr>
      </w:pPr>
      <w:r>
        <w:rPr>
          <w:szCs w:val="20"/>
        </w:rPr>
        <w:t>108.</w:t>
      </w:r>
      <w:r>
        <w:rPr>
          <w:szCs w:val="20"/>
        </w:rPr>
        <w:tab/>
      </w:r>
      <w:r w:rsidR="00E54916" w:rsidRPr="00E54916">
        <w:rPr>
          <w:szCs w:val="20"/>
        </w:rPr>
        <w:t>All jurisdictions may submit to the Commonwealth and Ministerial Council a proposal to amend the National Disability Insurance Scheme Bill 2012, as enacted into legislation. The proposal must describe:</w:t>
      </w:r>
    </w:p>
    <w:p w:rsidR="00E54916" w:rsidRPr="00E54916" w:rsidRDefault="005C0BBC" w:rsidP="005C0BBC">
      <w:pPr>
        <w:ind w:left="1123" w:hanging="562"/>
        <w:rPr>
          <w:szCs w:val="20"/>
        </w:rPr>
      </w:pPr>
      <w:proofErr w:type="gramStart"/>
      <w:r>
        <w:rPr>
          <w:szCs w:val="20"/>
        </w:rPr>
        <w:t>a</w:t>
      </w:r>
      <w:proofErr w:type="gramEnd"/>
      <w:r>
        <w:rPr>
          <w:szCs w:val="20"/>
        </w:rPr>
        <w:t>.</w:t>
      </w:r>
      <w:r>
        <w:rPr>
          <w:szCs w:val="20"/>
        </w:rPr>
        <w:tab/>
      </w:r>
      <w:r w:rsidR="00E54916" w:rsidRPr="00E54916">
        <w:rPr>
          <w:szCs w:val="20"/>
        </w:rPr>
        <w:t>the matter to be addressed by the proposal;</w:t>
      </w:r>
    </w:p>
    <w:p w:rsidR="00E54916" w:rsidRPr="00E54916" w:rsidRDefault="005C0BBC" w:rsidP="005C0BBC">
      <w:pPr>
        <w:ind w:left="1123" w:hanging="562"/>
        <w:rPr>
          <w:szCs w:val="20"/>
        </w:rPr>
      </w:pPr>
      <w:proofErr w:type="gramStart"/>
      <w:r>
        <w:rPr>
          <w:szCs w:val="20"/>
        </w:rPr>
        <w:t>b</w:t>
      </w:r>
      <w:proofErr w:type="gramEnd"/>
      <w:r>
        <w:rPr>
          <w:szCs w:val="20"/>
        </w:rPr>
        <w:t>.</w:t>
      </w:r>
      <w:r>
        <w:rPr>
          <w:szCs w:val="20"/>
        </w:rPr>
        <w:tab/>
      </w:r>
      <w:r w:rsidR="00E54916" w:rsidRPr="00E54916">
        <w:rPr>
          <w:szCs w:val="20"/>
        </w:rPr>
        <w:t>the key features of the legislative provisions by which it is proposed to address that matter; and</w:t>
      </w:r>
    </w:p>
    <w:p w:rsidR="00E54916" w:rsidRPr="00E54916" w:rsidRDefault="005C0BBC" w:rsidP="005C0BBC">
      <w:pPr>
        <w:ind w:left="1123" w:hanging="562"/>
        <w:rPr>
          <w:szCs w:val="20"/>
        </w:rPr>
      </w:pPr>
      <w:proofErr w:type="gramStart"/>
      <w:r>
        <w:rPr>
          <w:szCs w:val="20"/>
        </w:rPr>
        <w:t>c</w:t>
      </w:r>
      <w:proofErr w:type="gramEnd"/>
      <w:r>
        <w:rPr>
          <w:szCs w:val="20"/>
        </w:rPr>
        <w:t>.</w:t>
      </w:r>
      <w:r>
        <w:rPr>
          <w:szCs w:val="20"/>
        </w:rPr>
        <w:tab/>
      </w:r>
      <w:r w:rsidR="00E54916" w:rsidRPr="00E54916">
        <w:rPr>
          <w:szCs w:val="20"/>
        </w:rPr>
        <w:t>alternative methods of addressing the matter.</w:t>
      </w:r>
    </w:p>
    <w:p w:rsidR="00E54916" w:rsidRPr="00E54916" w:rsidRDefault="005C0BBC" w:rsidP="005C0BBC">
      <w:pPr>
        <w:ind w:left="562" w:hanging="562"/>
        <w:rPr>
          <w:szCs w:val="20"/>
        </w:rPr>
      </w:pPr>
      <w:r>
        <w:rPr>
          <w:szCs w:val="20"/>
        </w:rPr>
        <w:t>109.</w:t>
      </w:r>
      <w:r>
        <w:rPr>
          <w:szCs w:val="20"/>
        </w:rPr>
        <w:tab/>
      </w:r>
      <w:r w:rsidR="00E54916" w:rsidRPr="00E54916">
        <w:rPr>
          <w:szCs w:val="20"/>
        </w:rPr>
        <w:t xml:space="preserve">The Commonwealth will consult host jurisdictions on all proposed amendments to the legislation. </w:t>
      </w:r>
    </w:p>
    <w:p w:rsidR="00E54916" w:rsidRPr="00E54916" w:rsidRDefault="005C0BBC" w:rsidP="005C0BBC">
      <w:pPr>
        <w:ind w:left="562" w:hanging="562"/>
        <w:rPr>
          <w:szCs w:val="20"/>
        </w:rPr>
      </w:pPr>
      <w:r>
        <w:rPr>
          <w:szCs w:val="20"/>
        </w:rPr>
        <w:t>110.</w:t>
      </w:r>
      <w:r>
        <w:rPr>
          <w:szCs w:val="20"/>
        </w:rPr>
        <w:tab/>
      </w:r>
      <w:r w:rsidR="00E54916" w:rsidRPr="00E54916">
        <w:rPr>
          <w:szCs w:val="20"/>
        </w:rPr>
        <w:t xml:space="preserve">Changes to the National Disability Insurance Scheme Bill 2012, as enacted into legislation, that impact upon the current or future costs of the scheme or policy (including rights and scheme outcomes for participants) for the scheme or matters that have implications for State laws or services will be agreed by the Commonwealth and host jurisdictions based on the principles of fiscal impact and policy complexity that apply to the voting arrangements and categories for amending the rules. </w:t>
      </w:r>
    </w:p>
    <w:p w:rsidR="00E54916" w:rsidRPr="00E54916" w:rsidRDefault="005C0BBC" w:rsidP="005C0BBC">
      <w:pPr>
        <w:pStyle w:val="Heading1"/>
      </w:pPr>
      <w:r w:rsidRPr="00E54916">
        <w:t xml:space="preserve">Part </w:t>
      </w:r>
      <w:r w:rsidR="00E54916" w:rsidRPr="00E54916">
        <w:t xml:space="preserve">10 - Communications and Stakeholder Engagement </w:t>
      </w:r>
    </w:p>
    <w:p w:rsidR="00E54916" w:rsidRPr="00E54916" w:rsidRDefault="005C0BBC" w:rsidP="005C0BBC">
      <w:pPr>
        <w:ind w:left="562" w:hanging="562"/>
        <w:rPr>
          <w:szCs w:val="20"/>
        </w:rPr>
      </w:pPr>
      <w:r>
        <w:rPr>
          <w:szCs w:val="20"/>
        </w:rPr>
        <w:t>111.</w:t>
      </w:r>
      <w:r>
        <w:rPr>
          <w:szCs w:val="20"/>
        </w:rPr>
        <w:tab/>
      </w:r>
      <w:r w:rsidR="00E54916" w:rsidRPr="00E54916">
        <w:rPr>
          <w:szCs w:val="20"/>
        </w:rPr>
        <w:t xml:space="preserve">All parties agree to develop national communications protocols about launch and the development of a full scheme, supported by the Agency, on the basis that localised messaging within host jurisdictions should be as far as possible consistent with national messaging. </w:t>
      </w:r>
    </w:p>
    <w:p w:rsidR="00E54916" w:rsidRPr="00E54916" w:rsidRDefault="00CE2056" w:rsidP="00CE2056">
      <w:pPr>
        <w:pStyle w:val="Heading1"/>
      </w:pPr>
      <w:r w:rsidRPr="00E54916">
        <w:t xml:space="preserve">Part </w:t>
      </w:r>
      <w:r w:rsidR="00E54916" w:rsidRPr="00E54916">
        <w:t xml:space="preserve">11 - </w:t>
      </w:r>
      <w:r w:rsidRPr="00E54916">
        <w:t xml:space="preserve">Relationship to National Injury Insurance Scheme </w:t>
      </w:r>
    </w:p>
    <w:p w:rsidR="00E54916" w:rsidRPr="00E54916" w:rsidRDefault="00E54916" w:rsidP="000C65A6">
      <w:pPr>
        <w:pStyle w:val="Heading2"/>
      </w:pPr>
      <w:r w:rsidRPr="00E54916">
        <w:t>Launch</w:t>
      </w:r>
    </w:p>
    <w:p w:rsidR="00E54916" w:rsidRPr="00E54916" w:rsidRDefault="00B003DB" w:rsidP="00B003DB">
      <w:pPr>
        <w:ind w:left="562" w:hanging="562"/>
        <w:rPr>
          <w:szCs w:val="20"/>
        </w:rPr>
      </w:pPr>
      <w:r>
        <w:rPr>
          <w:szCs w:val="20"/>
        </w:rPr>
        <w:t>112.</w:t>
      </w:r>
      <w:r>
        <w:rPr>
          <w:szCs w:val="20"/>
        </w:rPr>
        <w:tab/>
      </w:r>
      <w:r w:rsidR="00E54916" w:rsidRPr="00E54916">
        <w:rPr>
          <w:szCs w:val="20"/>
        </w:rPr>
        <w:t>All States endeavour to agree minimum benchmarks to provide no-fault lifetime care and support for people who are catastrophically injured in motor vehicle accidents prior to the commencement of the NDIS launch.</w:t>
      </w:r>
    </w:p>
    <w:p w:rsidR="00E54916" w:rsidRPr="00E54916" w:rsidRDefault="00B003DB" w:rsidP="00B003DB">
      <w:pPr>
        <w:ind w:left="562" w:hanging="562"/>
        <w:rPr>
          <w:szCs w:val="20"/>
        </w:rPr>
      </w:pPr>
      <w:r>
        <w:rPr>
          <w:szCs w:val="20"/>
        </w:rPr>
        <w:t>113.</w:t>
      </w:r>
      <w:r>
        <w:rPr>
          <w:szCs w:val="20"/>
        </w:rPr>
        <w:tab/>
      </w:r>
      <w:r w:rsidR="00E54916" w:rsidRPr="00E54916">
        <w:rPr>
          <w:szCs w:val="20"/>
        </w:rPr>
        <w:t>If a host jurisdiction is unable to implement minimum benchmarks prior to or during launch, that host jurisdiction will be responsible for 100 per cent of the cost of participants in the NDIS who are in the NDIS because they are not covered by an existing or new injury insurance scheme that meets the minimum motor vehicle benchmarks.</w:t>
      </w:r>
    </w:p>
    <w:p w:rsidR="00E54916" w:rsidRPr="00E54916" w:rsidRDefault="00B003DB" w:rsidP="00B003DB">
      <w:pPr>
        <w:ind w:left="1123" w:hanging="562"/>
        <w:rPr>
          <w:szCs w:val="20"/>
        </w:rPr>
      </w:pPr>
      <w:r>
        <w:rPr>
          <w:szCs w:val="20"/>
        </w:rPr>
        <w:t>a.</w:t>
      </w:r>
      <w:r>
        <w:rPr>
          <w:szCs w:val="20"/>
        </w:rPr>
        <w:tab/>
      </w:r>
      <w:r w:rsidR="00E54916" w:rsidRPr="00E54916">
        <w:rPr>
          <w:szCs w:val="20"/>
        </w:rPr>
        <w:t xml:space="preserve">During launch, NDIS supports will be provided to people in launch sites who would otherwise have been supported by a National Injury Insurance Scheme </w:t>
      </w:r>
      <w:r w:rsidR="00E54916" w:rsidRPr="00E54916">
        <w:rPr>
          <w:szCs w:val="20"/>
        </w:rPr>
        <w:lastRenderedPageBreak/>
        <w:t>(NIIS) if the NIIS had been established for those catastrophically injured through workplace accidents, medical accidents, and criminal and general accidents (occurring in the home or community).</w:t>
      </w:r>
    </w:p>
    <w:p w:rsidR="00E54916" w:rsidRPr="00E54916" w:rsidRDefault="00E54916" w:rsidP="000C65A6">
      <w:pPr>
        <w:pStyle w:val="Heading2"/>
      </w:pPr>
      <w:r w:rsidRPr="00E54916">
        <w:t>Full scheme</w:t>
      </w:r>
    </w:p>
    <w:p w:rsidR="00E54916" w:rsidRPr="00E54916" w:rsidRDefault="00B003DB" w:rsidP="00B003DB">
      <w:pPr>
        <w:ind w:left="562" w:hanging="562"/>
        <w:rPr>
          <w:szCs w:val="20"/>
        </w:rPr>
      </w:pPr>
      <w:r>
        <w:rPr>
          <w:szCs w:val="20"/>
        </w:rPr>
        <w:t>114.</w:t>
      </w:r>
      <w:r>
        <w:rPr>
          <w:szCs w:val="20"/>
        </w:rPr>
        <w:tab/>
      </w:r>
      <w:r w:rsidR="00E54916" w:rsidRPr="00E54916">
        <w:rPr>
          <w:szCs w:val="20"/>
        </w:rPr>
        <w:t>All jurisdictions endeavour to agree minimum benchmarks to provide no-fault lifetime care and support for people who are catastrophically injured through workplace accidents, medical accidents, and criminal and general accidents (occurring in the home or community) by commencement of the NDIS full scheme.</w:t>
      </w:r>
    </w:p>
    <w:p w:rsidR="00E54916" w:rsidRPr="00E54916" w:rsidRDefault="00B003DB" w:rsidP="00B003DB">
      <w:pPr>
        <w:ind w:left="562" w:hanging="562"/>
        <w:rPr>
          <w:szCs w:val="20"/>
        </w:rPr>
      </w:pPr>
      <w:r>
        <w:rPr>
          <w:szCs w:val="20"/>
        </w:rPr>
        <w:t>115.</w:t>
      </w:r>
      <w:r>
        <w:rPr>
          <w:szCs w:val="20"/>
        </w:rPr>
        <w:tab/>
      </w:r>
      <w:r w:rsidR="00E54916" w:rsidRPr="00E54916">
        <w:rPr>
          <w:szCs w:val="20"/>
        </w:rPr>
        <w:t>Noting that a new Agreement will be agreed with all jurisdictions for the NDIS full scheme, the Commonwealth’s position is that on commencement of the NDIS full scheme individual jurisdictions will be responsible for 100 per cent of the cost of participants in the NDIS who are in the NDIS because they are not covered by an existing or new injury insurance scheme that meets the minimum benchmarks for motor vehicle accidents, workplace accidents, medical accidents, and criminal and general accidents (occurring in the home or community).</w:t>
      </w:r>
    </w:p>
    <w:p w:rsidR="00E54916" w:rsidRPr="00E54916" w:rsidRDefault="00B003DB" w:rsidP="00B003DB">
      <w:pPr>
        <w:pStyle w:val="Heading1"/>
      </w:pPr>
      <w:r w:rsidRPr="00E54916">
        <w:t xml:space="preserve">Part </w:t>
      </w:r>
      <w:r w:rsidR="00E54916" w:rsidRPr="00E54916">
        <w:t xml:space="preserve">12: Relationship to the National Disability Agreement </w:t>
      </w:r>
    </w:p>
    <w:p w:rsidR="00E54916" w:rsidRPr="00E54916" w:rsidRDefault="00B003DB" w:rsidP="00B003DB">
      <w:pPr>
        <w:ind w:left="562" w:hanging="562"/>
        <w:rPr>
          <w:szCs w:val="20"/>
        </w:rPr>
      </w:pPr>
      <w:r>
        <w:rPr>
          <w:szCs w:val="20"/>
        </w:rPr>
        <w:t>116.</w:t>
      </w:r>
      <w:r>
        <w:rPr>
          <w:szCs w:val="20"/>
        </w:rPr>
        <w:tab/>
      </w:r>
      <w:r w:rsidR="00E54916" w:rsidRPr="00E54916">
        <w:rPr>
          <w:szCs w:val="20"/>
        </w:rPr>
        <w:t>The objects of the National Disability Insurance Scheme Bill 2012, as enacted into legislation, align with the objectives and outcomes of the National Disability Agreement (NDA).</w:t>
      </w:r>
    </w:p>
    <w:p w:rsidR="00E54916" w:rsidRPr="00E54916" w:rsidRDefault="00B003DB" w:rsidP="00B003DB">
      <w:pPr>
        <w:ind w:left="562" w:hanging="562"/>
        <w:rPr>
          <w:szCs w:val="20"/>
        </w:rPr>
      </w:pPr>
      <w:r>
        <w:rPr>
          <w:szCs w:val="20"/>
        </w:rPr>
        <w:t>117.</w:t>
      </w:r>
      <w:r>
        <w:rPr>
          <w:szCs w:val="20"/>
        </w:rPr>
        <w:tab/>
      </w:r>
      <w:r w:rsidR="00E54916" w:rsidRPr="00E54916">
        <w:rPr>
          <w:szCs w:val="20"/>
        </w:rPr>
        <w:t>Nothing in this Agreement affects arrangements under the NDA unless otherwise specified.</w:t>
      </w:r>
    </w:p>
    <w:p w:rsidR="00E54916" w:rsidRPr="00E54916" w:rsidRDefault="00B003DB" w:rsidP="00B003DB">
      <w:pPr>
        <w:ind w:left="562" w:hanging="562"/>
        <w:rPr>
          <w:szCs w:val="20"/>
        </w:rPr>
      </w:pPr>
      <w:r>
        <w:rPr>
          <w:szCs w:val="20"/>
        </w:rPr>
        <w:t>118.</w:t>
      </w:r>
      <w:r>
        <w:rPr>
          <w:szCs w:val="20"/>
        </w:rPr>
        <w:tab/>
      </w:r>
      <w:r w:rsidR="00E54916" w:rsidRPr="00E54916">
        <w:rPr>
          <w:szCs w:val="20"/>
        </w:rPr>
        <w:t xml:space="preserve">NDIS launch activity and additional NDIS funding may also contribute to the achievement of outcomes under the NDA. </w:t>
      </w:r>
    </w:p>
    <w:p w:rsidR="00E54916" w:rsidRPr="00E54916" w:rsidRDefault="00B003DB" w:rsidP="00B003DB">
      <w:pPr>
        <w:ind w:left="562" w:hanging="562"/>
        <w:rPr>
          <w:szCs w:val="20"/>
        </w:rPr>
      </w:pPr>
      <w:r>
        <w:rPr>
          <w:szCs w:val="20"/>
        </w:rPr>
        <w:t>119.</w:t>
      </w:r>
      <w:r>
        <w:rPr>
          <w:szCs w:val="20"/>
        </w:rPr>
        <w:tab/>
      </w:r>
      <w:r w:rsidR="00E54916" w:rsidRPr="00E54916">
        <w:rPr>
          <w:szCs w:val="20"/>
        </w:rPr>
        <w:t xml:space="preserve">Launch funding arrangements reflect change in the relative funding shares of the Commonwealth and by States under the NDA.  </w:t>
      </w:r>
    </w:p>
    <w:p w:rsidR="00E54916" w:rsidRPr="00E54916" w:rsidRDefault="00B003DB" w:rsidP="00B003DB">
      <w:pPr>
        <w:ind w:left="562" w:hanging="562"/>
        <w:rPr>
          <w:szCs w:val="20"/>
        </w:rPr>
      </w:pPr>
      <w:r>
        <w:rPr>
          <w:szCs w:val="20"/>
        </w:rPr>
        <w:t>120.</w:t>
      </w:r>
      <w:r>
        <w:rPr>
          <w:szCs w:val="20"/>
        </w:rPr>
        <w:tab/>
      </w:r>
      <w:r w:rsidR="00E54916" w:rsidRPr="00E54916">
        <w:rPr>
          <w:szCs w:val="20"/>
        </w:rPr>
        <w:t xml:space="preserve">NDIS investment and effort in host jurisdictions may lead to variations in outcomes among host and non-host jurisdictions against agreed performance indicators under the NDA. It is recommended the COAG Reform Council note the presence of NDIS launch sites in its contextual reporting on outcomes under the NDA. </w:t>
      </w:r>
    </w:p>
    <w:p w:rsidR="00E54916" w:rsidRPr="00E54916" w:rsidRDefault="00E54916" w:rsidP="00B003DB">
      <w:pPr>
        <w:pStyle w:val="Heading1"/>
      </w:pPr>
      <w:r w:rsidRPr="00E54916">
        <w:t xml:space="preserve">Part 13: Governance Arrangements </w:t>
      </w:r>
    </w:p>
    <w:p w:rsidR="00E54916" w:rsidRPr="00B003DB" w:rsidRDefault="00E54916" w:rsidP="000C65A6">
      <w:pPr>
        <w:pStyle w:val="Heading2"/>
      </w:pPr>
      <w:r w:rsidRPr="00B003DB">
        <w:t>Review of the Agreement</w:t>
      </w:r>
    </w:p>
    <w:p w:rsidR="00E54916" w:rsidRPr="00E54916" w:rsidRDefault="00B003DB" w:rsidP="00B003DB">
      <w:pPr>
        <w:ind w:left="562" w:hanging="562"/>
        <w:rPr>
          <w:szCs w:val="20"/>
        </w:rPr>
      </w:pPr>
      <w:r>
        <w:rPr>
          <w:szCs w:val="20"/>
        </w:rPr>
        <w:t>121.</w:t>
      </w:r>
      <w:r>
        <w:rPr>
          <w:szCs w:val="20"/>
        </w:rPr>
        <w:tab/>
      </w:r>
      <w:r w:rsidR="00E54916" w:rsidRPr="00E54916">
        <w:rPr>
          <w:szCs w:val="20"/>
        </w:rPr>
        <w:t>The review of this Agreement will be undertaken by the Ministerial Council, alongside, and in line with the timeline for the review of the National Disability Insurance Scheme Bill 2012</w:t>
      </w:r>
      <w:r w:rsidR="00E54916" w:rsidRPr="00E54916">
        <w:rPr>
          <w:szCs w:val="20"/>
          <w:shd w:val="clear" w:color="auto" w:fill="FFFFFF"/>
        </w:rPr>
        <w:t xml:space="preserve">, as enacted into legislation, as set out in the legislation. </w:t>
      </w:r>
      <w:r w:rsidR="00E54916" w:rsidRPr="00E54916">
        <w:rPr>
          <w:iCs/>
          <w:szCs w:val="20"/>
          <w:shd w:val="clear" w:color="auto" w:fill="FFFFFF"/>
        </w:rPr>
        <w:t xml:space="preserve">The review will also inform the arrangements for continuity of support as set out in paragraph </w:t>
      </w:r>
      <w:r w:rsidR="00E54916" w:rsidRPr="00E54916">
        <w:rPr>
          <w:szCs w:val="20"/>
        </w:rPr>
        <w:t>65</w:t>
      </w:r>
      <w:r w:rsidR="00E54916" w:rsidRPr="00E54916">
        <w:rPr>
          <w:iCs/>
          <w:szCs w:val="20"/>
          <w:shd w:val="clear" w:color="auto" w:fill="FFFFFF"/>
        </w:rPr>
        <w:t>. The review of this Agreement and its Schedules will be considered by COAG alongside the report on the review of the legislation and within the same timeframes.</w:t>
      </w:r>
    </w:p>
    <w:p w:rsidR="00E54916" w:rsidRPr="00B003DB" w:rsidRDefault="00E54916" w:rsidP="000C65A6">
      <w:pPr>
        <w:pStyle w:val="Heading2"/>
      </w:pPr>
      <w:r w:rsidRPr="00B003DB">
        <w:t xml:space="preserve">Withdrawal from the Agreement </w:t>
      </w:r>
    </w:p>
    <w:p w:rsidR="00E54916" w:rsidRPr="00E54916" w:rsidRDefault="00B003DB" w:rsidP="00B003DB">
      <w:pPr>
        <w:ind w:left="562" w:hanging="562"/>
        <w:rPr>
          <w:szCs w:val="20"/>
        </w:rPr>
      </w:pPr>
      <w:r>
        <w:rPr>
          <w:szCs w:val="20"/>
        </w:rPr>
        <w:lastRenderedPageBreak/>
        <w:t>122.</w:t>
      </w:r>
      <w:r>
        <w:rPr>
          <w:szCs w:val="20"/>
        </w:rPr>
        <w:tab/>
      </w:r>
      <w:r w:rsidR="00E54916" w:rsidRPr="00E54916">
        <w:rPr>
          <w:szCs w:val="20"/>
        </w:rPr>
        <w:t>The Commonwealth and host jurisdictions have committed to provide ongoing support to launch participants. However in exceptional circumstances, the Commonwealth or a host jurisdiction may withdraw from this Agreement by giving 12 </w:t>
      </w:r>
      <w:proofErr w:type="spellStart"/>
      <w:r w:rsidR="00E54916" w:rsidRPr="00E54916">
        <w:rPr>
          <w:szCs w:val="20"/>
        </w:rPr>
        <w:t>months notice</w:t>
      </w:r>
      <w:proofErr w:type="spellEnd"/>
      <w:r w:rsidR="00E54916" w:rsidRPr="00E54916">
        <w:rPr>
          <w:szCs w:val="20"/>
        </w:rPr>
        <w:t xml:space="preserve"> in writing to the Ministerial Council of its intention to do so. </w:t>
      </w:r>
    </w:p>
    <w:p w:rsidR="00E54916" w:rsidRPr="00E54916" w:rsidRDefault="00B003DB" w:rsidP="00B003DB">
      <w:pPr>
        <w:ind w:left="1123" w:hanging="562"/>
        <w:rPr>
          <w:szCs w:val="20"/>
        </w:rPr>
      </w:pPr>
      <w:r>
        <w:rPr>
          <w:szCs w:val="20"/>
        </w:rPr>
        <w:t>a.</w:t>
      </w:r>
      <w:r>
        <w:rPr>
          <w:szCs w:val="20"/>
        </w:rPr>
        <w:tab/>
      </w:r>
      <w:r w:rsidR="00E54916" w:rsidRPr="00E54916">
        <w:rPr>
          <w:szCs w:val="20"/>
        </w:rPr>
        <w:t>A non-host jurisdiction may terminate their participation in the Agreement at any time by notifying all the other Parties in writing.</w:t>
      </w:r>
    </w:p>
    <w:p w:rsidR="00E54916" w:rsidRPr="00E54916" w:rsidRDefault="00B003DB" w:rsidP="00B003DB">
      <w:pPr>
        <w:ind w:left="562" w:hanging="562"/>
        <w:rPr>
          <w:szCs w:val="20"/>
        </w:rPr>
      </w:pPr>
      <w:r>
        <w:rPr>
          <w:szCs w:val="20"/>
        </w:rPr>
        <w:t>123.</w:t>
      </w:r>
      <w:r>
        <w:rPr>
          <w:szCs w:val="20"/>
        </w:rPr>
        <w:tab/>
      </w:r>
      <w:r w:rsidR="00E54916" w:rsidRPr="00E54916">
        <w:rPr>
          <w:szCs w:val="20"/>
        </w:rPr>
        <w:t>Following notification of a Party’s intention to withdraw from this Agreement, the terms of the withdrawal, including the date on which the Party will cease to be a Party, and any legislative changes and other arrangements that may be necessary as a consequence of the withdrawal will be negotiated in good faith and agreed between the Commonwealth and the host jurisdictions, on a basis which ensures continuity of support to launch participants.</w:t>
      </w:r>
    </w:p>
    <w:p w:rsidR="00E54916" w:rsidRPr="00E54916" w:rsidRDefault="00B003DB" w:rsidP="00B003DB">
      <w:pPr>
        <w:ind w:left="562" w:hanging="562"/>
        <w:rPr>
          <w:szCs w:val="20"/>
        </w:rPr>
      </w:pPr>
      <w:r>
        <w:rPr>
          <w:szCs w:val="20"/>
        </w:rPr>
        <w:t>124.</w:t>
      </w:r>
      <w:r>
        <w:rPr>
          <w:szCs w:val="20"/>
        </w:rPr>
        <w:tab/>
      </w:r>
      <w:r w:rsidR="00E54916" w:rsidRPr="00E54916">
        <w:rPr>
          <w:szCs w:val="20"/>
        </w:rPr>
        <w:t>The withdrawal of a Party shall not release that Party from meeting its agreed funding commitments to launch participants unless this is otherwise agreed by all parties.</w:t>
      </w:r>
    </w:p>
    <w:p w:rsidR="00E54916" w:rsidRPr="00E54916" w:rsidRDefault="00B003DB" w:rsidP="00B003DB">
      <w:pPr>
        <w:ind w:left="562" w:hanging="562"/>
        <w:rPr>
          <w:szCs w:val="20"/>
        </w:rPr>
      </w:pPr>
      <w:r>
        <w:rPr>
          <w:szCs w:val="20"/>
        </w:rPr>
        <w:t>125.</w:t>
      </w:r>
      <w:r>
        <w:rPr>
          <w:szCs w:val="20"/>
        </w:rPr>
        <w:tab/>
      </w:r>
      <w:r w:rsidR="00E54916" w:rsidRPr="00E54916">
        <w:rPr>
          <w:szCs w:val="20"/>
        </w:rPr>
        <w:t>If a Party withdraws, this Agreement will continue between all of the remaining Parties.</w:t>
      </w:r>
    </w:p>
    <w:p w:rsidR="00E54916" w:rsidRPr="00E54916" w:rsidRDefault="00B003DB" w:rsidP="00B003DB">
      <w:pPr>
        <w:ind w:left="562" w:hanging="562"/>
        <w:rPr>
          <w:szCs w:val="20"/>
        </w:rPr>
      </w:pPr>
      <w:r>
        <w:rPr>
          <w:szCs w:val="20"/>
        </w:rPr>
        <w:t>126.</w:t>
      </w:r>
      <w:r>
        <w:rPr>
          <w:szCs w:val="20"/>
        </w:rPr>
        <w:tab/>
      </w:r>
      <w:r w:rsidR="00E54916" w:rsidRPr="00E54916">
        <w:rPr>
          <w:szCs w:val="20"/>
        </w:rPr>
        <w:t>Notice of any withdrawal should be provided to COAG by the Ministerial Council.</w:t>
      </w:r>
    </w:p>
    <w:p w:rsidR="00E54916" w:rsidRPr="00B003DB" w:rsidRDefault="00E54916" w:rsidP="000C65A6">
      <w:pPr>
        <w:pStyle w:val="Heading2"/>
      </w:pPr>
      <w:r w:rsidRPr="00B003DB">
        <w:t>Variation of this Agreement</w:t>
      </w:r>
    </w:p>
    <w:p w:rsidR="00E54916" w:rsidRPr="00E54916" w:rsidRDefault="00B003DB" w:rsidP="00B003DB">
      <w:pPr>
        <w:ind w:left="562" w:hanging="562"/>
        <w:rPr>
          <w:szCs w:val="20"/>
        </w:rPr>
      </w:pPr>
      <w:r>
        <w:rPr>
          <w:szCs w:val="20"/>
        </w:rPr>
        <w:t>127.</w:t>
      </w:r>
      <w:r>
        <w:rPr>
          <w:szCs w:val="20"/>
        </w:rPr>
        <w:tab/>
      </w:r>
      <w:r w:rsidR="00E54916" w:rsidRPr="00E54916">
        <w:rPr>
          <w:szCs w:val="20"/>
        </w:rPr>
        <w:t xml:space="preserve">The Agreement may be amended at any time by agreement in writing by all Parties, including </w:t>
      </w:r>
      <w:proofErr w:type="gramStart"/>
      <w:r w:rsidR="00E54916" w:rsidRPr="00E54916">
        <w:rPr>
          <w:szCs w:val="20"/>
        </w:rPr>
        <w:t>to reflect</w:t>
      </w:r>
      <w:proofErr w:type="gramEnd"/>
      <w:r w:rsidR="00E54916" w:rsidRPr="00E54916">
        <w:rPr>
          <w:szCs w:val="20"/>
        </w:rPr>
        <w:t xml:space="preserve"> changes to the National Disability Insurance Scheme Bill 2012 prior to, or following, its passage through the Commonwealth Parliament and COAG's further agreement to elements of an NDIS. </w:t>
      </w:r>
    </w:p>
    <w:p w:rsidR="00E54916" w:rsidRPr="00E54916" w:rsidRDefault="00B003DB" w:rsidP="00B003DB">
      <w:pPr>
        <w:ind w:left="562" w:hanging="562"/>
        <w:rPr>
          <w:szCs w:val="20"/>
        </w:rPr>
      </w:pPr>
      <w:r>
        <w:rPr>
          <w:szCs w:val="20"/>
        </w:rPr>
        <w:t>128.</w:t>
      </w:r>
      <w:r>
        <w:rPr>
          <w:szCs w:val="20"/>
        </w:rPr>
        <w:tab/>
      </w:r>
      <w:r w:rsidR="00E54916" w:rsidRPr="00E54916">
        <w:rPr>
          <w:szCs w:val="20"/>
        </w:rPr>
        <w:t xml:space="preserve">All Parties acknowledge both the complexity and transformational nature of an </w:t>
      </w:r>
      <w:proofErr w:type="gramStart"/>
      <w:r w:rsidR="00E54916" w:rsidRPr="00E54916">
        <w:rPr>
          <w:szCs w:val="20"/>
        </w:rPr>
        <w:t>NDIS,</w:t>
      </w:r>
      <w:proofErr w:type="gramEnd"/>
      <w:r w:rsidR="00E54916" w:rsidRPr="00E54916">
        <w:rPr>
          <w:szCs w:val="20"/>
        </w:rPr>
        <w:t xml:space="preserve"> it will take time to work through its design and implementation.  </w:t>
      </w:r>
    </w:p>
    <w:p w:rsidR="00E54916" w:rsidRPr="00E54916" w:rsidRDefault="00B003DB" w:rsidP="00B003DB">
      <w:pPr>
        <w:ind w:left="562" w:hanging="562"/>
        <w:rPr>
          <w:szCs w:val="20"/>
        </w:rPr>
      </w:pPr>
      <w:r>
        <w:rPr>
          <w:szCs w:val="20"/>
        </w:rPr>
        <w:t>129.</w:t>
      </w:r>
      <w:r>
        <w:rPr>
          <w:szCs w:val="20"/>
        </w:rPr>
        <w:tab/>
      </w:r>
      <w:r w:rsidR="00E54916" w:rsidRPr="00E54916">
        <w:rPr>
          <w:szCs w:val="20"/>
        </w:rPr>
        <w:t>Bilateral schedules to this Agreement may be added or amended at any time by agreement in writing by the relevant Commonwealth and State minister.</w:t>
      </w:r>
    </w:p>
    <w:p w:rsidR="00E54916" w:rsidRPr="00E54916" w:rsidRDefault="00B003DB" w:rsidP="00B003DB">
      <w:pPr>
        <w:ind w:left="562" w:hanging="562"/>
        <w:rPr>
          <w:szCs w:val="20"/>
        </w:rPr>
      </w:pPr>
      <w:r>
        <w:rPr>
          <w:szCs w:val="20"/>
        </w:rPr>
        <w:t>130.</w:t>
      </w:r>
      <w:r>
        <w:rPr>
          <w:szCs w:val="20"/>
        </w:rPr>
        <w:tab/>
      </w:r>
      <w:r w:rsidR="00E54916" w:rsidRPr="00E54916">
        <w:rPr>
          <w:szCs w:val="20"/>
        </w:rPr>
        <w:t xml:space="preserve">Nothing in this Agreement precludes the Commonwealth and a non-host jurisdiction from establishing additional launch sites, consistent with COAG’s principles, </w:t>
      </w:r>
      <w:r w:rsidR="00E54916" w:rsidRPr="00E54916">
        <w:rPr>
          <w:iCs/>
          <w:szCs w:val="20"/>
        </w:rPr>
        <w:t>to promote innovation in services and the service system and to support an individualised and localised approach.</w:t>
      </w:r>
    </w:p>
    <w:p w:rsidR="00E54916" w:rsidRPr="00B003DB" w:rsidRDefault="00E54916" w:rsidP="000C65A6">
      <w:pPr>
        <w:pStyle w:val="Heading2"/>
      </w:pPr>
      <w:r w:rsidRPr="00B003DB">
        <w:t>Dispute resolution</w:t>
      </w:r>
    </w:p>
    <w:p w:rsidR="00E54916" w:rsidRPr="00E54916" w:rsidRDefault="00B003DB" w:rsidP="00B003DB">
      <w:pPr>
        <w:ind w:left="562" w:hanging="562"/>
        <w:rPr>
          <w:szCs w:val="20"/>
        </w:rPr>
      </w:pPr>
      <w:r>
        <w:rPr>
          <w:szCs w:val="20"/>
        </w:rPr>
        <w:t>131.</w:t>
      </w:r>
      <w:r>
        <w:rPr>
          <w:szCs w:val="20"/>
        </w:rPr>
        <w:tab/>
      </w:r>
      <w:r w:rsidR="00E54916" w:rsidRPr="00E54916">
        <w:rPr>
          <w:szCs w:val="20"/>
        </w:rPr>
        <w:t>Any Party may give notice to other Parties of a dispute under this Agreement.</w:t>
      </w:r>
    </w:p>
    <w:p w:rsidR="00E54916" w:rsidRPr="00E54916" w:rsidRDefault="00B003DB" w:rsidP="00B003DB">
      <w:pPr>
        <w:ind w:left="562" w:hanging="562"/>
        <w:rPr>
          <w:szCs w:val="20"/>
        </w:rPr>
      </w:pPr>
      <w:r>
        <w:rPr>
          <w:szCs w:val="20"/>
        </w:rPr>
        <w:t>132.</w:t>
      </w:r>
      <w:r>
        <w:rPr>
          <w:szCs w:val="20"/>
        </w:rPr>
        <w:tab/>
      </w:r>
      <w:r w:rsidR="00E54916" w:rsidRPr="00E54916">
        <w:rPr>
          <w:szCs w:val="20"/>
        </w:rPr>
        <w:t>Officials of relevant Parties will attempt to resolve any dispute in the first instance.</w:t>
      </w:r>
    </w:p>
    <w:p w:rsidR="00E54916" w:rsidRPr="00E54916" w:rsidRDefault="00B003DB" w:rsidP="00B003DB">
      <w:pPr>
        <w:ind w:left="562" w:hanging="562"/>
        <w:rPr>
          <w:szCs w:val="20"/>
        </w:rPr>
      </w:pPr>
      <w:r>
        <w:rPr>
          <w:szCs w:val="20"/>
        </w:rPr>
        <w:t>133.</w:t>
      </w:r>
      <w:r>
        <w:rPr>
          <w:szCs w:val="20"/>
        </w:rPr>
        <w:tab/>
      </w:r>
      <w:r w:rsidR="00E54916" w:rsidRPr="00E54916">
        <w:rPr>
          <w:szCs w:val="20"/>
        </w:rPr>
        <w:t>If the issue cannot be resolved by officials, it may be escalated to the relevant Ministers and, if necessary, the Ministerial Council. If the dispute cannot be resolved by the Ministerial Council, it may be referred to COAG for consideration.</w:t>
      </w:r>
    </w:p>
    <w:p w:rsidR="00E54916" w:rsidRPr="00B003DB" w:rsidRDefault="00E54916" w:rsidP="000C65A6">
      <w:pPr>
        <w:pStyle w:val="Heading2"/>
      </w:pPr>
      <w:r w:rsidRPr="00B003DB">
        <w:t>Enforceability of the Agreement</w:t>
      </w:r>
    </w:p>
    <w:p w:rsidR="00E54916" w:rsidRPr="00E54916" w:rsidRDefault="00B003DB" w:rsidP="00B003DB">
      <w:pPr>
        <w:ind w:left="562" w:hanging="562"/>
        <w:rPr>
          <w:szCs w:val="20"/>
        </w:rPr>
      </w:pPr>
      <w:r>
        <w:rPr>
          <w:szCs w:val="20"/>
        </w:rPr>
        <w:lastRenderedPageBreak/>
        <w:t>134.</w:t>
      </w:r>
      <w:r>
        <w:rPr>
          <w:szCs w:val="20"/>
        </w:rPr>
        <w:tab/>
      </w:r>
      <w:r w:rsidR="00E54916" w:rsidRPr="00E54916">
        <w:rPr>
          <w:szCs w:val="20"/>
        </w:rPr>
        <w:t>The Parties do not intend any of the provisions of this Agreement to be legally enforceable. However, that does not lessen the Parties’ commitment to this Agreement.</w:t>
      </w:r>
    </w:p>
    <w:p w:rsidR="00E54916" w:rsidRDefault="00E54916" w:rsidP="00B003DB">
      <w:pPr>
        <w:pageBreakBefore/>
        <w:rPr>
          <w:szCs w:val="20"/>
          <w:lang w:val="en-GB"/>
        </w:rPr>
      </w:pPr>
      <w:r w:rsidRPr="00E54916">
        <w:rPr>
          <w:szCs w:val="20"/>
          <w:lang w:val="en-GB"/>
        </w:rPr>
        <w:lastRenderedPageBreak/>
        <w:t xml:space="preserve">The </w:t>
      </w:r>
      <w:r w:rsidRPr="00E54916">
        <w:rPr>
          <w:szCs w:val="20"/>
        </w:rPr>
        <w:t>Parties</w:t>
      </w:r>
      <w:r w:rsidRPr="00E54916">
        <w:rPr>
          <w:szCs w:val="20"/>
          <w:lang w:val="en-GB"/>
        </w:rPr>
        <w:t xml:space="preserve"> have confirmed their commitment to this Agreement as follows:</w:t>
      </w:r>
    </w:p>
    <w:p w:rsidR="00B003DB" w:rsidRPr="00E54916" w:rsidRDefault="00B003DB" w:rsidP="007E3C6F">
      <w:pPr>
        <w:keepNext/>
        <w:rPr>
          <w:szCs w:val="20"/>
        </w:rPr>
      </w:pPr>
      <w:r w:rsidRPr="00B003DB">
        <w:rPr>
          <w:rFonts w:cs="Calibri"/>
          <w:b/>
          <w:szCs w:val="20"/>
        </w:rPr>
        <w:t>Signed</w:t>
      </w:r>
      <w:r w:rsidRPr="00E54916">
        <w:rPr>
          <w:szCs w:val="20"/>
        </w:rPr>
        <w:t xml:space="preserve"> </w:t>
      </w:r>
      <w:r w:rsidRPr="00B003DB">
        <w:rPr>
          <w:i/>
          <w:szCs w:val="20"/>
        </w:rPr>
        <w:t>for and on behalf of the Commonwealth of Australia by</w:t>
      </w:r>
    </w:p>
    <w:p w:rsidR="00B003DB" w:rsidRPr="00B003DB" w:rsidRDefault="00B003DB" w:rsidP="007E3C6F">
      <w:pPr>
        <w:keepNext/>
        <w:spacing w:before="800"/>
        <w:rPr>
          <w:szCs w:val="20"/>
        </w:rPr>
      </w:pPr>
      <w:r w:rsidRPr="00B003DB">
        <w:rPr>
          <w:b/>
          <w:szCs w:val="20"/>
        </w:rPr>
        <w:t>The Honourable Julia Gillard MP</w:t>
      </w:r>
      <w:r>
        <w:rPr>
          <w:szCs w:val="20"/>
        </w:rPr>
        <w:br/>
      </w:r>
      <w:r w:rsidRPr="00E54916">
        <w:rPr>
          <w:szCs w:val="20"/>
          <w:lang w:val="en-GB"/>
        </w:rPr>
        <w:t>Prime Minister of the Commonwealth of Australia</w:t>
      </w:r>
    </w:p>
    <w:p w:rsidR="00B003DB" w:rsidRDefault="00B003DB" w:rsidP="00B003DB">
      <w:pPr>
        <w:rPr>
          <w:szCs w:val="20"/>
          <w:lang w:val="en-GB"/>
        </w:rPr>
      </w:pPr>
      <w:r w:rsidRPr="00E54916">
        <w:rPr>
          <w:szCs w:val="20"/>
          <w:lang w:val="en-GB"/>
        </w:rPr>
        <w:t xml:space="preserve">7 December 2012 </w:t>
      </w:r>
    </w:p>
    <w:p w:rsidR="00B003DB" w:rsidRPr="00E54916" w:rsidRDefault="00B003DB" w:rsidP="007E3C6F">
      <w:pPr>
        <w:keepNext/>
        <w:spacing w:before="400"/>
        <w:rPr>
          <w:szCs w:val="20"/>
        </w:rPr>
      </w:pPr>
      <w:r w:rsidRPr="00B003DB">
        <w:rPr>
          <w:rFonts w:cs="Calibri"/>
          <w:b/>
          <w:szCs w:val="20"/>
        </w:rPr>
        <w:t>Signed</w:t>
      </w:r>
      <w:r w:rsidRPr="00E54916">
        <w:rPr>
          <w:szCs w:val="20"/>
        </w:rPr>
        <w:t xml:space="preserve"> </w:t>
      </w:r>
      <w:r w:rsidRPr="00B003DB">
        <w:rPr>
          <w:i/>
          <w:szCs w:val="20"/>
        </w:rPr>
        <w:t xml:space="preserve">for and on behalf of the </w:t>
      </w:r>
      <w:r w:rsidRPr="00B003DB">
        <w:rPr>
          <w:i/>
          <w:szCs w:val="20"/>
        </w:rPr>
        <w:br/>
        <w:t>State of New South Wales by</w:t>
      </w:r>
    </w:p>
    <w:p w:rsidR="00B003DB" w:rsidRPr="00B003DB" w:rsidRDefault="00B003DB" w:rsidP="007E3C6F">
      <w:pPr>
        <w:keepNext/>
        <w:spacing w:before="800"/>
        <w:rPr>
          <w:szCs w:val="20"/>
        </w:rPr>
      </w:pPr>
      <w:r w:rsidRPr="00B003DB">
        <w:rPr>
          <w:b/>
          <w:szCs w:val="20"/>
        </w:rPr>
        <w:t xml:space="preserve">The Honourable </w:t>
      </w:r>
      <w:r w:rsidRPr="00B003DB">
        <w:rPr>
          <w:b/>
          <w:bCs/>
          <w:szCs w:val="20"/>
        </w:rPr>
        <w:t xml:space="preserve">Barry O'Farrell </w:t>
      </w:r>
      <w:r w:rsidRPr="00B003DB">
        <w:rPr>
          <w:b/>
          <w:szCs w:val="20"/>
        </w:rPr>
        <w:t>MP</w:t>
      </w:r>
      <w:r>
        <w:rPr>
          <w:szCs w:val="20"/>
        </w:rPr>
        <w:br/>
      </w:r>
      <w:r w:rsidRPr="00E54916">
        <w:rPr>
          <w:bCs/>
          <w:szCs w:val="20"/>
          <w:lang w:val="en-GB"/>
        </w:rPr>
        <w:t xml:space="preserve">Premier of the State of New </w:t>
      </w:r>
      <w:r w:rsidRPr="00E54916">
        <w:rPr>
          <w:szCs w:val="20"/>
          <w:lang w:val="en-GB"/>
        </w:rPr>
        <w:t>South</w:t>
      </w:r>
      <w:r w:rsidRPr="00E54916">
        <w:rPr>
          <w:bCs/>
          <w:szCs w:val="20"/>
          <w:lang w:val="en-GB"/>
        </w:rPr>
        <w:t xml:space="preserve"> Wales</w:t>
      </w:r>
    </w:p>
    <w:p w:rsidR="00B003DB" w:rsidRPr="00E54916" w:rsidRDefault="00B003DB" w:rsidP="00E54916">
      <w:pPr>
        <w:rPr>
          <w:szCs w:val="20"/>
          <w:lang w:val="en-GB"/>
        </w:rPr>
      </w:pPr>
      <w:r w:rsidRPr="00E54916">
        <w:rPr>
          <w:szCs w:val="20"/>
          <w:lang w:val="en-GB"/>
        </w:rPr>
        <w:t>7 December 2012</w:t>
      </w:r>
    </w:p>
    <w:p w:rsidR="00B003DB" w:rsidRPr="00E54916" w:rsidRDefault="00B003DB" w:rsidP="007E3C6F">
      <w:pPr>
        <w:keepNext/>
        <w:spacing w:before="400"/>
        <w:rPr>
          <w:szCs w:val="20"/>
        </w:rPr>
      </w:pPr>
      <w:r w:rsidRPr="00B003DB">
        <w:rPr>
          <w:rFonts w:cs="Calibri"/>
          <w:b/>
          <w:szCs w:val="20"/>
        </w:rPr>
        <w:t>Signed</w:t>
      </w:r>
      <w:r w:rsidRPr="00B003DB">
        <w:rPr>
          <w:i/>
          <w:szCs w:val="20"/>
        </w:rPr>
        <w:t xml:space="preserve"> for and on behalf of the</w:t>
      </w:r>
      <w:r w:rsidRPr="00B003DB">
        <w:rPr>
          <w:i/>
          <w:szCs w:val="20"/>
        </w:rPr>
        <w:br/>
        <w:t>State of Victoria by</w:t>
      </w:r>
    </w:p>
    <w:p w:rsidR="00B003DB" w:rsidRPr="00B003DB" w:rsidRDefault="00B003DB" w:rsidP="007E3C6F">
      <w:pPr>
        <w:keepNext/>
        <w:spacing w:before="800"/>
        <w:rPr>
          <w:szCs w:val="20"/>
        </w:rPr>
      </w:pPr>
      <w:r w:rsidRPr="00B003DB">
        <w:rPr>
          <w:b/>
          <w:szCs w:val="20"/>
        </w:rPr>
        <w:t xml:space="preserve">The Honourable Ted </w:t>
      </w:r>
      <w:proofErr w:type="spellStart"/>
      <w:r w:rsidRPr="00B003DB">
        <w:rPr>
          <w:b/>
          <w:szCs w:val="20"/>
        </w:rPr>
        <w:t>Baillieu</w:t>
      </w:r>
      <w:proofErr w:type="spellEnd"/>
      <w:r w:rsidRPr="00B003DB">
        <w:rPr>
          <w:b/>
          <w:szCs w:val="20"/>
        </w:rPr>
        <w:t xml:space="preserve"> MLA</w:t>
      </w:r>
      <w:r>
        <w:rPr>
          <w:szCs w:val="20"/>
        </w:rPr>
        <w:br/>
      </w:r>
      <w:r w:rsidRPr="00E54916">
        <w:rPr>
          <w:bCs/>
          <w:szCs w:val="20"/>
          <w:lang w:val="en-GB"/>
        </w:rPr>
        <w:t>Premier of the State of Victoria</w:t>
      </w:r>
    </w:p>
    <w:p w:rsidR="00B003DB" w:rsidRPr="00E54916" w:rsidRDefault="00B003DB" w:rsidP="00E54916">
      <w:pPr>
        <w:rPr>
          <w:szCs w:val="20"/>
          <w:lang w:val="en-GB"/>
        </w:rPr>
      </w:pPr>
      <w:r w:rsidRPr="00E54916">
        <w:rPr>
          <w:szCs w:val="20"/>
          <w:lang w:val="en-GB"/>
        </w:rPr>
        <w:t>7 December 2012</w:t>
      </w:r>
    </w:p>
    <w:p w:rsidR="00B003DB" w:rsidRPr="00E54916" w:rsidRDefault="00B003DB" w:rsidP="007E3C6F">
      <w:pPr>
        <w:keepNext/>
        <w:spacing w:before="400"/>
        <w:rPr>
          <w:szCs w:val="20"/>
        </w:rPr>
      </w:pPr>
      <w:r w:rsidRPr="00B003DB">
        <w:rPr>
          <w:rFonts w:cs="Calibri"/>
          <w:b/>
          <w:szCs w:val="20"/>
        </w:rPr>
        <w:t>Signed</w:t>
      </w:r>
      <w:r w:rsidRPr="00E54916">
        <w:rPr>
          <w:szCs w:val="20"/>
        </w:rPr>
        <w:t xml:space="preserve"> </w:t>
      </w:r>
      <w:r w:rsidRPr="00B003DB">
        <w:rPr>
          <w:i/>
          <w:szCs w:val="20"/>
        </w:rPr>
        <w:t>for and on behalf of the</w:t>
      </w:r>
      <w:r w:rsidRPr="00B003DB">
        <w:rPr>
          <w:i/>
          <w:szCs w:val="20"/>
        </w:rPr>
        <w:br/>
        <w:t>State of Queensland by</w:t>
      </w:r>
    </w:p>
    <w:p w:rsidR="00B003DB" w:rsidRPr="00B003DB" w:rsidRDefault="00B003DB" w:rsidP="007E3C6F">
      <w:pPr>
        <w:keepNext/>
        <w:spacing w:before="800"/>
        <w:rPr>
          <w:szCs w:val="20"/>
        </w:rPr>
      </w:pPr>
      <w:r w:rsidRPr="00B003DB">
        <w:rPr>
          <w:b/>
          <w:szCs w:val="20"/>
        </w:rPr>
        <w:t>The Honourable Campbell Newman MP</w:t>
      </w:r>
      <w:r>
        <w:rPr>
          <w:szCs w:val="20"/>
        </w:rPr>
        <w:br/>
      </w:r>
      <w:r w:rsidRPr="00E54916">
        <w:rPr>
          <w:bCs/>
          <w:szCs w:val="20"/>
          <w:lang w:val="en-GB"/>
        </w:rPr>
        <w:t xml:space="preserve">Premier of the State of </w:t>
      </w:r>
      <w:r w:rsidRPr="00E54916">
        <w:rPr>
          <w:szCs w:val="20"/>
          <w:lang w:val="en-GB"/>
        </w:rPr>
        <w:t>Queensland</w:t>
      </w:r>
    </w:p>
    <w:p w:rsidR="00B003DB" w:rsidRPr="00E54916" w:rsidRDefault="00B003DB" w:rsidP="00E54916">
      <w:pPr>
        <w:rPr>
          <w:szCs w:val="20"/>
          <w:lang w:val="en-GB"/>
        </w:rPr>
      </w:pPr>
      <w:r w:rsidRPr="00E54916">
        <w:rPr>
          <w:szCs w:val="20"/>
          <w:lang w:val="en-GB"/>
        </w:rPr>
        <w:t>7 December 2012</w:t>
      </w:r>
    </w:p>
    <w:p w:rsidR="00B003DB" w:rsidRPr="00E54916" w:rsidRDefault="00B003DB" w:rsidP="007E3C6F">
      <w:pPr>
        <w:keepNext/>
        <w:spacing w:before="400"/>
        <w:rPr>
          <w:szCs w:val="20"/>
        </w:rPr>
      </w:pPr>
      <w:r w:rsidRPr="00B003DB">
        <w:rPr>
          <w:rFonts w:cs="Calibri"/>
          <w:b/>
          <w:szCs w:val="20"/>
        </w:rPr>
        <w:t>Signed</w:t>
      </w:r>
      <w:r w:rsidRPr="00B003DB">
        <w:rPr>
          <w:b/>
          <w:szCs w:val="20"/>
        </w:rPr>
        <w:t xml:space="preserve"> </w:t>
      </w:r>
      <w:r w:rsidRPr="00B003DB">
        <w:rPr>
          <w:i/>
          <w:szCs w:val="20"/>
        </w:rPr>
        <w:t>for and on behalf of the</w:t>
      </w:r>
      <w:r w:rsidRPr="00B003DB">
        <w:rPr>
          <w:i/>
          <w:szCs w:val="20"/>
        </w:rPr>
        <w:br/>
        <w:t>State of Western Australia by</w:t>
      </w:r>
    </w:p>
    <w:p w:rsidR="00B003DB" w:rsidRPr="00B003DB" w:rsidRDefault="00B003DB" w:rsidP="007E3C6F">
      <w:pPr>
        <w:keepNext/>
        <w:spacing w:before="800"/>
        <w:rPr>
          <w:szCs w:val="20"/>
        </w:rPr>
      </w:pPr>
      <w:r w:rsidRPr="00B003DB">
        <w:rPr>
          <w:b/>
          <w:szCs w:val="20"/>
        </w:rPr>
        <w:t>The Honourable Colin Barnett MLA</w:t>
      </w:r>
      <w:r>
        <w:rPr>
          <w:szCs w:val="20"/>
        </w:rPr>
        <w:br/>
      </w:r>
      <w:r w:rsidRPr="00E54916">
        <w:rPr>
          <w:szCs w:val="20"/>
          <w:lang w:val="en-GB"/>
        </w:rPr>
        <w:t>Premier</w:t>
      </w:r>
      <w:r w:rsidRPr="00E54916">
        <w:rPr>
          <w:bCs/>
          <w:szCs w:val="20"/>
          <w:lang w:val="en-GB"/>
        </w:rPr>
        <w:t xml:space="preserve"> of the State of </w:t>
      </w:r>
      <w:r w:rsidRPr="00E54916">
        <w:rPr>
          <w:bCs/>
          <w:spacing w:val="-4"/>
          <w:szCs w:val="20"/>
          <w:lang w:val="en-GB"/>
        </w:rPr>
        <w:t>Western Australia</w:t>
      </w:r>
    </w:p>
    <w:p w:rsidR="00B003DB" w:rsidRPr="00E54916" w:rsidRDefault="00B003DB" w:rsidP="00E54916">
      <w:pPr>
        <w:rPr>
          <w:szCs w:val="20"/>
          <w:lang w:val="en-GB"/>
        </w:rPr>
      </w:pPr>
      <w:r w:rsidRPr="00E54916">
        <w:rPr>
          <w:szCs w:val="20"/>
          <w:lang w:val="en-GB"/>
        </w:rPr>
        <w:t>7 December 2012</w:t>
      </w:r>
    </w:p>
    <w:p w:rsidR="00B003DB" w:rsidRPr="00E54916" w:rsidRDefault="00B003DB" w:rsidP="007E3C6F">
      <w:pPr>
        <w:keepNext/>
        <w:spacing w:before="400"/>
        <w:rPr>
          <w:szCs w:val="20"/>
        </w:rPr>
      </w:pPr>
      <w:r w:rsidRPr="004E72DE">
        <w:rPr>
          <w:rFonts w:cs="Calibri"/>
          <w:b/>
          <w:szCs w:val="20"/>
        </w:rPr>
        <w:lastRenderedPageBreak/>
        <w:t>Signed</w:t>
      </w:r>
      <w:r w:rsidRPr="00E54916">
        <w:rPr>
          <w:szCs w:val="20"/>
        </w:rPr>
        <w:t xml:space="preserve"> </w:t>
      </w:r>
      <w:r w:rsidRPr="004E72DE">
        <w:rPr>
          <w:i/>
          <w:szCs w:val="20"/>
        </w:rPr>
        <w:t>for and on behalf of the</w:t>
      </w:r>
      <w:r w:rsidRPr="004E72DE">
        <w:rPr>
          <w:i/>
          <w:szCs w:val="20"/>
        </w:rPr>
        <w:br/>
        <w:t>State of South Australia by</w:t>
      </w:r>
    </w:p>
    <w:p w:rsidR="00B003DB" w:rsidRPr="004E72DE" w:rsidRDefault="00B003DB" w:rsidP="007E3C6F">
      <w:pPr>
        <w:keepNext/>
        <w:spacing w:before="800"/>
        <w:rPr>
          <w:szCs w:val="20"/>
        </w:rPr>
      </w:pPr>
      <w:r w:rsidRPr="004E72DE">
        <w:rPr>
          <w:b/>
          <w:szCs w:val="20"/>
        </w:rPr>
        <w:t xml:space="preserve">The Honourable Jay </w:t>
      </w:r>
      <w:proofErr w:type="spellStart"/>
      <w:r w:rsidRPr="004E72DE">
        <w:rPr>
          <w:b/>
          <w:szCs w:val="20"/>
        </w:rPr>
        <w:t>Weatherill</w:t>
      </w:r>
      <w:proofErr w:type="spellEnd"/>
      <w:r w:rsidRPr="004E72DE">
        <w:rPr>
          <w:b/>
          <w:szCs w:val="20"/>
        </w:rPr>
        <w:t xml:space="preserve"> MP</w:t>
      </w:r>
      <w:r w:rsidR="004E72DE">
        <w:rPr>
          <w:szCs w:val="20"/>
        </w:rPr>
        <w:br/>
      </w:r>
      <w:r w:rsidRPr="00E54916">
        <w:rPr>
          <w:bCs/>
          <w:szCs w:val="20"/>
          <w:lang w:val="en-GB"/>
        </w:rPr>
        <w:t xml:space="preserve">Premier of the State of </w:t>
      </w:r>
      <w:r w:rsidRPr="00E54916">
        <w:rPr>
          <w:szCs w:val="20"/>
          <w:lang w:val="en-GB"/>
        </w:rPr>
        <w:t>South</w:t>
      </w:r>
      <w:r w:rsidRPr="00E54916">
        <w:rPr>
          <w:bCs/>
          <w:szCs w:val="20"/>
          <w:lang w:val="en-GB"/>
        </w:rPr>
        <w:t xml:space="preserve"> Australia</w:t>
      </w:r>
    </w:p>
    <w:p w:rsidR="00B003DB" w:rsidRPr="00E54916" w:rsidRDefault="00B003DB" w:rsidP="00E54916">
      <w:pPr>
        <w:rPr>
          <w:szCs w:val="20"/>
          <w:lang w:val="en-GB"/>
        </w:rPr>
      </w:pPr>
      <w:r w:rsidRPr="00E54916">
        <w:rPr>
          <w:szCs w:val="20"/>
          <w:lang w:val="en-GB"/>
        </w:rPr>
        <w:t>7 December 2012</w:t>
      </w:r>
    </w:p>
    <w:p w:rsidR="00B003DB" w:rsidRPr="00E54916" w:rsidRDefault="00B003DB" w:rsidP="007E3C6F">
      <w:pPr>
        <w:keepNext/>
        <w:spacing w:before="400"/>
        <w:rPr>
          <w:szCs w:val="20"/>
        </w:rPr>
      </w:pPr>
      <w:r w:rsidRPr="004E72DE">
        <w:rPr>
          <w:rFonts w:cs="Calibri"/>
          <w:b/>
          <w:szCs w:val="20"/>
        </w:rPr>
        <w:t>Signed</w:t>
      </w:r>
      <w:r w:rsidRPr="004E72DE">
        <w:rPr>
          <w:b/>
          <w:szCs w:val="20"/>
        </w:rPr>
        <w:t xml:space="preserve"> </w:t>
      </w:r>
      <w:r w:rsidRPr="004E72DE">
        <w:rPr>
          <w:i/>
          <w:szCs w:val="20"/>
        </w:rPr>
        <w:t>for and on behalf of the</w:t>
      </w:r>
      <w:r w:rsidRPr="004E72DE">
        <w:rPr>
          <w:i/>
          <w:szCs w:val="20"/>
        </w:rPr>
        <w:br/>
        <w:t>State of Tasmania by</w:t>
      </w:r>
    </w:p>
    <w:p w:rsidR="00B003DB" w:rsidRPr="004E72DE" w:rsidRDefault="00B003DB" w:rsidP="007E3C6F">
      <w:pPr>
        <w:keepNext/>
        <w:spacing w:before="800"/>
        <w:rPr>
          <w:szCs w:val="20"/>
        </w:rPr>
      </w:pPr>
      <w:r w:rsidRPr="004E72DE">
        <w:rPr>
          <w:b/>
          <w:szCs w:val="20"/>
        </w:rPr>
        <w:t>The Honourable Lara Giddings MP</w:t>
      </w:r>
      <w:r w:rsidR="004E72DE">
        <w:rPr>
          <w:szCs w:val="20"/>
        </w:rPr>
        <w:br/>
      </w:r>
      <w:r w:rsidRPr="00E54916">
        <w:rPr>
          <w:bCs/>
          <w:szCs w:val="20"/>
          <w:lang w:val="en-GB"/>
        </w:rPr>
        <w:t>Premier of the State of Tasmania</w:t>
      </w:r>
    </w:p>
    <w:p w:rsidR="00B003DB" w:rsidRPr="00E54916" w:rsidRDefault="00B003DB" w:rsidP="00E54916">
      <w:pPr>
        <w:rPr>
          <w:szCs w:val="20"/>
          <w:lang w:val="en-GB"/>
        </w:rPr>
      </w:pPr>
      <w:r w:rsidRPr="00E54916">
        <w:rPr>
          <w:szCs w:val="20"/>
          <w:lang w:val="en-GB"/>
        </w:rPr>
        <w:t>7 December 2012</w:t>
      </w:r>
    </w:p>
    <w:p w:rsidR="00B003DB" w:rsidRPr="00E54916" w:rsidRDefault="00B003DB" w:rsidP="007E3C6F">
      <w:pPr>
        <w:keepNext/>
        <w:spacing w:before="400"/>
        <w:rPr>
          <w:szCs w:val="20"/>
        </w:rPr>
      </w:pPr>
      <w:r w:rsidRPr="004E72DE">
        <w:rPr>
          <w:rFonts w:cs="Calibri"/>
          <w:b/>
          <w:szCs w:val="20"/>
        </w:rPr>
        <w:t>Signed</w:t>
      </w:r>
      <w:r w:rsidRPr="004E72DE">
        <w:rPr>
          <w:szCs w:val="20"/>
        </w:rPr>
        <w:t xml:space="preserve"> for and on behalf of the </w:t>
      </w:r>
      <w:r w:rsidR="004E72DE">
        <w:rPr>
          <w:i/>
          <w:szCs w:val="20"/>
        </w:rPr>
        <w:br/>
      </w:r>
      <w:r w:rsidRPr="004E72DE">
        <w:rPr>
          <w:i/>
          <w:szCs w:val="20"/>
        </w:rPr>
        <w:t>Australian Capital Territory by</w:t>
      </w:r>
    </w:p>
    <w:p w:rsidR="00B003DB" w:rsidRPr="004E72DE" w:rsidRDefault="00B003DB" w:rsidP="007E3C6F">
      <w:pPr>
        <w:keepNext/>
        <w:spacing w:before="800"/>
        <w:rPr>
          <w:szCs w:val="20"/>
        </w:rPr>
      </w:pPr>
      <w:r w:rsidRPr="004E72DE">
        <w:rPr>
          <w:b/>
          <w:szCs w:val="20"/>
        </w:rPr>
        <w:t>Ms Katy Gallagher MLA</w:t>
      </w:r>
      <w:r w:rsidR="004E72DE">
        <w:rPr>
          <w:szCs w:val="20"/>
        </w:rPr>
        <w:br/>
      </w:r>
      <w:r w:rsidRPr="00E54916">
        <w:rPr>
          <w:szCs w:val="20"/>
          <w:lang w:val="en-GB"/>
        </w:rPr>
        <w:t>Chief Minister of the Australian Capital Territory</w:t>
      </w:r>
    </w:p>
    <w:p w:rsidR="00B003DB" w:rsidRPr="00E54916" w:rsidRDefault="00B003DB" w:rsidP="00E54916">
      <w:pPr>
        <w:rPr>
          <w:szCs w:val="20"/>
          <w:lang w:val="en-GB"/>
        </w:rPr>
      </w:pPr>
      <w:r w:rsidRPr="00E54916">
        <w:rPr>
          <w:szCs w:val="20"/>
          <w:lang w:val="en-GB"/>
        </w:rPr>
        <w:t>7 December 2012</w:t>
      </w:r>
    </w:p>
    <w:p w:rsidR="00B003DB" w:rsidRPr="00E54916" w:rsidRDefault="00B003DB" w:rsidP="007E3C6F">
      <w:pPr>
        <w:keepNext/>
        <w:spacing w:before="400"/>
        <w:rPr>
          <w:szCs w:val="20"/>
        </w:rPr>
      </w:pPr>
      <w:r w:rsidRPr="004E72DE">
        <w:rPr>
          <w:rFonts w:cs="Calibri"/>
          <w:b/>
          <w:szCs w:val="20"/>
        </w:rPr>
        <w:t>Signed</w:t>
      </w:r>
      <w:r w:rsidRPr="00E54916">
        <w:rPr>
          <w:i/>
          <w:szCs w:val="20"/>
        </w:rPr>
        <w:t xml:space="preserve"> </w:t>
      </w:r>
      <w:r w:rsidRPr="004E72DE">
        <w:rPr>
          <w:szCs w:val="20"/>
        </w:rPr>
        <w:t xml:space="preserve">for and on behalf of the </w:t>
      </w:r>
      <w:r w:rsidR="004E72DE">
        <w:rPr>
          <w:i/>
          <w:szCs w:val="20"/>
        </w:rPr>
        <w:br/>
      </w:r>
      <w:r w:rsidRPr="004E72DE">
        <w:rPr>
          <w:i/>
          <w:szCs w:val="20"/>
        </w:rPr>
        <w:t>Northern Territory by</w:t>
      </w:r>
    </w:p>
    <w:p w:rsidR="004E72DE" w:rsidRDefault="00B003DB" w:rsidP="007E3C6F">
      <w:pPr>
        <w:keepNext/>
        <w:spacing w:before="800"/>
        <w:rPr>
          <w:szCs w:val="20"/>
        </w:rPr>
      </w:pPr>
      <w:r w:rsidRPr="004E72DE">
        <w:rPr>
          <w:b/>
          <w:szCs w:val="20"/>
        </w:rPr>
        <w:t>The Honourable Terry Mills MLA</w:t>
      </w:r>
      <w:r w:rsidR="004E72DE">
        <w:rPr>
          <w:szCs w:val="20"/>
        </w:rPr>
        <w:br/>
      </w:r>
      <w:r w:rsidRPr="00E54916">
        <w:rPr>
          <w:bCs/>
          <w:szCs w:val="20"/>
          <w:lang w:val="en-GB"/>
        </w:rPr>
        <w:t xml:space="preserve">Chief </w:t>
      </w:r>
      <w:r w:rsidRPr="00E54916">
        <w:rPr>
          <w:szCs w:val="20"/>
          <w:lang w:val="en-GB"/>
        </w:rPr>
        <w:t>Minister</w:t>
      </w:r>
      <w:r w:rsidRPr="00E54916">
        <w:rPr>
          <w:bCs/>
          <w:szCs w:val="20"/>
          <w:lang w:val="en-GB"/>
        </w:rPr>
        <w:t xml:space="preserve"> of the Northern Territory of Australia</w:t>
      </w:r>
    </w:p>
    <w:p w:rsidR="00B003DB" w:rsidRPr="004E72DE" w:rsidRDefault="00B003DB" w:rsidP="00E54916">
      <w:pPr>
        <w:rPr>
          <w:szCs w:val="20"/>
        </w:rPr>
      </w:pPr>
      <w:r w:rsidRPr="00E54916">
        <w:rPr>
          <w:szCs w:val="20"/>
          <w:lang w:val="en-GB"/>
        </w:rPr>
        <w:t>7 December 2012</w:t>
      </w:r>
    </w:p>
    <w:p w:rsidR="00E54916" w:rsidRPr="004E72DE" w:rsidRDefault="00E54916" w:rsidP="004E72DE">
      <w:pPr>
        <w:pStyle w:val="Heading1"/>
        <w:pageBreakBefore/>
      </w:pPr>
      <w:r w:rsidRPr="00E54916">
        <w:lastRenderedPageBreak/>
        <w:t>Annex A</w:t>
      </w:r>
      <w:r w:rsidR="004E72DE">
        <w:t xml:space="preserve">: </w:t>
      </w:r>
      <w:r w:rsidRPr="00E54916">
        <w:t>Council of Australian Governments High-level Principles for a National Disability Insurance Scheme</w:t>
      </w:r>
      <w:r w:rsidRPr="00E54916">
        <w:rPr>
          <w:rStyle w:val="FootnoteReference"/>
          <w:rFonts w:cs="Calibri"/>
          <w:szCs w:val="20"/>
        </w:rPr>
        <w:footnoteReference w:id="1"/>
      </w:r>
    </w:p>
    <w:p w:rsidR="00E54916" w:rsidRPr="00E54916" w:rsidRDefault="00415A02" w:rsidP="00415A02">
      <w:pPr>
        <w:ind w:left="562" w:hanging="562"/>
        <w:rPr>
          <w:szCs w:val="20"/>
        </w:rPr>
      </w:pPr>
      <w:bookmarkStart w:id="8" w:name="_GoBack"/>
      <w:bookmarkEnd w:id="8"/>
      <w:r>
        <w:rPr>
          <w:szCs w:val="20"/>
        </w:rPr>
        <w:t>1.</w:t>
      </w:r>
      <w:r>
        <w:rPr>
          <w:szCs w:val="20"/>
        </w:rPr>
        <w:tab/>
      </w:r>
      <w:r w:rsidR="00E54916" w:rsidRPr="00E54916">
        <w:rPr>
          <w:szCs w:val="20"/>
        </w:rPr>
        <w:t xml:space="preserve">The Council of Australian Governments (COAG) has welcomed the release of the Productivity Commission’s final report on Disability Care and Support and has agreed on the need for major reform of disability services in Australia through a National Disability Insurance Scheme. All governments recognise that addressing the challenges in disability services will require shared or coordinated effort.  </w:t>
      </w:r>
    </w:p>
    <w:p w:rsidR="00E54916" w:rsidRPr="00E54916" w:rsidRDefault="00415A02" w:rsidP="00415A02">
      <w:pPr>
        <w:ind w:left="562" w:hanging="562"/>
        <w:rPr>
          <w:szCs w:val="20"/>
        </w:rPr>
      </w:pPr>
      <w:r>
        <w:rPr>
          <w:szCs w:val="20"/>
        </w:rPr>
        <w:t>2.</w:t>
      </w:r>
      <w:r>
        <w:rPr>
          <w:szCs w:val="20"/>
        </w:rPr>
        <w:tab/>
      </w:r>
      <w:r w:rsidR="00E54916" w:rsidRPr="00E54916">
        <w:rPr>
          <w:szCs w:val="20"/>
        </w:rPr>
        <w:t xml:space="preserve">This reform should take a social insurance approach that would share the costs of disability services and supports across the community. In addition, the reform should adopt insurance principles that estimate the cost of reasonable and necessary supports, promote an efficient allocation of resources based on managing the long-term costs of supporting people with disabilities and their carers while maximising the economic and social benefits.  This would involve consistent application of eligibility criteria, and the timely and efficient delivery of reasonable and necessary supports, including early intervention. Actuarial modelling will be used to estimate and manage the costs of care and support across the life course of individuals and monitor, evaluate and report on the overall performance of the National Disability Insurance Scheme. </w:t>
      </w:r>
    </w:p>
    <w:p w:rsidR="00E54916" w:rsidRPr="00E54916" w:rsidRDefault="00415A02" w:rsidP="00415A02">
      <w:pPr>
        <w:ind w:left="562" w:hanging="562"/>
        <w:rPr>
          <w:szCs w:val="20"/>
        </w:rPr>
      </w:pPr>
      <w:r>
        <w:rPr>
          <w:szCs w:val="20"/>
        </w:rPr>
        <w:t>3.</w:t>
      </w:r>
      <w:r>
        <w:rPr>
          <w:szCs w:val="20"/>
        </w:rPr>
        <w:tab/>
      </w:r>
      <w:r w:rsidR="00E54916" w:rsidRPr="00E54916">
        <w:rPr>
          <w:szCs w:val="20"/>
        </w:rPr>
        <w:t xml:space="preserve">A National Disability Insurance Scheme will fund reasonable and necessary individualised services and supports directly related to an eligible person’s ongoing disability support needs. </w:t>
      </w:r>
    </w:p>
    <w:p w:rsidR="00E54916" w:rsidRPr="00E54916" w:rsidRDefault="00415A02" w:rsidP="00415A02">
      <w:pPr>
        <w:ind w:left="562" w:hanging="562"/>
        <w:rPr>
          <w:szCs w:val="20"/>
        </w:rPr>
      </w:pPr>
      <w:r>
        <w:rPr>
          <w:szCs w:val="20"/>
        </w:rPr>
        <w:t>4.</w:t>
      </w:r>
      <w:r>
        <w:rPr>
          <w:szCs w:val="20"/>
        </w:rPr>
        <w:tab/>
      </w:r>
      <w:r w:rsidR="00E54916" w:rsidRPr="00E54916">
        <w:rPr>
          <w:szCs w:val="20"/>
        </w:rPr>
        <w:t>COAG notes that design and implementation of a National Disability Insurance Scheme is the responsibility of all governments and that consideration of the Productivity Commission’s recommendations provides a good starting point. The National Disability Strategy should also inform the design and implementation of a National Disability Insurance Scheme.</w:t>
      </w:r>
    </w:p>
    <w:p w:rsidR="00E54916" w:rsidRPr="00E54916" w:rsidRDefault="00415A02" w:rsidP="00415A02">
      <w:pPr>
        <w:ind w:left="562" w:hanging="562"/>
        <w:rPr>
          <w:szCs w:val="20"/>
        </w:rPr>
      </w:pPr>
      <w:r>
        <w:rPr>
          <w:szCs w:val="20"/>
        </w:rPr>
        <w:t>5.</w:t>
      </w:r>
      <w:r>
        <w:rPr>
          <w:szCs w:val="20"/>
        </w:rPr>
        <w:tab/>
      </w:r>
      <w:r w:rsidR="00E54916" w:rsidRPr="00E54916">
        <w:rPr>
          <w:szCs w:val="20"/>
        </w:rPr>
        <w:t>The development and implementation of a National Disability Insurance Scheme will be a shared responsibility of the Commonwealth and States and Territories. Governments agree this is a substantial and important reform that will fundamentally change the nature of disability care and support in Australia. Work will start immediately, but fully realising a National Disability Insurance Scheme will take time and require a careful and considered approach by all levels of government. The Commonwealth and State and Territory governments will work together through the Select Council of Treasurers and Disability Service Ministers (Select Council on Disability Reform) to build a National Disability Insurance Scheme which will deliver the following outcomes to eligible people with disabilities:</w:t>
      </w:r>
    </w:p>
    <w:p w:rsidR="00415A02" w:rsidRDefault="00415A02" w:rsidP="00415A02">
      <w:pPr>
        <w:ind w:left="1123" w:hanging="562"/>
        <w:rPr>
          <w:szCs w:val="20"/>
        </w:rPr>
      </w:pPr>
      <w:r>
        <w:rPr>
          <w:szCs w:val="20"/>
        </w:rPr>
        <w:t>a.</w:t>
      </w:r>
      <w:r>
        <w:rPr>
          <w:szCs w:val="20"/>
        </w:rPr>
        <w:tab/>
      </w:r>
      <w:r w:rsidR="00E54916" w:rsidRPr="00E54916">
        <w:rPr>
          <w:szCs w:val="20"/>
        </w:rPr>
        <w:t>People with disability will be supported to participate in and contribute to social and economic life to the extent of their abilities;</w:t>
      </w:r>
    </w:p>
    <w:p w:rsidR="00415A02" w:rsidRDefault="00415A02" w:rsidP="00415A02">
      <w:pPr>
        <w:ind w:left="1123" w:hanging="562"/>
        <w:rPr>
          <w:szCs w:val="20"/>
        </w:rPr>
      </w:pPr>
      <w:r>
        <w:rPr>
          <w:szCs w:val="20"/>
        </w:rPr>
        <w:t>b.</w:t>
      </w:r>
      <w:r>
        <w:rPr>
          <w:szCs w:val="20"/>
        </w:rPr>
        <w:tab/>
      </w:r>
      <w:r w:rsidR="00E54916" w:rsidRPr="00E54916">
        <w:rPr>
          <w:szCs w:val="20"/>
        </w:rPr>
        <w:t>People with disability and their carers will have certainty that people with disability will receive the individualised care and support they need over their lifetime;</w:t>
      </w:r>
    </w:p>
    <w:p w:rsidR="00415A02" w:rsidRDefault="00415A02" w:rsidP="00415A02">
      <w:pPr>
        <w:ind w:left="1123" w:hanging="562"/>
        <w:rPr>
          <w:szCs w:val="20"/>
        </w:rPr>
      </w:pPr>
      <w:r>
        <w:rPr>
          <w:szCs w:val="20"/>
        </w:rPr>
        <w:lastRenderedPageBreak/>
        <w:t>c.</w:t>
      </w:r>
      <w:r>
        <w:rPr>
          <w:szCs w:val="20"/>
        </w:rPr>
        <w:tab/>
      </w:r>
      <w:r w:rsidR="00E54916" w:rsidRPr="00E54916">
        <w:rPr>
          <w:szCs w:val="20"/>
        </w:rPr>
        <w:t>People with disability will be able to exercise more choice and control in their lives, through a person-centred, self-directed approach to service delivery with individualised funding;</w:t>
      </w:r>
    </w:p>
    <w:p w:rsidR="00415A02" w:rsidRDefault="00415A02" w:rsidP="00415A02">
      <w:pPr>
        <w:ind w:left="1123" w:hanging="562"/>
        <w:rPr>
          <w:szCs w:val="20"/>
        </w:rPr>
      </w:pPr>
      <w:r>
        <w:rPr>
          <w:szCs w:val="20"/>
        </w:rPr>
        <w:t>d.</w:t>
      </w:r>
      <w:r>
        <w:rPr>
          <w:szCs w:val="20"/>
        </w:rPr>
        <w:tab/>
      </w:r>
      <w:r w:rsidR="00E54916" w:rsidRPr="00E54916">
        <w:rPr>
          <w:szCs w:val="20"/>
        </w:rPr>
        <w:t>People with disability, their families and carers, service providers, the public and governments will have greater transparency and certainty of funding for disability care and support;</w:t>
      </w:r>
    </w:p>
    <w:p w:rsidR="00415A02" w:rsidRDefault="00415A02" w:rsidP="00415A02">
      <w:pPr>
        <w:ind w:left="1123" w:hanging="562"/>
        <w:rPr>
          <w:szCs w:val="20"/>
        </w:rPr>
      </w:pPr>
      <w:r>
        <w:rPr>
          <w:szCs w:val="20"/>
        </w:rPr>
        <w:t>e.</w:t>
      </w:r>
      <w:r>
        <w:rPr>
          <w:szCs w:val="20"/>
        </w:rPr>
        <w:tab/>
      </w:r>
      <w:r w:rsidR="00E54916" w:rsidRPr="00E54916">
        <w:rPr>
          <w:szCs w:val="20"/>
        </w:rPr>
        <w:t>Disability care and support will be more accessible;</w:t>
      </w:r>
    </w:p>
    <w:p w:rsidR="00415A02" w:rsidRDefault="00415A02" w:rsidP="00415A02">
      <w:pPr>
        <w:ind w:left="1123" w:hanging="562"/>
        <w:rPr>
          <w:szCs w:val="20"/>
        </w:rPr>
      </w:pPr>
      <w:r>
        <w:rPr>
          <w:szCs w:val="20"/>
        </w:rPr>
        <w:t>f.</w:t>
      </w:r>
      <w:r>
        <w:rPr>
          <w:szCs w:val="20"/>
        </w:rPr>
        <w:tab/>
      </w:r>
      <w:r w:rsidR="00E54916" w:rsidRPr="00E54916">
        <w:rPr>
          <w:szCs w:val="20"/>
        </w:rPr>
        <w:t>Disability care and support will meet nationally consistent standards;</w:t>
      </w:r>
    </w:p>
    <w:p w:rsidR="00415A02" w:rsidRDefault="00415A02" w:rsidP="00415A02">
      <w:pPr>
        <w:ind w:left="1123" w:hanging="562"/>
        <w:rPr>
          <w:szCs w:val="20"/>
        </w:rPr>
      </w:pPr>
      <w:r>
        <w:rPr>
          <w:szCs w:val="20"/>
        </w:rPr>
        <w:t>g.</w:t>
      </w:r>
      <w:r>
        <w:rPr>
          <w:szCs w:val="20"/>
        </w:rPr>
        <w:tab/>
      </w:r>
      <w:r w:rsidR="00E54916" w:rsidRPr="00E54916">
        <w:rPr>
          <w:szCs w:val="20"/>
        </w:rPr>
        <w:t xml:space="preserve">Disability care and support will be sustainably resourced; and </w:t>
      </w:r>
    </w:p>
    <w:p w:rsidR="00415A02" w:rsidRDefault="00415A02" w:rsidP="00415A02">
      <w:pPr>
        <w:ind w:left="1123" w:hanging="562"/>
        <w:rPr>
          <w:szCs w:val="20"/>
        </w:rPr>
      </w:pPr>
      <w:r>
        <w:rPr>
          <w:szCs w:val="20"/>
        </w:rPr>
        <w:t>h.</w:t>
      </w:r>
      <w:r>
        <w:rPr>
          <w:szCs w:val="20"/>
        </w:rPr>
        <w:tab/>
      </w:r>
      <w:r w:rsidR="00E54916" w:rsidRPr="00E54916">
        <w:rPr>
          <w:szCs w:val="20"/>
        </w:rPr>
        <w:t xml:space="preserve">Disability care and support will contribute to governments’ commitments to closing the gap on Indigenous disadvantage. </w:t>
      </w:r>
    </w:p>
    <w:p w:rsidR="00415A02" w:rsidRDefault="00415A02" w:rsidP="00415A02">
      <w:pPr>
        <w:ind w:left="562" w:hanging="562"/>
        <w:rPr>
          <w:szCs w:val="20"/>
        </w:rPr>
      </w:pPr>
      <w:r>
        <w:rPr>
          <w:szCs w:val="20"/>
        </w:rPr>
        <w:t>6.</w:t>
      </w:r>
      <w:r>
        <w:rPr>
          <w:szCs w:val="20"/>
        </w:rPr>
        <w:tab/>
      </w:r>
      <w:r w:rsidR="00E54916" w:rsidRPr="00E54916">
        <w:rPr>
          <w:szCs w:val="20"/>
        </w:rPr>
        <w:t xml:space="preserve">The Select Council on Disability Reform will reflect and give effect to the following design principles agreed by COAG when considering the Productivity Commission’s recommendations and moving towards a National Disability Insurance Scheme. These principles do not direct governments’ consideration of the Productivity Commission’s recommendations in relation to the National Injury Insurance Scheme, which will be subject to a separate process lead by the Commonwealth Assistant </w:t>
      </w:r>
      <w:proofErr w:type="gramStart"/>
      <w:r w:rsidR="00E54916" w:rsidRPr="00E54916">
        <w:rPr>
          <w:szCs w:val="20"/>
        </w:rPr>
        <w:t>Treasurer,</w:t>
      </w:r>
      <w:proofErr w:type="gramEnd"/>
      <w:r w:rsidR="00E54916" w:rsidRPr="00E54916">
        <w:rPr>
          <w:szCs w:val="20"/>
        </w:rPr>
        <w:t xml:space="preserve"> however it will be important that the work progressing a National Injury Insurance Scheme is aligned to the National Disability Insurance Scheme work.</w:t>
      </w:r>
    </w:p>
    <w:p w:rsidR="00415A02" w:rsidRDefault="00415A02" w:rsidP="00415A02">
      <w:pPr>
        <w:ind w:left="562" w:hanging="562"/>
        <w:rPr>
          <w:szCs w:val="20"/>
        </w:rPr>
      </w:pPr>
      <w:r>
        <w:rPr>
          <w:szCs w:val="20"/>
        </w:rPr>
        <w:t>7.</w:t>
      </w:r>
      <w:r>
        <w:rPr>
          <w:szCs w:val="20"/>
        </w:rPr>
        <w:tab/>
      </w:r>
      <w:r w:rsidR="00E54916" w:rsidRPr="00E54916">
        <w:rPr>
          <w:szCs w:val="20"/>
        </w:rPr>
        <w:t xml:space="preserve">Principle 1: A National Disability Insurance Scheme should be needs based and </w:t>
      </w:r>
      <w:proofErr w:type="gramStart"/>
      <w:r w:rsidR="00E54916" w:rsidRPr="00E54916">
        <w:rPr>
          <w:szCs w:val="20"/>
        </w:rPr>
        <w:t>provide</w:t>
      </w:r>
      <w:proofErr w:type="gramEnd"/>
      <w:r w:rsidR="00E54916" w:rsidRPr="00E54916">
        <w:rPr>
          <w:szCs w:val="20"/>
        </w:rPr>
        <w:t xml:space="preserve"> people with disability access to individualised care and support. To achieve this, a National Disability Insurance Scheme should recognise existing best practice across the states and territories and build on this best practice through foundation reforms to: </w:t>
      </w:r>
    </w:p>
    <w:p w:rsidR="00415A02" w:rsidRDefault="00415A02" w:rsidP="00415A02">
      <w:pPr>
        <w:ind w:left="1123" w:hanging="562"/>
        <w:rPr>
          <w:szCs w:val="20"/>
        </w:rPr>
      </w:pPr>
      <w:r>
        <w:rPr>
          <w:szCs w:val="20"/>
        </w:rPr>
        <w:t>a.</w:t>
      </w:r>
      <w:r>
        <w:rPr>
          <w:szCs w:val="20"/>
        </w:rPr>
        <w:tab/>
      </w:r>
      <w:r w:rsidR="00E54916" w:rsidRPr="00E54916">
        <w:rPr>
          <w:szCs w:val="20"/>
        </w:rPr>
        <w:t>Provide certainty for people with disability in accessing high quality and effective services and support when they need them;</w:t>
      </w:r>
    </w:p>
    <w:p w:rsidR="00415A02" w:rsidRDefault="00415A02" w:rsidP="00415A02">
      <w:pPr>
        <w:ind w:left="1123" w:hanging="562"/>
        <w:rPr>
          <w:szCs w:val="20"/>
        </w:rPr>
      </w:pPr>
      <w:proofErr w:type="gramStart"/>
      <w:r>
        <w:rPr>
          <w:szCs w:val="20"/>
        </w:rPr>
        <w:t>b</w:t>
      </w:r>
      <w:proofErr w:type="gramEnd"/>
      <w:r>
        <w:rPr>
          <w:szCs w:val="20"/>
        </w:rPr>
        <w:t>.</w:t>
      </w:r>
      <w:r>
        <w:rPr>
          <w:szCs w:val="20"/>
        </w:rPr>
        <w:tab/>
      </w:r>
      <w:r w:rsidR="00E54916" w:rsidRPr="00E54916">
        <w:rPr>
          <w:szCs w:val="20"/>
        </w:rPr>
        <w:t xml:space="preserve">Be simple to understand, navigate and provide portability across jurisdictions and service providers; </w:t>
      </w:r>
    </w:p>
    <w:p w:rsidR="00415A02" w:rsidRDefault="00415A02" w:rsidP="00415A02">
      <w:pPr>
        <w:ind w:left="1123" w:hanging="562"/>
        <w:rPr>
          <w:szCs w:val="20"/>
        </w:rPr>
      </w:pPr>
      <w:r>
        <w:rPr>
          <w:szCs w:val="20"/>
        </w:rPr>
        <w:t>c.</w:t>
      </w:r>
      <w:r>
        <w:rPr>
          <w:szCs w:val="20"/>
        </w:rPr>
        <w:tab/>
      </w:r>
      <w:r w:rsidR="00E54916" w:rsidRPr="00E54916">
        <w:rPr>
          <w:szCs w:val="20"/>
        </w:rPr>
        <w:t>Provide innovative responsive and coordinated services locally;</w:t>
      </w:r>
    </w:p>
    <w:p w:rsidR="00415A02" w:rsidRDefault="00415A02" w:rsidP="00415A02">
      <w:pPr>
        <w:ind w:left="1123" w:hanging="562"/>
        <w:rPr>
          <w:szCs w:val="20"/>
        </w:rPr>
      </w:pPr>
      <w:r>
        <w:rPr>
          <w:szCs w:val="20"/>
        </w:rPr>
        <w:t>d.</w:t>
      </w:r>
      <w:r>
        <w:rPr>
          <w:szCs w:val="20"/>
        </w:rPr>
        <w:tab/>
      </w:r>
      <w:r w:rsidR="00E54916" w:rsidRPr="00E54916">
        <w:rPr>
          <w:szCs w:val="20"/>
        </w:rPr>
        <w:t>Support access to mainstream services such as education, transport, health, housing, aged care and employment services;</w:t>
      </w:r>
    </w:p>
    <w:p w:rsidR="00415A02" w:rsidRDefault="00415A02" w:rsidP="00415A02">
      <w:pPr>
        <w:ind w:left="1123" w:hanging="562"/>
        <w:rPr>
          <w:szCs w:val="20"/>
        </w:rPr>
      </w:pPr>
      <w:r>
        <w:rPr>
          <w:szCs w:val="20"/>
        </w:rPr>
        <w:t>e.</w:t>
      </w:r>
      <w:r>
        <w:rPr>
          <w:szCs w:val="20"/>
        </w:rPr>
        <w:tab/>
      </w:r>
      <w:r w:rsidR="00E54916" w:rsidRPr="00E54916">
        <w:rPr>
          <w:szCs w:val="20"/>
        </w:rPr>
        <w:t xml:space="preserve">Recognise the essential support provided by families and carers and support them in their roles; </w:t>
      </w:r>
    </w:p>
    <w:p w:rsidR="00415A02" w:rsidRDefault="00415A02" w:rsidP="00415A02">
      <w:pPr>
        <w:ind w:left="1123" w:hanging="562"/>
        <w:rPr>
          <w:szCs w:val="20"/>
        </w:rPr>
      </w:pPr>
      <w:r>
        <w:rPr>
          <w:szCs w:val="20"/>
        </w:rPr>
        <w:t>f.</w:t>
      </w:r>
      <w:r>
        <w:rPr>
          <w:szCs w:val="20"/>
        </w:rPr>
        <w:tab/>
      </w:r>
      <w:r w:rsidR="00E54916" w:rsidRPr="00E54916">
        <w:rPr>
          <w:szCs w:val="20"/>
        </w:rPr>
        <w:t xml:space="preserve">Recognise and enhance the significant role of the not-for-profit and private sectors in a </w:t>
      </w:r>
      <w:proofErr w:type="spellStart"/>
      <w:r w:rsidR="00E54916" w:rsidRPr="00E54916">
        <w:rPr>
          <w:szCs w:val="20"/>
        </w:rPr>
        <w:t>well functioning</w:t>
      </w:r>
      <w:proofErr w:type="spellEnd"/>
      <w:r w:rsidR="00E54916" w:rsidRPr="00E54916">
        <w:rPr>
          <w:szCs w:val="20"/>
        </w:rPr>
        <w:t xml:space="preserve"> disability services system;</w:t>
      </w:r>
    </w:p>
    <w:p w:rsidR="00415A02" w:rsidRDefault="00415A02" w:rsidP="00415A02">
      <w:pPr>
        <w:ind w:left="1123" w:hanging="562"/>
        <w:rPr>
          <w:szCs w:val="20"/>
        </w:rPr>
      </w:pPr>
      <w:r>
        <w:rPr>
          <w:szCs w:val="20"/>
        </w:rPr>
        <w:t>g.</w:t>
      </w:r>
      <w:r>
        <w:rPr>
          <w:szCs w:val="20"/>
        </w:rPr>
        <w:tab/>
      </w:r>
      <w:r w:rsidR="00E54916" w:rsidRPr="00E54916">
        <w:rPr>
          <w:szCs w:val="20"/>
        </w:rPr>
        <w:t>Provide people with disability with better information and support to enable them to make informed choices and exercise control and choice over their care and support;</w:t>
      </w:r>
    </w:p>
    <w:p w:rsidR="00415A02" w:rsidRDefault="00415A02" w:rsidP="00415A02">
      <w:pPr>
        <w:ind w:left="1123" w:hanging="562"/>
        <w:rPr>
          <w:szCs w:val="20"/>
        </w:rPr>
      </w:pPr>
      <w:r>
        <w:rPr>
          <w:szCs w:val="20"/>
        </w:rPr>
        <w:lastRenderedPageBreak/>
        <w:t>h.</w:t>
      </w:r>
      <w:r>
        <w:rPr>
          <w:szCs w:val="20"/>
        </w:rPr>
        <w:tab/>
      </w:r>
      <w:r w:rsidR="00E54916" w:rsidRPr="00E54916">
        <w:rPr>
          <w:szCs w:val="20"/>
        </w:rPr>
        <w:t>Ensure the development of the sector is actively supported in a way that fosters continuous improvement, viability and sustainability;</w:t>
      </w:r>
    </w:p>
    <w:p w:rsidR="00415A02" w:rsidRDefault="00415A02" w:rsidP="00415A02">
      <w:pPr>
        <w:ind w:left="1123" w:hanging="562"/>
        <w:rPr>
          <w:szCs w:val="20"/>
        </w:rPr>
      </w:pPr>
      <w:proofErr w:type="spellStart"/>
      <w:r>
        <w:rPr>
          <w:szCs w:val="20"/>
        </w:rPr>
        <w:t>i</w:t>
      </w:r>
      <w:proofErr w:type="spellEnd"/>
      <w:r>
        <w:rPr>
          <w:szCs w:val="20"/>
        </w:rPr>
        <w:t>.</w:t>
      </w:r>
      <w:r>
        <w:rPr>
          <w:szCs w:val="20"/>
        </w:rPr>
        <w:tab/>
      </w:r>
      <w:r w:rsidR="00E54916" w:rsidRPr="00E54916">
        <w:rPr>
          <w:szCs w:val="20"/>
        </w:rPr>
        <w:t xml:space="preserve">Ensure equity of access by addressing the needs of people in regional and remote Australia and people from Indigenous and Culturally and Linguistically Diverse (CALD) backgrounds; </w:t>
      </w:r>
    </w:p>
    <w:p w:rsidR="00E54916" w:rsidRPr="00E54916" w:rsidRDefault="00415A02" w:rsidP="00415A02">
      <w:pPr>
        <w:ind w:left="1123" w:hanging="562"/>
        <w:rPr>
          <w:szCs w:val="20"/>
        </w:rPr>
      </w:pPr>
      <w:r>
        <w:rPr>
          <w:szCs w:val="20"/>
        </w:rPr>
        <w:t>j.</w:t>
      </w:r>
      <w:r>
        <w:rPr>
          <w:szCs w:val="20"/>
        </w:rPr>
        <w:tab/>
      </w:r>
      <w:r w:rsidR="00E54916" w:rsidRPr="00E54916">
        <w:rPr>
          <w:szCs w:val="20"/>
        </w:rPr>
        <w:t xml:space="preserve">Promote innovation in services and the services system; </w:t>
      </w:r>
    </w:p>
    <w:p w:rsidR="00E54916" w:rsidRPr="00E54916" w:rsidRDefault="00415A02" w:rsidP="00415A02">
      <w:pPr>
        <w:ind w:left="1123" w:hanging="562"/>
        <w:rPr>
          <w:szCs w:val="20"/>
        </w:rPr>
      </w:pPr>
      <w:r>
        <w:rPr>
          <w:szCs w:val="20"/>
        </w:rPr>
        <w:t>k.</w:t>
      </w:r>
      <w:r>
        <w:rPr>
          <w:szCs w:val="20"/>
        </w:rPr>
        <w:tab/>
      </w:r>
      <w:r w:rsidR="00E54916" w:rsidRPr="00E54916">
        <w:rPr>
          <w:szCs w:val="20"/>
        </w:rPr>
        <w:t xml:space="preserve">Provide appropriate safeguards to support and protect people with disability; and  </w:t>
      </w:r>
    </w:p>
    <w:p w:rsidR="00415A02" w:rsidRDefault="00415A02" w:rsidP="00415A02">
      <w:pPr>
        <w:ind w:left="1123" w:hanging="562"/>
        <w:rPr>
          <w:szCs w:val="20"/>
        </w:rPr>
      </w:pPr>
      <w:r>
        <w:rPr>
          <w:szCs w:val="20"/>
        </w:rPr>
        <w:t>l.</w:t>
      </w:r>
      <w:r>
        <w:rPr>
          <w:szCs w:val="20"/>
        </w:rPr>
        <w:tab/>
      </w:r>
      <w:r w:rsidR="00E54916" w:rsidRPr="00E54916">
        <w:rPr>
          <w:szCs w:val="20"/>
        </w:rPr>
        <w:t>Provide continuity of support to people with disability currently receiving services to ensure that they are not disadvantaged in the transition to a National Disability Insurance Scheme.</w:t>
      </w:r>
    </w:p>
    <w:p w:rsidR="00E54916" w:rsidRPr="00E54916" w:rsidRDefault="00415A02" w:rsidP="00415A02">
      <w:pPr>
        <w:ind w:left="562" w:hanging="562"/>
        <w:rPr>
          <w:szCs w:val="20"/>
        </w:rPr>
      </w:pPr>
      <w:r>
        <w:rPr>
          <w:szCs w:val="20"/>
        </w:rPr>
        <w:t>8.</w:t>
      </w:r>
      <w:r>
        <w:rPr>
          <w:szCs w:val="20"/>
        </w:rPr>
        <w:tab/>
      </w:r>
      <w:r w:rsidR="00E54916" w:rsidRPr="00E54916">
        <w:rPr>
          <w:szCs w:val="20"/>
        </w:rPr>
        <w:t xml:space="preserve">Principle 2: Resourcing arrangements for a National Disability Insurance Scheme should: </w:t>
      </w:r>
    </w:p>
    <w:p w:rsidR="00415A02" w:rsidRDefault="00415A02" w:rsidP="00415A02">
      <w:pPr>
        <w:ind w:left="1123" w:hanging="562"/>
        <w:rPr>
          <w:szCs w:val="20"/>
        </w:rPr>
      </w:pPr>
      <w:r>
        <w:rPr>
          <w:szCs w:val="20"/>
        </w:rPr>
        <w:t>a.</w:t>
      </w:r>
      <w:r>
        <w:rPr>
          <w:szCs w:val="20"/>
        </w:rPr>
        <w:tab/>
      </w:r>
      <w:r w:rsidR="00E54916" w:rsidRPr="00E54916">
        <w:rPr>
          <w:szCs w:val="20"/>
        </w:rPr>
        <w:t>Provide certainty of future resourcing recognising the projected ongoing growth in demand and the need for incentives for containment;</w:t>
      </w:r>
    </w:p>
    <w:p w:rsidR="00415A02" w:rsidRDefault="00415A02" w:rsidP="00415A02">
      <w:pPr>
        <w:ind w:left="1123" w:hanging="562"/>
        <w:rPr>
          <w:szCs w:val="20"/>
        </w:rPr>
      </w:pPr>
      <w:r>
        <w:rPr>
          <w:szCs w:val="20"/>
        </w:rPr>
        <w:t>b.</w:t>
      </w:r>
      <w:r>
        <w:rPr>
          <w:szCs w:val="20"/>
        </w:rPr>
        <w:tab/>
      </w:r>
      <w:r w:rsidR="00E54916" w:rsidRPr="00E54916">
        <w:rPr>
          <w:szCs w:val="20"/>
        </w:rPr>
        <w:t>Provide adequate funding to address assessed needs;</w:t>
      </w:r>
    </w:p>
    <w:p w:rsidR="00415A02" w:rsidRDefault="00415A02" w:rsidP="00415A02">
      <w:pPr>
        <w:ind w:left="1123" w:hanging="562"/>
        <w:rPr>
          <w:szCs w:val="20"/>
        </w:rPr>
      </w:pPr>
      <w:proofErr w:type="gramStart"/>
      <w:r>
        <w:rPr>
          <w:szCs w:val="20"/>
        </w:rPr>
        <w:t>c</w:t>
      </w:r>
      <w:proofErr w:type="gramEnd"/>
      <w:r>
        <w:rPr>
          <w:szCs w:val="20"/>
        </w:rPr>
        <w:t>.</w:t>
      </w:r>
      <w:r>
        <w:rPr>
          <w:szCs w:val="20"/>
        </w:rPr>
        <w:tab/>
      </w:r>
      <w:r w:rsidR="00E54916" w:rsidRPr="00E54916">
        <w:rPr>
          <w:szCs w:val="20"/>
        </w:rPr>
        <w:t xml:space="preserve">Be fiscally sustainable for all levels of government; </w:t>
      </w:r>
    </w:p>
    <w:p w:rsidR="00415A02" w:rsidRDefault="00415A02" w:rsidP="00415A02">
      <w:pPr>
        <w:ind w:left="1123" w:hanging="562"/>
        <w:rPr>
          <w:szCs w:val="20"/>
        </w:rPr>
      </w:pPr>
      <w:r>
        <w:rPr>
          <w:szCs w:val="20"/>
        </w:rPr>
        <w:t>d.</w:t>
      </w:r>
      <w:r>
        <w:rPr>
          <w:szCs w:val="20"/>
        </w:rPr>
        <w:tab/>
      </w:r>
      <w:r w:rsidR="00E54916" w:rsidRPr="00E54916">
        <w:rPr>
          <w:szCs w:val="20"/>
        </w:rPr>
        <w:t xml:space="preserve">Be based on an assessment of the costs of meeting reasonable and necessary care and support needs of an individualised funding approach; </w:t>
      </w:r>
    </w:p>
    <w:p w:rsidR="00415A02" w:rsidRDefault="00415A02" w:rsidP="00415A02">
      <w:pPr>
        <w:ind w:left="1123" w:hanging="562"/>
        <w:rPr>
          <w:szCs w:val="20"/>
        </w:rPr>
      </w:pPr>
      <w:proofErr w:type="gramStart"/>
      <w:r>
        <w:rPr>
          <w:szCs w:val="20"/>
        </w:rPr>
        <w:t>e</w:t>
      </w:r>
      <w:proofErr w:type="gramEnd"/>
      <w:r>
        <w:rPr>
          <w:szCs w:val="20"/>
        </w:rPr>
        <w:t>.</w:t>
      </w:r>
      <w:r>
        <w:rPr>
          <w:szCs w:val="20"/>
        </w:rPr>
        <w:tab/>
      </w:r>
      <w:r w:rsidR="00E54916" w:rsidRPr="00E54916">
        <w:rPr>
          <w:szCs w:val="20"/>
        </w:rPr>
        <w:t>Be transparent regarding contributions from jurisdictions;</w:t>
      </w:r>
    </w:p>
    <w:p w:rsidR="00415A02" w:rsidRDefault="00415A02" w:rsidP="00415A02">
      <w:pPr>
        <w:ind w:left="1123" w:hanging="562"/>
        <w:rPr>
          <w:szCs w:val="20"/>
        </w:rPr>
      </w:pPr>
      <w:r>
        <w:rPr>
          <w:szCs w:val="20"/>
        </w:rPr>
        <w:t>f.</w:t>
      </w:r>
      <w:r>
        <w:rPr>
          <w:szCs w:val="20"/>
        </w:rPr>
        <w:tab/>
      </w:r>
      <w:r w:rsidR="00E54916" w:rsidRPr="00E54916">
        <w:rPr>
          <w:szCs w:val="20"/>
        </w:rPr>
        <w:t xml:space="preserve">Not create any disincentives for carers and family members to provide support; </w:t>
      </w:r>
    </w:p>
    <w:p w:rsidR="00415A02" w:rsidRDefault="00415A02" w:rsidP="00415A02">
      <w:pPr>
        <w:ind w:left="1123" w:hanging="562"/>
        <w:rPr>
          <w:szCs w:val="20"/>
        </w:rPr>
      </w:pPr>
      <w:r>
        <w:rPr>
          <w:szCs w:val="20"/>
        </w:rPr>
        <w:t>g.</w:t>
      </w:r>
      <w:r>
        <w:rPr>
          <w:szCs w:val="20"/>
        </w:rPr>
        <w:tab/>
      </w:r>
      <w:r w:rsidR="00E54916" w:rsidRPr="00E54916">
        <w:rPr>
          <w:szCs w:val="20"/>
        </w:rPr>
        <w:t>Ensure that no jurisdiction is disadvantaged by:</w:t>
      </w:r>
    </w:p>
    <w:p w:rsidR="00E54916" w:rsidRPr="00E54916" w:rsidRDefault="00415A02" w:rsidP="00415A02">
      <w:pPr>
        <w:ind w:left="1685" w:hanging="562"/>
        <w:rPr>
          <w:szCs w:val="20"/>
        </w:rPr>
      </w:pPr>
      <w:proofErr w:type="spellStart"/>
      <w:r>
        <w:rPr>
          <w:szCs w:val="20"/>
        </w:rPr>
        <w:t>i</w:t>
      </w:r>
      <w:proofErr w:type="spellEnd"/>
      <w:r>
        <w:rPr>
          <w:szCs w:val="20"/>
        </w:rPr>
        <w:t>.</w:t>
      </w:r>
      <w:r>
        <w:rPr>
          <w:szCs w:val="20"/>
        </w:rPr>
        <w:tab/>
      </w:r>
      <w:r w:rsidR="00E54916" w:rsidRPr="00E54916">
        <w:rPr>
          <w:szCs w:val="20"/>
        </w:rPr>
        <w:t>historically high levels of funding for disability services, recent increased investment in disability services or additional investment in the lead up to the launch of a National Disability Insurance Scheme; and</w:t>
      </w:r>
    </w:p>
    <w:p w:rsidR="00E54916" w:rsidRPr="00E54916" w:rsidRDefault="00415A02" w:rsidP="00415A02">
      <w:pPr>
        <w:ind w:left="1685" w:hanging="562"/>
        <w:rPr>
          <w:szCs w:val="20"/>
        </w:rPr>
      </w:pPr>
      <w:r>
        <w:rPr>
          <w:szCs w:val="20"/>
        </w:rPr>
        <w:t>ii.</w:t>
      </w:r>
      <w:r>
        <w:rPr>
          <w:szCs w:val="20"/>
        </w:rPr>
        <w:tab/>
      </w:r>
      <w:proofErr w:type="gramStart"/>
      <w:r w:rsidR="00E54916" w:rsidRPr="00E54916">
        <w:rPr>
          <w:szCs w:val="20"/>
        </w:rPr>
        <w:t>having</w:t>
      </w:r>
      <w:proofErr w:type="gramEnd"/>
      <w:r w:rsidR="00E54916" w:rsidRPr="00E54916">
        <w:rPr>
          <w:szCs w:val="20"/>
        </w:rPr>
        <w:t xml:space="preserve"> already undertaken foundation reforms required to implement a National Disability Insurance Scheme.</w:t>
      </w:r>
    </w:p>
    <w:p w:rsidR="00415A02" w:rsidRDefault="00415A02" w:rsidP="00415A02">
      <w:pPr>
        <w:ind w:left="1123" w:hanging="562"/>
        <w:rPr>
          <w:szCs w:val="20"/>
        </w:rPr>
      </w:pPr>
      <w:r>
        <w:rPr>
          <w:szCs w:val="20"/>
        </w:rPr>
        <w:t>h.</w:t>
      </w:r>
      <w:r>
        <w:rPr>
          <w:szCs w:val="20"/>
        </w:rPr>
        <w:tab/>
      </w:r>
      <w:r w:rsidR="00E54916" w:rsidRPr="00E54916">
        <w:rPr>
          <w:szCs w:val="20"/>
        </w:rPr>
        <w:t>Support a social insurance approach.</w:t>
      </w:r>
    </w:p>
    <w:p w:rsidR="00E54916" w:rsidRPr="00E54916" w:rsidRDefault="00415A02" w:rsidP="00415A02">
      <w:pPr>
        <w:ind w:left="562" w:hanging="562"/>
        <w:rPr>
          <w:szCs w:val="20"/>
        </w:rPr>
      </w:pPr>
      <w:r>
        <w:rPr>
          <w:szCs w:val="20"/>
        </w:rPr>
        <w:t>9.</w:t>
      </w:r>
      <w:r>
        <w:rPr>
          <w:szCs w:val="20"/>
        </w:rPr>
        <w:tab/>
      </w:r>
      <w:r w:rsidR="00E54916" w:rsidRPr="00E54916">
        <w:rPr>
          <w:szCs w:val="20"/>
        </w:rPr>
        <w:t xml:space="preserve">Principle 3:  Governance for a National Disability Insurance Scheme must be transparent and accountable and ensure genuine ongoing involvement of all jurisdictions in determining governance, policy setting and scheme management. Governance arrangements should: </w:t>
      </w:r>
    </w:p>
    <w:p w:rsidR="00E54916" w:rsidRPr="00E54916" w:rsidRDefault="00415A02" w:rsidP="00415A02">
      <w:pPr>
        <w:ind w:left="1123" w:hanging="562"/>
        <w:rPr>
          <w:szCs w:val="20"/>
        </w:rPr>
      </w:pPr>
      <w:r>
        <w:rPr>
          <w:szCs w:val="20"/>
        </w:rPr>
        <w:t>a.</w:t>
      </w:r>
      <w:r>
        <w:rPr>
          <w:szCs w:val="20"/>
        </w:rPr>
        <w:tab/>
      </w:r>
      <w:r w:rsidR="00E54916" w:rsidRPr="00E54916">
        <w:rPr>
          <w:szCs w:val="20"/>
        </w:rPr>
        <w:t xml:space="preserve">Establish a National Disability Insurance Scheme that is administered in a way that manages life time costs of care and support through insurance principles, such as consistent application of eligibility criteria and timely and efficient delivery of reasonable and necessary supports, including early intervention, to ensure the ongoing financial sustainability of the scheme; </w:t>
      </w:r>
    </w:p>
    <w:p w:rsidR="00415A02" w:rsidRDefault="00415A02" w:rsidP="00415A02">
      <w:pPr>
        <w:ind w:left="1123" w:hanging="562"/>
        <w:rPr>
          <w:szCs w:val="20"/>
        </w:rPr>
      </w:pPr>
      <w:r>
        <w:rPr>
          <w:szCs w:val="20"/>
        </w:rPr>
        <w:lastRenderedPageBreak/>
        <w:t>b.</w:t>
      </w:r>
      <w:r>
        <w:rPr>
          <w:szCs w:val="20"/>
        </w:rPr>
        <w:tab/>
      </w:r>
      <w:r w:rsidR="00E54916" w:rsidRPr="00E54916">
        <w:rPr>
          <w:szCs w:val="20"/>
        </w:rPr>
        <w:t xml:space="preserve">Maximise the benefits of a market-based approach to disability support services, including consideration of a costing structure that fosters competition and choice, and supports an individualised and localised approach and takes account of legitimate cost variations for different locations and client groups; </w:t>
      </w:r>
    </w:p>
    <w:p w:rsidR="00415A02" w:rsidRDefault="00415A02" w:rsidP="00415A02">
      <w:pPr>
        <w:ind w:left="1123" w:hanging="562"/>
        <w:rPr>
          <w:szCs w:val="20"/>
        </w:rPr>
      </w:pPr>
      <w:r>
        <w:rPr>
          <w:szCs w:val="20"/>
        </w:rPr>
        <w:t>c.</w:t>
      </w:r>
      <w:r>
        <w:rPr>
          <w:szCs w:val="20"/>
        </w:rPr>
        <w:tab/>
      </w:r>
      <w:r w:rsidR="00E54916" w:rsidRPr="00E54916">
        <w:rPr>
          <w:szCs w:val="20"/>
        </w:rPr>
        <w:t>Ensure that there are nationally consistent eligibility criteria, standardised assessment tools, quality standards and a range of services and supports;</w:t>
      </w:r>
    </w:p>
    <w:p w:rsidR="00415A02" w:rsidRDefault="00415A02" w:rsidP="00415A02">
      <w:pPr>
        <w:ind w:left="1123" w:hanging="562"/>
        <w:rPr>
          <w:szCs w:val="20"/>
        </w:rPr>
      </w:pPr>
      <w:r>
        <w:rPr>
          <w:szCs w:val="20"/>
        </w:rPr>
        <w:t>d.</w:t>
      </w:r>
      <w:r>
        <w:rPr>
          <w:szCs w:val="20"/>
        </w:rPr>
        <w:tab/>
      </w:r>
      <w:r w:rsidR="00E54916" w:rsidRPr="00E54916">
        <w:rPr>
          <w:szCs w:val="20"/>
        </w:rPr>
        <w:t xml:space="preserve">Enable localised planning and access to efficient and responsive services, and be coordinated with mainstream services such as education, transport, health, housing, aged care and employment services; </w:t>
      </w:r>
    </w:p>
    <w:p w:rsidR="00415A02" w:rsidRDefault="00415A02" w:rsidP="00415A02">
      <w:pPr>
        <w:ind w:left="1123" w:hanging="562"/>
        <w:rPr>
          <w:szCs w:val="20"/>
        </w:rPr>
      </w:pPr>
      <w:r>
        <w:rPr>
          <w:szCs w:val="20"/>
        </w:rPr>
        <w:t>e.</w:t>
      </w:r>
      <w:r>
        <w:rPr>
          <w:szCs w:val="20"/>
        </w:rPr>
        <w:tab/>
      </w:r>
      <w:r w:rsidR="00E54916" w:rsidRPr="00E54916">
        <w:rPr>
          <w:szCs w:val="20"/>
        </w:rPr>
        <w:t xml:space="preserve">Equip and enable people with disability to the extent possible to choose and direct the services they receive and the manner in which they are provided; </w:t>
      </w:r>
    </w:p>
    <w:p w:rsidR="00415A02" w:rsidRDefault="00415A02" w:rsidP="00415A02">
      <w:pPr>
        <w:ind w:left="1123" w:hanging="562"/>
        <w:rPr>
          <w:szCs w:val="20"/>
        </w:rPr>
      </w:pPr>
      <w:r>
        <w:rPr>
          <w:szCs w:val="20"/>
        </w:rPr>
        <w:t>f.</w:t>
      </w:r>
      <w:r>
        <w:rPr>
          <w:szCs w:val="20"/>
        </w:rPr>
        <w:tab/>
      </w:r>
      <w:r w:rsidR="00E54916" w:rsidRPr="00E54916">
        <w:rPr>
          <w:szCs w:val="20"/>
        </w:rPr>
        <w:t xml:space="preserve">Ensure transparency of eligibility, assessment and resource allocation; </w:t>
      </w:r>
    </w:p>
    <w:p w:rsidR="00415A02" w:rsidRDefault="00415A02" w:rsidP="00415A02">
      <w:pPr>
        <w:ind w:left="1123" w:hanging="562"/>
        <w:rPr>
          <w:szCs w:val="20"/>
        </w:rPr>
      </w:pPr>
      <w:r>
        <w:rPr>
          <w:szCs w:val="20"/>
        </w:rPr>
        <w:t>g.</w:t>
      </w:r>
      <w:r>
        <w:rPr>
          <w:szCs w:val="20"/>
        </w:rPr>
        <w:tab/>
      </w:r>
      <w:r w:rsidR="00E54916" w:rsidRPr="00E54916">
        <w:rPr>
          <w:szCs w:val="20"/>
        </w:rPr>
        <w:t>Provide clarity around the roles and responsibilities of different levels of governments in the transition to and operation of a National Disability Insurance Scheme;</w:t>
      </w:r>
    </w:p>
    <w:p w:rsidR="00415A02" w:rsidRDefault="00415A02" w:rsidP="00415A02">
      <w:pPr>
        <w:ind w:left="1123" w:hanging="562"/>
        <w:rPr>
          <w:szCs w:val="20"/>
        </w:rPr>
      </w:pPr>
      <w:r>
        <w:rPr>
          <w:szCs w:val="20"/>
        </w:rPr>
        <w:t>h.</w:t>
      </w:r>
      <w:r>
        <w:rPr>
          <w:szCs w:val="20"/>
        </w:rPr>
        <w:tab/>
      </w:r>
      <w:r w:rsidR="00E54916" w:rsidRPr="00E54916">
        <w:rPr>
          <w:szCs w:val="20"/>
        </w:rPr>
        <w:t>Engage people with disability, their families and carers in the design and delivery of services;</w:t>
      </w:r>
    </w:p>
    <w:p w:rsidR="00415A02" w:rsidRDefault="00415A02" w:rsidP="00415A02">
      <w:pPr>
        <w:ind w:left="1123" w:hanging="562"/>
        <w:rPr>
          <w:szCs w:val="20"/>
        </w:rPr>
      </w:pPr>
      <w:proofErr w:type="spellStart"/>
      <w:r>
        <w:rPr>
          <w:szCs w:val="20"/>
        </w:rPr>
        <w:t>i</w:t>
      </w:r>
      <w:proofErr w:type="spellEnd"/>
      <w:r>
        <w:rPr>
          <w:szCs w:val="20"/>
        </w:rPr>
        <w:t>.</w:t>
      </w:r>
      <w:r>
        <w:rPr>
          <w:szCs w:val="20"/>
        </w:rPr>
        <w:tab/>
      </w:r>
      <w:r w:rsidR="00E54916" w:rsidRPr="00E54916">
        <w:rPr>
          <w:szCs w:val="20"/>
        </w:rPr>
        <w:t>Facilitate national research and data collection and consolidation; and</w:t>
      </w:r>
    </w:p>
    <w:p w:rsidR="00415A02" w:rsidRDefault="00415A02" w:rsidP="00415A02">
      <w:pPr>
        <w:ind w:left="1123" w:hanging="562"/>
        <w:rPr>
          <w:szCs w:val="20"/>
        </w:rPr>
      </w:pPr>
      <w:r>
        <w:rPr>
          <w:szCs w:val="20"/>
        </w:rPr>
        <w:t>j.</w:t>
      </w:r>
      <w:r>
        <w:rPr>
          <w:szCs w:val="20"/>
        </w:rPr>
        <w:tab/>
      </w:r>
      <w:r w:rsidR="00E54916" w:rsidRPr="00E54916">
        <w:rPr>
          <w:szCs w:val="20"/>
        </w:rPr>
        <w:t>Ensure alignment with the policies, standards and services of a National Injury Insurance Scheme.</w:t>
      </w:r>
    </w:p>
    <w:p w:rsidR="00415A02" w:rsidRDefault="00415A02" w:rsidP="00415A02">
      <w:pPr>
        <w:ind w:left="562" w:hanging="562"/>
        <w:rPr>
          <w:szCs w:val="20"/>
        </w:rPr>
      </w:pPr>
      <w:r>
        <w:rPr>
          <w:szCs w:val="20"/>
        </w:rPr>
        <w:t>10.</w:t>
      </w:r>
      <w:r>
        <w:rPr>
          <w:szCs w:val="20"/>
        </w:rPr>
        <w:tab/>
      </w:r>
      <w:r w:rsidR="00E54916" w:rsidRPr="00E54916">
        <w:rPr>
          <w:szCs w:val="20"/>
        </w:rPr>
        <w:t xml:space="preserve">Principle 4: All jurisdictions commit to accelerated progress in the delivery of foundation reforms agreed by the Select Council in the period leading up to the establishment of a National Disability Insurance Scheme, together with simultaneous progress on resolution of governance and funding issues. This will ensure an effective transition to a National Disability Insurance Scheme which will deliver immediate improvements for people with disability in the interim. The implementation of a National Disability Insurance Scheme will recognise current systems, structures and coverage and ensure appropriate transition </w:t>
      </w:r>
      <w:r>
        <w:rPr>
          <w:szCs w:val="20"/>
        </w:rPr>
        <w:t>strategies. This will require:</w:t>
      </w:r>
    </w:p>
    <w:p w:rsidR="00415A02" w:rsidRDefault="00415A02" w:rsidP="00415A02">
      <w:pPr>
        <w:ind w:left="1123" w:hanging="562"/>
        <w:rPr>
          <w:szCs w:val="20"/>
        </w:rPr>
      </w:pPr>
      <w:r>
        <w:rPr>
          <w:szCs w:val="20"/>
        </w:rPr>
        <w:t>a.</w:t>
      </w:r>
      <w:r>
        <w:rPr>
          <w:szCs w:val="20"/>
        </w:rPr>
        <w:tab/>
      </w:r>
      <w:r w:rsidR="00E54916" w:rsidRPr="00E54916">
        <w:rPr>
          <w:szCs w:val="20"/>
        </w:rPr>
        <w:t xml:space="preserve">Ensuring continuity of support to people with disability currently receiving services to ensure that they are not disadvantaged in the transition to a NDIS; </w:t>
      </w:r>
    </w:p>
    <w:p w:rsidR="00415A02" w:rsidRDefault="00415A02" w:rsidP="00415A02">
      <w:pPr>
        <w:ind w:left="1123" w:hanging="562"/>
        <w:rPr>
          <w:szCs w:val="20"/>
        </w:rPr>
      </w:pPr>
      <w:r>
        <w:rPr>
          <w:szCs w:val="20"/>
        </w:rPr>
        <w:t>b.</w:t>
      </w:r>
      <w:r>
        <w:rPr>
          <w:szCs w:val="20"/>
        </w:rPr>
        <w:tab/>
      </w:r>
      <w:r w:rsidR="00E54916" w:rsidRPr="00E54916">
        <w:rPr>
          <w:szCs w:val="20"/>
        </w:rPr>
        <w:t xml:space="preserve">Ongoing development of the disability services sector capacity to meet the diverse and individual needs of people with disability, and to manage risk and operate effectively in a National Disability Insurance Scheme; </w:t>
      </w:r>
    </w:p>
    <w:p w:rsidR="00415A02" w:rsidRDefault="00415A02" w:rsidP="00415A02">
      <w:pPr>
        <w:ind w:left="1123" w:hanging="562"/>
        <w:rPr>
          <w:szCs w:val="20"/>
        </w:rPr>
      </w:pPr>
      <w:r>
        <w:rPr>
          <w:szCs w:val="20"/>
        </w:rPr>
        <w:t>c.</w:t>
      </w:r>
      <w:r>
        <w:rPr>
          <w:szCs w:val="20"/>
        </w:rPr>
        <w:tab/>
      </w:r>
      <w:r w:rsidR="00E54916" w:rsidRPr="00E54916">
        <w:rPr>
          <w:szCs w:val="20"/>
        </w:rPr>
        <w:t>Continuous improvement in specialist disability specialist support services in the lead up to a National Disability Insurance Scheme, including through reforms under the National Disability Agreement;</w:t>
      </w:r>
    </w:p>
    <w:p w:rsidR="00415A02" w:rsidRDefault="00415A02" w:rsidP="00415A02">
      <w:pPr>
        <w:ind w:left="1123" w:hanging="562"/>
        <w:rPr>
          <w:szCs w:val="20"/>
        </w:rPr>
      </w:pPr>
      <w:r>
        <w:rPr>
          <w:szCs w:val="20"/>
        </w:rPr>
        <w:t>d.</w:t>
      </w:r>
      <w:r>
        <w:rPr>
          <w:szCs w:val="20"/>
        </w:rPr>
        <w:tab/>
      </w:r>
      <w:r w:rsidR="00E54916" w:rsidRPr="00E54916">
        <w:rPr>
          <w:szCs w:val="20"/>
        </w:rPr>
        <w:t xml:space="preserve">A national workforce strategy to address qualifications, training and cross sector career mapping issues and other measures to establish the sector as an ‘industry of choice’ to ensure there is a skilled and responsive workforce to </w:t>
      </w:r>
      <w:r w:rsidR="00E54916" w:rsidRPr="00E54916">
        <w:rPr>
          <w:szCs w:val="20"/>
        </w:rPr>
        <w:lastRenderedPageBreak/>
        <w:t>meet the care and support needs of people with disability, and assessment and local coordination roles under a National Disability Insurance Scheme;</w:t>
      </w:r>
    </w:p>
    <w:p w:rsidR="00415A02" w:rsidRDefault="00415A02" w:rsidP="00415A02">
      <w:pPr>
        <w:ind w:left="1123" w:hanging="562"/>
        <w:rPr>
          <w:szCs w:val="20"/>
        </w:rPr>
      </w:pPr>
      <w:r>
        <w:rPr>
          <w:szCs w:val="20"/>
        </w:rPr>
        <w:t>e.</w:t>
      </w:r>
      <w:r>
        <w:rPr>
          <w:szCs w:val="20"/>
        </w:rPr>
        <w:tab/>
      </w:r>
      <w:r w:rsidR="00E54916" w:rsidRPr="00E54916">
        <w:rPr>
          <w:szCs w:val="20"/>
        </w:rPr>
        <w:t>Robust evidence from trialling and evaluation;</w:t>
      </w:r>
    </w:p>
    <w:p w:rsidR="00415A02" w:rsidRDefault="00415A02" w:rsidP="00415A02">
      <w:pPr>
        <w:ind w:left="1123" w:hanging="562"/>
        <w:rPr>
          <w:szCs w:val="20"/>
        </w:rPr>
      </w:pPr>
      <w:r>
        <w:rPr>
          <w:szCs w:val="20"/>
        </w:rPr>
        <w:t>f.</w:t>
      </w:r>
      <w:r>
        <w:rPr>
          <w:szCs w:val="20"/>
        </w:rPr>
        <w:tab/>
      </w:r>
      <w:r w:rsidR="00E54916" w:rsidRPr="00E54916">
        <w:rPr>
          <w:szCs w:val="20"/>
        </w:rPr>
        <w:t xml:space="preserve">Appropriate legal and administrative reform, including data and information systems to support an insurance approach; </w:t>
      </w:r>
    </w:p>
    <w:p w:rsidR="00415A02" w:rsidRDefault="00415A02" w:rsidP="00415A02">
      <w:pPr>
        <w:ind w:left="1123" w:hanging="562"/>
        <w:rPr>
          <w:szCs w:val="20"/>
        </w:rPr>
      </w:pPr>
      <w:r>
        <w:rPr>
          <w:szCs w:val="20"/>
        </w:rPr>
        <w:t>g.</w:t>
      </w:r>
      <w:r>
        <w:rPr>
          <w:szCs w:val="20"/>
        </w:rPr>
        <w:tab/>
      </w:r>
      <w:r w:rsidR="00E54916" w:rsidRPr="00E54916">
        <w:rPr>
          <w:szCs w:val="20"/>
        </w:rPr>
        <w:t xml:space="preserve">Detailed analysis of the existing levels of investment to inform financing arrangements for a National Disability Insurance Scheme, including state and Commonwealth government funding, insurance based arrangements and other funding; and </w:t>
      </w:r>
    </w:p>
    <w:p w:rsidR="00415A02" w:rsidRDefault="00415A02" w:rsidP="00415A02">
      <w:pPr>
        <w:ind w:left="1123" w:hanging="562"/>
        <w:rPr>
          <w:szCs w:val="20"/>
        </w:rPr>
      </w:pPr>
      <w:r>
        <w:rPr>
          <w:szCs w:val="20"/>
        </w:rPr>
        <w:t>h.</w:t>
      </w:r>
      <w:r>
        <w:rPr>
          <w:szCs w:val="20"/>
        </w:rPr>
        <w:tab/>
      </w:r>
      <w:r w:rsidR="00E54916" w:rsidRPr="00E54916">
        <w:rPr>
          <w:szCs w:val="20"/>
        </w:rPr>
        <w:t>Detailed analysis of the cost structures underlying an individualised approach.</w:t>
      </w:r>
    </w:p>
    <w:p w:rsidR="00E54916" w:rsidRPr="00415A02" w:rsidRDefault="00E54916" w:rsidP="00415A02">
      <w:pPr>
        <w:pStyle w:val="Heading1"/>
        <w:pageBreakBefore/>
      </w:pPr>
      <w:r w:rsidRPr="00E54916">
        <w:lastRenderedPageBreak/>
        <w:t>Annex B</w:t>
      </w:r>
      <w:r w:rsidR="00415A02">
        <w:t xml:space="preserve">: </w:t>
      </w:r>
      <w:proofErr w:type="spellStart"/>
      <w:r w:rsidRPr="00E54916">
        <w:t>Muiltilateral</w:t>
      </w:r>
      <w:proofErr w:type="spellEnd"/>
      <w:r w:rsidRPr="00E54916">
        <w:t xml:space="preserve"> </w:t>
      </w:r>
      <w:r w:rsidR="00415A02" w:rsidRPr="00E54916">
        <w:t>Funding Arrangements</w:t>
      </w:r>
      <w:r w:rsidRPr="00E54916">
        <w:t xml:space="preserve"> – Scenario Analysis </w:t>
      </w:r>
    </w:p>
    <w:p w:rsidR="00E54916" w:rsidRPr="00E54916" w:rsidRDefault="00E54916" w:rsidP="00E54916">
      <w:pPr>
        <w:rPr>
          <w:szCs w:val="20"/>
        </w:rPr>
      </w:pPr>
      <w:r w:rsidRPr="00E54916">
        <w:rPr>
          <w:szCs w:val="20"/>
        </w:rPr>
        <w:t>This analysis assumes that, in the launch phase of the National Disability Insurance Scheme (NDIS</w:t>
      </w:r>
      <w:proofErr w:type="gramStart"/>
      <w:r w:rsidRPr="00E54916">
        <w:rPr>
          <w:szCs w:val="20"/>
        </w:rPr>
        <w:t>)  care</w:t>
      </w:r>
      <w:proofErr w:type="gramEnd"/>
      <w:r w:rsidRPr="00E54916">
        <w:rPr>
          <w:szCs w:val="20"/>
        </w:rPr>
        <w:t xml:space="preserve"> and support  would cost $300 over three years involving annual expenditure of $100 in a single host jurisdiction.  To fund an NDIS, jurisdictions provides the following funding:</w:t>
      </w:r>
    </w:p>
    <w:p w:rsidR="00E54916" w:rsidRPr="00E54916" w:rsidRDefault="00415A02" w:rsidP="00415A02">
      <w:pPr>
        <w:ind w:left="562" w:hanging="562"/>
        <w:rPr>
          <w:szCs w:val="20"/>
        </w:rPr>
      </w:pPr>
      <w:r>
        <w:rPr>
          <w:szCs w:val="20"/>
        </w:rPr>
        <w:t>1.</w:t>
      </w:r>
      <w:r>
        <w:rPr>
          <w:szCs w:val="20"/>
        </w:rPr>
        <w:tab/>
      </w:r>
      <w:r w:rsidR="00E54916" w:rsidRPr="00E54916">
        <w:rPr>
          <w:szCs w:val="20"/>
        </w:rPr>
        <w:t>Commonwealth contributes $40 per year, involving $20 cash and $20 in kind; and</w:t>
      </w:r>
    </w:p>
    <w:p w:rsidR="00E54916" w:rsidRPr="00E54916" w:rsidRDefault="00415A02" w:rsidP="00415A02">
      <w:pPr>
        <w:spacing w:after="240"/>
        <w:ind w:left="570" w:hanging="570"/>
        <w:rPr>
          <w:szCs w:val="20"/>
        </w:rPr>
      </w:pPr>
      <w:r>
        <w:rPr>
          <w:szCs w:val="20"/>
        </w:rPr>
        <w:t>2.</w:t>
      </w:r>
      <w:r>
        <w:rPr>
          <w:szCs w:val="20"/>
        </w:rPr>
        <w:tab/>
      </w:r>
      <w:r w:rsidR="00E54916" w:rsidRPr="00E54916">
        <w:rPr>
          <w:szCs w:val="20"/>
        </w:rPr>
        <w:t>Host jurisdiction contributes $60 per year, involving $30 cash and $30 in kind.</w:t>
      </w:r>
    </w:p>
    <w:tbl>
      <w:tblPr>
        <w:tblW w:w="5000" w:type="pct"/>
        <w:tblInd w:w="93" w:type="dxa"/>
        <w:tblLayout w:type="fixed"/>
        <w:tblLook w:val="00A0" w:firstRow="1" w:lastRow="0" w:firstColumn="1" w:lastColumn="0" w:noHBand="0" w:noVBand="0"/>
        <w:tblCaption w:val="Summary of launch"/>
        <w:tblDescription w:val="This table shows estimated Commonwealth and State contribution for 2013 to 2016."/>
      </w:tblPr>
      <w:tblGrid>
        <w:gridCol w:w="5265"/>
        <w:gridCol w:w="1340"/>
        <w:gridCol w:w="1340"/>
        <w:gridCol w:w="1341"/>
      </w:tblGrid>
      <w:tr w:rsidR="00E54916" w:rsidRPr="00E54916" w:rsidTr="0036785F">
        <w:trPr>
          <w:cantSplit/>
          <w:tblHeader/>
        </w:trPr>
        <w:tc>
          <w:tcPr>
            <w:tcW w:w="5402"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415A02" w:rsidRDefault="00E54916" w:rsidP="0036785F">
            <w:pPr>
              <w:pStyle w:val="TableHeading"/>
            </w:pPr>
            <w:r w:rsidRPr="00415A02">
              <w:t>Summary of launch</w:t>
            </w:r>
          </w:p>
        </w:tc>
        <w:tc>
          <w:tcPr>
            <w:tcW w:w="1370"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415A02" w:rsidRDefault="00E54916" w:rsidP="0036785F">
            <w:pPr>
              <w:pStyle w:val="TableHeading"/>
              <w:jc w:val="right"/>
              <w:rPr>
                <w:bCs/>
              </w:rPr>
            </w:pPr>
            <w:r w:rsidRPr="00415A02">
              <w:rPr>
                <w:bCs/>
              </w:rPr>
              <w:t>2013-14</w:t>
            </w:r>
          </w:p>
        </w:tc>
        <w:tc>
          <w:tcPr>
            <w:tcW w:w="1370"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415A02" w:rsidRDefault="00E54916" w:rsidP="0036785F">
            <w:pPr>
              <w:pStyle w:val="TableHeading"/>
              <w:jc w:val="right"/>
              <w:rPr>
                <w:bCs/>
              </w:rPr>
            </w:pPr>
            <w:r w:rsidRPr="00415A02">
              <w:rPr>
                <w:bCs/>
              </w:rPr>
              <w:t>2014-15</w:t>
            </w:r>
          </w:p>
        </w:tc>
        <w:tc>
          <w:tcPr>
            <w:tcW w:w="1371"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415A02" w:rsidRDefault="00E54916" w:rsidP="0036785F">
            <w:pPr>
              <w:pStyle w:val="TableHeading"/>
              <w:jc w:val="right"/>
              <w:rPr>
                <w:bCs/>
              </w:rPr>
            </w:pPr>
            <w:r w:rsidRPr="00415A02">
              <w:rPr>
                <w:bCs/>
              </w:rPr>
              <w:t>2015-16</w:t>
            </w:r>
          </w:p>
        </w:tc>
      </w:tr>
      <w:tr w:rsidR="00E54916" w:rsidRPr="00E54916" w:rsidTr="0036785F">
        <w:trPr>
          <w:cantSplit/>
        </w:trPr>
        <w:tc>
          <w:tcPr>
            <w:tcW w:w="5402" w:type="dxa"/>
            <w:tcBorders>
              <w:top w:val="single" w:sz="6" w:space="0" w:color="auto"/>
              <w:left w:val="single" w:sz="4" w:space="0" w:color="002060"/>
            </w:tcBorders>
            <w:noWrap/>
            <w:vAlign w:val="bottom"/>
          </w:tcPr>
          <w:p w:rsidR="00E54916" w:rsidRPr="00E54916" w:rsidRDefault="00E54916" w:rsidP="0036785F">
            <w:pPr>
              <w:pStyle w:val="TableText"/>
            </w:pPr>
            <w:r w:rsidRPr="00E54916">
              <w:t>Estimated Commonwealth cash contribution</w:t>
            </w:r>
          </w:p>
        </w:tc>
        <w:tc>
          <w:tcPr>
            <w:tcW w:w="1370" w:type="dxa"/>
            <w:tcBorders>
              <w:top w:val="single" w:sz="6" w:space="0" w:color="auto"/>
            </w:tcBorders>
            <w:noWrap/>
            <w:vAlign w:val="bottom"/>
          </w:tcPr>
          <w:p w:rsidR="00E54916" w:rsidRPr="00E54916" w:rsidRDefault="00E54916" w:rsidP="0036785F">
            <w:pPr>
              <w:pStyle w:val="TableText"/>
              <w:jc w:val="right"/>
            </w:pPr>
            <w:r w:rsidRPr="00E54916">
              <w:t>20</w:t>
            </w:r>
          </w:p>
        </w:tc>
        <w:tc>
          <w:tcPr>
            <w:tcW w:w="1370" w:type="dxa"/>
            <w:tcBorders>
              <w:top w:val="single" w:sz="6" w:space="0" w:color="auto"/>
            </w:tcBorders>
            <w:noWrap/>
            <w:vAlign w:val="bottom"/>
          </w:tcPr>
          <w:p w:rsidR="00E54916" w:rsidRPr="00E54916" w:rsidRDefault="00E54916" w:rsidP="0036785F">
            <w:pPr>
              <w:pStyle w:val="TableText"/>
              <w:jc w:val="right"/>
            </w:pPr>
            <w:r w:rsidRPr="00E54916">
              <w:t>20</w:t>
            </w:r>
          </w:p>
        </w:tc>
        <w:tc>
          <w:tcPr>
            <w:tcW w:w="1371" w:type="dxa"/>
            <w:tcBorders>
              <w:top w:val="single" w:sz="6" w:space="0" w:color="auto"/>
              <w:right w:val="single" w:sz="4" w:space="0" w:color="002060"/>
            </w:tcBorders>
            <w:noWrap/>
            <w:vAlign w:val="bottom"/>
          </w:tcPr>
          <w:p w:rsidR="00E54916" w:rsidRPr="00E54916" w:rsidRDefault="00E54916" w:rsidP="0036785F">
            <w:pPr>
              <w:pStyle w:val="TableText"/>
              <w:jc w:val="right"/>
            </w:pPr>
            <w:r w:rsidRPr="00E54916">
              <w:t>20</w:t>
            </w:r>
          </w:p>
        </w:tc>
      </w:tr>
      <w:tr w:rsidR="00E54916" w:rsidRPr="00E54916" w:rsidTr="0036785F">
        <w:trPr>
          <w:cantSplit/>
        </w:trPr>
        <w:tc>
          <w:tcPr>
            <w:tcW w:w="5402" w:type="dxa"/>
            <w:tcBorders>
              <w:left w:val="single" w:sz="4" w:space="0" w:color="002060"/>
            </w:tcBorders>
            <w:noWrap/>
            <w:vAlign w:val="bottom"/>
          </w:tcPr>
          <w:p w:rsidR="00E54916" w:rsidRPr="00E54916" w:rsidRDefault="00E54916" w:rsidP="0036785F">
            <w:pPr>
              <w:pStyle w:val="TableText"/>
            </w:pPr>
            <w:r w:rsidRPr="00E54916">
              <w:t>Estimated Commonwealth in-kind contribution</w:t>
            </w:r>
          </w:p>
        </w:tc>
        <w:tc>
          <w:tcPr>
            <w:tcW w:w="1370" w:type="dxa"/>
            <w:noWrap/>
            <w:vAlign w:val="bottom"/>
          </w:tcPr>
          <w:p w:rsidR="00E54916" w:rsidRPr="00E54916" w:rsidRDefault="00E54916" w:rsidP="0036785F">
            <w:pPr>
              <w:pStyle w:val="TableText"/>
              <w:jc w:val="right"/>
            </w:pPr>
            <w:r w:rsidRPr="00E54916">
              <w:t>20</w:t>
            </w:r>
          </w:p>
        </w:tc>
        <w:tc>
          <w:tcPr>
            <w:tcW w:w="1370" w:type="dxa"/>
            <w:noWrap/>
            <w:vAlign w:val="bottom"/>
          </w:tcPr>
          <w:p w:rsidR="00E54916" w:rsidRPr="00E54916" w:rsidRDefault="00E54916" w:rsidP="0036785F">
            <w:pPr>
              <w:pStyle w:val="TableText"/>
              <w:jc w:val="right"/>
            </w:pPr>
            <w:r w:rsidRPr="00E54916">
              <w:t>20</w:t>
            </w:r>
          </w:p>
        </w:tc>
        <w:tc>
          <w:tcPr>
            <w:tcW w:w="1371" w:type="dxa"/>
            <w:tcBorders>
              <w:right w:val="single" w:sz="4" w:space="0" w:color="002060"/>
            </w:tcBorders>
            <w:noWrap/>
            <w:vAlign w:val="bottom"/>
          </w:tcPr>
          <w:p w:rsidR="00E54916" w:rsidRPr="00E54916" w:rsidRDefault="00E54916" w:rsidP="0036785F">
            <w:pPr>
              <w:pStyle w:val="TableText"/>
              <w:jc w:val="right"/>
            </w:pPr>
            <w:r w:rsidRPr="00E54916">
              <w:t>20</w:t>
            </w:r>
          </w:p>
        </w:tc>
      </w:tr>
      <w:tr w:rsidR="00E54916" w:rsidRPr="00E54916" w:rsidTr="0036785F">
        <w:trPr>
          <w:cantSplit/>
        </w:trPr>
        <w:tc>
          <w:tcPr>
            <w:tcW w:w="5402" w:type="dxa"/>
            <w:tcBorders>
              <w:left w:val="single" w:sz="4" w:space="0" w:color="002060"/>
            </w:tcBorders>
            <w:noWrap/>
            <w:vAlign w:val="bottom"/>
          </w:tcPr>
          <w:p w:rsidR="00E54916" w:rsidRPr="00E54916" w:rsidRDefault="00E54916" w:rsidP="0036785F">
            <w:pPr>
              <w:pStyle w:val="TableText"/>
            </w:pPr>
            <w:r w:rsidRPr="00E54916">
              <w:t>Estimated State cash contribution</w:t>
            </w:r>
          </w:p>
        </w:tc>
        <w:tc>
          <w:tcPr>
            <w:tcW w:w="1370" w:type="dxa"/>
            <w:noWrap/>
            <w:vAlign w:val="bottom"/>
          </w:tcPr>
          <w:p w:rsidR="00E54916" w:rsidRPr="00E54916" w:rsidRDefault="00E54916" w:rsidP="0036785F">
            <w:pPr>
              <w:pStyle w:val="TableText"/>
              <w:jc w:val="right"/>
            </w:pPr>
            <w:r w:rsidRPr="00E54916">
              <w:t>30</w:t>
            </w:r>
          </w:p>
        </w:tc>
        <w:tc>
          <w:tcPr>
            <w:tcW w:w="1370" w:type="dxa"/>
            <w:noWrap/>
            <w:vAlign w:val="bottom"/>
          </w:tcPr>
          <w:p w:rsidR="00E54916" w:rsidRPr="00E54916" w:rsidRDefault="00E54916" w:rsidP="0036785F">
            <w:pPr>
              <w:pStyle w:val="TableText"/>
              <w:jc w:val="right"/>
            </w:pPr>
            <w:r w:rsidRPr="00E54916">
              <w:t>30</w:t>
            </w:r>
          </w:p>
        </w:tc>
        <w:tc>
          <w:tcPr>
            <w:tcW w:w="1371" w:type="dxa"/>
            <w:tcBorders>
              <w:right w:val="single" w:sz="4" w:space="0" w:color="002060"/>
            </w:tcBorders>
            <w:noWrap/>
            <w:vAlign w:val="bottom"/>
          </w:tcPr>
          <w:p w:rsidR="00E54916" w:rsidRPr="00E54916" w:rsidRDefault="00E54916" w:rsidP="0036785F">
            <w:pPr>
              <w:pStyle w:val="TableText"/>
              <w:jc w:val="right"/>
            </w:pPr>
            <w:r w:rsidRPr="00E54916">
              <w:t>30</w:t>
            </w:r>
          </w:p>
        </w:tc>
      </w:tr>
      <w:tr w:rsidR="00E54916" w:rsidRPr="00E54916" w:rsidTr="0036785F">
        <w:trPr>
          <w:cantSplit/>
        </w:trPr>
        <w:tc>
          <w:tcPr>
            <w:tcW w:w="5402" w:type="dxa"/>
            <w:tcBorders>
              <w:left w:val="single" w:sz="4" w:space="0" w:color="002060"/>
            </w:tcBorders>
            <w:noWrap/>
            <w:vAlign w:val="bottom"/>
          </w:tcPr>
          <w:p w:rsidR="00E54916" w:rsidRPr="00E54916" w:rsidRDefault="00E54916" w:rsidP="0036785F">
            <w:pPr>
              <w:pStyle w:val="TableText"/>
            </w:pPr>
            <w:r w:rsidRPr="00E54916">
              <w:t>Estimated State in-kind contribution</w:t>
            </w:r>
          </w:p>
        </w:tc>
        <w:tc>
          <w:tcPr>
            <w:tcW w:w="1370" w:type="dxa"/>
            <w:noWrap/>
            <w:vAlign w:val="bottom"/>
          </w:tcPr>
          <w:p w:rsidR="00E54916" w:rsidRPr="00E54916" w:rsidRDefault="00E54916" w:rsidP="0036785F">
            <w:pPr>
              <w:pStyle w:val="TableText"/>
              <w:jc w:val="right"/>
            </w:pPr>
            <w:r w:rsidRPr="00E54916">
              <w:t>30</w:t>
            </w:r>
          </w:p>
        </w:tc>
        <w:tc>
          <w:tcPr>
            <w:tcW w:w="1370" w:type="dxa"/>
            <w:noWrap/>
            <w:vAlign w:val="bottom"/>
          </w:tcPr>
          <w:p w:rsidR="00E54916" w:rsidRPr="00E54916" w:rsidRDefault="00E54916" w:rsidP="0036785F">
            <w:pPr>
              <w:pStyle w:val="TableText"/>
              <w:jc w:val="right"/>
            </w:pPr>
            <w:r w:rsidRPr="00E54916">
              <w:t>30</w:t>
            </w:r>
          </w:p>
        </w:tc>
        <w:tc>
          <w:tcPr>
            <w:tcW w:w="1371" w:type="dxa"/>
            <w:tcBorders>
              <w:right w:val="single" w:sz="4" w:space="0" w:color="002060"/>
            </w:tcBorders>
            <w:noWrap/>
            <w:vAlign w:val="bottom"/>
          </w:tcPr>
          <w:p w:rsidR="00E54916" w:rsidRPr="00E54916" w:rsidRDefault="00E54916" w:rsidP="0036785F">
            <w:pPr>
              <w:pStyle w:val="TableText"/>
              <w:jc w:val="right"/>
            </w:pPr>
            <w:r w:rsidRPr="00E54916">
              <w:t>30</w:t>
            </w:r>
          </w:p>
        </w:tc>
      </w:tr>
      <w:tr w:rsidR="00E54916" w:rsidRPr="00E54916" w:rsidTr="0036785F">
        <w:trPr>
          <w:cantSplit/>
        </w:trPr>
        <w:tc>
          <w:tcPr>
            <w:tcW w:w="5402" w:type="dxa"/>
            <w:tcBorders>
              <w:left w:val="single" w:sz="4" w:space="0" w:color="002060"/>
              <w:bottom w:val="single" w:sz="4" w:space="0" w:color="auto"/>
            </w:tcBorders>
            <w:noWrap/>
            <w:vAlign w:val="bottom"/>
          </w:tcPr>
          <w:p w:rsidR="00E54916" w:rsidRPr="0036785F" w:rsidRDefault="00E54916" w:rsidP="0036785F">
            <w:pPr>
              <w:pStyle w:val="TableText"/>
              <w:rPr>
                <w:b/>
                <w:bCs/>
              </w:rPr>
            </w:pPr>
            <w:r w:rsidRPr="0036785F">
              <w:rPr>
                <w:b/>
                <w:bCs/>
              </w:rPr>
              <w:t>Total</w:t>
            </w:r>
          </w:p>
        </w:tc>
        <w:tc>
          <w:tcPr>
            <w:tcW w:w="1370" w:type="dxa"/>
            <w:tcBorders>
              <w:bottom w:val="single" w:sz="4" w:space="0" w:color="auto"/>
            </w:tcBorders>
            <w:noWrap/>
            <w:vAlign w:val="bottom"/>
          </w:tcPr>
          <w:p w:rsidR="00E54916" w:rsidRPr="0036785F" w:rsidRDefault="00E54916" w:rsidP="0036785F">
            <w:pPr>
              <w:pStyle w:val="TableText"/>
              <w:jc w:val="right"/>
              <w:rPr>
                <w:b/>
                <w:bCs/>
              </w:rPr>
            </w:pPr>
            <w:r w:rsidRPr="0036785F">
              <w:rPr>
                <w:b/>
                <w:bCs/>
              </w:rPr>
              <w:t>100</w:t>
            </w:r>
          </w:p>
        </w:tc>
        <w:tc>
          <w:tcPr>
            <w:tcW w:w="1370" w:type="dxa"/>
            <w:tcBorders>
              <w:bottom w:val="single" w:sz="4" w:space="0" w:color="auto"/>
            </w:tcBorders>
            <w:noWrap/>
            <w:vAlign w:val="bottom"/>
          </w:tcPr>
          <w:p w:rsidR="00E54916" w:rsidRPr="0036785F" w:rsidRDefault="00E54916" w:rsidP="0036785F">
            <w:pPr>
              <w:pStyle w:val="TableText"/>
              <w:jc w:val="right"/>
              <w:rPr>
                <w:b/>
                <w:bCs/>
              </w:rPr>
            </w:pPr>
            <w:r w:rsidRPr="0036785F">
              <w:rPr>
                <w:b/>
                <w:bCs/>
              </w:rPr>
              <w:t>100</w:t>
            </w:r>
          </w:p>
        </w:tc>
        <w:tc>
          <w:tcPr>
            <w:tcW w:w="1371" w:type="dxa"/>
            <w:tcBorders>
              <w:bottom w:val="single" w:sz="4" w:space="0" w:color="auto"/>
              <w:right w:val="single" w:sz="4" w:space="0" w:color="002060"/>
            </w:tcBorders>
            <w:noWrap/>
            <w:vAlign w:val="bottom"/>
          </w:tcPr>
          <w:p w:rsidR="00E54916" w:rsidRPr="0036785F" w:rsidRDefault="00E54916" w:rsidP="0036785F">
            <w:pPr>
              <w:pStyle w:val="TableText"/>
              <w:jc w:val="right"/>
              <w:rPr>
                <w:b/>
                <w:bCs/>
              </w:rPr>
            </w:pPr>
            <w:r w:rsidRPr="0036785F">
              <w:rPr>
                <w:b/>
                <w:bCs/>
              </w:rPr>
              <w:t>100</w:t>
            </w:r>
          </w:p>
        </w:tc>
      </w:tr>
    </w:tbl>
    <w:p w:rsidR="00E54916" w:rsidRPr="00E54916" w:rsidRDefault="00E54916" w:rsidP="00E54916">
      <w:pPr>
        <w:rPr>
          <w:szCs w:val="20"/>
        </w:rPr>
      </w:pPr>
      <w:r w:rsidRPr="00E54916">
        <w:rPr>
          <w:szCs w:val="20"/>
        </w:rPr>
        <w:t xml:space="preserve">The Scenario tables are best interpreted by working downwards the columns starting in </w:t>
      </w:r>
      <w:r w:rsidRPr="00E54916">
        <w:rPr>
          <w:szCs w:val="20"/>
        </w:rPr>
        <w:br/>
        <w:t xml:space="preserve">2013-14.  The ‘End of year cash outcome for Agency’ is then carried over to the opening balance in the next financial year in the column for 2014-15 etc. </w:t>
      </w:r>
    </w:p>
    <w:p w:rsidR="00E54916" w:rsidRPr="00E54916" w:rsidRDefault="00E54916" w:rsidP="00E54916">
      <w:pPr>
        <w:rPr>
          <w:szCs w:val="20"/>
        </w:rPr>
      </w:pPr>
      <w:r w:rsidRPr="00E54916">
        <w:rPr>
          <w:szCs w:val="20"/>
        </w:rPr>
        <w:t>Scenarios involving overspends in in-kind services have not been modelled, on the assumption that jurisdictions will agree to provide only a limited level of in-kind services. Once this limit is reached, the Agency will need to fund the necessary services using cash on a per unit basis.</w:t>
      </w:r>
    </w:p>
    <w:p w:rsidR="00E54916" w:rsidRPr="00E54916" w:rsidRDefault="00E54916" w:rsidP="000C65A6">
      <w:pPr>
        <w:pStyle w:val="Heading2"/>
      </w:pPr>
      <w:r w:rsidRPr="00E54916">
        <w:t>Scenario 1 – net cash underspend</w:t>
      </w:r>
    </w:p>
    <w:p w:rsidR="00E54916" w:rsidRPr="00E54916" w:rsidRDefault="00E54916" w:rsidP="0036785F">
      <w:pPr>
        <w:spacing w:after="240"/>
        <w:rPr>
          <w:szCs w:val="20"/>
        </w:rPr>
      </w:pPr>
      <w:r w:rsidRPr="00E54916">
        <w:rPr>
          <w:szCs w:val="20"/>
        </w:rPr>
        <w:t xml:space="preserve">This scenario models </w:t>
      </w:r>
      <w:proofErr w:type="gramStart"/>
      <w:r w:rsidRPr="00E54916">
        <w:rPr>
          <w:szCs w:val="20"/>
        </w:rPr>
        <w:t>a net</w:t>
      </w:r>
      <w:proofErr w:type="gramEnd"/>
      <w:r w:rsidRPr="00E54916">
        <w:rPr>
          <w:szCs w:val="20"/>
        </w:rPr>
        <w:t xml:space="preserve"> cash underspend over three years, involving actual cash expenditure of $40 per year in 2013-14 and 2014-15, compared to an expected expenditure of $50 per year.  This reduces total NDIS expenditure to $280 over three years. </w:t>
      </w:r>
    </w:p>
    <w:tbl>
      <w:tblPr>
        <w:tblW w:w="5000" w:type="pct"/>
        <w:tblInd w:w="93" w:type="dxa"/>
        <w:tblLayout w:type="fixed"/>
        <w:tblLook w:val="00A0" w:firstRow="1" w:lastRow="0" w:firstColumn="1" w:lastColumn="0" w:noHBand="0" w:noVBand="0"/>
        <w:tblCaption w:val="Scenario 1 – net cash underspend"/>
        <w:tblDescription w:val="This table shows estimated contribution and expenditure from 2013 to 2016."/>
      </w:tblPr>
      <w:tblGrid>
        <w:gridCol w:w="5265"/>
        <w:gridCol w:w="1340"/>
        <w:gridCol w:w="1340"/>
        <w:gridCol w:w="1341"/>
      </w:tblGrid>
      <w:tr w:rsidR="00E54916" w:rsidRPr="0036785F" w:rsidTr="0036785F">
        <w:trPr>
          <w:cantSplit/>
          <w:tblHeader/>
        </w:trPr>
        <w:tc>
          <w:tcPr>
            <w:tcW w:w="5402"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36785F" w:rsidRDefault="00E54916" w:rsidP="0036785F">
            <w:pPr>
              <w:pStyle w:val="TableHeading"/>
              <w:rPr>
                <w:sz w:val="16"/>
                <w:szCs w:val="16"/>
              </w:rPr>
            </w:pPr>
            <w:r w:rsidRPr="0036785F">
              <w:rPr>
                <w:sz w:val="16"/>
                <w:szCs w:val="16"/>
              </w:rPr>
              <w:t>Summary of launch</w:t>
            </w:r>
          </w:p>
        </w:tc>
        <w:tc>
          <w:tcPr>
            <w:tcW w:w="1370"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36785F" w:rsidRDefault="00E54916" w:rsidP="0036785F">
            <w:pPr>
              <w:pStyle w:val="TableHeading"/>
              <w:jc w:val="right"/>
              <w:rPr>
                <w:bCs/>
                <w:sz w:val="16"/>
                <w:szCs w:val="16"/>
              </w:rPr>
            </w:pPr>
            <w:r w:rsidRPr="0036785F">
              <w:rPr>
                <w:bCs/>
                <w:sz w:val="16"/>
                <w:szCs w:val="16"/>
              </w:rPr>
              <w:t>2013-14</w:t>
            </w:r>
          </w:p>
        </w:tc>
        <w:tc>
          <w:tcPr>
            <w:tcW w:w="1370"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36785F" w:rsidRDefault="00E54916" w:rsidP="0036785F">
            <w:pPr>
              <w:pStyle w:val="TableHeading"/>
              <w:jc w:val="right"/>
              <w:rPr>
                <w:bCs/>
                <w:sz w:val="16"/>
                <w:szCs w:val="16"/>
              </w:rPr>
            </w:pPr>
            <w:r w:rsidRPr="0036785F">
              <w:rPr>
                <w:bCs/>
                <w:sz w:val="16"/>
                <w:szCs w:val="16"/>
              </w:rPr>
              <w:t>2014-15</w:t>
            </w:r>
          </w:p>
        </w:tc>
        <w:tc>
          <w:tcPr>
            <w:tcW w:w="1371"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36785F" w:rsidRDefault="00E54916" w:rsidP="0036785F">
            <w:pPr>
              <w:pStyle w:val="TableHeading"/>
              <w:jc w:val="right"/>
              <w:rPr>
                <w:bCs/>
                <w:sz w:val="16"/>
                <w:szCs w:val="16"/>
              </w:rPr>
            </w:pPr>
            <w:r w:rsidRPr="0036785F">
              <w:rPr>
                <w:bCs/>
                <w:sz w:val="16"/>
                <w:szCs w:val="16"/>
              </w:rPr>
              <w:t>2015-16</w:t>
            </w:r>
          </w:p>
        </w:tc>
      </w:tr>
      <w:tr w:rsidR="00E54916" w:rsidRPr="00E54916" w:rsidTr="0036785F">
        <w:trPr>
          <w:cantSplit/>
        </w:trPr>
        <w:tc>
          <w:tcPr>
            <w:tcW w:w="5402" w:type="dxa"/>
            <w:tcBorders>
              <w:top w:val="single" w:sz="6" w:space="0" w:color="auto"/>
              <w:left w:val="single" w:sz="4" w:space="0" w:color="002060"/>
              <w:bottom w:val="single" w:sz="4" w:space="0" w:color="auto"/>
            </w:tcBorders>
            <w:noWrap/>
          </w:tcPr>
          <w:p w:rsidR="00E54916" w:rsidRPr="0036785F" w:rsidRDefault="00E54916" w:rsidP="0036785F">
            <w:pPr>
              <w:pStyle w:val="TableText"/>
              <w:rPr>
                <w:b/>
                <w:bCs/>
                <w:sz w:val="16"/>
                <w:szCs w:val="16"/>
              </w:rPr>
            </w:pPr>
            <w:r w:rsidRPr="0036785F">
              <w:rPr>
                <w:b/>
                <w:bCs/>
                <w:sz w:val="16"/>
                <w:szCs w:val="16"/>
              </w:rPr>
              <w:t>Agency cash balance - carry over from previous year</w:t>
            </w:r>
          </w:p>
        </w:tc>
        <w:tc>
          <w:tcPr>
            <w:tcW w:w="1370" w:type="dxa"/>
            <w:tcBorders>
              <w:top w:val="single" w:sz="6" w:space="0" w:color="auto"/>
              <w:bottom w:val="single" w:sz="4" w:space="0" w:color="auto"/>
            </w:tcBorders>
            <w:noWrap/>
          </w:tcPr>
          <w:p w:rsidR="00E54916" w:rsidRPr="0036785F" w:rsidRDefault="00E54916" w:rsidP="0036785F">
            <w:pPr>
              <w:pStyle w:val="TableText"/>
              <w:jc w:val="right"/>
              <w:rPr>
                <w:b/>
                <w:bCs/>
                <w:sz w:val="16"/>
                <w:szCs w:val="16"/>
              </w:rPr>
            </w:pPr>
            <w:r w:rsidRPr="0036785F">
              <w:rPr>
                <w:b/>
                <w:bCs/>
                <w:sz w:val="16"/>
                <w:szCs w:val="16"/>
              </w:rPr>
              <w:t>0</w:t>
            </w:r>
          </w:p>
        </w:tc>
        <w:tc>
          <w:tcPr>
            <w:tcW w:w="1370" w:type="dxa"/>
            <w:tcBorders>
              <w:top w:val="single" w:sz="6" w:space="0" w:color="auto"/>
              <w:bottom w:val="single" w:sz="4" w:space="0" w:color="auto"/>
            </w:tcBorders>
            <w:noWrap/>
          </w:tcPr>
          <w:p w:rsidR="00E54916" w:rsidRPr="0036785F" w:rsidRDefault="00E54916" w:rsidP="0036785F">
            <w:pPr>
              <w:pStyle w:val="TableText"/>
              <w:jc w:val="right"/>
              <w:rPr>
                <w:b/>
                <w:bCs/>
                <w:sz w:val="16"/>
                <w:szCs w:val="16"/>
              </w:rPr>
            </w:pPr>
            <w:r w:rsidRPr="0036785F">
              <w:rPr>
                <w:b/>
                <w:bCs/>
                <w:sz w:val="16"/>
                <w:szCs w:val="16"/>
              </w:rPr>
              <w:t>10</w:t>
            </w:r>
          </w:p>
        </w:tc>
        <w:tc>
          <w:tcPr>
            <w:tcW w:w="1371" w:type="dxa"/>
            <w:tcBorders>
              <w:top w:val="single" w:sz="6" w:space="0" w:color="auto"/>
              <w:bottom w:val="single" w:sz="4" w:space="0" w:color="auto"/>
              <w:right w:val="single" w:sz="4" w:space="0" w:color="002060"/>
            </w:tcBorders>
            <w:noWrap/>
          </w:tcPr>
          <w:p w:rsidR="00E54916" w:rsidRPr="0036785F" w:rsidRDefault="00E54916" w:rsidP="0036785F">
            <w:pPr>
              <w:pStyle w:val="TableText"/>
              <w:jc w:val="right"/>
              <w:rPr>
                <w:b/>
                <w:bCs/>
                <w:sz w:val="16"/>
                <w:szCs w:val="16"/>
              </w:rPr>
            </w:pPr>
            <w:r w:rsidRPr="0036785F">
              <w:rPr>
                <w:b/>
                <w:bCs/>
                <w:sz w:val="16"/>
                <w:szCs w:val="16"/>
              </w:rPr>
              <w:t>10</w:t>
            </w:r>
          </w:p>
        </w:tc>
      </w:tr>
      <w:tr w:rsidR="00E54916" w:rsidRPr="00E54916" w:rsidTr="0036785F">
        <w:trPr>
          <w:cantSplit/>
        </w:trPr>
        <w:tc>
          <w:tcPr>
            <w:tcW w:w="5402" w:type="dxa"/>
            <w:tcBorders>
              <w:left w:val="single" w:sz="4" w:space="0" w:color="002060"/>
            </w:tcBorders>
            <w:noWrap/>
          </w:tcPr>
          <w:p w:rsidR="00E54916" w:rsidRPr="0036785F" w:rsidRDefault="00E54916" w:rsidP="0036785F">
            <w:pPr>
              <w:pStyle w:val="TableText"/>
              <w:rPr>
                <w:b/>
                <w:bCs/>
                <w:sz w:val="16"/>
                <w:szCs w:val="16"/>
              </w:rPr>
            </w:pPr>
            <w:r w:rsidRPr="0036785F">
              <w:rPr>
                <w:b/>
                <w:bCs/>
                <w:sz w:val="16"/>
                <w:szCs w:val="16"/>
              </w:rPr>
              <w:t>Beginning of the year actual cash contributions</w:t>
            </w:r>
          </w:p>
        </w:tc>
        <w:tc>
          <w:tcPr>
            <w:tcW w:w="1370" w:type="dxa"/>
            <w:noWrap/>
          </w:tcPr>
          <w:p w:rsidR="00E54916" w:rsidRPr="0036785F" w:rsidRDefault="00E54916" w:rsidP="0036785F">
            <w:pPr>
              <w:pStyle w:val="TableText"/>
              <w:jc w:val="right"/>
              <w:rPr>
                <w:bCs/>
                <w:sz w:val="16"/>
                <w:szCs w:val="16"/>
              </w:rPr>
            </w:pPr>
          </w:p>
        </w:tc>
        <w:tc>
          <w:tcPr>
            <w:tcW w:w="1370" w:type="dxa"/>
            <w:noWrap/>
          </w:tcPr>
          <w:p w:rsidR="00E54916" w:rsidRPr="0036785F" w:rsidRDefault="00E54916" w:rsidP="0036785F">
            <w:pPr>
              <w:pStyle w:val="TableText"/>
              <w:jc w:val="right"/>
              <w:rPr>
                <w:bCs/>
                <w:sz w:val="16"/>
                <w:szCs w:val="16"/>
              </w:rPr>
            </w:pPr>
          </w:p>
        </w:tc>
        <w:tc>
          <w:tcPr>
            <w:tcW w:w="1371" w:type="dxa"/>
            <w:tcBorders>
              <w:right w:val="single" w:sz="4" w:space="0" w:color="002060"/>
            </w:tcBorders>
            <w:noWrap/>
          </w:tcPr>
          <w:p w:rsidR="00E54916" w:rsidRPr="0036785F" w:rsidRDefault="00E54916" w:rsidP="0036785F">
            <w:pPr>
              <w:pStyle w:val="TableText"/>
              <w:jc w:val="right"/>
              <w:rPr>
                <w:bCs/>
                <w:sz w:val="16"/>
                <w:szCs w:val="16"/>
              </w:rPr>
            </w:pPr>
          </w:p>
        </w:tc>
      </w:tr>
      <w:tr w:rsidR="00E54916" w:rsidRPr="00E54916" w:rsidTr="0036785F">
        <w:trPr>
          <w:cantSplit/>
        </w:trPr>
        <w:tc>
          <w:tcPr>
            <w:tcW w:w="5402" w:type="dxa"/>
            <w:tcBorders>
              <w:left w:val="single" w:sz="4" w:space="0" w:color="002060"/>
            </w:tcBorders>
            <w:noWrap/>
          </w:tcPr>
          <w:p w:rsidR="00E54916" w:rsidRPr="0036785F" w:rsidRDefault="00E54916" w:rsidP="0036785F">
            <w:pPr>
              <w:pStyle w:val="TableText"/>
              <w:rPr>
                <w:sz w:val="16"/>
                <w:szCs w:val="16"/>
              </w:rPr>
            </w:pPr>
            <w:r w:rsidRPr="0036785F">
              <w:rPr>
                <w:sz w:val="16"/>
                <w:szCs w:val="16"/>
              </w:rPr>
              <w:t>Commonwealth scheduled cash contribution</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20</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20</w:t>
            </w:r>
          </w:p>
        </w:tc>
        <w:tc>
          <w:tcPr>
            <w:tcW w:w="1371" w:type="dxa"/>
            <w:tcBorders>
              <w:right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20</w:t>
            </w:r>
          </w:p>
        </w:tc>
      </w:tr>
      <w:tr w:rsidR="00E54916" w:rsidRPr="00E54916" w:rsidTr="0036785F">
        <w:trPr>
          <w:cantSplit/>
        </w:trPr>
        <w:tc>
          <w:tcPr>
            <w:tcW w:w="5402" w:type="dxa"/>
            <w:tcBorders>
              <w:left w:val="single" w:sz="4" w:space="0" w:color="002060"/>
            </w:tcBorders>
            <w:noWrap/>
          </w:tcPr>
          <w:p w:rsidR="00E54916" w:rsidRPr="0036785F" w:rsidRDefault="00E54916" w:rsidP="0036785F">
            <w:pPr>
              <w:pStyle w:val="TableText"/>
              <w:rPr>
                <w:sz w:val="16"/>
                <w:szCs w:val="16"/>
              </w:rPr>
            </w:pPr>
            <w:r w:rsidRPr="0036785F">
              <w:rPr>
                <w:sz w:val="16"/>
                <w:szCs w:val="16"/>
              </w:rPr>
              <w:t>State scheduled cash contribution</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30</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30</w:t>
            </w:r>
          </w:p>
        </w:tc>
        <w:tc>
          <w:tcPr>
            <w:tcW w:w="1371" w:type="dxa"/>
            <w:tcBorders>
              <w:right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30</w:t>
            </w:r>
          </w:p>
        </w:tc>
      </w:tr>
      <w:tr w:rsidR="00E54916" w:rsidRPr="00E54916" w:rsidTr="0036785F">
        <w:trPr>
          <w:cantSplit/>
        </w:trPr>
        <w:tc>
          <w:tcPr>
            <w:tcW w:w="5402" w:type="dxa"/>
            <w:tcBorders>
              <w:left w:val="single" w:sz="4" w:space="0" w:color="002060"/>
            </w:tcBorders>
            <w:noWrap/>
            <w:vAlign w:val="bottom"/>
          </w:tcPr>
          <w:p w:rsidR="00E54916" w:rsidRPr="0036785F" w:rsidRDefault="00E54916" w:rsidP="0036785F">
            <w:pPr>
              <w:pStyle w:val="TableText"/>
              <w:rPr>
                <w:sz w:val="16"/>
                <w:szCs w:val="16"/>
              </w:rPr>
            </w:pPr>
            <w:r w:rsidRPr="0036785F">
              <w:rPr>
                <w:sz w:val="16"/>
                <w:szCs w:val="16"/>
              </w:rPr>
              <w:t>Adjustment for previous year’s cash underspend based on funding shares - Commonwealth (S52)</w:t>
            </w:r>
          </w:p>
        </w:tc>
        <w:tc>
          <w:tcPr>
            <w:tcW w:w="1370" w:type="dxa"/>
            <w:noWrap/>
            <w:vAlign w:val="bottom"/>
          </w:tcPr>
          <w:p w:rsidR="00E54916" w:rsidRPr="0036785F" w:rsidRDefault="00E54916" w:rsidP="0036785F">
            <w:pPr>
              <w:pStyle w:val="TableText"/>
              <w:jc w:val="right"/>
              <w:rPr>
                <w:sz w:val="16"/>
                <w:szCs w:val="16"/>
              </w:rPr>
            </w:pP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-4</w:t>
            </w:r>
          </w:p>
        </w:tc>
        <w:tc>
          <w:tcPr>
            <w:tcW w:w="1371" w:type="dxa"/>
            <w:tcBorders>
              <w:right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-4</w:t>
            </w:r>
          </w:p>
        </w:tc>
      </w:tr>
      <w:tr w:rsidR="00E54916" w:rsidRPr="00E54916" w:rsidTr="0036785F">
        <w:trPr>
          <w:cantSplit/>
        </w:trPr>
        <w:tc>
          <w:tcPr>
            <w:tcW w:w="5402" w:type="dxa"/>
            <w:tcBorders>
              <w:left w:val="single" w:sz="4" w:space="0" w:color="002060"/>
            </w:tcBorders>
            <w:noWrap/>
            <w:vAlign w:val="bottom"/>
          </w:tcPr>
          <w:p w:rsidR="00E54916" w:rsidRPr="0036785F" w:rsidRDefault="00E54916" w:rsidP="0036785F">
            <w:pPr>
              <w:pStyle w:val="TableText"/>
              <w:rPr>
                <w:sz w:val="16"/>
                <w:szCs w:val="16"/>
              </w:rPr>
            </w:pPr>
            <w:r w:rsidRPr="0036785F">
              <w:rPr>
                <w:sz w:val="16"/>
                <w:szCs w:val="16"/>
              </w:rPr>
              <w:t>Adjustment for previous year’s cash underspend based on funding shares - States (S52)</w:t>
            </w:r>
          </w:p>
        </w:tc>
        <w:tc>
          <w:tcPr>
            <w:tcW w:w="1370" w:type="dxa"/>
            <w:noWrap/>
            <w:vAlign w:val="bottom"/>
          </w:tcPr>
          <w:p w:rsidR="00E54916" w:rsidRPr="0036785F" w:rsidRDefault="00E54916" w:rsidP="0036785F">
            <w:pPr>
              <w:pStyle w:val="TableText"/>
              <w:jc w:val="right"/>
              <w:rPr>
                <w:sz w:val="16"/>
                <w:szCs w:val="16"/>
              </w:rPr>
            </w:pP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-6</w:t>
            </w:r>
          </w:p>
        </w:tc>
        <w:tc>
          <w:tcPr>
            <w:tcW w:w="1371" w:type="dxa"/>
            <w:tcBorders>
              <w:right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-6</w:t>
            </w:r>
          </w:p>
        </w:tc>
      </w:tr>
      <w:tr w:rsidR="00E54916" w:rsidRPr="00E54916" w:rsidTr="0036785F">
        <w:trPr>
          <w:cantSplit/>
        </w:trPr>
        <w:tc>
          <w:tcPr>
            <w:tcW w:w="5402" w:type="dxa"/>
            <w:tcBorders>
              <w:top w:val="single" w:sz="4" w:space="0" w:color="auto"/>
              <w:left w:val="single" w:sz="4" w:space="0" w:color="002060"/>
              <w:bottom w:val="single" w:sz="4" w:space="0" w:color="auto"/>
            </w:tcBorders>
            <w:noWrap/>
            <w:vAlign w:val="bottom"/>
          </w:tcPr>
          <w:p w:rsidR="00E54916" w:rsidRPr="0036785F" w:rsidRDefault="00E54916" w:rsidP="0036785F">
            <w:pPr>
              <w:pStyle w:val="TableText"/>
              <w:rPr>
                <w:b/>
                <w:bCs/>
                <w:sz w:val="16"/>
                <w:szCs w:val="16"/>
              </w:rPr>
            </w:pPr>
            <w:r w:rsidRPr="0036785F">
              <w:rPr>
                <w:b/>
                <w:bCs/>
                <w:sz w:val="16"/>
                <w:szCs w:val="16"/>
              </w:rPr>
              <w:t>Agency cash at the beginning of the year</w:t>
            </w:r>
          </w:p>
        </w:tc>
        <w:tc>
          <w:tcPr>
            <w:tcW w:w="1370" w:type="dxa"/>
            <w:tcBorders>
              <w:top w:val="single" w:sz="4" w:space="0" w:color="auto"/>
              <w:bottom w:val="single" w:sz="4" w:space="0" w:color="auto"/>
            </w:tcBorders>
            <w:noWrap/>
            <w:vAlign w:val="bottom"/>
          </w:tcPr>
          <w:p w:rsidR="00E54916" w:rsidRPr="0036785F" w:rsidRDefault="00E54916" w:rsidP="0036785F">
            <w:pPr>
              <w:pStyle w:val="TableText"/>
              <w:jc w:val="right"/>
              <w:rPr>
                <w:b/>
                <w:bCs/>
                <w:sz w:val="16"/>
                <w:szCs w:val="16"/>
              </w:rPr>
            </w:pPr>
            <w:r w:rsidRPr="0036785F">
              <w:rPr>
                <w:b/>
                <w:bCs/>
                <w:sz w:val="16"/>
                <w:szCs w:val="16"/>
              </w:rPr>
              <w:t>50</w:t>
            </w:r>
          </w:p>
        </w:tc>
        <w:tc>
          <w:tcPr>
            <w:tcW w:w="1370" w:type="dxa"/>
            <w:tcBorders>
              <w:top w:val="single" w:sz="4" w:space="0" w:color="auto"/>
              <w:bottom w:val="single" w:sz="4" w:space="0" w:color="auto"/>
            </w:tcBorders>
            <w:noWrap/>
            <w:vAlign w:val="bottom"/>
          </w:tcPr>
          <w:p w:rsidR="00E54916" w:rsidRPr="0036785F" w:rsidRDefault="00E54916" w:rsidP="0036785F">
            <w:pPr>
              <w:pStyle w:val="TableText"/>
              <w:jc w:val="right"/>
              <w:rPr>
                <w:b/>
                <w:bCs/>
                <w:sz w:val="16"/>
                <w:szCs w:val="16"/>
              </w:rPr>
            </w:pPr>
            <w:r w:rsidRPr="0036785F">
              <w:rPr>
                <w:b/>
                <w:bCs/>
                <w:sz w:val="16"/>
                <w:szCs w:val="16"/>
              </w:rPr>
              <w:t>50</w:t>
            </w:r>
          </w:p>
        </w:tc>
        <w:tc>
          <w:tcPr>
            <w:tcW w:w="1371" w:type="dxa"/>
            <w:tcBorders>
              <w:top w:val="single" w:sz="4" w:space="0" w:color="auto"/>
              <w:bottom w:val="single" w:sz="4" w:space="0" w:color="auto"/>
              <w:right w:val="single" w:sz="4" w:space="0" w:color="002060"/>
            </w:tcBorders>
            <w:noWrap/>
            <w:vAlign w:val="bottom"/>
          </w:tcPr>
          <w:p w:rsidR="00E54916" w:rsidRPr="0036785F" w:rsidRDefault="00E54916" w:rsidP="0036785F">
            <w:pPr>
              <w:pStyle w:val="TableText"/>
              <w:jc w:val="right"/>
              <w:rPr>
                <w:b/>
                <w:bCs/>
                <w:sz w:val="16"/>
                <w:szCs w:val="16"/>
              </w:rPr>
            </w:pPr>
            <w:r w:rsidRPr="0036785F">
              <w:rPr>
                <w:b/>
                <w:bCs/>
                <w:sz w:val="16"/>
                <w:szCs w:val="16"/>
              </w:rPr>
              <w:t>50</w:t>
            </w:r>
          </w:p>
        </w:tc>
      </w:tr>
      <w:tr w:rsidR="00E54916" w:rsidRPr="00E54916" w:rsidTr="0036785F">
        <w:trPr>
          <w:cantSplit/>
        </w:trPr>
        <w:tc>
          <w:tcPr>
            <w:tcW w:w="5402" w:type="dxa"/>
            <w:tcBorders>
              <w:left w:val="single" w:sz="4" w:space="0" w:color="002060"/>
            </w:tcBorders>
            <w:noWrap/>
            <w:vAlign w:val="bottom"/>
          </w:tcPr>
          <w:p w:rsidR="00E54916" w:rsidRPr="0036785F" w:rsidRDefault="00E54916" w:rsidP="0036785F">
            <w:pPr>
              <w:pStyle w:val="TableText"/>
              <w:rPr>
                <w:b/>
                <w:bCs/>
                <w:sz w:val="16"/>
                <w:szCs w:val="16"/>
              </w:rPr>
            </w:pPr>
            <w:r w:rsidRPr="0036785F">
              <w:rPr>
                <w:b/>
                <w:bCs/>
                <w:sz w:val="16"/>
                <w:szCs w:val="16"/>
              </w:rPr>
              <w:lastRenderedPageBreak/>
              <w:t>Actual expenditure during the year</w:t>
            </w:r>
          </w:p>
        </w:tc>
        <w:tc>
          <w:tcPr>
            <w:tcW w:w="1370" w:type="dxa"/>
            <w:noWrap/>
            <w:vAlign w:val="bottom"/>
          </w:tcPr>
          <w:p w:rsidR="00E54916" w:rsidRPr="0036785F" w:rsidRDefault="00E54916" w:rsidP="0036785F">
            <w:pPr>
              <w:pStyle w:val="TableText"/>
              <w:jc w:val="right"/>
              <w:rPr>
                <w:sz w:val="16"/>
                <w:szCs w:val="16"/>
              </w:rPr>
            </w:pPr>
          </w:p>
        </w:tc>
        <w:tc>
          <w:tcPr>
            <w:tcW w:w="1370" w:type="dxa"/>
            <w:noWrap/>
            <w:vAlign w:val="bottom"/>
          </w:tcPr>
          <w:p w:rsidR="00E54916" w:rsidRPr="0036785F" w:rsidRDefault="00E54916" w:rsidP="0036785F">
            <w:pPr>
              <w:pStyle w:val="TableText"/>
              <w:jc w:val="right"/>
              <w:rPr>
                <w:sz w:val="16"/>
                <w:szCs w:val="16"/>
              </w:rPr>
            </w:pPr>
          </w:p>
        </w:tc>
        <w:tc>
          <w:tcPr>
            <w:tcW w:w="1371" w:type="dxa"/>
            <w:tcBorders>
              <w:right w:val="single" w:sz="4" w:space="0" w:color="002060"/>
            </w:tcBorders>
            <w:noWrap/>
            <w:vAlign w:val="bottom"/>
          </w:tcPr>
          <w:p w:rsidR="00E54916" w:rsidRPr="0036785F" w:rsidRDefault="00E54916" w:rsidP="0036785F">
            <w:pPr>
              <w:pStyle w:val="TableText"/>
              <w:jc w:val="right"/>
              <w:rPr>
                <w:sz w:val="16"/>
                <w:szCs w:val="16"/>
              </w:rPr>
            </w:pPr>
          </w:p>
        </w:tc>
      </w:tr>
      <w:tr w:rsidR="00E54916" w:rsidRPr="00E54916" w:rsidTr="0036785F">
        <w:trPr>
          <w:cantSplit/>
        </w:trPr>
        <w:tc>
          <w:tcPr>
            <w:tcW w:w="5402" w:type="dxa"/>
            <w:tcBorders>
              <w:left w:val="single" w:sz="4" w:space="0" w:color="002060"/>
            </w:tcBorders>
            <w:noWrap/>
            <w:vAlign w:val="bottom"/>
          </w:tcPr>
          <w:p w:rsidR="00E54916" w:rsidRPr="0036785F" w:rsidRDefault="00E54916" w:rsidP="0036785F">
            <w:pPr>
              <w:pStyle w:val="TableText"/>
              <w:rPr>
                <w:sz w:val="16"/>
                <w:szCs w:val="16"/>
              </w:rPr>
            </w:pPr>
            <w:r w:rsidRPr="0036785F">
              <w:rPr>
                <w:sz w:val="16"/>
                <w:szCs w:val="16"/>
              </w:rPr>
              <w:t xml:space="preserve">Cash </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-40</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-40</w:t>
            </w:r>
          </w:p>
        </w:tc>
        <w:tc>
          <w:tcPr>
            <w:tcW w:w="1371" w:type="dxa"/>
            <w:tcBorders>
              <w:right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-50</w:t>
            </w:r>
          </w:p>
        </w:tc>
      </w:tr>
      <w:tr w:rsidR="00E54916" w:rsidRPr="00E54916" w:rsidTr="0036785F">
        <w:trPr>
          <w:cantSplit/>
        </w:trPr>
        <w:tc>
          <w:tcPr>
            <w:tcW w:w="5402" w:type="dxa"/>
            <w:tcBorders>
              <w:left w:val="single" w:sz="4" w:space="0" w:color="002060"/>
            </w:tcBorders>
            <w:noWrap/>
            <w:vAlign w:val="bottom"/>
          </w:tcPr>
          <w:p w:rsidR="00E54916" w:rsidRPr="0036785F" w:rsidRDefault="00E54916" w:rsidP="0036785F">
            <w:pPr>
              <w:pStyle w:val="TableText"/>
              <w:rPr>
                <w:sz w:val="16"/>
                <w:szCs w:val="16"/>
              </w:rPr>
            </w:pPr>
            <w:r w:rsidRPr="0036785F">
              <w:rPr>
                <w:sz w:val="16"/>
                <w:szCs w:val="16"/>
              </w:rPr>
              <w:t>Commonwealth in-kind</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-20</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-20</w:t>
            </w:r>
          </w:p>
        </w:tc>
        <w:tc>
          <w:tcPr>
            <w:tcW w:w="1371" w:type="dxa"/>
            <w:tcBorders>
              <w:right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-20</w:t>
            </w:r>
          </w:p>
        </w:tc>
      </w:tr>
      <w:tr w:rsidR="00E54916" w:rsidRPr="00E54916" w:rsidTr="0036785F">
        <w:trPr>
          <w:cantSplit/>
        </w:trPr>
        <w:tc>
          <w:tcPr>
            <w:tcW w:w="5402" w:type="dxa"/>
            <w:tcBorders>
              <w:left w:val="single" w:sz="4" w:space="0" w:color="002060"/>
            </w:tcBorders>
            <w:noWrap/>
            <w:vAlign w:val="bottom"/>
          </w:tcPr>
          <w:p w:rsidR="00E54916" w:rsidRPr="0036785F" w:rsidRDefault="00E54916" w:rsidP="0036785F">
            <w:pPr>
              <w:pStyle w:val="TableText"/>
              <w:rPr>
                <w:sz w:val="16"/>
                <w:szCs w:val="16"/>
              </w:rPr>
            </w:pPr>
            <w:r w:rsidRPr="0036785F">
              <w:rPr>
                <w:sz w:val="16"/>
                <w:szCs w:val="16"/>
              </w:rPr>
              <w:t>State in-kind</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-30</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-30</w:t>
            </w:r>
          </w:p>
        </w:tc>
        <w:tc>
          <w:tcPr>
            <w:tcW w:w="1371" w:type="dxa"/>
            <w:tcBorders>
              <w:right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-30</w:t>
            </w:r>
          </w:p>
        </w:tc>
      </w:tr>
      <w:tr w:rsidR="00E54916" w:rsidRPr="00E54916" w:rsidTr="0036785F">
        <w:trPr>
          <w:cantSplit/>
        </w:trPr>
        <w:tc>
          <w:tcPr>
            <w:tcW w:w="5402" w:type="dxa"/>
            <w:tcBorders>
              <w:left w:val="single" w:sz="4" w:space="0" w:color="002060"/>
            </w:tcBorders>
            <w:noWrap/>
            <w:vAlign w:val="bottom"/>
          </w:tcPr>
          <w:p w:rsidR="00E54916" w:rsidRPr="0036785F" w:rsidRDefault="00E54916" w:rsidP="0036785F">
            <w:pPr>
              <w:pStyle w:val="TableText"/>
              <w:rPr>
                <w:b/>
                <w:bCs/>
                <w:sz w:val="16"/>
                <w:szCs w:val="16"/>
              </w:rPr>
            </w:pPr>
            <w:r w:rsidRPr="0036785F">
              <w:rPr>
                <w:b/>
                <w:bCs/>
                <w:sz w:val="16"/>
                <w:szCs w:val="16"/>
              </w:rPr>
              <w:t>Total actual expenditure</w:t>
            </w:r>
          </w:p>
        </w:tc>
        <w:tc>
          <w:tcPr>
            <w:tcW w:w="1370" w:type="dxa"/>
            <w:noWrap/>
            <w:vAlign w:val="bottom"/>
          </w:tcPr>
          <w:p w:rsidR="00E54916" w:rsidRPr="0036785F" w:rsidRDefault="00E54916" w:rsidP="0036785F">
            <w:pPr>
              <w:pStyle w:val="TableText"/>
              <w:jc w:val="right"/>
              <w:rPr>
                <w:b/>
                <w:bCs/>
                <w:sz w:val="16"/>
                <w:szCs w:val="16"/>
              </w:rPr>
            </w:pPr>
            <w:r w:rsidRPr="0036785F">
              <w:rPr>
                <w:b/>
                <w:bCs/>
                <w:sz w:val="16"/>
                <w:szCs w:val="16"/>
              </w:rPr>
              <w:t>-90</w:t>
            </w:r>
          </w:p>
        </w:tc>
        <w:tc>
          <w:tcPr>
            <w:tcW w:w="1370" w:type="dxa"/>
            <w:noWrap/>
            <w:vAlign w:val="bottom"/>
          </w:tcPr>
          <w:p w:rsidR="00E54916" w:rsidRPr="0036785F" w:rsidRDefault="00E54916" w:rsidP="0036785F">
            <w:pPr>
              <w:pStyle w:val="TableText"/>
              <w:jc w:val="right"/>
              <w:rPr>
                <w:b/>
                <w:bCs/>
                <w:sz w:val="16"/>
                <w:szCs w:val="16"/>
              </w:rPr>
            </w:pPr>
            <w:r w:rsidRPr="0036785F">
              <w:rPr>
                <w:b/>
                <w:bCs/>
                <w:sz w:val="16"/>
                <w:szCs w:val="16"/>
              </w:rPr>
              <w:t>-90</w:t>
            </w:r>
          </w:p>
        </w:tc>
        <w:tc>
          <w:tcPr>
            <w:tcW w:w="1371" w:type="dxa"/>
            <w:tcBorders>
              <w:right w:val="single" w:sz="4" w:space="0" w:color="002060"/>
            </w:tcBorders>
            <w:noWrap/>
            <w:vAlign w:val="bottom"/>
          </w:tcPr>
          <w:p w:rsidR="00E54916" w:rsidRPr="0036785F" w:rsidRDefault="00E54916" w:rsidP="0036785F">
            <w:pPr>
              <w:pStyle w:val="TableText"/>
              <w:jc w:val="right"/>
              <w:rPr>
                <w:b/>
                <w:bCs/>
                <w:sz w:val="16"/>
                <w:szCs w:val="16"/>
              </w:rPr>
            </w:pPr>
            <w:r w:rsidRPr="0036785F">
              <w:rPr>
                <w:b/>
                <w:bCs/>
                <w:sz w:val="16"/>
                <w:szCs w:val="16"/>
              </w:rPr>
              <w:t>-100</w:t>
            </w:r>
          </w:p>
        </w:tc>
      </w:tr>
      <w:tr w:rsidR="00E54916" w:rsidRPr="00E54916" w:rsidTr="0036785F">
        <w:trPr>
          <w:cantSplit/>
        </w:trPr>
        <w:tc>
          <w:tcPr>
            <w:tcW w:w="5402" w:type="dxa"/>
            <w:tcBorders>
              <w:left w:val="single" w:sz="4" w:space="0" w:color="002060"/>
              <w:bottom w:val="single" w:sz="4" w:space="0" w:color="002060"/>
            </w:tcBorders>
            <w:noWrap/>
            <w:vAlign w:val="bottom"/>
          </w:tcPr>
          <w:p w:rsidR="00E54916" w:rsidRPr="0036785F" w:rsidRDefault="00E54916" w:rsidP="0036785F">
            <w:pPr>
              <w:pStyle w:val="TableText"/>
              <w:rPr>
                <w:b/>
                <w:bCs/>
                <w:sz w:val="16"/>
                <w:szCs w:val="16"/>
              </w:rPr>
            </w:pPr>
            <w:r w:rsidRPr="0036785F">
              <w:rPr>
                <w:b/>
                <w:bCs/>
                <w:sz w:val="16"/>
                <w:szCs w:val="16"/>
              </w:rPr>
              <w:t>Additional Commonwealth cash contribution to meet risk of cost overrun through increased client numbers, higher average care and support costs and  Agency’s cash flow risk (S18.b.iii)</w:t>
            </w:r>
          </w:p>
        </w:tc>
        <w:tc>
          <w:tcPr>
            <w:tcW w:w="1370" w:type="dxa"/>
            <w:tcBorders>
              <w:bottom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0</w:t>
            </w:r>
          </w:p>
        </w:tc>
        <w:tc>
          <w:tcPr>
            <w:tcW w:w="1370" w:type="dxa"/>
            <w:tcBorders>
              <w:bottom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0</w:t>
            </w:r>
          </w:p>
        </w:tc>
        <w:tc>
          <w:tcPr>
            <w:tcW w:w="1371" w:type="dxa"/>
            <w:tcBorders>
              <w:bottom w:val="single" w:sz="4" w:space="0" w:color="002060"/>
              <w:right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0</w:t>
            </w:r>
          </w:p>
        </w:tc>
      </w:tr>
      <w:tr w:rsidR="00E54916" w:rsidRPr="00E54916" w:rsidTr="0036785F">
        <w:trPr>
          <w:cantSplit/>
        </w:trPr>
        <w:tc>
          <w:tcPr>
            <w:tcW w:w="5402" w:type="dxa"/>
            <w:tcBorders>
              <w:top w:val="single" w:sz="4" w:space="0" w:color="002060"/>
              <w:left w:val="single" w:sz="4" w:space="0" w:color="002060"/>
              <w:bottom w:val="single" w:sz="4" w:space="0" w:color="002060"/>
            </w:tcBorders>
            <w:noWrap/>
            <w:vAlign w:val="bottom"/>
          </w:tcPr>
          <w:p w:rsidR="00E54916" w:rsidRPr="0036785F" w:rsidRDefault="00E54916" w:rsidP="0036785F">
            <w:pPr>
              <w:pStyle w:val="TableText"/>
              <w:rPr>
                <w:b/>
                <w:bCs/>
                <w:sz w:val="16"/>
                <w:szCs w:val="16"/>
              </w:rPr>
            </w:pPr>
            <w:r w:rsidRPr="0036785F">
              <w:rPr>
                <w:b/>
                <w:bCs/>
                <w:sz w:val="16"/>
                <w:szCs w:val="16"/>
              </w:rPr>
              <w:t>End of year cash outcome for Agency</w:t>
            </w:r>
          </w:p>
        </w:tc>
        <w:tc>
          <w:tcPr>
            <w:tcW w:w="1370" w:type="dxa"/>
            <w:tcBorders>
              <w:top w:val="single" w:sz="4" w:space="0" w:color="002060"/>
              <w:bottom w:val="single" w:sz="4" w:space="0" w:color="002060"/>
            </w:tcBorders>
            <w:noWrap/>
            <w:vAlign w:val="bottom"/>
          </w:tcPr>
          <w:p w:rsidR="00E54916" w:rsidRPr="0036785F" w:rsidRDefault="00E54916" w:rsidP="0036785F">
            <w:pPr>
              <w:pStyle w:val="TableText"/>
              <w:jc w:val="right"/>
              <w:rPr>
                <w:b/>
                <w:bCs/>
                <w:sz w:val="16"/>
                <w:szCs w:val="16"/>
              </w:rPr>
            </w:pPr>
            <w:r w:rsidRPr="0036785F">
              <w:rPr>
                <w:b/>
                <w:bCs/>
                <w:sz w:val="16"/>
                <w:szCs w:val="16"/>
              </w:rPr>
              <w:t>10</w:t>
            </w:r>
          </w:p>
        </w:tc>
        <w:tc>
          <w:tcPr>
            <w:tcW w:w="1370" w:type="dxa"/>
            <w:tcBorders>
              <w:top w:val="single" w:sz="4" w:space="0" w:color="002060"/>
              <w:bottom w:val="single" w:sz="4" w:space="0" w:color="002060"/>
            </w:tcBorders>
            <w:noWrap/>
            <w:vAlign w:val="bottom"/>
          </w:tcPr>
          <w:p w:rsidR="00E54916" w:rsidRPr="0036785F" w:rsidRDefault="00E54916" w:rsidP="0036785F">
            <w:pPr>
              <w:pStyle w:val="TableText"/>
              <w:jc w:val="right"/>
              <w:rPr>
                <w:b/>
                <w:bCs/>
                <w:sz w:val="16"/>
                <w:szCs w:val="16"/>
              </w:rPr>
            </w:pPr>
            <w:r w:rsidRPr="0036785F">
              <w:rPr>
                <w:b/>
                <w:bCs/>
                <w:sz w:val="16"/>
                <w:szCs w:val="16"/>
              </w:rPr>
              <w:t>10</w:t>
            </w:r>
          </w:p>
        </w:tc>
        <w:tc>
          <w:tcPr>
            <w:tcW w:w="1371" w:type="dxa"/>
            <w:tcBorders>
              <w:top w:val="single" w:sz="4" w:space="0" w:color="002060"/>
              <w:bottom w:val="single" w:sz="4" w:space="0" w:color="002060"/>
              <w:right w:val="single" w:sz="4" w:space="0" w:color="002060"/>
            </w:tcBorders>
            <w:noWrap/>
            <w:vAlign w:val="bottom"/>
          </w:tcPr>
          <w:p w:rsidR="00E54916" w:rsidRPr="0036785F" w:rsidRDefault="00E54916" w:rsidP="0036785F">
            <w:pPr>
              <w:pStyle w:val="TableText"/>
              <w:jc w:val="right"/>
              <w:rPr>
                <w:b/>
                <w:bCs/>
                <w:sz w:val="16"/>
                <w:szCs w:val="16"/>
              </w:rPr>
            </w:pPr>
            <w:r w:rsidRPr="0036785F">
              <w:rPr>
                <w:b/>
                <w:bCs/>
                <w:sz w:val="16"/>
                <w:szCs w:val="16"/>
              </w:rPr>
              <w:t>0</w:t>
            </w:r>
          </w:p>
        </w:tc>
      </w:tr>
    </w:tbl>
    <w:p w:rsidR="00E54916" w:rsidRPr="00E54916" w:rsidRDefault="00E54916" w:rsidP="00E54916">
      <w:pPr>
        <w:rPr>
          <w:b/>
          <w:szCs w:val="20"/>
        </w:rPr>
      </w:pPr>
      <w:r w:rsidRPr="00E54916">
        <w:rPr>
          <w:szCs w:val="20"/>
        </w:rPr>
        <w:t>At the end of the launch, the Commonwealth made total contributions of $112 (40 per cent of $280) and the host jurisdiction made total contributions of $168 (60 per cent of $280).  This is consistent with total expenditure of $280 over three years and the relative funding shares of each jurisdiction.</w:t>
      </w:r>
    </w:p>
    <w:p w:rsidR="00E54916" w:rsidRPr="00E54916" w:rsidRDefault="00E54916" w:rsidP="000C65A6">
      <w:pPr>
        <w:pStyle w:val="Heading2"/>
      </w:pPr>
      <w:r w:rsidRPr="00E54916">
        <w:t xml:space="preserve">Scenario 2 – net cash overspend </w:t>
      </w:r>
    </w:p>
    <w:p w:rsidR="00E54916" w:rsidRPr="00E54916" w:rsidRDefault="00E54916" w:rsidP="0036785F">
      <w:pPr>
        <w:spacing w:after="240"/>
        <w:rPr>
          <w:szCs w:val="20"/>
        </w:rPr>
      </w:pPr>
      <w:r w:rsidRPr="00E54916">
        <w:rPr>
          <w:szCs w:val="20"/>
        </w:rPr>
        <w:t>This scenario models net cash overspend over three years, involving actual cash expenditure rising to $60 per year in 2013-14 and 2014-15 due to increased client numbers or higher average individual support package costs, compared to an expected expenditure of $50 per year.  This increases total NDIS expenditure to $320 over three years.</w:t>
      </w:r>
    </w:p>
    <w:tbl>
      <w:tblPr>
        <w:tblW w:w="5000" w:type="pct"/>
        <w:tblInd w:w="93" w:type="dxa"/>
        <w:tblLayout w:type="fixed"/>
        <w:tblLook w:val="00A0" w:firstRow="1" w:lastRow="0" w:firstColumn="1" w:lastColumn="0" w:noHBand="0" w:noVBand="0"/>
        <w:tblCaption w:val="Scenario 2 – net cash overspend"/>
        <w:tblDescription w:val="This table shows estimated contribution and expenditure from 2013 to 2016."/>
      </w:tblPr>
      <w:tblGrid>
        <w:gridCol w:w="5265"/>
        <w:gridCol w:w="1340"/>
        <w:gridCol w:w="1340"/>
        <w:gridCol w:w="1341"/>
      </w:tblGrid>
      <w:tr w:rsidR="00E54916" w:rsidRPr="0036785F" w:rsidTr="0036785F">
        <w:trPr>
          <w:cantSplit/>
          <w:tblHeader/>
        </w:trPr>
        <w:tc>
          <w:tcPr>
            <w:tcW w:w="5402"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36785F" w:rsidRDefault="00E54916" w:rsidP="0036785F">
            <w:pPr>
              <w:pStyle w:val="TableHeading"/>
              <w:rPr>
                <w:sz w:val="16"/>
                <w:szCs w:val="16"/>
              </w:rPr>
            </w:pPr>
            <w:r w:rsidRPr="0036785F">
              <w:rPr>
                <w:sz w:val="16"/>
                <w:szCs w:val="16"/>
              </w:rPr>
              <w:t>Summary of launch</w:t>
            </w:r>
          </w:p>
        </w:tc>
        <w:tc>
          <w:tcPr>
            <w:tcW w:w="1370"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36785F" w:rsidRDefault="00E54916" w:rsidP="0036785F">
            <w:pPr>
              <w:pStyle w:val="TableHeading"/>
              <w:jc w:val="right"/>
              <w:rPr>
                <w:bCs/>
                <w:sz w:val="16"/>
                <w:szCs w:val="16"/>
              </w:rPr>
            </w:pPr>
            <w:r w:rsidRPr="0036785F">
              <w:rPr>
                <w:bCs/>
                <w:sz w:val="16"/>
                <w:szCs w:val="16"/>
              </w:rPr>
              <w:t>2013-14</w:t>
            </w:r>
          </w:p>
        </w:tc>
        <w:tc>
          <w:tcPr>
            <w:tcW w:w="1370"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36785F" w:rsidRDefault="00E54916" w:rsidP="0036785F">
            <w:pPr>
              <w:pStyle w:val="TableHeading"/>
              <w:jc w:val="right"/>
              <w:rPr>
                <w:bCs/>
                <w:sz w:val="16"/>
                <w:szCs w:val="16"/>
              </w:rPr>
            </w:pPr>
            <w:r w:rsidRPr="0036785F">
              <w:rPr>
                <w:bCs/>
                <w:sz w:val="16"/>
                <w:szCs w:val="16"/>
              </w:rPr>
              <w:t>2014-15</w:t>
            </w:r>
          </w:p>
        </w:tc>
        <w:tc>
          <w:tcPr>
            <w:tcW w:w="1371"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36785F" w:rsidRDefault="00E54916" w:rsidP="0036785F">
            <w:pPr>
              <w:pStyle w:val="TableHeading"/>
              <w:jc w:val="right"/>
              <w:rPr>
                <w:bCs/>
                <w:sz w:val="16"/>
                <w:szCs w:val="16"/>
              </w:rPr>
            </w:pPr>
            <w:r w:rsidRPr="0036785F">
              <w:rPr>
                <w:bCs/>
                <w:sz w:val="16"/>
                <w:szCs w:val="16"/>
              </w:rPr>
              <w:t>2015-16</w:t>
            </w:r>
          </w:p>
        </w:tc>
      </w:tr>
      <w:tr w:rsidR="00E54916" w:rsidRPr="00E54916" w:rsidTr="0036785F">
        <w:trPr>
          <w:cantSplit/>
        </w:trPr>
        <w:tc>
          <w:tcPr>
            <w:tcW w:w="5402" w:type="dxa"/>
            <w:tcBorders>
              <w:top w:val="single" w:sz="6" w:space="0" w:color="auto"/>
              <w:left w:val="single" w:sz="4" w:space="0" w:color="002060"/>
              <w:bottom w:val="single" w:sz="4" w:space="0" w:color="auto"/>
            </w:tcBorders>
            <w:noWrap/>
          </w:tcPr>
          <w:p w:rsidR="00E54916" w:rsidRPr="0036785F" w:rsidRDefault="00E54916" w:rsidP="0036785F">
            <w:pPr>
              <w:pStyle w:val="TableText"/>
              <w:rPr>
                <w:b/>
                <w:bCs/>
                <w:sz w:val="16"/>
                <w:szCs w:val="16"/>
              </w:rPr>
            </w:pPr>
            <w:r w:rsidRPr="0036785F">
              <w:rPr>
                <w:b/>
                <w:bCs/>
                <w:sz w:val="16"/>
                <w:szCs w:val="16"/>
              </w:rPr>
              <w:t>Agency cash balance - carry over from previous year</w:t>
            </w:r>
          </w:p>
        </w:tc>
        <w:tc>
          <w:tcPr>
            <w:tcW w:w="1370" w:type="dxa"/>
            <w:tcBorders>
              <w:top w:val="single" w:sz="6" w:space="0" w:color="auto"/>
              <w:bottom w:val="single" w:sz="4" w:space="0" w:color="auto"/>
            </w:tcBorders>
            <w:noWrap/>
          </w:tcPr>
          <w:p w:rsidR="00E54916" w:rsidRPr="0036785F" w:rsidRDefault="00E54916" w:rsidP="0036785F">
            <w:pPr>
              <w:pStyle w:val="TableText"/>
              <w:jc w:val="right"/>
              <w:rPr>
                <w:b/>
                <w:bCs/>
                <w:sz w:val="16"/>
                <w:szCs w:val="16"/>
              </w:rPr>
            </w:pPr>
            <w:r w:rsidRPr="0036785F">
              <w:rPr>
                <w:b/>
                <w:bCs/>
                <w:sz w:val="16"/>
                <w:szCs w:val="16"/>
              </w:rPr>
              <w:t>0</w:t>
            </w:r>
          </w:p>
        </w:tc>
        <w:tc>
          <w:tcPr>
            <w:tcW w:w="1370" w:type="dxa"/>
            <w:tcBorders>
              <w:top w:val="single" w:sz="6" w:space="0" w:color="auto"/>
              <w:bottom w:val="single" w:sz="4" w:space="0" w:color="auto"/>
            </w:tcBorders>
            <w:noWrap/>
          </w:tcPr>
          <w:p w:rsidR="00E54916" w:rsidRPr="0036785F" w:rsidRDefault="00E54916" w:rsidP="0036785F">
            <w:pPr>
              <w:pStyle w:val="TableText"/>
              <w:jc w:val="right"/>
              <w:rPr>
                <w:b/>
                <w:bCs/>
                <w:sz w:val="16"/>
                <w:szCs w:val="16"/>
              </w:rPr>
            </w:pPr>
            <w:r w:rsidRPr="0036785F">
              <w:rPr>
                <w:b/>
                <w:bCs/>
                <w:sz w:val="16"/>
                <w:szCs w:val="16"/>
              </w:rPr>
              <w:t>0</w:t>
            </w:r>
          </w:p>
        </w:tc>
        <w:tc>
          <w:tcPr>
            <w:tcW w:w="1371" w:type="dxa"/>
            <w:tcBorders>
              <w:top w:val="single" w:sz="6" w:space="0" w:color="auto"/>
              <w:bottom w:val="single" w:sz="4" w:space="0" w:color="auto"/>
              <w:right w:val="single" w:sz="4" w:space="0" w:color="002060"/>
            </w:tcBorders>
            <w:noWrap/>
          </w:tcPr>
          <w:p w:rsidR="00E54916" w:rsidRPr="0036785F" w:rsidRDefault="00E54916" w:rsidP="0036785F">
            <w:pPr>
              <w:pStyle w:val="TableText"/>
              <w:jc w:val="right"/>
              <w:rPr>
                <w:b/>
                <w:bCs/>
                <w:sz w:val="16"/>
                <w:szCs w:val="16"/>
              </w:rPr>
            </w:pPr>
            <w:r w:rsidRPr="0036785F">
              <w:rPr>
                <w:b/>
                <w:bCs/>
                <w:sz w:val="16"/>
                <w:szCs w:val="16"/>
              </w:rPr>
              <w:t>0</w:t>
            </w:r>
          </w:p>
        </w:tc>
      </w:tr>
      <w:tr w:rsidR="00E54916" w:rsidRPr="00E54916" w:rsidTr="0036785F">
        <w:trPr>
          <w:cantSplit/>
        </w:trPr>
        <w:tc>
          <w:tcPr>
            <w:tcW w:w="5402" w:type="dxa"/>
            <w:tcBorders>
              <w:left w:val="single" w:sz="4" w:space="0" w:color="002060"/>
            </w:tcBorders>
            <w:noWrap/>
          </w:tcPr>
          <w:p w:rsidR="00E54916" w:rsidRPr="0036785F" w:rsidRDefault="00E54916" w:rsidP="0036785F">
            <w:pPr>
              <w:pStyle w:val="TableText"/>
              <w:rPr>
                <w:b/>
                <w:bCs/>
                <w:sz w:val="16"/>
                <w:szCs w:val="16"/>
              </w:rPr>
            </w:pPr>
            <w:r w:rsidRPr="0036785F">
              <w:rPr>
                <w:b/>
                <w:bCs/>
                <w:sz w:val="16"/>
                <w:szCs w:val="16"/>
              </w:rPr>
              <w:t>Beginning of the year actual cash contributions</w:t>
            </w:r>
          </w:p>
        </w:tc>
        <w:tc>
          <w:tcPr>
            <w:tcW w:w="1370" w:type="dxa"/>
            <w:noWrap/>
          </w:tcPr>
          <w:p w:rsidR="00E54916" w:rsidRPr="0036785F" w:rsidRDefault="00E54916" w:rsidP="0036785F">
            <w:pPr>
              <w:pStyle w:val="TableText"/>
              <w:jc w:val="right"/>
              <w:rPr>
                <w:bCs/>
                <w:sz w:val="16"/>
                <w:szCs w:val="16"/>
              </w:rPr>
            </w:pPr>
          </w:p>
        </w:tc>
        <w:tc>
          <w:tcPr>
            <w:tcW w:w="1370" w:type="dxa"/>
            <w:noWrap/>
          </w:tcPr>
          <w:p w:rsidR="00E54916" w:rsidRPr="0036785F" w:rsidRDefault="00E54916" w:rsidP="0036785F">
            <w:pPr>
              <w:pStyle w:val="TableText"/>
              <w:jc w:val="right"/>
              <w:rPr>
                <w:bCs/>
                <w:sz w:val="16"/>
                <w:szCs w:val="16"/>
              </w:rPr>
            </w:pPr>
          </w:p>
        </w:tc>
        <w:tc>
          <w:tcPr>
            <w:tcW w:w="1371" w:type="dxa"/>
            <w:tcBorders>
              <w:right w:val="single" w:sz="4" w:space="0" w:color="002060"/>
            </w:tcBorders>
            <w:noWrap/>
          </w:tcPr>
          <w:p w:rsidR="00E54916" w:rsidRPr="0036785F" w:rsidRDefault="00E54916" w:rsidP="0036785F">
            <w:pPr>
              <w:pStyle w:val="TableText"/>
              <w:jc w:val="right"/>
              <w:rPr>
                <w:bCs/>
                <w:sz w:val="16"/>
                <w:szCs w:val="16"/>
              </w:rPr>
            </w:pPr>
          </w:p>
        </w:tc>
      </w:tr>
      <w:tr w:rsidR="00E54916" w:rsidRPr="00E54916" w:rsidTr="0036785F">
        <w:trPr>
          <w:cantSplit/>
        </w:trPr>
        <w:tc>
          <w:tcPr>
            <w:tcW w:w="5402" w:type="dxa"/>
            <w:tcBorders>
              <w:left w:val="single" w:sz="4" w:space="0" w:color="002060"/>
            </w:tcBorders>
            <w:noWrap/>
          </w:tcPr>
          <w:p w:rsidR="00E54916" w:rsidRPr="0036785F" w:rsidRDefault="00E54916" w:rsidP="0036785F">
            <w:pPr>
              <w:pStyle w:val="TableText"/>
              <w:rPr>
                <w:sz w:val="16"/>
                <w:szCs w:val="16"/>
              </w:rPr>
            </w:pPr>
            <w:r w:rsidRPr="0036785F">
              <w:rPr>
                <w:sz w:val="16"/>
                <w:szCs w:val="16"/>
              </w:rPr>
              <w:t>Commonwealth scheduled cash contribution</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20</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20</w:t>
            </w:r>
          </w:p>
        </w:tc>
        <w:tc>
          <w:tcPr>
            <w:tcW w:w="1371" w:type="dxa"/>
            <w:tcBorders>
              <w:right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20</w:t>
            </w:r>
          </w:p>
        </w:tc>
      </w:tr>
      <w:tr w:rsidR="00E54916" w:rsidRPr="00E54916" w:rsidTr="0036785F">
        <w:trPr>
          <w:cantSplit/>
        </w:trPr>
        <w:tc>
          <w:tcPr>
            <w:tcW w:w="5402" w:type="dxa"/>
            <w:tcBorders>
              <w:left w:val="single" w:sz="4" w:space="0" w:color="002060"/>
            </w:tcBorders>
            <w:noWrap/>
          </w:tcPr>
          <w:p w:rsidR="00E54916" w:rsidRPr="0036785F" w:rsidRDefault="00E54916" w:rsidP="0036785F">
            <w:pPr>
              <w:pStyle w:val="TableText"/>
              <w:rPr>
                <w:sz w:val="16"/>
                <w:szCs w:val="16"/>
              </w:rPr>
            </w:pPr>
            <w:r w:rsidRPr="0036785F">
              <w:rPr>
                <w:sz w:val="16"/>
                <w:szCs w:val="16"/>
              </w:rPr>
              <w:t>State scheduled cash contribution</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30</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30</w:t>
            </w:r>
          </w:p>
        </w:tc>
        <w:tc>
          <w:tcPr>
            <w:tcW w:w="1371" w:type="dxa"/>
            <w:tcBorders>
              <w:right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30</w:t>
            </w:r>
          </w:p>
        </w:tc>
      </w:tr>
      <w:tr w:rsidR="00E54916" w:rsidRPr="00E54916" w:rsidTr="0036785F">
        <w:trPr>
          <w:cantSplit/>
        </w:trPr>
        <w:tc>
          <w:tcPr>
            <w:tcW w:w="5402" w:type="dxa"/>
            <w:tcBorders>
              <w:left w:val="single" w:sz="4" w:space="0" w:color="002060"/>
            </w:tcBorders>
            <w:noWrap/>
            <w:vAlign w:val="bottom"/>
          </w:tcPr>
          <w:p w:rsidR="00E54916" w:rsidRPr="0036785F" w:rsidRDefault="00E54916" w:rsidP="0036785F">
            <w:pPr>
              <w:pStyle w:val="TableText"/>
              <w:rPr>
                <w:sz w:val="16"/>
                <w:szCs w:val="16"/>
              </w:rPr>
            </w:pPr>
            <w:r w:rsidRPr="0036785F">
              <w:rPr>
                <w:sz w:val="16"/>
                <w:szCs w:val="16"/>
              </w:rPr>
              <w:t>Adjustment for previous year’s cash underspend based on funding shares - Commonwealth (S49)</w:t>
            </w:r>
          </w:p>
        </w:tc>
        <w:tc>
          <w:tcPr>
            <w:tcW w:w="1370" w:type="dxa"/>
            <w:noWrap/>
            <w:vAlign w:val="bottom"/>
          </w:tcPr>
          <w:p w:rsidR="00E54916" w:rsidRPr="0036785F" w:rsidRDefault="00E54916" w:rsidP="0036785F">
            <w:pPr>
              <w:pStyle w:val="TableText"/>
              <w:jc w:val="right"/>
              <w:rPr>
                <w:sz w:val="16"/>
                <w:szCs w:val="16"/>
              </w:rPr>
            </w:pP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0</w:t>
            </w:r>
          </w:p>
        </w:tc>
        <w:tc>
          <w:tcPr>
            <w:tcW w:w="1371" w:type="dxa"/>
            <w:tcBorders>
              <w:right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0</w:t>
            </w:r>
          </w:p>
        </w:tc>
      </w:tr>
      <w:tr w:rsidR="00E54916" w:rsidRPr="00E54916" w:rsidTr="0036785F">
        <w:trPr>
          <w:cantSplit/>
        </w:trPr>
        <w:tc>
          <w:tcPr>
            <w:tcW w:w="5402" w:type="dxa"/>
            <w:tcBorders>
              <w:left w:val="single" w:sz="4" w:space="0" w:color="002060"/>
            </w:tcBorders>
            <w:noWrap/>
            <w:vAlign w:val="bottom"/>
          </w:tcPr>
          <w:p w:rsidR="00E54916" w:rsidRPr="0036785F" w:rsidRDefault="00E54916" w:rsidP="0036785F">
            <w:pPr>
              <w:pStyle w:val="TableText"/>
              <w:rPr>
                <w:sz w:val="16"/>
                <w:szCs w:val="16"/>
              </w:rPr>
            </w:pPr>
            <w:r w:rsidRPr="0036785F">
              <w:rPr>
                <w:sz w:val="16"/>
                <w:szCs w:val="16"/>
              </w:rPr>
              <w:t>Adjustment for previous year’s cash underspend based on funding shares - States (S49)</w:t>
            </w:r>
          </w:p>
        </w:tc>
        <w:tc>
          <w:tcPr>
            <w:tcW w:w="1370" w:type="dxa"/>
            <w:noWrap/>
            <w:vAlign w:val="bottom"/>
          </w:tcPr>
          <w:p w:rsidR="00E54916" w:rsidRPr="0036785F" w:rsidRDefault="00E54916" w:rsidP="0036785F">
            <w:pPr>
              <w:pStyle w:val="TableText"/>
              <w:jc w:val="right"/>
              <w:rPr>
                <w:sz w:val="16"/>
                <w:szCs w:val="16"/>
              </w:rPr>
            </w:pP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0</w:t>
            </w:r>
          </w:p>
        </w:tc>
        <w:tc>
          <w:tcPr>
            <w:tcW w:w="1371" w:type="dxa"/>
            <w:tcBorders>
              <w:right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0</w:t>
            </w:r>
          </w:p>
        </w:tc>
      </w:tr>
      <w:tr w:rsidR="00E54916" w:rsidRPr="00E54916" w:rsidTr="0036785F">
        <w:trPr>
          <w:cantSplit/>
        </w:trPr>
        <w:tc>
          <w:tcPr>
            <w:tcW w:w="5402" w:type="dxa"/>
            <w:tcBorders>
              <w:top w:val="single" w:sz="4" w:space="0" w:color="auto"/>
              <w:left w:val="single" w:sz="4" w:space="0" w:color="002060"/>
              <w:bottom w:val="single" w:sz="4" w:space="0" w:color="auto"/>
            </w:tcBorders>
            <w:noWrap/>
            <w:vAlign w:val="bottom"/>
          </w:tcPr>
          <w:p w:rsidR="00E54916" w:rsidRPr="0036785F" w:rsidRDefault="00E54916" w:rsidP="0036785F">
            <w:pPr>
              <w:pStyle w:val="TableText"/>
              <w:rPr>
                <w:b/>
                <w:bCs/>
                <w:sz w:val="16"/>
                <w:szCs w:val="16"/>
              </w:rPr>
            </w:pPr>
            <w:r w:rsidRPr="0036785F">
              <w:rPr>
                <w:b/>
                <w:bCs/>
                <w:sz w:val="16"/>
                <w:szCs w:val="16"/>
              </w:rPr>
              <w:t>Agency cash at the beginning of the year</w:t>
            </w:r>
          </w:p>
        </w:tc>
        <w:tc>
          <w:tcPr>
            <w:tcW w:w="1370" w:type="dxa"/>
            <w:tcBorders>
              <w:top w:val="single" w:sz="4" w:space="0" w:color="auto"/>
              <w:bottom w:val="single" w:sz="4" w:space="0" w:color="auto"/>
            </w:tcBorders>
            <w:noWrap/>
            <w:vAlign w:val="bottom"/>
          </w:tcPr>
          <w:p w:rsidR="00E54916" w:rsidRPr="0036785F" w:rsidRDefault="00E54916" w:rsidP="0036785F">
            <w:pPr>
              <w:pStyle w:val="TableText"/>
              <w:jc w:val="right"/>
              <w:rPr>
                <w:b/>
                <w:bCs/>
                <w:sz w:val="16"/>
                <w:szCs w:val="16"/>
              </w:rPr>
            </w:pPr>
            <w:r w:rsidRPr="0036785F">
              <w:rPr>
                <w:b/>
                <w:bCs/>
                <w:sz w:val="16"/>
                <w:szCs w:val="16"/>
              </w:rPr>
              <w:t>50</w:t>
            </w:r>
          </w:p>
        </w:tc>
        <w:tc>
          <w:tcPr>
            <w:tcW w:w="1370" w:type="dxa"/>
            <w:tcBorders>
              <w:top w:val="single" w:sz="4" w:space="0" w:color="auto"/>
              <w:bottom w:val="single" w:sz="4" w:space="0" w:color="auto"/>
            </w:tcBorders>
            <w:noWrap/>
            <w:vAlign w:val="bottom"/>
          </w:tcPr>
          <w:p w:rsidR="00E54916" w:rsidRPr="0036785F" w:rsidRDefault="00E54916" w:rsidP="0036785F">
            <w:pPr>
              <w:pStyle w:val="TableText"/>
              <w:jc w:val="right"/>
              <w:rPr>
                <w:b/>
                <w:bCs/>
                <w:sz w:val="16"/>
                <w:szCs w:val="16"/>
              </w:rPr>
            </w:pPr>
            <w:r w:rsidRPr="0036785F">
              <w:rPr>
                <w:b/>
                <w:bCs/>
                <w:sz w:val="16"/>
                <w:szCs w:val="16"/>
              </w:rPr>
              <w:t>50</w:t>
            </w:r>
          </w:p>
        </w:tc>
        <w:tc>
          <w:tcPr>
            <w:tcW w:w="1371" w:type="dxa"/>
            <w:tcBorders>
              <w:top w:val="single" w:sz="4" w:space="0" w:color="auto"/>
              <w:bottom w:val="single" w:sz="4" w:space="0" w:color="auto"/>
              <w:right w:val="single" w:sz="4" w:space="0" w:color="002060"/>
            </w:tcBorders>
            <w:noWrap/>
            <w:vAlign w:val="bottom"/>
          </w:tcPr>
          <w:p w:rsidR="00E54916" w:rsidRPr="0036785F" w:rsidRDefault="00E54916" w:rsidP="0036785F">
            <w:pPr>
              <w:pStyle w:val="TableText"/>
              <w:jc w:val="right"/>
              <w:rPr>
                <w:b/>
                <w:bCs/>
                <w:sz w:val="16"/>
                <w:szCs w:val="16"/>
              </w:rPr>
            </w:pPr>
            <w:r w:rsidRPr="0036785F">
              <w:rPr>
                <w:b/>
                <w:bCs/>
                <w:sz w:val="16"/>
                <w:szCs w:val="16"/>
              </w:rPr>
              <w:t>50</w:t>
            </w:r>
          </w:p>
        </w:tc>
      </w:tr>
      <w:tr w:rsidR="00E54916" w:rsidRPr="00E54916" w:rsidTr="0036785F">
        <w:trPr>
          <w:cantSplit/>
        </w:trPr>
        <w:tc>
          <w:tcPr>
            <w:tcW w:w="5402" w:type="dxa"/>
            <w:tcBorders>
              <w:left w:val="single" w:sz="4" w:space="0" w:color="002060"/>
            </w:tcBorders>
            <w:noWrap/>
            <w:vAlign w:val="bottom"/>
          </w:tcPr>
          <w:p w:rsidR="00E54916" w:rsidRPr="0036785F" w:rsidRDefault="00E54916" w:rsidP="0036785F">
            <w:pPr>
              <w:pStyle w:val="TableText"/>
              <w:rPr>
                <w:b/>
                <w:bCs/>
                <w:sz w:val="16"/>
                <w:szCs w:val="16"/>
              </w:rPr>
            </w:pPr>
            <w:r w:rsidRPr="0036785F">
              <w:rPr>
                <w:b/>
                <w:bCs/>
                <w:sz w:val="16"/>
                <w:szCs w:val="16"/>
              </w:rPr>
              <w:t>Actual expenditure during the year</w:t>
            </w:r>
          </w:p>
        </w:tc>
        <w:tc>
          <w:tcPr>
            <w:tcW w:w="1370" w:type="dxa"/>
            <w:noWrap/>
            <w:vAlign w:val="bottom"/>
          </w:tcPr>
          <w:p w:rsidR="00E54916" w:rsidRPr="0036785F" w:rsidRDefault="00E54916" w:rsidP="0036785F">
            <w:pPr>
              <w:pStyle w:val="TableText"/>
              <w:jc w:val="right"/>
              <w:rPr>
                <w:sz w:val="16"/>
                <w:szCs w:val="16"/>
              </w:rPr>
            </w:pPr>
          </w:p>
        </w:tc>
        <w:tc>
          <w:tcPr>
            <w:tcW w:w="1370" w:type="dxa"/>
            <w:noWrap/>
            <w:vAlign w:val="bottom"/>
          </w:tcPr>
          <w:p w:rsidR="00E54916" w:rsidRPr="0036785F" w:rsidRDefault="00E54916" w:rsidP="0036785F">
            <w:pPr>
              <w:pStyle w:val="TableText"/>
              <w:jc w:val="right"/>
              <w:rPr>
                <w:sz w:val="16"/>
                <w:szCs w:val="16"/>
              </w:rPr>
            </w:pPr>
          </w:p>
        </w:tc>
        <w:tc>
          <w:tcPr>
            <w:tcW w:w="1371" w:type="dxa"/>
            <w:tcBorders>
              <w:right w:val="single" w:sz="4" w:space="0" w:color="002060"/>
            </w:tcBorders>
            <w:noWrap/>
            <w:vAlign w:val="bottom"/>
          </w:tcPr>
          <w:p w:rsidR="00E54916" w:rsidRPr="0036785F" w:rsidRDefault="00E54916" w:rsidP="0036785F">
            <w:pPr>
              <w:pStyle w:val="TableText"/>
              <w:jc w:val="right"/>
              <w:rPr>
                <w:sz w:val="16"/>
                <w:szCs w:val="16"/>
              </w:rPr>
            </w:pPr>
          </w:p>
        </w:tc>
      </w:tr>
      <w:tr w:rsidR="00E54916" w:rsidRPr="00E54916" w:rsidTr="0036785F">
        <w:trPr>
          <w:cantSplit/>
        </w:trPr>
        <w:tc>
          <w:tcPr>
            <w:tcW w:w="5402" w:type="dxa"/>
            <w:tcBorders>
              <w:left w:val="single" w:sz="4" w:space="0" w:color="002060"/>
            </w:tcBorders>
            <w:noWrap/>
            <w:vAlign w:val="bottom"/>
          </w:tcPr>
          <w:p w:rsidR="00E54916" w:rsidRPr="0036785F" w:rsidRDefault="00E54916" w:rsidP="0036785F">
            <w:pPr>
              <w:pStyle w:val="TableText"/>
              <w:rPr>
                <w:sz w:val="16"/>
                <w:szCs w:val="16"/>
              </w:rPr>
            </w:pPr>
            <w:r w:rsidRPr="0036785F">
              <w:rPr>
                <w:sz w:val="16"/>
                <w:szCs w:val="16"/>
              </w:rPr>
              <w:t xml:space="preserve">Cash </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-60</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-60</w:t>
            </w:r>
          </w:p>
        </w:tc>
        <w:tc>
          <w:tcPr>
            <w:tcW w:w="1371" w:type="dxa"/>
            <w:tcBorders>
              <w:right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-50</w:t>
            </w:r>
          </w:p>
        </w:tc>
      </w:tr>
      <w:tr w:rsidR="00E54916" w:rsidRPr="00E54916" w:rsidTr="0036785F">
        <w:trPr>
          <w:cantSplit/>
        </w:trPr>
        <w:tc>
          <w:tcPr>
            <w:tcW w:w="5402" w:type="dxa"/>
            <w:tcBorders>
              <w:left w:val="single" w:sz="4" w:space="0" w:color="002060"/>
            </w:tcBorders>
            <w:noWrap/>
            <w:vAlign w:val="bottom"/>
          </w:tcPr>
          <w:p w:rsidR="00E54916" w:rsidRPr="0036785F" w:rsidRDefault="00E54916" w:rsidP="0036785F">
            <w:pPr>
              <w:pStyle w:val="TableText"/>
              <w:rPr>
                <w:sz w:val="16"/>
                <w:szCs w:val="16"/>
              </w:rPr>
            </w:pPr>
            <w:r w:rsidRPr="0036785F">
              <w:rPr>
                <w:sz w:val="16"/>
                <w:szCs w:val="16"/>
              </w:rPr>
              <w:t>Commonwealth in-kind</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-20</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-20</w:t>
            </w:r>
          </w:p>
        </w:tc>
        <w:tc>
          <w:tcPr>
            <w:tcW w:w="1371" w:type="dxa"/>
            <w:tcBorders>
              <w:right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-20</w:t>
            </w:r>
          </w:p>
        </w:tc>
      </w:tr>
      <w:tr w:rsidR="00E54916" w:rsidRPr="00E54916" w:rsidTr="0036785F">
        <w:trPr>
          <w:cantSplit/>
        </w:trPr>
        <w:tc>
          <w:tcPr>
            <w:tcW w:w="5402" w:type="dxa"/>
            <w:tcBorders>
              <w:left w:val="single" w:sz="4" w:space="0" w:color="002060"/>
            </w:tcBorders>
            <w:noWrap/>
            <w:vAlign w:val="bottom"/>
          </w:tcPr>
          <w:p w:rsidR="00E54916" w:rsidRPr="0036785F" w:rsidRDefault="00E54916" w:rsidP="0036785F">
            <w:pPr>
              <w:pStyle w:val="TableText"/>
              <w:rPr>
                <w:sz w:val="16"/>
                <w:szCs w:val="16"/>
              </w:rPr>
            </w:pPr>
            <w:r w:rsidRPr="0036785F">
              <w:rPr>
                <w:sz w:val="16"/>
                <w:szCs w:val="16"/>
              </w:rPr>
              <w:t>State in-kind</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-30</w:t>
            </w:r>
          </w:p>
        </w:tc>
        <w:tc>
          <w:tcPr>
            <w:tcW w:w="1370" w:type="dxa"/>
            <w:noWrap/>
            <w:vAlign w:val="bottom"/>
          </w:tcPr>
          <w:p w:rsidR="00E54916" w:rsidRPr="0036785F" w:rsidRDefault="00E54916" w:rsidP="0036785F">
            <w:pPr>
              <w:pStyle w:val="TableText"/>
              <w:jc w:val="right"/>
              <w:rPr>
                <w:sz w:val="16"/>
                <w:szCs w:val="16"/>
              </w:rPr>
            </w:pPr>
            <w:r w:rsidRPr="0036785F">
              <w:rPr>
                <w:sz w:val="16"/>
                <w:szCs w:val="16"/>
              </w:rPr>
              <w:t>-30</w:t>
            </w:r>
          </w:p>
        </w:tc>
        <w:tc>
          <w:tcPr>
            <w:tcW w:w="1371" w:type="dxa"/>
            <w:tcBorders>
              <w:right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-30</w:t>
            </w:r>
          </w:p>
        </w:tc>
      </w:tr>
      <w:tr w:rsidR="00E54916" w:rsidRPr="00E54916" w:rsidTr="0036785F">
        <w:trPr>
          <w:cantSplit/>
        </w:trPr>
        <w:tc>
          <w:tcPr>
            <w:tcW w:w="5402" w:type="dxa"/>
            <w:tcBorders>
              <w:left w:val="single" w:sz="4" w:space="0" w:color="002060"/>
            </w:tcBorders>
            <w:noWrap/>
            <w:vAlign w:val="bottom"/>
          </w:tcPr>
          <w:p w:rsidR="00E54916" w:rsidRPr="0036785F" w:rsidRDefault="00E54916" w:rsidP="0036785F">
            <w:pPr>
              <w:pStyle w:val="TableText"/>
              <w:rPr>
                <w:b/>
                <w:bCs/>
                <w:sz w:val="16"/>
                <w:szCs w:val="16"/>
              </w:rPr>
            </w:pPr>
            <w:r w:rsidRPr="0036785F">
              <w:rPr>
                <w:b/>
                <w:bCs/>
                <w:sz w:val="16"/>
                <w:szCs w:val="16"/>
              </w:rPr>
              <w:t>Total actual expenditure</w:t>
            </w:r>
          </w:p>
        </w:tc>
        <w:tc>
          <w:tcPr>
            <w:tcW w:w="1370" w:type="dxa"/>
            <w:noWrap/>
            <w:vAlign w:val="bottom"/>
          </w:tcPr>
          <w:p w:rsidR="00E54916" w:rsidRPr="0036785F" w:rsidRDefault="00E54916" w:rsidP="0036785F">
            <w:pPr>
              <w:pStyle w:val="TableText"/>
              <w:jc w:val="right"/>
              <w:rPr>
                <w:b/>
                <w:bCs/>
                <w:sz w:val="16"/>
                <w:szCs w:val="16"/>
              </w:rPr>
            </w:pPr>
            <w:r w:rsidRPr="0036785F">
              <w:rPr>
                <w:b/>
                <w:bCs/>
                <w:sz w:val="16"/>
                <w:szCs w:val="16"/>
              </w:rPr>
              <w:t>-110</w:t>
            </w:r>
          </w:p>
        </w:tc>
        <w:tc>
          <w:tcPr>
            <w:tcW w:w="1370" w:type="dxa"/>
            <w:noWrap/>
            <w:vAlign w:val="bottom"/>
          </w:tcPr>
          <w:p w:rsidR="00E54916" w:rsidRPr="0036785F" w:rsidRDefault="00E54916" w:rsidP="0036785F">
            <w:pPr>
              <w:pStyle w:val="TableText"/>
              <w:jc w:val="right"/>
              <w:rPr>
                <w:b/>
                <w:bCs/>
                <w:sz w:val="16"/>
                <w:szCs w:val="16"/>
              </w:rPr>
            </w:pPr>
            <w:r w:rsidRPr="0036785F">
              <w:rPr>
                <w:b/>
                <w:bCs/>
                <w:sz w:val="16"/>
                <w:szCs w:val="16"/>
              </w:rPr>
              <w:t>-110</w:t>
            </w:r>
          </w:p>
        </w:tc>
        <w:tc>
          <w:tcPr>
            <w:tcW w:w="1371" w:type="dxa"/>
            <w:tcBorders>
              <w:right w:val="single" w:sz="4" w:space="0" w:color="002060"/>
            </w:tcBorders>
            <w:noWrap/>
            <w:vAlign w:val="bottom"/>
          </w:tcPr>
          <w:p w:rsidR="00E54916" w:rsidRPr="0036785F" w:rsidRDefault="00E54916" w:rsidP="0036785F">
            <w:pPr>
              <w:pStyle w:val="TableText"/>
              <w:jc w:val="right"/>
              <w:rPr>
                <w:b/>
                <w:bCs/>
                <w:sz w:val="16"/>
                <w:szCs w:val="16"/>
              </w:rPr>
            </w:pPr>
            <w:r w:rsidRPr="0036785F">
              <w:rPr>
                <w:b/>
                <w:bCs/>
                <w:sz w:val="16"/>
                <w:szCs w:val="16"/>
              </w:rPr>
              <w:t>-100</w:t>
            </w:r>
          </w:p>
        </w:tc>
      </w:tr>
      <w:tr w:rsidR="00E54916" w:rsidRPr="00E54916" w:rsidTr="0036785F">
        <w:trPr>
          <w:cantSplit/>
        </w:trPr>
        <w:tc>
          <w:tcPr>
            <w:tcW w:w="5402" w:type="dxa"/>
            <w:tcBorders>
              <w:left w:val="single" w:sz="4" w:space="0" w:color="002060"/>
              <w:bottom w:val="single" w:sz="4" w:space="0" w:color="002060"/>
            </w:tcBorders>
            <w:noWrap/>
            <w:vAlign w:val="bottom"/>
          </w:tcPr>
          <w:p w:rsidR="00E54916" w:rsidRPr="0036785F" w:rsidRDefault="00E54916" w:rsidP="0036785F">
            <w:pPr>
              <w:pStyle w:val="TableText"/>
              <w:rPr>
                <w:b/>
                <w:bCs/>
                <w:sz w:val="16"/>
                <w:szCs w:val="16"/>
              </w:rPr>
            </w:pPr>
            <w:r w:rsidRPr="0036785F">
              <w:rPr>
                <w:b/>
                <w:bCs/>
                <w:sz w:val="16"/>
                <w:szCs w:val="16"/>
              </w:rPr>
              <w:t>Additional Commonwealth cash contribution to meet risk of cost overrun through increased client numbers, higher average care and support costs and Agency’s cash flow risk (S18.b.iii)</w:t>
            </w:r>
          </w:p>
        </w:tc>
        <w:tc>
          <w:tcPr>
            <w:tcW w:w="1370" w:type="dxa"/>
            <w:tcBorders>
              <w:bottom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10</w:t>
            </w:r>
          </w:p>
        </w:tc>
        <w:tc>
          <w:tcPr>
            <w:tcW w:w="1370" w:type="dxa"/>
            <w:tcBorders>
              <w:bottom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10</w:t>
            </w:r>
          </w:p>
        </w:tc>
        <w:tc>
          <w:tcPr>
            <w:tcW w:w="1371" w:type="dxa"/>
            <w:tcBorders>
              <w:bottom w:val="single" w:sz="4" w:space="0" w:color="002060"/>
              <w:right w:val="single" w:sz="4" w:space="0" w:color="002060"/>
            </w:tcBorders>
            <w:noWrap/>
            <w:vAlign w:val="bottom"/>
          </w:tcPr>
          <w:p w:rsidR="00E54916" w:rsidRPr="0036785F" w:rsidRDefault="00E54916" w:rsidP="0036785F">
            <w:pPr>
              <w:pStyle w:val="TableText"/>
              <w:jc w:val="right"/>
              <w:rPr>
                <w:sz w:val="16"/>
                <w:szCs w:val="16"/>
              </w:rPr>
            </w:pPr>
            <w:r w:rsidRPr="0036785F">
              <w:rPr>
                <w:sz w:val="16"/>
                <w:szCs w:val="16"/>
              </w:rPr>
              <w:t>0</w:t>
            </w:r>
          </w:p>
        </w:tc>
      </w:tr>
      <w:tr w:rsidR="00E54916" w:rsidRPr="00E54916" w:rsidTr="0036785F">
        <w:trPr>
          <w:cantSplit/>
        </w:trPr>
        <w:tc>
          <w:tcPr>
            <w:tcW w:w="5402" w:type="dxa"/>
            <w:tcBorders>
              <w:top w:val="single" w:sz="4" w:space="0" w:color="002060"/>
              <w:left w:val="single" w:sz="4" w:space="0" w:color="002060"/>
              <w:bottom w:val="single" w:sz="4" w:space="0" w:color="002060"/>
            </w:tcBorders>
            <w:noWrap/>
            <w:vAlign w:val="bottom"/>
          </w:tcPr>
          <w:p w:rsidR="00E54916" w:rsidRPr="0036785F" w:rsidRDefault="00E54916" w:rsidP="0036785F">
            <w:pPr>
              <w:pStyle w:val="TableText"/>
              <w:rPr>
                <w:b/>
                <w:bCs/>
                <w:sz w:val="16"/>
                <w:szCs w:val="16"/>
              </w:rPr>
            </w:pPr>
            <w:r w:rsidRPr="0036785F">
              <w:rPr>
                <w:b/>
                <w:bCs/>
                <w:sz w:val="16"/>
                <w:szCs w:val="16"/>
              </w:rPr>
              <w:t>End of year cash outcome for Agency</w:t>
            </w:r>
          </w:p>
        </w:tc>
        <w:tc>
          <w:tcPr>
            <w:tcW w:w="1370" w:type="dxa"/>
            <w:tcBorders>
              <w:top w:val="single" w:sz="4" w:space="0" w:color="002060"/>
              <w:bottom w:val="single" w:sz="4" w:space="0" w:color="002060"/>
            </w:tcBorders>
            <w:noWrap/>
            <w:vAlign w:val="bottom"/>
          </w:tcPr>
          <w:p w:rsidR="00E54916" w:rsidRPr="0036785F" w:rsidRDefault="00E54916" w:rsidP="0036785F">
            <w:pPr>
              <w:pStyle w:val="TableText"/>
              <w:jc w:val="right"/>
              <w:rPr>
                <w:b/>
                <w:bCs/>
                <w:sz w:val="16"/>
                <w:szCs w:val="16"/>
              </w:rPr>
            </w:pPr>
            <w:r w:rsidRPr="0036785F">
              <w:rPr>
                <w:b/>
                <w:bCs/>
                <w:sz w:val="16"/>
                <w:szCs w:val="16"/>
              </w:rPr>
              <w:t>0</w:t>
            </w:r>
          </w:p>
        </w:tc>
        <w:tc>
          <w:tcPr>
            <w:tcW w:w="1370" w:type="dxa"/>
            <w:tcBorders>
              <w:top w:val="single" w:sz="4" w:space="0" w:color="002060"/>
              <w:bottom w:val="single" w:sz="4" w:space="0" w:color="002060"/>
            </w:tcBorders>
            <w:noWrap/>
            <w:vAlign w:val="bottom"/>
          </w:tcPr>
          <w:p w:rsidR="00E54916" w:rsidRPr="0036785F" w:rsidRDefault="00E54916" w:rsidP="0036785F">
            <w:pPr>
              <w:pStyle w:val="TableText"/>
              <w:jc w:val="right"/>
              <w:rPr>
                <w:b/>
                <w:bCs/>
                <w:sz w:val="16"/>
                <w:szCs w:val="16"/>
              </w:rPr>
            </w:pPr>
            <w:r w:rsidRPr="0036785F">
              <w:rPr>
                <w:b/>
                <w:bCs/>
                <w:sz w:val="16"/>
                <w:szCs w:val="16"/>
              </w:rPr>
              <w:t>0</w:t>
            </w:r>
          </w:p>
        </w:tc>
        <w:tc>
          <w:tcPr>
            <w:tcW w:w="1371" w:type="dxa"/>
            <w:tcBorders>
              <w:top w:val="single" w:sz="4" w:space="0" w:color="002060"/>
              <w:bottom w:val="single" w:sz="4" w:space="0" w:color="002060"/>
              <w:right w:val="single" w:sz="4" w:space="0" w:color="002060"/>
            </w:tcBorders>
            <w:noWrap/>
            <w:vAlign w:val="bottom"/>
          </w:tcPr>
          <w:p w:rsidR="00E54916" w:rsidRPr="0036785F" w:rsidRDefault="00E54916" w:rsidP="0036785F">
            <w:pPr>
              <w:pStyle w:val="TableText"/>
              <w:jc w:val="right"/>
              <w:rPr>
                <w:b/>
                <w:bCs/>
                <w:sz w:val="16"/>
                <w:szCs w:val="16"/>
              </w:rPr>
            </w:pPr>
            <w:r w:rsidRPr="0036785F">
              <w:rPr>
                <w:b/>
                <w:bCs/>
                <w:sz w:val="16"/>
                <w:szCs w:val="16"/>
              </w:rPr>
              <w:t>0</w:t>
            </w:r>
          </w:p>
        </w:tc>
      </w:tr>
    </w:tbl>
    <w:p w:rsidR="00415A02" w:rsidRDefault="00E54916" w:rsidP="00E54916">
      <w:pPr>
        <w:rPr>
          <w:szCs w:val="20"/>
        </w:rPr>
      </w:pPr>
      <w:r w:rsidRPr="00E54916">
        <w:rPr>
          <w:szCs w:val="20"/>
        </w:rPr>
        <w:lastRenderedPageBreak/>
        <w:t>At the end of launch, the Commonwealth made total contributions of $140 and the host jurisdiction made total contributions of $180.  This is consistent with total expenditure of $320.  This is also consistent with the Commonwealth taking on 100 per cent of upside risk from increased client numbers, average care and support costs and Agency’s cash flow risk.</w:t>
      </w:r>
    </w:p>
    <w:p w:rsidR="00E54916" w:rsidRPr="00E54916" w:rsidRDefault="00E54916" w:rsidP="000C65A6">
      <w:pPr>
        <w:pStyle w:val="Heading2"/>
      </w:pPr>
      <w:r w:rsidRPr="00E54916">
        <w:t>Scenario 3 – no cost variance over three years, cash vary between years</w:t>
      </w:r>
    </w:p>
    <w:p w:rsidR="00E54916" w:rsidRPr="00E54916" w:rsidRDefault="00E54916" w:rsidP="00441BCC">
      <w:pPr>
        <w:spacing w:after="240"/>
        <w:rPr>
          <w:szCs w:val="20"/>
        </w:rPr>
      </w:pPr>
      <w:r w:rsidRPr="00E54916">
        <w:rPr>
          <w:szCs w:val="20"/>
        </w:rPr>
        <w:t xml:space="preserve">This scenario models a cash overspend of $10 in 2013-14, followed by </w:t>
      </w:r>
      <w:proofErr w:type="gramStart"/>
      <w:r w:rsidRPr="00E54916">
        <w:rPr>
          <w:szCs w:val="20"/>
        </w:rPr>
        <w:t>an underspend</w:t>
      </w:r>
      <w:proofErr w:type="gramEnd"/>
      <w:r w:rsidRPr="00E54916">
        <w:rPr>
          <w:szCs w:val="20"/>
        </w:rPr>
        <w:t xml:space="preserve"> of $10 in 2014-15.</w:t>
      </w:r>
    </w:p>
    <w:tbl>
      <w:tblPr>
        <w:tblW w:w="5000" w:type="pct"/>
        <w:tblInd w:w="93" w:type="dxa"/>
        <w:tblLayout w:type="fixed"/>
        <w:tblLook w:val="00A0" w:firstRow="1" w:lastRow="0" w:firstColumn="1" w:lastColumn="0" w:noHBand="0" w:noVBand="0"/>
        <w:tblCaption w:val="Scenario 3 – no cost variance over three years, cash vary between years"/>
        <w:tblDescription w:val="This table shows estimated contribution and expenditure from 2013 to 2016."/>
      </w:tblPr>
      <w:tblGrid>
        <w:gridCol w:w="5265"/>
        <w:gridCol w:w="1340"/>
        <w:gridCol w:w="1340"/>
        <w:gridCol w:w="1341"/>
      </w:tblGrid>
      <w:tr w:rsidR="00E54916" w:rsidRPr="00E54916" w:rsidTr="00441BCC">
        <w:trPr>
          <w:cantSplit/>
          <w:tblHeader/>
        </w:trPr>
        <w:tc>
          <w:tcPr>
            <w:tcW w:w="5402"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F10E1B" w:rsidRDefault="00E54916" w:rsidP="00441BCC">
            <w:pPr>
              <w:pStyle w:val="TableHeading"/>
              <w:rPr>
                <w:sz w:val="16"/>
                <w:szCs w:val="16"/>
              </w:rPr>
            </w:pPr>
            <w:r w:rsidRPr="00F10E1B">
              <w:rPr>
                <w:sz w:val="16"/>
                <w:szCs w:val="16"/>
              </w:rPr>
              <w:t>Summary of launch</w:t>
            </w:r>
          </w:p>
        </w:tc>
        <w:tc>
          <w:tcPr>
            <w:tcW w:w="1370"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F10E1B" w:rsidRDefault="00E54916" w:rsidP="00F10E1B">
            <w:pPr>
              <w:pStyle w:val="TableHeading"/>
              <w:jc w:val="right"/>
              <w:rPr>
                <w:bCs/>
                <w:sz w:val="16"/>
                <w:szCs w:val="16"/>
              </w:rPr>
            </w:pPr>
            <w:r w:rsidRPr="00F10E1B">
              <w:rPr>
                <w:bCs/>
                <w:sz w:val="16"/>
                <w:szCs w:val="16"/>
              </w:rPr>
              <w:t>2013-14</w:t>
            </w:r>
          </w:p>
        </w:tc>
        <w:tc>
          <w:tcPr>
            <w:tcW w:w="1370"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F10E1B" w:rsidRDefault="00E54916" w:rsidP="00F10E1B">
            <w:pPr>
              <w:pStyle w:val="TableHeading"/>
              <w:jc w:val="right"/>
              <w:rPr>
                <w:bCs/>
                <w:sz w:val="16"/>
                <w:szCs w:val="16"/>
              </w:rPr>
            </w:pPr>
            <w:r w:rsidRPr="00F10E1B">
              <w:rPr>
                <w:bCs/>
                <w:sz w:val="16"/>
                <w:szCs w:val="16"/>
              </w:rPr>
              <w:t>2014-15</w:t>
            </w:r>
          </w:p>
        </w:tc>
        <w:tc>
          <w:tcPr>
            <w:tcW w:w="1371"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F10E1B" w:rsidRDefault="00E54916" w:rsidP="00F10E1B">
            <w:pPr>
              <w:pStyle w:val="TableHeading"/>
              <w:jc w:val="right"/>
              <w:rPr>
                <w:bCs/>
                <w:sz w:val="16"/>
                <w:szCs w:val="16"/>
              </w:rPr>
            </w:pPr>
            <w:r w:rsidRPr="00F10E1B">
              <w:rPr>
                <w:bCs/>
                <w:sz w:val="16"/>
                <w:szCs w:val="16"/>
              </w:rPr>
              <w:t>2015-16</w:t>
            </w:r>
          </w:p>
        </w:tc>
      </w:tr>
      <w:tr w:rsidR="00E54916" w:rsidRPr="00E54916" w:rsidTr="00441BCC">
        <w:trPr>
          <w:cantSplit/>
        </w:trPr>
        <w:tc>
          <w:tcPr>
            <w:tcW w:w="5402" w:type="dxa"/>
            <w:tcBorders>
              <w:top w:val="single" w:sz="6" w:space="0" w:color="auto"/>
              <w:left w:val="single" w:sz="4" w:space="0" w:color="002060"/>
              <w:bottom w:val="single" w:sz="4" w:space="0" w:color="auto"/>
            </w:tcBorders>
            <w:noWrap/>
          </w:tcPr>
          <w:p w:rsidR="00E54916" w:rsidRPr="00F10E1B" w:rsidRDefault="00E54916" w:rsidP="00441BCC">
            <w:pPr>
              <w:pStyle w:val="TableText"/>
              <w:rPr>
                <w:b/>
                <w:bCs/>
                <w:sz w:val="16"/>
                <w:szCs w:val="16"/>
              </w:rPr>
            </w:pPr>
            <w:r w:rsidRPr="00F10E1B">
              <w:rPr>
                <w:b/>
                <w:bCs/>
                <w:sz w:val="16"/>
                <w:szCs w:val="16"/>
              </w:rPr>
              <w:t>Agency cash balance - carry over from previous year</w:t>
            </w:r>
          </w:p>
        </w:tc>
        <w:tc>
          <w:tcPr>
            <w:tcW w:w="1370" w:type="dxa"/>
            <w:tcBorders>
              <w:top w:val="single" w:sz="6" w:space="0" w:color="auto"/>
              <w:bottom w:val="single" w:sz="4" w:space="0" w:color="auto"/>
            </w:tcBorders>
            <w:noWrap/>
          </w:tcPr>
          <w:p w:rsidR="00E54916" w:rsidRPr="00F10E1B" w:rsidRDefault="00E54916" w:rsidP="00F10E1B">
            <w:pPr>
              <w:pStyle w:val="TableText"/>
              <w:jc w:val="right"/>
              <w:rPr>
                <w:b/>
                <w:bCs/>
                <w:sz w:val="16"/>
                <w:szCs w:val="16"/>
              </w:rPr>
            </w:pPr>
            <w:r w:rsidRPr="00F10E1B">
              <w:rPr>
                <w:b/>
                <w:bCs/>
                <w:sz w:val="16"/>
                <w:szCs w:val="16"/>
              </w:rPr>
              <w:t>0</w:t>
            </w:r>
          </w:p>
        </w:tc>
        <w:tc>
          <w:tcPr>
            <w:tcW w:w="1370" w:type="dxa"/>
            <w:tcBorders>
              <w:top w:val="single" w:sz="6" w:space="0" w:color="auto"/>
              <w:bottom w:val="single" w:sz="4" w:space="0" w:color="auto"/>
            </w:tcBorders>
            <w:noWrap/>
          </w:tcPr>
          <w:p w:rsidR="00E54916" w:rsidRPr="00F10E1B" w:rsidRDefault="00E54916" w:rsidP="00F10E1B">
            <w:pPr>
              <w:pStyle w:val="TableText"/>
              <w:jc w:val="right"/>
              <w:rPr>
                <w:b/>
                <w:bCs/>
                <w:sz w:val="16"/>
                <w:szCs w:val="16"/>
              </w:rPr>
            </w:pPr>
            <w:r w:rsidRPr="00F10E1B">
              <w:rPr>
                <w:b/>
                <w:bCs/>
                <w:sz w:val="16"/>
                <w:szCs w:val="16"/>
              </w:rPr>
              <w:t>0</w:t>
            </w:r>
          </w:p>
        </w:tc>
        <w:tc>
          <w:tcPr>
            <w:tcW w:w="1371" w:type="dxa"/>
            <w:tcBorders>
              <w:top w:val="single" w:sz="6" w:space="0" w:color="auto"/>
              <w:bottom w:val="single" w:sz="4" w:space="0" w:color="auto"/>
              <w:right w:val="single" w:sz="4" w:space="0" w:color="002060"/>
            </w:tcBorders>
            <w:noWrap/>
          </w:tcPr>
          <w:p w:rsidR="00E54916" w:rsidRPr="00F10E1B" w:rsidRDefault="00E54916" w:rsidP="00F10E1B">
            <w:pPr>
              <w:pStyle w:val="TableText"/>
              <w:jc w:val="right"/>
              <w:rPr>
                <w:b/>
                <w:bCs/>
                <w:sz w:val="16"/>
                <w:szCs w:val="16"/>
              </w:rPr>
            </w:pPr>
            <w:r w:rsidRPr="00F10E1B">
              <w:rPr>
                <w:b/>
                <w:bCs/>
                <w:sz w:val="16"/>
                <w:szCs w:val="16"/>
              </w:rPr>
              <w:t>10</w:t>
            </w:r>
          </w:p>
        </w:tc>
      </w:tr>
      <w:tr w:rsidR="00E54916" w:rsidRPr="00E54916" w:rsidTr="00441BCC">
        <w:trPr>
          <w:cantSplit/>
        </w:trPr>
        <w:tc>
          <w:tcPr>
            <w:tcW w:w="5402" w:type="dxa"/>
            <w:tcBorders>
              <w:left w:val="single" w:sz="4" w:space="0" w:color="002060"/>
            </w:tcBorders>
            <w:noWrap/>
          </w:tcPr>
          <w:p w:rsidR="00E54916" w:rsidRPr="00F10E1B" w:rsidRDefault="00E54916" w:rsidP="00441BCC">
            <w:pPr>
              <w:pStyle w:val="TableText"/>
              <w:rPr>
                <w:b/>
                <w:bCs/>
                <w:sz w:val="16"/>
                <w:szCs w:val="16"/>
              </w:rPr>
            </w:pPr>
            <w:r w:rsidRPr="00F10E1B">
              <w:rPr>
                <w:b/>
                <w:bCs/>
                <w:sz w:val="16"/>
                <w:szCs w:val="16"/>
              </w:rPr>
              <w:t>Beginning of the year actual cash contributions</w:t>
            </w:r>
          </w:p>
        </w:tc>
        <w:tc>
          <w:tcPr>
            <w:tcW w:w="1370" w:type="dxa"/>
            <w:noWrap/>
          </w:tcPr>
          <w:p w:rsidR="00E54916" w:rsidRPr="00F10E1B" w:rsidRDefault="00E54916" w:rsidP="00F10E1B">
            <w:pPr>
              <w:pStyle w:val="TableText"/>
              <w:jc w:val="right"/>
              <w:rPr>
                <w:bCs/>
                <w:sz w:val="16"/>
                <w:szCs w:val="16"/>
              </w:rPr>
            </w:pPr>
          </w:p>
        </w:tc>
        <w:tc>
          <w:tcPr>
            <w:tcW w:w="1370" w:type="dxa"/>
            <w:noWrap/>
          </w:tcPr>
          <w:p w:rsidR="00E54916" w:rsidRPr="00F10E1B" w:rsidRDefault="00E54916" w:rsidP="00F10E1B">
            <w:pPr>
              <w:pStyle w:val="TableText"/>
              <w:jc w:val="right"/>
              <w:rPr>
                <w:bCs/>
                <w:sz w:val="16"/>
                <w:szCs w:val="16"/>
              </w:rPr>
            </w:pPr>
          </w:p>
        </w:tc>
        <w:tc>
          <w:tcPr>
            <w:tcW w:w="1371" w:type="dxa"/>
            <w:tcBorders>
              <w:right w:val="single" w:sz="4" w:space="0" w:color="002060"/>
            </w:tcBorders>
            <w:noWrap/>
          </w:tcPr>
          <w:p w:rsidR="00E54916" w:rsidRPr="00F10E1B" w:rsidRDefault="00E54916" w:rsidP="00F10E1B">
            <w:pPr>
              <w:pStyle w:val="TableText"/>
              <w:jc w:val="right"/>
              <w:rPr>
                <w:bCs/>
                <w:sz w:val="16"/>
                <w:szCs w:val="16"/>
              </w:rPr>
            </w:pPr>
          </w:p>
        </w:tc>
      </w:tr>
      <w:tr w:rsidR="00E54916" w:rsidRPr="00E54916" w:rsidTr="00441BCC">
        <w:trPr>
          <w:cantSplit/>
        </w:trPr>
        <w:tc>
          <w:tcPr>
            <w:tcW w:w="5402" w:type="dxa"/>
            <w:tcBorders>
              <w:left w:val="single" w:sz="4" w:space="0" w:color="002060"/>
            </w:tcBorders>
            <w:noWrap/>
          </w:tcPr>
          <w:p w:rsidR="00E54916" w:rsidRPr="00F10E1B" w:rsidRDefault="00E54916" w:rsidP="00441BCC">
            <w:pPr>
              <w:pStyle w:val="TableText"/>
              <w:rPr>
                <w:sz w:val="16"/>
                <w:szCs w:val="16"/>
              </w:rPr>
            </w:pPr>
            <w:r w:rsidRPr="00F10E1B">
              <w:rPr>
                <w:sz w:val="16"/>
                <w:szCs w:val="16"/>
              </w:rPr>
              <w:t>Commonwealth scheduled cash contribution</w:t>
            </w:r>
          </w:p>
        </w:tc>
        <w:tc>
          <w:tcPr>
            <w:tcW w:w="1370" w:type="dxa"/>
            <w:noWrap/>
            <w:vAlign w:val="bottom"/>
          </w:tcPr>
          <w:p w:rsidR="00E54916" w:rsidRPr="00F10E1B" w:rsidRDefault="00E54916" w:rsidP="00F10E1B">
            <w:pPr>
              <w:pStyle w:val="TableText"/>
              <w:jc w:val="right"/>
              <w:rPr>
                <w:sz w:val="16"/>
                <w:szCs w:val="16"/>
              </w:rPr>
            </w:pPr>
            <w:r w:rsidRPr="00F10E1B">
              <w:rPr>
                <w:sz w:val="16"/>
                <w:szCs w:val="16"/>
              </w:rPr>
              <w:t>20</w:t>
            </w:r>
          </w:p>
        </w:tc>
        <w:tc>
          <w:tcPr>
            <w:tcW w:w="1370" w:type="dxa"/>
            <w:noWrap/>
            <w:vAlign w:val="bottom"/>
          </w:tcPr>
          <w:p w:rsidR="00E54916" w:rsidRPr="00F10E1B" w:rsidRDefault="00E54916" w:rsidP="00F10E1B">
            <w:pPr>
              <w:pStyle w:val="TableText"/>
              <w:jc w:val="right"/>
              <w:rPr>
                <w:sz w:val="16"/>
                <w:szCs w:val="16"/>
              </w:rPr>
            </w:pPr>
            <w:r w:rsidRPr="00F10E1B">
              <w:rPr>
                <w:sz w:val="16"/>
                <w:szCs w:val="16"/>
              </w:rPr>
              <w:t>20</w:t>
            </w:r>
          </w:p>
        </w:tc>
        <w:tc>
          <w:tcPr>
            <w:tcW w:w="1371" w:type="dxa"/>
            <w:tcBorders>
              <w:right w:val="single" w:sz="4" w:space="0" w:color="002060"/>
            </w:tcBorders>
            <w:noWrap/>
            <w:vAlign w:val="bottom"/>
          </w:tcPr>
          <w:p w:rsidR="00E54916" w:rsidRPr="00F10E1B" w:rsidRDefault="00E54916" w:rsidP="00F10E1B">
            <w:pPr>
              <w:pStyle w:val="TableText"/>
              <w:jc w:val="right"/>
              <w:rPr>
                <w:sz w:val="16"/>
                <w:szCs w:val="16"/>
              </w:rPr>
            </w:pPr>
            <w:r w:rsidRPr="00F10E1B">
              <w:rPr>
                <w:sz w:val="16"/>
                <w:szCs w:val="16"/>
              </w:rPr>
              <w:t>20</w:t>
            </w:r>
          </w:p>
        </w:tc>
      </w:tr>
      <w:tr w:rsidR="00E54916" w:rsidRPr="00E54916" w:rsidTr="00441BCC">
        <w:trPr>
          <w:cantSplit/>
        </w:trPr>
        <w:tc>
          <w:tcPr>
            <w:tcW w:w="5402" w:type="dxa"/>
            <w:tcBorders>
              <w:left w:val="single" w:sz="4" w:space="0" w:color="002060"/>
            </w:tcBorders>
            <w:noWrap/>
          </w:tcPr>
          <w:p w:rsidR="00E54916" w:rsidRPr="00F10E1B" w:rsidRDefault="00E54916" w:rsidP="00441BCC">
            <w:pPr>
              <w:pStyle w:val="TableText"/>
              <w:rPr>
                <w:sz w:val="16"/>
                <w:szCs w:val="16"/>
              </w:rPr>
            </w:pPr>
            <w:r w:rsidRPr="00F10E1B">
              <w:rPr>
                <w:sz w:val="16"/>
                <w:szCs w:val="16"/>
              </w:rPr>
              <w:t>State scheduled cash contribution</w:t>
            </w:r>
          </w:p>
        </w:tc>
        <w:tc>
          <w:tcPr>
            <w:tcW w:w="1370" w:type="dxa"/>
            <w:noWrap/>
            <w:vAlign w:val="bottom"/>
          </w:tcPr>
          <w:p w:rsidR="00E54916" w:rsidRPr="00F10E1B" w:rsidRDefault="00E54916" w:rsidP="00F10E1B">
            <w:pPr>
              <w:pStyle w:val="TableText"/>
              <w:jc w:val="right"/>
              <w:rPr>
                <w:sz w:val="16"/>
                <w:szCs w:val="16"/>
              </w:rPr>
            </w:pPr>
            <w:r w:rsidRPr="00F10E1B">
              <w:rPr>
                <w:sz w:val="16"/>
                <w:szCs w:val="16"/>
              </w:rPr>
              <w:t>30</w:t>
            </w:r>
          </w:p>
        </w:tc>
        <w:tc>
          <w:tcPr>
            <w:tcW w:w="1370" w:type="dxa"/>
            <w:noWrap/>
            <w:vAlign w:val="bottom"/>
          </w:tcPr>
          <w:p w:rsidR="00E54916" w:rsidRPr="00F10E1B" w:rsidRDefault="00E54916" w:rsidP="00F10E1B">
            <w:pPr>
              <w:pStyle w:val="TableText"/>
              <w:jc w:val="right"/>
              <w:rPr>
                <w:sz w:val="16"/>
                <w:szCs w:val="16"/>
              </w:rPr>
            </w:pPr>
            <w:r w:rsidRPr="00F10E1B">
              <w:rPr>
                <w:sz w:val="16"/>
                <w:szCs w:val="16"/>
              </w:rPr>
              <w:t>30</w:t>
            </w:r>
          </w:p>
        </w:tc>
        <w:tc>
          <w:tcPr>
            <w:tcW w:w="1371" w:type="dxa"/>
            <w:tcBorders>
              <w:right w:val="single" w:sz="4" w:space="0" w:color="002060"/>
            </w:tcBorders>
            <w:noWrap/>
            <w:vAlign w:val="bottom"/>
          </w:tcPr>
          <w:p w:rsidR="00E54916" w:rsidRPr="00F10E1B" w:rsidRDefault="00E54916" w:rsidP="00F10E1B">
            <w:pPr>
              <w:pStyle w:val="TableText"/>
              <w:jc w:val="right"/>
              <w:rPr>
                <w:sz w:val="16"/>
                <w:szCs w:val="16"/>
              </w:rPr>
            </w:pPr>
            <w:r w:rsidRPr="00F10E1B">
              <w:rPr>
                <w:sz w:val="16"/>
                <w:szCs w:val="16"/>
              </w:rPr>
              <w:t>30</w:t>
            </w:r>
          </w:p>
        </w:tc>
      </w:tr>
      <w:tr w:rsidR="00E54916" w:rsidRPr="00E54916" w:rsidTr="00441BCC">
        <w:trPr>
          <w:cantSplit/>
        </w:trPr>
        <w:tc>
          <w:tcPr>
            <w:tcW w:w="5402" w:type="dxa"/>
            <w:tcBorders>
              <w:left w:val="single" w:sz="4" w:space="0" w:color="002060"/>
            </w:tcBorders>
            <w:noWrap/>
            <w:vAlign w:val="bottom"/>
          </w:tcPr>
          <w:p w:rsidR="00E54916" w:rsidRPr="00F10E1B" w:rsidRDefault="00E54916" w:rsidP="00441BCC">
            <w:pPr>
              <w:pStyle w:val="TableText"/>
              <w:rPr>
                <w:sz w:val="16"/>
                <w:szCs w:val="16"/>
              </w:rPr>
            </w:pPr>
            <w:r w:rsidRPr="00F10E1B">
              <w:rPr>
                <w:sz w:val="16"/>
                <w:szCs w:val="16"/>
              </w:rPr>
              <w:t>Adjustment for previous year’s cash underspend based on funding shares - Commonwealth (S49)</w:t>
            </w:r>
          </w:p>
        </w:tc>
        <w:tc>
          <w:tcPr>
            <w:tcW w:w="1370" w:type="dxa"/>
            <w:noWrap/>
            <w:vAlign w:val="bottom"/>
          </w:tcPr>
          <w:p w:rsidR="00E54916" w:rsidRPr="00F10E1B" w:rsidRDefault="00E54916" w:rsidP="00F10E1B">
            <w:pPr>
              <w:pStyle w:val="TableText"/>
              <w:jc w:val="right"/>
              <w:rPr>
                <w:sz w:val="16"/>
                <w:szCs w:val="16"/>
              </w:rPr>
            </w:pPr>
          </w:p>
        </w:tc>
        <w:tc>
          <w:tcPr>
            <w:tcW w:w="1370" w:type="dxa"/>
            <w:noWrap/>
            <w:vAlign w:val="bottom"/>
          </w:tcPr>
          <w:p w:rsidR="00E54916" w:rsidRPr="00F10E1B" w:rsidRDefault="00E54916" w:rsidP="00F10E1B">
            <w:pPr>
              <w:pStyle w:val="TableText"/>
              <w:jc w:val="right"/>
              <w:rPr>
                <w:sz w:val="16"/>
                <w:szCs w:val="16"/>
              </w:rPr>
            </w:pPr>
            <w:r w:rsidRPr="00F10E1B">
              <w:rPr>
                <w:sz w:val="16"/>
                <w:szCs w:val="16"/>
              </w:rPr>
              <w:t>0</w:t>
            </w:r>
          </w:p>
        </w:tc>
        <w:tc>
          <w:tcPr>
            <w:tcW w:w="1371" w:type="dxa"/>
            <w:tcBorders>
              <w:right w:val="single" w:sz="4" w:space="0" w:color="002060"/>
            </w:tcBorders>
            <w:noWrap/>
            <w:vAlign w:val="bottom"/>
          </w:tcPr>
          <w:p w:rsidR="00E54916" w:rsidRPr="00F10E1B" w:rsidRDefault="00E54916" w:rsidP="00F10E1B">
            <w:pPr>
              <w:pStyle w:val="TableText"/>
              <w:jc w:val="right"/>
              <w:rPr>
                <w:sz w:val="16"/>
                <w:szCs w:val="16"/>
              </w:rPr>
            </w:pPr>
            <w:r w:rsidRPr="00F10E1B">
              <w:rPr>
                <w:sz w:val="16"/>
                <w:szCs w:val="16"/>
              </w:rPr>
              <w:t>-4</w:t>
            </w:r>
          </w:p>
        </w:tc>
      </w:tr>
      <w:tr w:rsidR="00E54916" w:rsidRPr="00E54916" w:rsidTr="00441BCC">
        <w:trPr>
          <w:cantSplit/>
        </w:trPr>
        <w:tc>
          <w:tcPr>
            <w:tcW w:w="5402" w:type="dxa"/>
            <w:tcBorders>
              <w:left w:val="single" w:sz="4" w:space="0" w:color="002060"/>
            </w:tcBorders>
            <w:noWrap/>
            <w:vAlign w:val="bottom"/>
          </w:tcPr>
          <w:p w:rsidR="00E54916" w:rsidRPr="00F10E1B" w:rsidRDefault="00E54916" w:rsidP="00441BCC">
            <w:pPr>
              <w:pStyle w:val="TableText"/>
              <w:rPr>
                <w:sz w:val="16"/>
                <w:szCs w:val="16"/>
              </w:rPr>
            </w:pPr>
            <w:r w:rsidRPr="00F10E1B">
              <w:rPr>
                <w:sz w:val="16"/>
                <w:szCs w:val="16"/>
              </w:rPr>
              <w:t>Adjustment for previous year’s cash underspend based on funding shares - States (S49)</w:t>
            </w:r>
          </w:p>
        </w:tc>
        <w:tc>
          <w:tcPr>
            <w:tcW w:w="1370" w:type="dxa"/>
            <w:noWrap/>
            <w:vAlign w:val="bottom"/>
          </w:tcPr>
          <w:p w:rsidR="00E54916" w:rsidRPr="00F10E1B" w:rsidRDefault="00E54916" w:rsidP="00F10E1B">
            <w:pPr>
              <w:pStyle w:val="TableText"/>
              <w:jc w:val="right"/>
              <w:rPr>
                <w:sz w:val="16"/>
                <w:szCs w:val="16"/>
              </w:rPr>
            </w:pPr>
          </w:p>
        </w:tc>
        <w:tc>
          <w:tcPr>
            <w:tcW w:w="1370" w:type="dxa"/>
            <w:noWrap/>
            <w:vAlign w:val="bottom"/>
          </w:tcPr>
          <w:p w:rsidR="00E54916" w:rsidRPr="00F10E1B" w:rsidRDefault="00E54916" w:rsidP="00F10E1B">
            <w:pPr>
              <w:pStyle w:val="TableText"/>
              <w:jc w:val="right"/>
              <w:rPr>
                <w:sz w:val="16"/>
                <w:szCs w:val="16"/>
              </w:rPr>
            </w:pPr>
            <w:r w:rsidRPr="00F10E1B">
              <w:rPr>
                <w:sz w:val="16"/>
                <w:szCs w:val="16"/>
              </w:rPr>
              <w:t>0</w:t>
            </w:r>
          </w:p>
        </w:tc>
        <w:tc>
          <w:tcPr>
            <w:tcW w:w="1371" w:type="dxa"/>
            <w:tcBorders>
              <w:right w:val="single" w:sz="4" w:space="0" w:color="002060"/>
            </w:tcBorders>
            <w:noWrap/>
            <w:vAlign w:val="bottom"/>
          </w:tcPr>
          <w:p w:rsidR="00E54916" w:rsidRPr="00F10E1B" w:rsidRDefault="00E54916" w:rsidP="00F10E1B">
            <w:pPr>
              <w:pStyle w:val="TableText"/>
              <w:jc w:val="right"/>
              <w:rPr>
                <w:sz w:val="16"/>
                <w:szCs w:val="16"/>
              </w:rPr>
            </w:pPr>
            <w:r w:rsidRPr="00F10E1B">
              <w:rPr>
                <w:sz w:val="16"/>
                <w:szCs w:val="16"/>
              </w:rPr>
              <w:t>-6</w:t>
            </w:r>
          </w:p>
        </w:tc>
      </w:tr>
      <w:tr w:rsidR="00E54916" w:rsidRPr="00E54916" w:rsidTr="00441BCC">
        <w:trPr>
          <w:cantSplit/>
        </w:trPr>
        <w:tc>
          <w:tcPr>
            <w:tcW w:w="5402" w:type="dxa"/>
            <w:tcBorders>
              <w:top w:val="single" w:sz="4" w:space="0" w:color="auto"/>
              <w:left w:val="single" w:sz="4" w:space="0" w:color="002060"/>
              <w:bottom w:val="single" w:sz="4" w:space="0" w:color="auto"/>
            </w:tcBorders>
            <w:noWrap/>
            <w:vAlign w:val="bottom"/>
          </w:tcPr>
          <w:p w:rsidR="00E54916" w:rsidRPr="00F10E1B" w:rsidRDefault="00E54916" w:rsidP="00441BCC">
            <w:pPr>
              <w:pStyle w:val="TableText"/>
              <w:rPr>
                <w:b/>
                <w:bCs/>
                <w:sz w:val="16"/>
                <w:szCs w:val="16"/>
              </w:rPr>
            </w:pPr>
            <w:r w:rsidRPr="00F10E1B">
              <w:rPr>
                <w:b/>
                <w:bCs/>
                <w:sz w:val="16"/>
                <w:szCs w:val="16"/>
              </w:rPr>
              <w:t>Agency cash at the beginning of the year</w:t>
            </w:r>
          </w:p>
        </w:tc>
        <w:tc>
          <w:tcPr>
            <w:tcW w:w="1370" w:type="dxa"/>
            <w:tcBorders>
              <w:top w:val="single" w:sz="4" w:space="0" w:color="auto"/>
              <w:bottom w:val="single" w:sz="4" w:space="0" w:color="auto"/>
            </w:tcBorders>
            <w:noWrap/>
            <w:vAlign w:val="bottom"/>
          </w:tcPr>
          <w:p w:rsidR="00E54916" w:rsidRPr="00F10E1B" w:rsidRDefault="00E54916" w:rsidP="00F10E1B">
            <w:pPr>
              <w:pStyle w:val="TableText"/>
              <w:jc w:val="right"/>
              <w:rPr>
                <w:b/>
                <w:bCs/>
                <w:sz w:val="16"/>
                <w:szCs w:val="16"/>
              </w:rPr>
            </w:pPr>
            <w:r w:rsidRPr="00F10E1B">
              <w:rPr>
                <w:b/>
                <w:bCs/>
                <w:sz w:val="16"/>
                <w:szCs w:val="16"/>
              </w:rPr>
              <w:t>50</w:t>
            </w:r>
          </w:p>
        </w:tc>
        <w:tc>
          <w:tcPr>
            <w:tcW w:w="1370" w:type="dxa"/>
            <w:tcBorders>
              <w:top w:val="single" w:sz="4" w:space="0" w:color="auto"/>
              <w:bottom w:val="single" w:sz="4" w:space="0" w:color="auto"/>
            </w:tcBorders>
            <w:noWrap/>
            <w:vAlign w:val="bottom"/>
          </w:tcPr>
          <w:p w:rsidR="00E54916" w:rsidRPr="00F10E1B" w:rsidRDefault="00E54916" w:rsidP="00F10E1B">
            <w:pPr>
              <w:pStyle w:val="TableText"/>
              <w:jc w:val="right"/>
              <w:rPr>
                <w:b/>
                <w:bCs/>
                <w:sz w:val="16"/>
                <w:szCs w:val="16"/>
              </w:rPr>
            </w:pPr>
            <w:r w:rsidRPr="00F10E1B">
              <w:rPr>
                <w:b/>
                <w:bCs/>
                <w:sz w:val="16"/>
                <w:szCs w:val="16"/>
              </w:rPr>
              <w:t>50</w:t>
            </w:r>
          </w:p>
        </w:tc>
        <w:tc>
          <w:tcPr>
            <w:tcW w:w="1371" w:type="dxa"/>
            <w:tcBorders>
              <w:top w:val="single" w:sz="4" w:space="0" w:color="auto"/>
              <w:bottom w:val="single" w:sz="4" w:space="0" w:color="auto"/>
              <w:right w:val="single" w:sz="4" w:space="0" w:color="002060"/>
            </w:tcBorders>
            <w:noWrap/>
            <w:vAlign w:val="bottom"/>
          </w:tcPr>
          <w:p w:rsidR="00E54916" w:rsidRPr="00F10E1B" w:rsidRDefault="00E54916" w:rsidP="00F10E1B">
            <w:pPr>
              <w:pStyle w:val="TableText"/>
              <w:jc w:val="right"/>
              <w:rPr>
                <w:b/>
                <w:bCs/>
                <w:sz w:val="16"/>
                <w:szCs w:val="16"/>
              </w:rPr>
            </w:pPr>
            <w:r w:rsidRPr="00F10E1B">
              <w:rPr>
                <w:b/>
                <w:bCs/>
                <w:sz w:val="16"/>
                <w:szCs w:val="16"/>
              </w:rPr>
              <w:t>50</w:t>
            </w:r>
          </w:p>
        </w:tc>
      </w:tr>
      <w:tr w:rsidR="00E54916" w:rsidRPr="00E54916" w:rsidTr="00441BCC">
        <w:trPr>
          <w:cantSplit/>
        </w:trPr>
        <w:tc>
          <w:tcPr>
            <w:tcW w:w="5402" w:type="dxa"/>
            <w:tcBorders>
              <w:left w:val="single" w:sz="4" w:space="0" w:color="002060"/>
            </w:tcBorders>
            <w:noWrap/>
            <w:vAlign w:val="bottom"/>
          </w:tcPr>
          <w:p w:rsidR="00E54916" w:rsidRPr="00F10E1B" w:rsidRDefault="00E54916" w:rsidP="00441BCC">
            <w:pPr>
              <w:pStyle w:val="TableText"/>
              <w:rPr>
                <w:b/>
                <w:bCs/>
                <w:sz w:val="16"/>
                <w:szCs w:val="16"/>
              </w:rPr>
            </w:pPr>
            <w:r w:rsidRPr="00F10E1B">
              <w:rPr>
                <w:b/>
                <w:bCs/>
                <w:sz w:val="16"/>
                <w:szCs w:val="16"/>
              </w:rPr>
              <w:t>Actual expenditure during the year</w:t>
            </w:r>
          </w:p>
        </w:tc>
        <w:tc>
          <w:tcPr>
            <w:tcW w:w="1370" w:type="dxa"/>
            <w:noWrap/>
            <w:vAlign w:val="bottom"/>
          </w:tcPr>
          <w:p w:rsidR="00E54916" w:rsidRPr="00F10E1B" w:rsidRDefault="00E54916" w:rsidP="00F10E1B">
            <w:pPr>
              <w:pStyle w:val="TableText"/>
              <w:jc w:val="right"/>
              <w:rPr>
                <w:sz w:val="16"/>
                <w:szCs w:val="16"/>
              </w:rPr>
            </w:pPr>
          </w:p>
        </w:tc>
        <w:tc>
          <w:tcPr>
            <w:tcW w:w="1370" w:type="dxa"/>
            <w:noWrap/>
            <w:vAlign w:val="bottom"/>
          </w:tcPr>
          <w:p w:rsidR="00E54916" w:rsidRPr="00F10E1B" w:rsidRDefault="00E54916" w:rsidP="00F10E1B">
            <w:pPr>
              <w:pStyle w:val="TableText"/>
              <w:jc w:val="right"/>
              <w:rPr>
                <w:sz w:val="16"/>
                <w:szCs w:val="16"/>
              </w:rPr>
            </w:pPr>
          </w:p>
        </w:tc>
        <w:tc>
          <w:tcPr>
            <w:tcW w:w="1371" w:type="dxa"/>
            <w:tcBorders>
              <w:right w:val="single" w:sz="4" w:space="0" w:color="002060"/>
            </w:tcBorders>
            <w:noWrap/>
            <w:vAlign w:val="bottom"/>
          </w:tcPr>
          <w:p w:rsidR="00E54916" w:rsidRPr="00F10E1B" w:rsidRDefault="00E54916" w:rsidP="00F10E1B">
            <w:pPr>
              <w:pStyle w:val="TableText"/>
              <w:jc w:val="right"/>
              <w:rPr>
                <w:sz w:val="16"/>
                <w:szCs w:val="16"/>
              </w:rPr>
            </w:pPr>
          </w:p>
        </w:tc>
      </w:tr>
      <w:tr w:rsidR="00E54916" w:rsidRPr="00E54916" w:rsidTr="00441BCC">
        <w:trPr>
          <w:cantSplit/>
        </w:trPr>
        <w:tc>
          <w:tcPr>
            <w:tcW w:w="5402" w:type="dxa"/>
            <w:tcBorders>
              <w:left w:val="single" w:sz="4" w:space="0" w:color="002060"/>
            </w:tcBorders>
            <w:noWrap/>
            <w:vAlign w:val="bottom"/>
          </w:tcPr>
          <w:p w:rsidR="00E54916" w:rsidRPr="00F10E1B" w:rsidRDefault="00E54916" w:rsidP="00441BCC">
            <w:pPr>
              <w:pStyle w:val="TableText"/>
              <w:rPr>
                <w:sz w:val="16"/>
                <w:szCs w:val="16"/>
              </w:rPr>
            </w:pPr>
            <w:r w:rsidRPr="00F10E1B">
              <w:rPr>
                <w:sz w:val="16"/>
                <w:szCs w:val="16"/>
              </w:rPr>
              <w:t xml:space="preserve">Cash </w:t>
            </w:r>
          </w:p>
        </w:tc>
        <w:tc>
          <w:tcPr>
            <w:tcW w:w="1370" w:type="dxa"/>
            <w:noWrap/>
            <w:vAlign w:val="bottom"/>
          </w:tcPr>
          <w:p w:rsidR="00E54916" w:rsidRPr="00F10E1B" w:rsidRDefault="00E54916" w:rsidP="00F10E1B">
            <w:pPr>
              <w:pStyle w:val="TableText"/>
              <w:jc w:val="right"/>
              <w:rPr>
                <w:sz w:val="16"/>
                <w:szCs w:val="16"/>
              </w:rPr>
            </w:pPr>
            <w:r w:rsidRPr="00F10E1B">
              <w:rPr>
                <w:sz w:val="16"/>
                <w:szCs w:val="16"/>
              </w:rPr>
              <w:t>-60</w:t>
            </w:r>
          </w:p>
        </w:tc>
        <w:tc>
          <w:tcPr>
            <w:tcW w:w="1370" w:type="dxa"/>
            <w:noWrap/>
            <w:vAlign w:val="bottom"/>
          </w:tcPr>
          <w:p w:rsidR="00E54916" w:rsidRPr="00F10E1B" w:rsidRDefault="00E54916" w:rsidP="00F10E1B">
            <w:pPr>
              <w:pStyle w:val="TableText"/>
              <w:jc w:val="right"/>
              <w:rPr>
                <w:sz w:val="16"/>
                <w:szCs w:val="16"/>
              </w:rPr>
            </w:pPr>
            <w:r w:rsidRPr="00F10E1B">
              <w:rPr>
                <w:sz w:val="16"/>
                <w:szCs w:val="16"/>
              </w:rPr>
              <w:t>-40</w:t>
            </w:r>
          </w:p>
        </w:tc>
        <w:tc>
          <w:tcPr>
            <w:tcW w:w="1371" w:type="dxa"/>
            <w:tcBorders>
              <w:right w:val="single" w:sz="4" w:space="0" w:color="002060"/>
            </w:tcBorders>
            <w:noWrap/>
            <w:vAlign w:val="bottom"/>
          </w:tcPr>
          <w:p w:rsidR="00E54916" w:rsidRPr="00F10E1B" w:rsidRDefault="00E54916" w:rsidP="00F10E1B">
            <w:pPr>
              <w:pStyle w:val="TableText"/>
              <w:jc w:val="right"/>
              <w:rPr>
                <w:sz w:val="16"/>
                <w:szCs w:val="16"/>
              </w:rPr>
            </w:pPr>
            <w:r w:rsidRPr="00F10E1B">
              <w:rPr>
                <w:sz w:val="16"/>
                <w:szCs w:val="16"/>
              </w:rPr>
              <w:t>-50</w:t>
            </w:r>
          </w:p>
        </w:tc>
      </w:tr>
      <w:tr w:rsidR="00E54916" w:rsidRPr="00E54916" w:rsidTr="00441BCC">
        <w:trPr>
          <w:cantSplit/>
        </w:trPr>
        <w:tc>
          <w:tcPr>
            <w:tcW w:w="5402" w:type="dxa"/>
            <w:tcBorders>
              <w:left w:val="single" w:sz="4" w:space="0" w:color="002060"/>
            </w:tcBorders>
            <w:noWrap/>
            <w:vAlign w:val="bottom"/>
          </w:tcPr>
          <w:p w:rsidR="00E54916" w:rsidRPr="00F10E1B" w:rsidRDefault="00E54916" w:rsidP="00441BCC">
            <w:pPr>
              <w:pStyle w:val="TableText"/>
              <w:rPr>
                <w:sz w:val="16"/>
                <w:szCs w:val="16"/>
              </w:rPr>
            </w:pPr>
            <w:r w:rsidRPr="00F10E1B">
              <w:rPr>
                <w:sz w:val="16"/>
                <w:szCs w:val="16"/>
              </w:rPr>
              <w:t>Commonwealth in-kind</w:t>
            </w:r>
          </w:p>
        </w:tc>
        <w:tc>
          <w:tcPr>
            <w:tcW w:w="1370" w:type="dxa"/>
            <w:noWrap/>
            <w:vAlign w:val="bottom"/>
          </w:tcPr>
          <w:p w:rsidR="00E54916" w:rsidRPr="00F10E1B" w:rsidRDefault="00E54916" w:rsidP="00F10E1B">
            <w:pPr>
              <w:pStyle w:val="TableText"/>
              <w:jc w:val="right"/>
              <w:rPr>
                <w:sz w:val="16"/>
                <w:szCs w:val="16"/>
              </w:rPr>
            </w:pPr>
            <w:r w:rsidRPr="00F10E1B">
              <w:rPr>
                <w:sz w:val="16"/>
                <w:szCs w:val="16"/>
              </w:rPr>
              <w:t>-20</w:t>
            </w:r>
          </w:p>
        </w:tc>
        <w:tc>
          <w:tcPr>
            <w:tcW w:w="1370" w:type="dxa"/>
            <w:noWrap/>
            <w:vAlign w:val="bottom"/>
          </w:tcPr>
          <w:p w:rsidR="00E54916" w:rsidRPr="00F10E1B" w:rsidRDefault="00E54916" w:rsidP="00F10E1B">
            <w:pPr>
              <w:pStyle w:val="TableText"/>
              <w:jc w:val="right"/>
              <w:rPr>
                <w:sz w:val="16"/>
                <w:szCs w:val="16"/>
              </w:rPr>
            </w:pPr>
            <w:r w:rsidRPr="00F10E1B">
              <w:rPr>
                <w:sz w:val="16"/>
                <w:szCs w:val="16"/>
              </w:rPr>
              <w:t>-20</w:t>
            </w:r>
          </w:p>
        </w:tc>
        <w:tc>
          <w:tcPr>
            <w:tcW w:w="1371" w:type="dxa"/>
            <w:tcBorders>
              <w:right w:val="single" w:sz="4" w:space="0" w:color="002060"/>
            </w:tcBorders>
            <w:noWrap/>
            <w:vAlign w:val="bottom"/>
          </w:tcPr>
          <w:p w:rsidR="00E54916" w:rsidRPr="00F10E1B" w:rsidRDefault="00E54916" w:rsidP="00F10E1B">
            <w:pPr>
              <w:pStyle w:val="TableText"/>
              <w:jc w:val="right"/>
              <w:rPr>
                <w:sz w:val="16"/>
                <w:szCs w:val="16"/>
              </w:rPr>
            </w:pPr>
            <w:r w:rsidRPr="00F10E1B">
              <w:rPr>
                <w:sz w:val="16"/>
                <w:szCs w:val="16"/>
              </w:rPr>
              <w:t>-20</w:t>
            </w:r>
          </w:p>
        </w:tc>
      </w:tr>
      <w:tr w:rsidR="00E54916" w:rsidRPr="00E54916" w:rsidTr="00441BCC">
        <w:trPr>
          <w:cantSplit/>
        </w:trPr>
        <w:tc>
          <w:tcPr>
            <w:tcW w:w="5402" w:type="dxa"/>
            <w:tcBorders>
              <w:left w:val="single" w:sz="4" w:space="0" w:color="002060"/>
            </w:tcBorders>
            <w:noWrap/>
            <w:vAlign w:val="bottom"/>
          </w:tcPr>
          <w:p w:rsidR="00E54916" w:rsidRPr="00F10E1B" w:rsidRDefault="00E54916" w:rsidP="00441BCC">
            <w:pPr>
              <w:pStyle w:val="TableText"/>
              <w:rPr>
                <w:sz w:val="16"/>
                <w:szCs w:val="16"/>
              </w:rPr>
            </w:pPr>
            <w:r w:rsidRPr="00F10E1B">
              <w:rPr>
                <w:sz w:val="16"/>
                <w:szCs w:val="16"/>
              </w:rPr>
              <w:t>State in-kind</w:t>
            </w:r>
          </w:p>
        </w:tc>
        <w:tc>
          <w:tcPr>
            <w:tcW w:w="1370" w:type="dxa"/>
            <w:noWrap/>
            <w:vAlign w:val="bottom"/>
          </w:tcPr>
          <w:p w:rsidR="00E54916" w:rsidRPr="00F10E1B" w:rsidRDefault="00E54916" w:rsidP="00F10E1B">
            <w:pPr>
              <w:pStyle w:val="TableText"/>
              <w:jc w:val="right"/>
              <w:rPr>
                <w:sz w:val="16"/>
                <w:szCs w:val="16"/>
              </w:rPr>
            </w:pPr>
            <w:r w:rsidRPr="00F10E1B">
              <w:rPr>
                <w:sz w:val="16"/>
                <w:szCs w:val="16"/>
              </w:rPr>
              <w:t>-30</w:t>
            </w:r>
          </w:p>
        </w:tc>
        <w:tc>
          <w:tcPr>
            <w:tcW w:w="1370" w:type="dxa"/>
            <w:noWrap/>
            <w:vAlign w:val="bottom"/>
          </w:tcPr>
          <w:p w:rsidR="00E54916" w:rsidRPr="00F10E1B" w:rsidRDefault="00E54916" w:rsidP="00F10E1B">
            <w:pPr>
              <w:pStyle w:val="TableText"/>
              <w:jc w:val="right"/>
              <w:rPr>
                <w:sz w:val="16"/>
                <w:szCs w:val="16"/>
              </w:rPr>
            </w:pPr>
            <w:r w:rsidRPr="00F10E1B">
              <w:rPr>
                <w:sz w:val="16"/>
                <w:szCs w:val="16"/>
              </w:rPr>
              <w:t>-30</w:t>
            </w:r>
          </w:p>
        </w:tc>
        <w:tc>
          <w:tcPr>
            <w:tcW w:w="1371" w:type="dxa"/>
            <w:tcBorders>
              <w:right w:val="single" w:sz="4" w:space="0" w:color="002060"/>
            </w:tcBorders>
            <w:noWrap/>
            <w:vAlign w:val="bottom"/>
          </w:tcPr>
          <w:p w:rsidR="00E54916" w:rsidRPr="00F10E1B" w:rsidRDefault="00E54916" w:rsidP="00F10E1B">
            <w:pPr>
              <w:pStyle w:val="TableText"/>
              <w:jc w:val="right"/>
              <w:rPr>
                <w:sz w:val="16"/>
                <w:szCs w:val="16"/>
              </w:rPr>
            </w:pPr>
            <w:r w:rsidRPr="00F10E1B">
              <w:rPr>
                <w:sz w:val="16"/>
                <w:szCs w:val="16"/>
              </w:rPr>
              <w:t>-30</w:t>
            </w:r>
          </w:p>
        </w:tc>
      </w:tr>
      <w:tr w:rsidR="00E54916" w:rsidRPr="00E54916" w:rsidTr="00441BCC">
        <w:trPr>
          <w:cantSplit/>
        </w:trPr>
        <w:tc>
          <w:tcPr>
            <w:tcW w:w="5402" w:type="dxa"/>
            <w:tcBorders>
              <w:left w:val="single" w:sz="4" w:space="0" w:color="002060"/>
            </w:tcBorders>
            <w:noWrap/>
            <w:vAlign w:val="bottom"/>
          </w:tcPr>
          <w:p w:rsidR="00E54916" w:rsidRPr="00F10E1B" w:rsidRDefault="00E54916" w:rsidP="00441BCC">
            <w:pPr>
              <w:pStyle w:val="TableText"/>
              <w:rPr>
                <w:b/>
                <w:bCs/>
                <w:sz w:val="16"/>
                <w:szCs w:val="16"/>
              </w:rPr>
            </w:pPr>
            <w:r w:rsidRPr="00F10E1B">
              <w:rPr>
                <w:b/>
                <w:bCs/>
                <w:sz w:val="16"/>
                <w:szCs w:val="16"/>
              </w:rPr>
              <w:t>Total actual expenditure</w:t>
            </w:r>
          </w:p>
        </w:tc>
        <w:tc>
          <w:tcPr>
            <w:tcW w:w="1370" w:type="dxa"/>
            <w:noWrap/>
            <w:vAlign w:val="bottom"/>
          </w:tcPr>
          <w:p w:rsidR="00E54916" w:rsidRPr="00F10E1B" w:rsidRDefault="00E54916" w:rsidP="00F10E1B">
            <w:pPr>
              <w:pStyle w:val="TableText"/>
              <w:jc w:val="right"/>
              <w:rPr>
                <w:b/>
                <w:bCs/>
                <w:sz w:val="16"/>
                <w:szCs w:val="16"/>
              </w:rPr>
            </w:pPr>
            <w:r w:rsidRPr="00F10E1B">
              <w:rPr>
                <w:b/>
                <w:bCs/>
                <w:sz w:val="16"/>
                <w:szCs w:val="16"/>
              </w:rPr>
              <w:t>-110</w:t>
            </w:r>
          </w:p>
        </w:tc>
        <w:tc>
          <w:tcPr>
            <w:tcW w:w="1370" w:type="dxa"/>
            <w:noWrap/>
            <w:vAlign w:val="bottom"/>
          </w:tcPr>
          <w:p w:rsidR="00E54916" w:rsidRPr="00F10E1B" w:rsidRDefault="00E54916" w:rsidP="00F10E1B">
            <w:pPr>
              <w:pStyle w:val="TableText"/>
              <w:jc w:val="right"/>
              <w:rPr>
                <w:b/>
                <w:bCs/>
                <w:sz w:val="16"/>
                <w:szCs w:val="16"/>
              </w:rPr>
            </w:pPr>
            <w:r w:rsidRPr="00F10E1B">
              <w:rPr>
                <w:b/>
                <w:bCs/>
                <w:sz w:val="16"/>
                <w:szCs w:val="16"/>
              </w:rPr>
              <w:t>-90</w:t>
            </w:r>
          </w:p>
        </w:tc>
        <w:tc>
          <w:tcPr>
            <w:tcW w:w="1371" w:type="dxa"/>
            <w:tcBorders>
              <w:right w:val="single" w:sz="4" w:space="0" w:color="002060"/>
            </w:tcBorders>
            <w:noWrap/>
            <w:vAlign w:val="bottom"/>
          </w:tcPr>
          <w:p w:rsidR="00E54916" w:rsidRPr="00F10E1B" w:rsidRDefault="00E54916" w:rsidP="00F10E1B">
            <w:pPr>
              <w:pStyle w:val="TableText"/>
              <w:jc w:val="right"/>
              <w:rPr>
                <w:b/>
                <w:bCs/>
                <w:sz w:val="16"/>
                <w:szCs w:val="16"/>
              </w:rPr>
            </w:pPr>
            <w:r w:rsidRPr="00F10E1B">
              <w:rPr>
                <w:b/>
                <w:bCs/>
                <w:sz w:val="16"/>
                <w:szCs w:val="16"/>
              </w:rPr>
              <w:t>-100</w:t>
            </w:r>
          </w:p>
        </w:tc>
      </w:tr>
      <w:tr w:rsidR="00E54916" w:rsidRPr="00E54916" w:rsidTr="00441BCC">
        <w:trPr>
          <w:cantSplit/>
        </w:trPr>
        <w:tc>
          <w:tcPr>
            <w:tcW w:w="5402" w:type="dxa"/>
            <w:tcBorders>
              <w:left w:val="single" w:sz="4" w:space="0" w:color="002060"/>
              <w:bottom w:val="single" w:sz="4" w:space="0" w:color="002060"/>
            </w:tcBorders>
            <w:noWrap/>
            <w:vAlign w:val="bottom"/>
          </w:tcPr>
          <w:p w:rsidR="00E54916" w:rsidRPr="00F10E1B" w:rsidRDefault="00E54916" w:rsidP="00441BCC">
            <w:pPr>
              <w:pStyle w:val="TableText"/>
              <w:rPr>
                <w:b/>
                <w:bCs/>
                <w:sz w:val="16"/>
                <w:szCs w:val="16"/>
              </w:rPr>
            </w:pPr>
            <w:r w:rsidRPr="00F10E1B">
              <w:rPr>
                <w:b/>
                <w:bCs/>
                <w:sz w:val="16"/>
                <w:szCs w:val="16"/>
              </w:rPr>
              <w:t>Additional Commonwealth cash contribution to meet risk of cost overrun through increased client numbers, higher average care and support costs and  Agency’s cash flow risk (S18.b.iii)</w:t>
            </w:r>
          </w:p>
        </w:tc>
        <w:tc>
          <w:tcPr>
            <w:tcW w:w="1370" w:type="dxa"/>
            <w:tcBorders>
              <w:bottom w:val="single" w:sz="4" w:space="0" w:color="002060"/>
            </w:tcBorders>
            <w:noWrap/>
            <w:vAlign w:val="bottom"/>
          </w:tcPr>
          <w:p w:rsidR="00E54916" w:rsidRPr="00F10E1B" w:rsidRDefault="00E54916" w:rsidP="00F10E1B">
            <w:pPr>
              <w:pStyle w:val="TableText"/>
              <w:jc w:val="right"/>
              <w:rPr>
                <w:sz w:val="16"/>
                <w:szCs w:val="16"/>
              </w:rPr>
            </w:pPr>
            <w:r w:rsidRPr="00F10E1B">
              <w:rPr>
                <w:sz w:val="16"/>
                <w:szCs w:val="16"/>
              </w:rPr>
              <w:t>10</w:t>
            </w:r>
          </w:p>
        </w:tc>
        <w:tc>
          <w:tcPr>
            <w:tcW w:w="1370" w:type="dxa"/>
            <w:tcBorders>
              <w:bottom w:val="single" w:sz="4" w:space="0" w:color="002060"/>
            </w:tcBorders>
            <w:noWrap/>
            <w:vAlign w:val="bottom"/>
          </w:tcPr>
          <w:p w:rsidR="00E54916" w:rsidRPr="00F10E1B" w:rsidRDefault="00E54916" w:rsidP="00F10E1B">
            <w:pPr>
              <w:pStyle w:val="TableText"/>
              <w:jc w:val="right"/>
              <w:rPr>
                <w:sz w:val="16"/>
                <w:szCs w:val="16"/>
              </w:rPr>
            </w:pPr>
            <w:r w:rsidRPr="00F10E1B">
              <w:rPr>
                <w:sz w:val="16"/>
                <w:szCs w:val="16"/>
              </w:rPr>
              <w:t>0</w:t>
            </w:r>
          </w:p>
        </w:tc>
        <w:tc>
          <w:tcPr>
            <w:tcW w:w="1371" w:type="dxa"/>
            <w:tcBorders>
              <w:bottom w:val="single" w:sz="4" w:space="0" w:color="002060"/>
              <w:right w:val="single" w:sz="4" w:space="0" w:color="002060"/>
            </w:tcBorders>
            <w:noWrap/>
            <w:vAlign w:val="bottom"/>
          </w:tcPr>
          <w:p w:rsidR="00E54916" w:rsidRPr="00F10E1B" w:rsidRDefault="00E54916" w:rsidP="00F10E1B">
            <w:pPr>
              <w:pStyle w:val="TableText"/>
              <w:jc w:val="right"/>
              <w:rPr>
                <w:sz w:val="16"/>
                <w:szCs w:val="16"/>
              </w:rPr>
            </w:pPr>
            <w:r w:rsidRPr="00F10E1B">
              <w:rPr>
                <w:sz w:val="16"/>
                <w:szCs w:val="16"/>
              </w:rPr>
              <w:t>0</w:t>
            </w:r>
          </w:p>
        </w:tc>
      </w:tr>
      <w:tr w:rsidR="00E54916" w:rsidRPr="00E54916" w:rsidTr="00441BCC">
        <w:trPr>
          <w:cantSplit/>
        </w:trPr>
        <w:tc>
          <w:tcPr>
            <w:tcW w:w="5402" w:type="dxa"/>
            <w:tcBorders>
              <w:top w:val="single" w:sz="4" w:space="0" w:color="002060"/>
              <w:left w:val="single" w:sz="4" w:space="0" w:color="002060"/>
              <w:bottom w:val="single" w:sz="4" w:space="0" w:color="002060"/>
            </w:tcBorders>
            <w:noWrap/>
            <w:vAlign w:val="bottom"/>
          </w:tcPr>
          <w:p w:rsidR="00E54916" w:rsidRPr="00F10E1B" w:rsidRDefault="00E54916" w:rsidP="00441BCC">
            <w:pPr>
              <w:pStyle w:val="TableText"/>
              <w:rPr>
                <w:b/>
                <w:bCs/>
                <w:sz w:val="16"/>
                <w:szCs w:val="16"/>
              </w:rPr>
            </w:pPr>
            <w:r w:rsidRPr="00F10E1B">
              <w:rPr>
                <w:b/>
                <w:bCs/>
                <w:sz w:val="16"/>
                <w:szCs w:val="16"/>
              </w:rPr>
              <w:t>End of year cash outcome for Agency</w:t>
            </w:r>
          </w:p>
        </w:tc>
        <w:tc>
          <w:tcPr>
            <w:tcW w:w="1370" w:type="dxa"/>
            <w:tcBorders>
              <w:top w:val="single" w:sz="4" w:space="0" w:color="002060"/>
              <w:bottom w:val="single" w:sz="4" w:space="0" w:color="002060"/>
            </w:tcBorders>
            <w:noWrap/>
            <w:vAlign w:val="bottom"/>
          </w:tcPr>
          <w:p w:rsidR="00E54916" w:rsidRPr="00F10E1B" w:rsidRDefault="00E54916" w:rsidP="00F10E1B">
            <w:pPr>
              <w:pStyle w:val="TableText"/>
              <w:jc w:val="right"/>
              <w:rPr>
                <w:b/>
                <w:bCs/>
                <w:sz w:val="16"/>
                <w:szCs w:val="16"/>
              </w:rPr>
            </w:pPr>
            <w:r w:rsidRPr="00F10E1B">
              <w:rPr>
                <w:b/>
                <w:bCs/>
                <w:sz w:val="16"/>
                <w:szCs w:val="16"/>
              </w:rPr>
              <w:t>0</w:t>
            </w:r>
          </w:p>
        </w:tc>
        <w:tc>
          <w:tcPr>
            <w:tcW w:w="1370" w:type="dxa"/>
            <w:tcBorders>
              <w:top w:val="single" w:sz="4" w:space="0" w:color="002060"/>
              <w:bottom w:val="single" w:sz="4" w:space="0" w:color="002060"/>
            </w:tcBorders>
            <w:noWrap/>
            <w:vAlign w:val="bottom"/>
          </w:tcPr>
          <w:p w:rsidR="00E54916" w:rsidRPr="00F10E1B" w:rsidRDefault="00E54916" w:rsidP="00F10E1B">
            <w:pPr>
              <w:pStyle w:val="TableText"/>
              <w:jc w:val="right"/>
              <w:rPr>
                <w:b/>
                <w:bCs/>
                <w:sz w:val="16"/>
                <w:szCs w:val="16"/>
              </w:rPr>
            </w:pPr>
            <w:r w:rsidRPr="00F10E1B">
              <w:rPr>
                <w:b/>
                <w:bCs/>
                <w:sz w:val="16"/>
                <w:szCs w:val="16"/>
              </w:rPr>
              <w:t>10</w:t>
            </w:r>
          </w:p>
        </w:tc>
        <w:tc>
          <w:tcPr>
            <w:tcW w:w="1371" w:type="dxa"/>
            <w:tcBorders>
              <w:top w:val="single" w:sz="4" w:space="0" w:color="002060"/>
              <w:bottom w:val="single" w:sz="4" w:space="0" w:color="002060"/>
              <w:right w:val="single" w:sz="4" w:space="0" w:color="002060"/>
            </w:tcBorders>
            <w:noWrap/>
            <w:vAlign w:val="bottom"/>
          </w:tcPr>
          <w:p w:rsidR="00E54916" w:rsidRPr="00F10E1B" w:rsidRDefault="00E54916" w:rsidP="00F10E1B">
            <w:pPr>
              <w:pStyle w:val="TableText"/>
              <w:jc w:val="right"/>
              <w:rPr>
                <w:b/>
                <w:bCs/>
                <w:sz w:val="16"/>
                <w:szCs w:val="16"/>
              </w:rPr>
            </w:pPr>
            <w:r w:rsidRPr="00F10E1B">
              <w:rPr>
                <w:b/>
                <w:bCs/>
                <w:sz w:val="16"/>
                <w:szCs w:val="16"/>
              </w:rPr>
              <w:t>0</w:t>
            </w:r>
          </w:p>
        </w:tc>
      </w:tr>
    </w:tbl>
    <w:p w:rsidR="00E54916" w:rsidRPr="00E54916" w:rsidRDefault="00E54916" w:rsidP="00E54916">
      <w:pPr>
        <w:rPr>
          <w:szCs w:val="20"/>
        </w:rPr>
      </w:pPr>
      <w:r w:rsidRPr="00E54916">
        <w:rPr>
          <w:szCs w:val="20"/>
        </w:rPr>
        <w:t xml:space="preserve">At the end of launch, the Commonwealth made total contributions of $126 and the host jurisdiction made total contributions of $174.  This is consistent with total expenditure of $300.  </w:t>
      </w:r>
    </w:p>
    <w:p w:rsidR="00E54916" w:rsidRPr="00E54916" w:rsidRDefault="00E54916" w:rsidP="00E54916">
      <w:pPr>
        <w:rPr>
          <w:szCs w:val="20"/>
        </w:rPr>
      </w:pPr>
      <w:r w:rsidRPr="00E54916">
        <w:rPr>
          <w:szCs w:val="20"/>
        </w:rPr>
        <w:t>However, because the Commonwealth takes on 100 per cent of cost escalations from increased client numbers or average NDIS funded support costs in any given year while underspends in any given year is proportionally shared, the Commonwealth’s total contribution is $6 higher than estimated.  The host jurisdiction’s total contribution on the other hand is $6 lower.</w:t>
      </w:r>
    </w:p>
    <w:p w:rsidR="00E54916" w:rsidRPr="00E54916" w:rsidRDefault="00E54916" w:rsidP="00E54916">
      <w:pPr>
        <w:rPr>
          <w:szCs w:val="20"/>
        </w:rPr>
      </w:pPr>
      <w:r w:rsidRPr="00E54916">
        <w:rPr>
          <w:szCs w:val="20"/>
        </w:rPr>
        <w:t>Under this circumstance, paragraph 52 of</w:t>
      </w:r>
      <w:r w:rsidRPr="00E54916">
        <w:rPr>
          <w:szCs w:val="20"/>
          <w:shd w:val="clear" w:color="auto" w:fill="FFFFFF"/>
        </w:rPr>
        <w:t xml:space="preserve"> this Agreement</w:t>
      </w:r>
      <w:r w:rsidRPr="00E54916">
        <w:rPr>
          <w:szCs w:val="20"/>
        </w:rPr>
        <w:t xml:space="preserve"> would be triggered:</w:t>
      </w:r>
    </w:p>
    <w:p w:rsidR="00E54916" w:rsidRPr="00E54916" w:rsidRDefault="00E54916" w:rsidP="00652AAB">
      <w:pPr>
        <w:ind w:left="562"/>
        <w:rPr>
          <w:i/>
          <w:szCs w:val="20"/>
        </w:rPr>
      </w:pPr>
      <w:r w:rsidRPr="00E54916">
        <w:rPr>
          <w:i/>
          <w:szCs w:val="20"/>
        </w:rPr>
        <w:t>If at the end of 2015-16, total three year costs equals or exceeds total three year funding and the host jurisdiction’s actual total contribution is less than that jurisdiction’s total NDIS commitment, as outlined in Schedules A – E, the host jurisdiction will provide a payment to the Commonwealth for the difference.</w:t>
      </w:r>
    </w:p>
    <w:p w:rsidR="00E54916" w:rsidRPr="00E54916" w:rsidRDefault="00E54916" w:rsidP="00E54916">
      <w:pPr>
        <w:rPr>
          <w:szCs w:val="20"/>
        </w:rPr>
      </w:pPr>
      <w:r w:rsidRPr="00E54916">
        <w:rPr>
          <w:szCs w:val="20"/>
        </w:rPr>
        <w:lastRenderedPageBreak/>
        <w:t>The host jurisdiction would have to return $6 to the Commonwealth.</w:t>
      </w:r>
    </w:p>
    <w:p w:rsidR="00E54916" w:rsidRPr="00E54916" w:rsidRDefault="00E54916" w:rsidP="000C65A6">
      <w:pPr>
        <w:pStyle w:val="Heading2"/>
      </w:pPr>
      <w:r w:rsidRPr="00E54916">
        <w:t>Scenario 4 – State in-kind underspend leading to a cash overspend</w:t>
      </w:r>
    </w:p>
    <w:p w:rsidR="00E54916" w:rsidRPr="00E54916" w:rsidRDefault="00E54916" w:rsidP="00E54916">
      <w:pPr>
        <w:rPr>
          <w:szCs w:val="20"/>
        </w:rPr>
      </w:pPr>
      <w:r w:rsidRPr="00E54916">
        <w:rPr>
          <w:szCs w:val="20"/>
        </w:rPr>
        <w:t>This scenario models paragraph 44 of this Agreement whereby the Commonwealth has had to make additional cash contribution because of either:</w:t>
      </w:r>
    </w:p>
    <w:p w:rsidR="00E54916" w:rsidRPr="00E54916" w:rsidRDefault="00652AAB" w:rsidP="00652AAB">
      <w:pPr>
        <w:ind w:left="562" w:hanging="562"/>
        <w:rPr>
          <w:szCs w:val="20"/>
        </w:rPr>
      </w:pPr>
      <w:r>
        <w:rPr>
          <w:szCs w:val="20"/>
        </w:rPr>
        <w:t>1.</w:t>
      </w:r>
      <w:r>
        <w:rPr>
          <w:szCs w:val="20"/>
        </w:rPr>
        <w:tab/>
      </w:r>
      <w:proofErr w:type="gramStart"/>
      <w:r w:rsidR="00E54916" w:rsidRPr="00E54916">
        <w:rPr>
          <w:szCs w:val="20"/>
        </w:rPr>
        <w:t>the</w:t>
      </w:r>
      <w:proofErr w:type="gramEnd"/>
      <w:r w:rsidR="00E54916" w:rsidRPr="00E54916">
        <w:rPr>
          <w:szCs w:val="20"/>
        </w:rPr>
        <w:t xml:space="preserve"> host jurisdiction is unable to provide the agreed value of existing services; or</w:t>
      </w:r>
    </w:p>
    <w:p w:rsidR="00E54916" w:rsidRPr="00E54916" w:rsidRDefault="00652AAB" w:rsidP="00652AAB">
      <w:pPr>
        <w:ind w:left="562" w:hanging="562"/>
        <w:rPr>
          <w:szCs w:val="20"/>
        </w:rPr>
      </w:pPr>
      <w:r>
        <w:rPr>
          <w:szCs w:val="20"/>
        </w:rPr>
        <w:t>2.</w:t>
      </w:r>
      <w:r>
        <w:rPr>
          <w:szCs w:val="20"/>
        </w:rPr>
        <w:tab/>
      </w:r>
      <w:proofErr w:type="gramStart"/>
      <w:r w:rsidR="00E54916" w:rsidRPr="00E54916">
        <w:rPr>
          <w:szCs w:val="20"/>
        </w:rPr>
        <w:t>the</w:t>
      </w:r>
      <w:proofErr w:type="gramEnd"/>
      <w:r w:rsidR="00E54916" w:rsidRPr="00E54916">
        <w:rPr>
          <w:szCs w:val="20"/>
        </w:rPr>
        <w:t xml:space="preserve"> Agency or the client is unable to access that value of existing services from the host jurisdiction. </w:t>
      </w:r>
    </w:p>
    <w:p w:rsidR="00E54916" w:rsidRPr="00E54916" w:rsidRDefault="00E54916" w:rsidP="00652AAB">
      <w:pPr>
        <w:spacing w:after="240"/>
        <w:rPr>
          <w:szCs w:val="20"/>
        </w:rPr>
      </w:pPr>
      <w:r w:rsidRPr="00E54916">
        <w:rPr>
          <w:szCs w:val="20"/>
        </w:rPr>
        <w:t xml:space="preserve">This scenario assumes that host jurisdiction in-kind contribution falls to $20 per year in 2013-14, compared to the committed in-kind contribution of $30 per year; and that this leads to an increase in cash expenditure from $50 to $60 per year in 2013-14. </w:t>
      </w:r>
    </w:p>
    <w:tbl>
      <w:tblPr>
        <w:tblW w:w="5000" w:type="pct"/>
        <w:tblInd w:w="93" w:type="dxa"/>
        <w:tblLayout w:type="fixed"/>
        <w:tblLook w:val="00A0" w:firstRow="1" w:lastRow="0" w:firstColumn="1" w:lastColumn="0" w:noHBand="0" w:noVBand="0"/>
        <w:tblCaption w:val="Scenario 4 – State in-kind underspend leading to a cash overspend"/>
        <w:tblDescription w:val="This table shows estimated contribution and expenditure from 2013 to 2016."/>
      </w:tblPr>
      <w:tblGrid>
        <w:gridCol w:w="5262"/>
        <w:gridCol w:w="1341"/>
        <w:gridCol w:w="1342"/>
        <w:gridCol w:w="1341"/>
      </w:tblGrid>
      <w:tr w:rsidR="00E54916" w:rsidRPr="00652AAB" w:rsidTr="00652AAB">
        <w:trPr>
          <w:cantSplit/>
          <w:tblHeader/>
        </w:trPr>
        <w:tc>
          <w:tcPr>
            <w:tcW w:w="5262"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652AAB" w:rsidRDefault="00E54916" w:rsidP="00652AAB">
            <w:pPr>
              <w:pStyle w:val="TableHeading"/>
              <w:rPr>
                <w:sz w:val="16"/>
                <w:szCs w:val="16"/>
              </w:rPr>
            </w:pPr>
            <w:r w:rsidRPr="00652AAB">
              <w:rPr>
                <w:sz w:val="16"/>
                <w:szCs w:val="16"/>
              </w:rPr>
              <w:t>Summary of launch</w:t>
            </w:r>
          </w:p>
        </w:tc>
        <w:tc>
          <w:tcPr>
            <w:tcW w:w="1341"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652AAB" w:rsidRDefault="00E54916" w:rsidP="00652AAB">
            <w:pPr>
              <w:pStyle w:val="TableHeading"/>
              <w:jc w:val="right"/>
              <w:rPr>
                <w:bCs/>
                <w:sz w:val="16"/>
                <w:szCs w:val="16"/>
              </w:rPr>
            </w:pPr>
            <w:r w:rsidRPr="00652AAB">
              <w:rPr>
                <w:bCs/>
                <w:sz w:val="16"/>
                <w:szCs w:val="16"/>
              </w:rPr>
              <w:t>2013-14</w:t>
            </w:r>
          </w:p>
        </w:tc>
        <w:tc>
          <w:tcPr>
            <w:tcW w:w="1342"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652AAB" w:rsidRDefault="00E54916" w:rsidP="00652AAB">
            <w:pPr>
              <w:pStyle w:val="TableHeading"/>
              <w:jc w:val="right"/>
              <w:rPr>
                <w:bCs/>
                <w:sz w:val="16"/>
                <w:szCs w:val="16"/>
              </w:rPr>
            </w:pPr>
            <w:r w:rsidRPr="00652AAB">
              <w:rPr>
                <w:bCs/>
                <w:sz w:val="16"/>
                <w:szCs w:val="16"/>
              </w:rPr>
              <w:t>2014-15</w:t>
            </w:r>
          </w:p>
        </w:tc>
        <w:tc>
          <w:tcPr>
            <w:tcW w:w="1341"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652AAB" w:rsidRDefault="00E54916" w:rsidP="00652AAB">
            <w:pPr>
              <w:pStyle w:val="TableHeading"/>
              <w:jc w:val="right"/>
              <w:rPr>
                <w:bCs/>
                <w:sz w:val="16"/>
                <w:szCs w:val="16"/>
              </w:rPr>
            </w:pPr>
            <w:r w:rsidRPr="00652AAB">
              <w:rPr>
                <w:bCs/>
                <w:sz w:val="16"/>
                <w:szCs w:val="16"/>
              </w:rPr>
              <w:t>2015-16</w:t>
            </w:r>
          </w:p>
        </w:tc>
      </w:tr>
      <w:tr w:rsidR="00E54916" w:rsidRPr="00E54916" w:rsidTr="00652AAB">
        <w:trPr>
          <w:cantSplit/>
        </w:trPr>
        <w:tc>
          <w:tcPr>
            <w:tcW w:w="5262" w:type="dxa"/>
            <w:tcBorders>
              <w:top w:val="single" w:sz="6" w:space="0" w:color="auto"/>
              <w:left w:val="single" w:sz="4" w:space="0" w:color="002060"/>
              <w:bottom w:val="single" w:sz="4" w:space="0" w:color="auto"/>
            </w:tcBorders>
            <w:noWrap/>
          </w:tcPr>
          <w:p w:rsidR="00E54916" w:rsidRPr="00652AAB" w:rsidRDefault="00E54916" w:rsidP="00652AAB">
            <w:pPr>
              <w:pStyle w:val="TableText"/>
              <w:rPr>
                <w:b/>
                <w:bCs/>
                <w:sz w:val="16"/>
                <w:szCs w:val="16"/>
              </w:rPr>
            </w:pPr>
            <w:r w:rsidRPr="00652AAB">
              <w:rPr>
                <w:b/>
                <w:bCs/>
                <w:sz w:val="16"/>
                <w:szCs w:val="16"/>
              </w:rPr>
              <w:t>Agency cash balance - carry over from previous year</w:t>
            </w:r>
          </w:p>
        </w:tc>
        <w:tc>
          <w:tcPr>
            <w:tcW w:w="1341" w:type="dxa"/>
            <w:tcBorders>
              <w:top w:val="single" w:sz="6" w:space="0" w:color="auto"/>
              <w:bottom w:val="single" w:sz="4" w:space="0" w:color="auto"/>
            </w:tcBorders>
            <w:noWrap/>
            <w:vAlign w:val="bottom"/>
          </w:tcPr>
          <w:p w:rsidR="00E54916" w:rsidRPr="00652AAB" w:rsidRDefault="00E54916" w:rsidP="00652AAB">
            <w:pPr>
              <w:pStyle w:val="TableText"/>
              <w:jc w:val="right"/>
              <w:rPr>
                <w:b/>
                <w:bCs/>
                <w:sz w:val="16"/>
                <w:szCs w:val="16"/>
              </w:rPr>
            </w:pPr>
            <w:r w:rsidRPr="00652AAB">
              <w:rPr>
                <w:b/>
                <w:bCs/>
                <w:sz w:val="16"/>
                <w:szCs w:val="16"/>
              </w:rPr>
              <w:t>0</w:t>
            </w:r>
          </w:p>
        </w:tc>
        <w:tc>
          <w:tcPr>
            <w:tcW w:w="1342" w:type="dxa"/>
            <w:tcBorders>
              <w:top w:val="single" w:sz="6" w:space="0" w:color="auto"/>
              <w:bottom w:val="single" w:sz="4" w:space="0" w:color="auto"/>
            </w:tcBorders>
            <w:noWrap/>
            <w:vAlign w:val="bottom"/>
          </w:tcPr>
          <w:p w:rsidR="00E54916" w:rsidRPr="00652AAB" w:rsidRDefault="00E54916" w:rsidP="00652AAB">
            <w:pPr>
              <w:pStyle w:val="TableText"/>
              <w:jc w:val="right"/>
              <w:rPr>
                <w:b/>
                <w:bCs/>
                <w:sz w:val="16"/>
                <w:szCs w:val="16"/>
              </w:rPr>
            </w:pPr>
            <w:r w:rsidRPr="00652AAB">
              <w:rPr>
                <w:b/>
                <w:bCs/>
                <w:sz w:val="16"/>
                <w:szCs w:val="16"/>
              </w:rPr>
              <w:t>0</w:t>
            </w:r>
          </w:p>
        </w:tc>
        <w:tc>
          <w:tcPr>
            <w:tcW w:w="1341" w:type="dxa"/>
            <w:tcBorders>
              <w:top w:val="single" w:sz="6" w:space="0" w:color="auto"/>
              <w:bottom w:val="single" w:sz="4" w:space="0" w:color="auto"/>
              <w:right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0</w:t>
            </w:r>
          </w:p>
        </w:tc>
      </w:tr>
      <w:tr w:rsidR="00E54916" w:rsidRPr="00E54916" w:rsidTr="00652AAB">
        <w:trPr>
          <w:cantSplit/>
        </w:trPr>
        <w:tc>
          <w:tcPr>
            <w:tcW w:w="5262" w:type="dxa"/>
            <w:tcBorders>
              <w:left w:val="single" w:sz="4" w:space="0" w:color="002060"/>
            </w:tcBorders>
            <w:noWrap/>
          </w:tcPr>
          <w:p w:rsidR="00E54916" w:rsidRPr="00652AAB" w:rsidRDefault="00E54916" w:rsidP="00652AAB">
            <w:pPr>
              <w:pStyle w:val="TableText"/>
              <w:rPr>
                <w:b/>
                <w:bCs/>
                <w:sz w:val="16"/>
                <w:szCs w:val="16"/>
              </w:rPr>
            </w:pPr>
            <w:r w:rsidRPr="00652AAB">
              <w:rPr>
                <w:b/>
                <w:bCs/>
                <w:sz w:val="16"/>
                <w:szCs w:val="16"/>
              </w:rPr>
              <w:t>Beginning of the year actual cash contributions</w:t>
            </w:r>
          </w:p>
        </w:tc>
        <w:tc>
          <w:tcPr>
            <w:tcW w:w="1341" w:type="dxa"/>
            <w:noWrap/>
            <w:vAlign w:val="bottom"/>
          </w:tcPr>
          <w:p w:rsidR="00E54916" w:rsidRPr="00652AAB" w:rsidRDefault="00E54916" w:rsidP="00652AAB">
            <w:pPr>
              <w:pStyle w:val="TableText"/>
              <w:jc w:val="right"/>
              <w:rPr>
                <w:bCs/>
                <w:sz w:val="16"/>
                <w:szCs w:val="16"/>
              </w:rPr>
            </w:pPr>
          </w:p>
        </w:tc>
        <w:tc>
          <w:tcPr>
            <w:tcW w:w="1342" w:type="dxa"/>
            <w:noWrap/>
            <w:vAlign w:val="bottom"/>
          </w:tcPr>
          <w:p w:rsidR="00E54916" w:rsidRPr="00652AAB" w:rsidRDefault="00E54916" w:rsidP="00652AAB">
            <w:pPr>
              <w:pStyle w:val="TableText"/>
              <w:jc w:val="right"/>
              <w:rPr>
                <w:bCs/>
                <w:sz w:val="16"/>
                <w:szCs w:val="16"/>
              </w:rPr>
            </w:pPr>
          </w:p>
        </w:tc>
        <w:tc>
          <w:tcPr>
            <w:tcW w:w="1341" w:type="dxa"/>
            <w:tcBorders>
              <w:right w:val="single" w:sz="4" w:space="0" w:color="002060"/>
            </w:tcBorders>
            <w:noWrap/>
            <w:vAlign w:val="bottom"/>
          </w:tcPr>
          <w:p w:rsidR="00E54916" w:rsidRPr="00652AAB" w:rsidRDefault="00E54916" w:rsidP="00652AAB">
            <w:pPr>
              <w:pStyle w:val="TableText"/>
              <w:jc w:val="right"/>
              <w:rPr>
                <w:bCs/>
                <w:sz w:val="16"/>
                <w:szCs w:val="16"/>
              </w:rPr>
            </w:pPr>
          </w:p>
        </w:tc>
      </w:tr>
      <w:tr w:rsidR="00E54916" w:rsidRPr="00E54916" w:rsidTr="00652AAB">
        <w:trPr>
          <w:cantSplit/>
        </w:trPr>
        <w:tc>
          <w:tcPr>
            <w:tcW w:w="5262" w:type="dxa"/>
            <w:tcBorders>
              <w:left w:val="single" w:sz="4" w:space="0" w:color="002060"/>
            </w:tcBorders>
            <w:noWrap/>
          </w:tcPr>
          <w:p w:rsidR="00E54916" w:rsidRPr="00652AAB" w:rsidRDefault="00E54916" w:rsidP="00652AAB">
            <w:pPr>
              <w:pStyle w:val="TableText"/>
              <w:rPr>
                <w:sz w:val="16"/>
                <w:szCs w:val="16"/>
              </w:rPr>
            </w:pPr>
            <w:r w:rsidRPr="00652AAB">
              <w:rPr>
                <w:sz w:val="16"/>
                <w:szCs w:val="16"/>
              </w:rPr>
              <w:t>Commonwealth scheduled cash contribution</w:t>
            </w:r>
          </w:p>
        </w:tc>
        <w:tc>
          <w:tcPr>
            <w:tcW w:w="1341" w:type="dxa"/>
            <w:noWrap/>
            <w:vAlign w:val="bottom"/>
          </w:tcPr>
          <w:p w:rsidR="00E54916" w:rsidRPr="00652AAB" w:rsidRDefault="00E54916" w:rsidP="00652AAB">
            <w:pPr>
              <w:pStyle w:val="TableText"/>
              <w:jc w:val="right"/>
              <w:rPr>
                <w:sz w:val="16"/>
                <w:szCs w:val="16"/>
              </w:rPr>
            </w:pPr>
            <w:r w:rsidRPr="00652AAB">
              <w:rPr>
                <w:sz w:val="16"/>
                <w:szCs w:val="16"/>
              </w:rPr>
              <w:t>20</w:t>
            </w:r>
          </w:p>
        </w:tc>
        <w:tc>
          <w:tcPr>
            <w:tcW w:w="1342" w:type="dxa"/>
            <w:noWrap/>
            <w:vAlign w:val="bottom"/>
          </w:tcPr>
          <w:p w:rsidR="00E54916" w:rsidRPr="00652AAB" w:rsidRDefault="00E54916" w:rsidP="00652AAB">
            <w:pPr>
              <w:pStyle w:val="TableText"/>
              <w:jc w:val="right"/>
              <w:rPr>
                <w:sz w:val="16"/>
                <w:szCs w:val="16"/>
              </w:rPr>
            </w:pPr>
            <w:r w:rsidRPr="00652AAB">
              <w:rPr>
                <w:sz w:val="16"/>
                <w:szCs w:val="16"/>
              </w:rPr>
              <w:t>20</w:t>
            </w:r>
          </w:p>
        </w:tc>
        <w:tc>
          <w:tcPr>
            <w:tcW w:w="134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20</w:t>
            </w:r>
          </w:p>
        </w:tc>
      </w:tr>
      <w:tr w:rsidR="00E54916" w:rsidRPr="00E54916" w:rsidTr="00652AAB">
        <w:trPr>
          <w:cantSplit/>
        </w:trPr>
        <w:tc>
          <w:tcPr>
            <w:tcW w:w="5262" w:type="dxa"/>
            <w:tcBorders>
              <w:left w:val="single" w:sz="4" w:space="0" w:color="002060"/>
            </w:tcBorders>
            <w:shd w:val="clear" w:color="auto" w:fill="FFFFFF"/>
            <w:noWrap/>
          </w:tcPr>
          <w:p w:rsidR="00E54916" w:rsidRPr="00652AAB" w:rsidRDefault="00E54916" w:rsidP="00652AAB">
            <w:pPr>
              <w:pStyle w:val="TableText"/>
              <w:rPr>
                <w:sz w:val="16"/>
                <w:szCs w:val="16"/>
              </w:rPr>
            </w:pPr>
            <w:r w:rsidRPr="00652AAB">
              <w:rPr>
                <w:sz w:val="16"/>
                <w:szCs w:val="16"/>
              </w:rPr>
              <w:t>State scheduled cash contribution</w:t>
            </w:r>
          </w:p>
        </w:tc>
        <w:tc>
          <w:tcPr>
            <w:tcW w:w="1341" w:type="dxa"/>
            <w:noWrap/>
            <w:vAlign w:val="bottom"/>
          </w:tcPr>
          <w:p w:rsidR="00E54916" w:rsidRPr="00652AAB" w:rsidRDefault="00E54916" w:rsidP="00652AAB">
            <w:pPr>
              <w:pStyle w:val="TableText"/>
              <w:jc w:val="right"/>
              <w:rPr>
                <w:sz w:val="16"/>
                <w:szCs w:val="16"/>
              </w:rPr>
            </w:pPr>
            <w:r w:rsidRPr="00652AAB">
              <w:rPr>
                <w:sz w:val="16"/>
                <w:szCs w:val="16"/>
              </w:rPr>
              <w:t>30</w:t>
            </w:r>
          </w:p>
        </w:tc>
        <w:tc>
          <w:tcPr>
            <w:tcW w:w="1342" w:type="dxa"/>
            <w:noWrap/>
            <w:vAlign w:val="bottom"/>
          </w:tcPr>
          <w:p w:rsidR="00E54916" w:rsidRPr="00652AAB" w:rsidRDefault="00E54916" w:rsidP="00652AAB">
            <w:pPr>
              <w:pStyle w:val="TableText"/>
              <w:jc w:val="right"/>
              <w:rPr>
                <w:sz w:val="16"/>
                <w:szCs w:val="16"/>
              </w:rPr>
            </w:pPr>
            <w:r w:rsidRPr="00652AAB">
              <w:rPr>
                <w:sz w:val="16"/>
                <w:szCs w:val="16"/>
              </w:rPr>
              <w:t>30</w:t>
            </w:r>
          </w:p>
        </w:tc>
        <w:tc>
          <w:tcPr>
            <w:tcW w:w="134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30</w:t>
            </w:r>
          </w:p>
        </w:tc>
      </w:tr>
      <w:tr w:rsidR="00E54916" w:rsidRPr="00E54916" w:rsidTr="00652AAB">
        <w:trPr>
          <w:cantSplit/>
        </w:trPr>
        <w:tc>
          <w:tcPr>
            <w:tcW w:w="5262" w:type="dxa"/>
            <w:tcBorders>
              <w:left w:val="single" w:sz="4" w:space="0" w:color="002060"/>
            </w:tcBorders>
            <w:shd w:val="clear" w:color="auto" w:fill="FFFFFF"/>
            <w:noWrap/>
            <w:vAlign w:val="bottom"/>
          </w:tcPr>
          <w:p w:rsidR="00E54916" w:rsidRPr="00652AAB" w:rsidRDefault="00E54916" w:rsidP="00652AAB">
            <w:pPr>
              <w:pStyle w:val="TableText"/>
              <w:rPr>
                <w:sz w:val="16"/>
                <w:szCs w:val="16"/>
              </w:rPr>
            </w:pPr>
            <w:r w:rsidRPr="00652AAB">
              <w:rPr>
                <w:sz w:val="16"/>
                <w:szCs w:val="16"/>
              </w:rPr>
              <w:t>Additional State contribution for lower delivery of in-kind service in the previous year (S44)</w:t>
            </w:r>
          </w:p>
        </w:tc>
        <w:tc>
          <w:tcPr>
            <w:tcW w:w="1341" w:type="dxa"/>
            <w:noWrap/>
            <w:vAlign w:val="bottom"/>
          </w:tcPr>
          <w:p w:rsidR="00E54916" w:rsidRPr="00652AAB" w:rsidRDefault="00E54916" w:rsidP="00652AAB">
            <w:pPr>
              <w:pStyle w:val="TableText"/>
              <w:jc w:val="right"/>
              <w:rPr>
                <w:sz w:val="16"/>
                <w:szCs w:val="16"/>
              </w:rPr>
            </w:pPr>
          </w:p>
        </w:tc>
        <w:tc>
          <w:tcPr>
            <w:tcW w:w="1342" w:type="dxa"/>
            <w:noWrap/>
            <w:vAlign w:val="bottom"/>
          </w:tcPr>
          <w:p w:rsidR="00E54916" w:rsidRPr="00652AAB" w:rsidRDefault="00E54916" w:rsidP="00652AAB">
            <w:pPr>
              <w:pStyle w:val="TableText"/>
              <w:jc w:val="right"/>
              <w:rPr>
                <w:sz w:val="16"/>
                <w:szCs w:val="16"/>
              </w:rPr>
            </w:pPr>
            <w:r w:rsidRPr="00652AAB">
              <w:rPr>
                <w:sz w:val="16"/>
                <w:szCs w:val="16"/>
              </w:rPr>
              <w:t>10</w:t>
            </w:r>
          </w:p>
        </w:tc>
        <w:tc>
          <w:tcPr>
            <w:tcW w:w="134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r>
      <w:tr w:rsidR="00E54916" w:rsidRPr="00E54916" w:rsidTr="00652AAB">
        <w:trPr>
          <w:cantSplit/>
        </w:trPr>
        <w:tc>
          <w:tcPr>
            <w:tcW w:w="5262" w:type="dxa"/>
            <w:tcBorders>
              <w:left w:val="single" w:sz="4" w:space="0" w:color="002060"/>
            </w:tcBorders>
            <w:shd w:val="clear" w:color="auto" w:fill="FFFFFF"/>
            <w:noWrap/>
            <w:vAlign w:val="bottom"/>
          </w:tcPr>
          <w:p w:rsidR="00E54916" w:rsidRPr="00652AAB" w:rsidRDefault="00E54916" w:rsidP="00652AAB">
            <w:pPr>
              <w:pStyle w:val="TableText"/>
              <w:rPr>
                <w:sz w:val="16"/>
                <w:szCs w:val="16"/>
              </w:rPr>
            </w:pPr>
            <w:r w:rsidRPr="00652AAB">
              <w:rPr>
                <w:sz w:val="16"/>
                <w:szCs w:val="16"/>
              </w:rPr>
              <w:t>Return of funding to the Commonwealth for lower State in-kind service provision (S44)</w:t>
            </w:r>
          </w:p>
        </w:tc>
        <w:tc>
          <w:tcPr>
            <w:tcW w:w="1341" w:type="dxa"/>
            <w:noWrap/>
            <w:vAlign w:val="bottom"/>
          </w:tcPr>
          <w:p w:rsidR="00E54916" w:rsidRPr="00652AAB" w:rsidRDefault="00E54916" w:rsidP="00652AAB">
            <w:pPr>
              <w:pStyle w:val="TableText"/>
              <w:jc w:val="right"/>
              <w:rPr>
                <w:sz w:val="16"/>
                <w:szCs w:val="16"/>
              </w:rPr>
            </w:pPr>
          </w:p>
        </w:tc>
        <w:tc>
          <w:tcPr>
            <w:tcW w:w="1342" w:type="dxa"/>
            <w:noWrap/>
            <w:vAlign w:val="bottom"/>
          </w:tcPr>
          <w:p w:rsidR="00E54916" w:rsidRPr="00652AAB" w:rsidRDefault="00E54916" w:rsidP="00652AAB">
            <w:pPr>
              <w:pStyle w:val="TableText"/>
              <w:jc w:val="right"/>
              <w:rPr>
                <w:sz w:val="16"/>
                <w:szCs w:val="16"/>
              </w:rPr>
            </w:pPr>
            <w:r w:rsidRPr="00652AAB">
              <w:rPr>
                <w:sz w:val="16"/>
                <w:szCs w:val="16"/>
              </w:rPr>
              <w:t>-10</w:t>
            </w:r>
          </w:p>
        </w:tc>
        <w:tc>
          <w:tcPr>
            <w:tcW w:w="134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r>
      <w:tr w:rsidR="00E54916" w:rsidRPr="00E54916" w:rsidTr="00652AAB">
        <w:trPr>
          <w:cantSplit/>
        </w:trPr>
        <w:tc>
          <w:tcPr>
            <w:tcW w:w="5262" w:type="dxa"/>
            <w:tcBorders>
              <w:left w:val="single" w:sz="4" w:space="0" w:color="002060"/>
            </w:tcBorders>
            <w:shd w:val="clear" w:color="auto" w:fill="FFFFFF"/>
            <w:noWrap/>
            <w:vAlign w:val="bottom"/>
          </w:tcPr>
          <w:p w:rsidR="00E54916" w:rsidRPr="00652AAB" w:rsidRDefault="00E54916" w:rsidP="00652AAB">
            <w:pPr>
              <w:pStyle w:val="TableText"/>
              <w:rPr>
                <w:sz w:val="16"/>
                <w:szCs w:val="16"/>
              </w:rPr>
            </w:pPr>
            <w:r w:rsidRPr="00652AAB">
              <w:rPr>
                <w:sz w:val="16"/>
                <w:szCs w:val="16"/>
              </w:rPr>
              <w:t>Adjustment for previous year’s cash underspend based on funding shares - Commonwealth (S49)</w:t>
            </w:r>
          </w:p>
        </w:tc>
        <w:tc>
          <w:tcPr>
            <w:tcW w:w="1341" w:type="dxa"/>
            <w:noWrap/>
            <w:vAlign w:val="bottom"/>
          </w:tcPr>
          <w:p w:rsidR="00E54916" w:rsidRPr="00652AAB" w:rsidRDefault="00E54916" w:rsidP="00652AAB">
            <w:pPr>
              <w:pStyle w:val="TableText"/>
              <w:jc w:val="right"/>
              <w:rPr>
                <w:sz w:val="16"/>
                <w:szCs w:val="16"/>
              </w:rPr>
            </w:pPr>
          </w:p>
        </w:tc>
        <w:tc>
          <w:tcPr>
            <w:tcW w:w="1342" w:type="dxa"/>
            <w:noWrap/>
            <w:vAlign w:val="bottom"/>
          </w:tcPr>
          <w:p w:rsidR="00E54916" w:rsidRPr="00652AAB" w:rsidRDefault="00E54916" w:rsidP="00652AAB">
            <w:pPr>
              <w:pStyle w:val="TableText"/>
              <w:jc w:val="right"/>
              <w:rPr>
                <w:sz w:val="16"/>
                <w:szCs w:val="16"/>
              </w:rPr>
            </w:pPr>
            <w:r w:rsidRPr="00652AAB">
              <w:rPr>
                <w:sz w:val="16"/>
                <w:szCs w:val="16"/>
              </w:rPr>
              <w:t>0</w:t>
            </w:r>
          </w:p>
        </w:tc>
        <w:tc>
          <w:tcPr>
            <w:tcW w:w="134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r>
      <w:tr w:rsidR="00E54916" w:rsidRPr="00E54916" w:rsidTr="00652AAB">
        <w:trPr>
          <w:cantSplit/>
        </w:trPr>
        <w:tc>
          <w:tcPr>
            <w:tcW w:w="5262" w:type="dxa"/>
            <w:tcBorders>
              <w:left w:val="single" w:sz="4" w:space="0" w:color="002060"/>
            </w:tcBorders>
            <w:shd w:val="clear" w:color="auto" w:fill="FFFFFF"/>
            <w:noWrap/>
            <w:vAlign w:val="bottom"/>
          </w:tcPr>
          <w:p w:rsidR="00E54916" w:rsidRPr="00652AAB" w:rsidRDefault="00E54916" w:rsidP="00652AAB">
            <w:pPr>
              <w:pStyle w:val="TableText"/>
              <w:rPr>
                <w:sz w:val="16"/>
                <w:szCs w:val="16"/>
              </w:rPr>
            </w:pPr>
            <w:r w:rsidRPr="00652AAB">
              <w:rPr>
                <w:sz w:val="16"/>
                <w:szCs w:val="16"/>
              </w:rPr>
              <w:t>Adjustment for previous year’s cash underspend based on funding shares - States (S49)</w:t>
            </w:r>
          </w:p>
        </w:tc>
        <w:tc>
          <w:tcPr>
            <w:tcW w:w="1341" w:type="dxa"/>
            <w:noWrap/>
            <w:vAlign w:val="bottom"/>
          </w:tcPr>
          <w:p w:rsidR="00E54916" w:rsidRPr="00652AAB" w:rsidRDefault="00E54916" w:rsidP="00652AAB">
            <w:pPr>
              <w:pStyle w:val="TableText"/>
              <w:jc w:val="right"/>
              <w:rPr>
                <w:sz w:val="16"/>
                <w:szCs w:val="16"/>
              </w:rPr>
            </w:pPr>
          </w:p>
        </w:tc>
        <w:tc>
          <w:tcPr>
            <w:tcW w:w="1342" w:type="dxa"/>
            <w:noWrap/>
            <w:vAlign w:val="bottom"/>
          </w:tcPr>
          <w:p w:rsidR="00E54916" w:rsidRPr="00652AAB" w:rsidRDefault="00E54916" w:rsidP="00652AAB">
            <w:pPr>
              <w:pStyle w:val="TableText"/>
              <w:jc w:val="right"/>
              <w:rPr>
                <w:sz w:val="16"/>
                <w:szCs w:val="16"/>
              </w:rPr>
            </w:pPr>
            <w:r w:rsidRPr="00652AAB">
              <w:rPr>
                <w:sz w:val="16"/>
                <w:szCs w:val="16"/>
              </w:rPr>
              <w:t>0</w:t>
            </w:r>
          </w:p>
        </w:tc>
        <w:tc>
          <w:tcPr>
            <w:tcW w:w="134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r>
      <w:tr w:rsidR="00E54916" w:rsidRPr="00E54916" w:rsidTr="00652AAB">
        <w:trPr>
          <w:cantSplit/>
        </w:trPr>
        <w:tc>
          <w:tcPr>
            <w:tcW w:w="5262" w:type="dxa"/>
            <w:tcBorders>
              <w:top w:val="single" w:sz="4" w:space="0" w:color="auto"/>
              <w:left w:val="single" w:sz="4" w:space="0" w:color="002060"/>
              <w:bottom w:val="single" w:sz="4" w:space="0" w:color="auto"/>
            </w:tcBorders>
            <w:shd w:val="clear" w:color="auto" w:fill="FFFFFF"/>
            <w:noWrap/>
            <w:vAlign w:val="bottom"/>
          </w:tcPr>
          <w:p w:rsidR="00E54916" w:rsidRPr="00652AAB" w:rsidRDefault="00E54916" w:rsidP="00652AAB">
            <w:pPr>
              <w:pStyle w:val="TableText"/>
              <w:rPr>
                <w:b/>
                <w:bCs/>
                <w:sz w:val="16"/>
                <w:szCs w:val="16"/>
              </w:rPr>
            </w:pPr>
            <w:r w:rsidRPr="00652AAB">
              <w:rPr>
                <w:b/>
                <w:bCs/>
                <w:sz w:val="16"/>
                <w:szCs w:val="16"/>
              </w:rPr>
              <w:t>Agency cash at the beginning of the year</w:t>
            </w:r>
          </w:p>
        </w:tc>
        <w:tc>
          <w:tcPr>
            <w:tcW w:w="1341" w:type="dxa"/>
            <w:tcBorders>
              <w:top w:val="single" w:sz="4" w:space="0" w:color="auto"/>
              <w:bottom w:val="single" w:sz="4" w:space="0" w:color="auto"/>
            </w:tcBorders>
            <w:noWrap/>
            <w:vAlign w:val="bottom"/>
          </w:tcPr>
          <w:p w:rsidR="00E54916" w:rsidRPr="00652AAB" w:rsidRDefault="00E54916" w:rsidP="00652AAB">
            <w:pPr>
              <w:pStyle w:val="TableText"/>
              <w:jc w:val="right"/>
              <w:rPr>
                <w:b/>
                <w:bCs/>
                <w:sz w:val="16"/>
                <w:szCs w:val="16"/>
              </w:rPr>
            </w:pPr>
            <w:r w:rsidRPr="00652AAB">
              <w:rPr>
                <w:b/>
                <w:bCs/>
                <w:sz w:val="16"/>
                <w:szCs w:val="16"/>
              </w:rPr>
              <w:t>50</w:t>
            </w:r>
          </w:p>
        </w:tc>
        <w:tc>
          <w:tcPr>
            <w:tcW w:w="1342" w:type="dxa"/>
            <w:tcBorders>
              <w:top w:val="single" w:sz="4" w:space="0" w:color="auto"/>
              <w:bottom w:val="single" w:sz="4" w:space="0" w:color="auto"/>
            </w:tcBorders>
            <w:noWrap/>
            <w:vAlign w:val="bottom"/>
          </w:tcPr>
          <w:p w:rsidR="00E54916" w:rsidRPr="00652AAB" w:rsidRDefault="00E54916" w:rsidP="00652AAB">
            <w:pPr>
              <w:pStyle w:val="TableText"/>
              <w:jc w:val="right"/>
              <w:rPr>
                <w:b/>
                <w:bCs/>
                <w:sz w:val="16"/>
                <w:szCs w:val="16"/>
              </w:rPr>
            </w:pPr>
            <w:r w:rsidRPr="00652AAB">
              <w:rPr>
                <w:b/>
                <w:bCs/>
                <w:sz w:val="16"/>
                <w:szCs w:val="16"/>
              </w:rPr>
              <w:t>50</w:t>
            </w:r>
          </w:p>
        </w:tc>
        <w:tc>
          <w:tcPr>
            <w:tcW w:w="1341" w:type="dxa"/>
            <w:tcBorders>
              <w:top w:val="single" w:sz="4" w:space="0" w:color="auto"/>
              <w:bottom w:val="single" w:sz="4" w:space="0" w:color="auto"/>
              <w:right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50</w:t>
            </w:r>
          </w:p>
        </w:tc>
      </w:tr>
      <w:tr w:rsidR="00E54916" w:rsidRPr="00E54916" w:rsidTr="00652AAB">
        <w:trPr>
          <w:cantSplit/>
        </w:trPr>
        <w:tc>
          <w:tcPr>
            <w:tcW w:w="5262" w:type="dxa"/>
            <w:tcBorders>
              <w:left w:val="single" w:sz="4" w:space="0" w:color="002060"/>
            </w:tcBorders>
            <w:shd w:val="clear" w:color="auto" w:fill="FFFFFF"/>
            <w:noWrap/>
            <w:vAlign w:val="bottom"/>
          </w:tcPr>
          <w:p w:rsidR="00E54916" w:rsidRPr="00652AAB" w:rsidRDefault="00E54916" w:rsidP="00652AAB">
            <w:pPr>
              <w:pStyle w:val="TableText"/>
              <w:rPr>
                <w:b/>
                <w:bCs/>
                <w:sz w:val="16"/>
                <w:szCs w:val="16"/>
              </w:rPr>
            </w:pPr>
            <w:r w:rsidRPr="00652AAB">
              <w:rPr>
                <w:b/>
                <w:bCs/>
                <w:sz w:val="16"/>
                <w:szCs w:val="16"/>
              </w:rPr>
              <w:t>Actual expenditure during the year</w:t>
            </w:r>
          </w:p>
        </w:tc>
        <w:tc>
          <w:tcPr>
            <w:tcW w:w="1341" w:type="dxa"/>
            <w:noWrap/>
            <w:vAlign w:val="bottom"/>
          </w:tcPr>
          <w:p w:rsidR="00E54916" w:rsidRPr="00652AAB" w:rsidRDefault="00E54916" w:rsidP="00652AAB">
            <w:pPr>
              <w:pStyle w:val="TableText"/>
              <w:jc w:val="right"/>
              <w:rPr>
                <w:sz w:val="16"/>
                <w:szCs w:val="16"/>
              </w:rPr>
            </w:pPr>
          </w:p>
        </w:tc>
        <w:tc>
          <w:tcPr>
            <w:tcW w:w="1342" w:type="dxa"/>
            <w:noWrap/>
            <w:vAlign w:val="bottom"/>
          </w:tcPr>
          <w:p w:rsidR="00E54916" w:rsidRPr="00652AAB" w:rsidRDefault="00E54916" w:rsidP="00652AAB">
            <w:pPr>
              <w:pStyle w:val="TableText"/>
              <w:jc w:val="right"/>
              <w:rPr>
                <w:sz w:val="16"/>
                <w:szCs w:val="16"/>
              </w:rPr>
            </w:pPr>
          </w:p>
        </w:tc>
        <w:tc>
          <w:tcPr>
            <w:tcW w:w="1341" w:type="dxa"/>
            <w:tcBorders>
              <w:right w:val="single" w:sz="4" w:space="0" w:color="002060"/>
            </w:tcBorders>
            <w:noWrap/>
            <w:vAlign w:val="bottom"/>
          </w:tcPr>
          <w:p w:rsidR="00E54916" w:rsidRPr="00652AAB" w:rsidRDefault="00E54916" w:rsidP="00652AAB">
            <w:pPr>
              <w:pStyle w:val="TableText"/>
              <w:jc w:val="right"/>
              <w:rPr>
                <w:sz w:val="16"/>
                <w:szCs w:val="16"/>
              </w:rPr>
            </w:pPr>
          </w:p>
        </w:tc>
      </w:tr>
      <w:tr w:rsidR="00E54916" w:rsidRPr="00E54916" w:rsidTr="00652AAB">
        <w:trPr>
          <w:cantSplit/>
        </w:trPr>
        <w:tc>
          <w:tcPr>
            <w:tcW w:w="5262" w:type="dxa"/>
            <w:tcBorders>
              <w:left w:val="single" w:sz="4" w:space="0" w:color="002060"/>
            </w:tcBorders>
            <w:shd w:val="clear" w:color="auto" w:fill="FFFFFF"/>
            <w:noWrap/>
            <w:vAlign w:val="bottom"/>
          </w:tcPr>
          <w:p w:rsidR="00E54916" w:rsidRPr="00652AAB" w:rsidRDefault="00E54916" w:rsidP="00652AAB">
            <w:pPr>
              <w:pStyle w:val="TableText"/>
              <w:rPr>
                <w:sz w:val="16"/>
                <w:szCs w:val="16"/>
              </w:rPr>
            </w:pPr>
            <w:r w:rsidRPr="00652AAB">
              <w:rPr>
                <w:sz w:val="16"/>
                <w:szCs w:val="16"/>
              </w:rPr>
              <w:t xml:space="preserve">Cash </w:t>
            </w:r>
          </w:p>
        </w:tc>
        <w:tc>
          <w:tcPr>
            <w:tcW w:w="1341" w:type="dxa"/>
            <w:noWrap/>
            <w:vAlign w:val="bottom"/>
          </w:tcPr>
          <w:p w:rsidR="00E54916" w:rsidRPr="00652AAB" w:rsidRDefault="00E54916" w:rsidP="00652AAB">
            <w:pPr>
              <w:pStyle w:val="TableText"/>
              <w:jc w:val="right"/>
              <w:rPr>
                <w:sz w:val="16"/>
                <w:szCs w:val="16"/>
              </w:rPr>
            </w:pPr>
            <w:r w:rsidRPr="00652AAB">
              <w:rPr>
                <w:sz w:val="16"/>
                <w:szCs w:val="16"/>
              </w:rPr>
              <w:t>-60</w:t>
            </w:r>
          </w:p>
        </w:tc>
        <w:tc>
          <w:tcPr>
            <w:tcW w:w="1342" w:type="dxa"/>
            <w:noWrap/>
            <w:vAlign w:val="bottom"/>
          </w:tcPr>
          <w:p w:rsidR="00E54916" w:rsidRPr="00652AAB" w:rsidRDefault="00E54916" w:rsidP="00652AAB">
            <w:pPr>
              <w:pStyle w:val="TableText"/>
              <w:jc w:val="right"/>
              <w:rPr>
                <w:sz w:val="16"/>
                <w:szCs w:val="16"/>
              </w:rPr>
            </w:pPr>
            <w:r w:rsidRPr="00652AAB">
              <w:rPr>
                <w:sz w:val="16"/>
                <w:szCs w:val="16"/>
              </w:rPr>
              <w:t>-50</w:t>
            </w:r>
          </w:p>
        </w:tc>
        <w:tc>
          <w:tcPr>
            <w:tcW w:w="134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-50</w:t>
            </w:r>
          </w:p>
        </w:tc>
      </w:tr>
      <w:tr w:rsidR="00E54916" w:rsidRPr="00E54916" w:rsidTr="00652AAB">
        <w:trPr>
          <w:cantSplit/>
        </w:trPr>
        <w:tc>
          <w:tcPr>
            <w:tcW w:w="5262" w:type="dxa"/>
            <w:tcBorders>
              <w:left w:val="single" w:sz="4" w:space="0" w:color="002060"/>
            </w:tcBorders>
            <w:shd w:val="clear" w:color="auto" w:fill="FFFFFF"/>
            <w:noWrap/>
            <w:vAlign w:val="bottom"/>
          </w:tcPr>
          <w:p w:rsidR="00E54916" w:rsidRPr="00652AAB" w:rsidRDefault="00E54916" w:rsidP="00652AAB">
            <w:pPr>
              <w:pStyle w:val="TableText"/>
              <w:rPr>
                <w:sz w:val="16"/>
                <w:szCs w:val="16"/>
              </w:rPr>
            </w:pPr>
            <w:r w:rsidRPr="00652AAB">
              <w:rPr>
                <w:sz w:val="16"/>
                <w:szCs w:val="16"/>
              </w:rPr>
              <w:t>Commonwealth in-kind</w:t>
            </w:r>
          </w:p>
        </w:tc>
        <w:tc>
          <w:tcPr>
            <w:tcW w:w="1341" w:type="dxa"/>
            <w:noWrap/>
            <w:vAlign w:val="bottom"/>
          </w:tcPr>
          <w:p w:rsidR="00E54916" w:rsidRPr="00652AAB" w:rsidRDefault="00E54916" w:rsidP="00652AAB">
            <w:pPr>
              <w:pStyle w:val="TableText"/>
              <w:jc w:val="right"/>
              <w:rPr>
                <w:sz w:val="16"/>
                <w:szCs w:val="16"/>
              </w:rPr>
            </w:pPr>
            <w:r w:rsidRPr="00652AAB">
              <w:rPr>
                <w:sz w:val="16"/>
                <w:szCs w:val="16"/>
              </w:rPr>
              <w:t>-20</w:t>
            </w:r>
          </w:p>
        </w:tc>
        <w:tc>
          <w:tcPr>
            <w:tcW w:w="1342" w:type="dxa"/>
            <w:noWrap/>
            <w:vAlign w:val="bottom"/>
          </w:tcPr>
          <w:p w:rsidR="00E54916" w:rsidRPr="00652AAB" w:rsidRDefault="00E54916" w:rsidP="00652AAB">
            <w:pPr>
              <w:pStyle w:val="TableText"/>
              <w:jc w:val="right"/>
              <w:rPr>
                <w:sz w:val="16"/>
                <w:szCs w:val="16"/>
              </w:rPr>
            </w:pPr>
            <w:r w:rsidRPr="00652AAB">
              <w:rPr>
                <w:sz w:val="16"/>
                <w:szCs w:val="16"/>
              </w:rPr>
              <w:t>-20</w:t>
            </w:r>
          </w:p>
        </w:tc>
        <w:tc>
          <w:tcPr>
            <w:tcW w:w="134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-20</w:t>
            </w:r>
          </w:p>
        </w:tc>
      </w:tr>
      <w:tr w:rsidR="00E54916" w:rsidRPr="00E54916" w:rsidTr="00652AAB">
        <w:trPr>
          <w:cantSplit/>
        </w:trPr>
        <w:tc>
          <w:tcPr>
            <w:tcW w:w="5262" w:type="dxa"/>
            <w:tcBorders>
              <w:left w:val="single" w:sz="4" w:space="0" w:color="002060"/>
            </w:tcBorders>
            <w:shd w:val="clear" w:color="auto" w:fill="FFFFFF"/>
            <w:noWrap/>
            <w:vAlign w:val="bottom"/>
          </w:tcPr>
          <w:p w:rsidR="00E54916" w:rsidRPr="00652AAB" w:rsidRDefault="00E54916" w:rsidP="00652AAB">
            <w:pPr>
              <w:pStyle w:val="TableText"/>
              <w:rPr>
                <w:sz w:val="16"/>
                <w:szCs w:val="16"/>
              </w:rPr>
            </w:pPr>
            <w:r w:rsidRPr="00652AAB">
              <w:rPr>
                <w:sz w:val="16"/>
                <w:szCs w:val="16"/>
              </w:rPr>
              <w:t>State in-kind</w:t>
            </w:r>
          </w:p>
        </w:tc>
        <w:tc>
          <w:tcPr>
            <w:tcW w:w="1341" w:type="dxa"/>
            <w:noWrap/>
            <w:vAlign w:val="bottom"/>
          </w:tcPr>
          <w:p w:rsidR="00E54916" w:rsidRPr="00652AAB" w:rsidRDefault="00E54916" w:rsidP="00652AAB">
            <w:pPr>
              <w:pStyle w:val="TableText"/>
              <w:jc w:val="right"/>
              <w:rPr>
                <w:sz w:val="16"/>
                <w:szCs w:val="16"/>
              </w:rPr>
            </w:pPr>
            <w:r w:rsidRPr="00652AAB">
              <w:rPr>
                <w:sz w:val="16"/>
                <w:szCs w:val="16"/>
              </w:rPr>
              <w:t>-20</w:t>
            </w:r>
          </w:p>
        </w:tc>
        <w:tc>
          <w:tcPr>
            <w:tcW w:w="1342" w:type="dxa"/>
            <w:noWrap/>
            <w:vAlign w:val="bottom"/>
          </w:tcPr>
          <w:p w:rsidR="00E54916" w:rsidRPr="00652AAB" w:rsidRDefault="00E54916" w:rsidP="00652AAB">
            <w:pPr>
              <w:pStyle w:val="TableText"/>
              <w:jc w:val="right"/>
              <w:rPr>
                <w:sz w:val="16"/>
                <w:szCs w:val="16"/>
              </w:rPr>
            </w:pPr>
            <w:r w:rsidRPr="00652AAB">
              <w:rPr>
                <w:sz w:val="16"/>
                <w:szCs w:val="16"/>
              </w:rPr>
              <w:t>-30</w:t>
            </w:r>
          </w:p>
        </w:tc>
        <w:tc>
          <w:tcPr>
            <w:tcW w:w="134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-30</w:t>
            </w:r>
          </w:p>
        </w:tc>
      </w:tr>
      <w:tr w:rsidR="00E54916" w:rsidRPr="00E54916" w:rsidTr="00652AAB">
        <w:trPr>
          <w:cantSplit/>
        </w:trPr>
        <w:tc>
          <w:tcPr>
            <w:tcW w:w="5262" w:type="dxa"/>
            <w:tcBorders>
              <w:left w:val="single" w:sz="4" w:space="0" w:color="002060"/>
            </w:tcBorders>
            <w:shd w:val="clear" w:color="auto" w:fill="FFFFFF"/>
            <w:noWrap/>
            <w:vAlign w:val="bottom"/>
          </w:tcPr>
          <w:p w:rsidR="00E54916" w:rsidRPr="00652AAB" w:rsidRDefault="00E54916" w:rsidP="00652AAB">
            <w:pPr>
              <w:pStyle w:val="TableText"/>
              <w:rPr>
                <w:b/>
                <w:bCs/>
                <w:sz w:val="16"/>
                <w:szCs w:val="16"/>
              </w:rPr>
            </w:pPr>
            <w:r w:rsidRPr="00652AAB">
              <w:rPr>
                <w:b/>
                <w:bCs/>
                <w:sz w:val="16"/>
                <w:szCs w:val="16"/>
              </w:rPr>
              <w:t>Total actual expenditure</w:t>
            </w:r>
          </w:p>
        </w:tc>
        <w:tc>
          <w:tcPr>
            <w:tcW w:w="1341" w:type="dxa"/>
            <w:noWrap/>
            <w:vAlign w:val="bottom"/>
          </w:tcPr>
          <w:p w:rsidR="00E54916" w:rsidRPr="00652AAB" w:rsidRDefault="00E54916" w:rsidP="00652AAB">
            <w:pPr>
              <w:pStyle w:val="TableText"/>
              <w:jc w:val="right"/>
              <w:rPr>
                <w:b/>
                <w:bCs/>
                <w:sz w:val="16"/>
                <w:szCs w:val="16"/>
              </w:rPr>
            </w:pPr>
            <w:r w:rsidRPr="00652AAB">
              <w:rPr>
                <w:b/>
                <w:bCs/>
                <w:sz w:val="16"/>
                <w:szCs w:val="16"/>
              </w:rPr>
              <w:t>-100</w:t>
            </w:r>
          </w:p>
        </w:tc>
        <w:tc>
          <w:tcPr>
            <w:tcW w:w="1342" w:type="dxa"/>
            <w:noWrap/>
            <w:vAlign w:val="bottom"/>
          </w:tcPr>
          <w:p w:rsidR="00E54916" w:rsidRPr="00652AAB" w:rsidRDefault="00E54916" w:rsidP="00652AAB">
            <w:pPr>
              <w:pStyle w:val="TableText"/>
              <w:jc w:val="right"/>
              <w:rPr>
                <w:b/>
                <w:bCs/>
                <w:sz w:val="16"/>
                <w:szCs w:val="16"/>
              </w:rPr>
            </w:pPr>
            <w:r w:rsidRPr="00652AAB">
              <w:rPr>
                <w:b/>
                <w:bCs/>
                <w:sz w:val="16"/>
                <w:szCs w:val="16"/>
              </w:rPr>
              <w:t>-100</w:t>
            </w:r>
          </w:p>
        </w:tc>
        <w:tc>
          <w:tcPr>
            <w:tcW w:w="1341" w:type="dxa"/>
            <w:tcBorders>
              <w:right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-100</w:t>
            </w:r>
          </w:p>
        </w:tc>
      </w:tr>
      <w:tr w:rsidR="00E54916" w:rsidRPr="00E54916" w:rsidTr="00652AAB">
        <w:trPr>
          <w:cantSplit/>
        </w:trPr>
        <w:tc>
          <w:tcPr>
            <w:tcW w:w="5262" w:type="dxa"/>
            <w:tcBorders>
              <w:left w:val="single" w:sz="4" w:space="0" w:color="002060"/>
              <w:bottom w:val="single" w:sz="4" w:space="0" w:color="002060"/>
            </w:tcBorders>
            <w:shd w:val="clear" w:color="auto" w:fill="FFFFFF"/>
            <w:noWrap/>
            <w:vAlign w:val="bottom"/>
          </w:tcPr>
          <w:p w:rsidR="00E54916" w:rsidRPr="00652AAB" w:rsidRDefault="00E54916" w:rsidP="00652AAB">
            <w:pPr>
              <w:pStyle w:val="TableText"/>
              <w:rPr>
                <w:b/>
                <w:bCs/>
                <w:sz w:val="16"/>
                <w:szCs w:val="16"/>
              </w:rPr>
            </w:pPr>
            <w:r w:rsidRPr="00652AAB">
              <w:rPr>
                <w:b/>
                <w:bCs/>
                <w:sz w:val="16"/>
                <w:szCs w:val="16"/>
              </w:rPr>
              <w:t>Additional Commonwealth cash contribution to meet risk of cost overrun through increased client numbers, higher average care and support costs and  Agency’s cash flow risk (S18.b.iii)</w:t>
            </w:r>
          </w:p>
        </w:tc>
        <w:tc>
          <w:tcPr>
            <w:tcW w:w="1341" w:type="dxa"/>
            <w:tcBorders>
              <w:bottom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10</w:t>
            </w:r>
          </w:p>
        </w:tc>
        <w:tc>
          <w:tcPr>
            <w:tcW w:w="1342" w:type="dxa"/>
            <w:tcBorders>
              <w:bottom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c>
          <w:tcPr>
            <w:tcW w:w="1341" w:type="dxa"/>
            <w:tcBorders>
              <w:bottom w:val="single" w:sz="4" w:space="0" w:color="002060"/>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r>
      <w:tr w:rsidR="00E54916" w:rsidRPr="00E54916" w:rsidTr="00652AAB">
        <w:trPr>
          <w:cantSplit/>
        </w:trPr>
        <w:tc>
          <w:tcPr>
            <w:tcW w:w="5262" w:type="dxa"/>
            <w:tcBorders>
              <w:top w:val="single" w:sz="4" w:space="0" w:color="002060"/>
              <w:left w:val="single" w:sz="4" w:space="0" w:color="002060"/>
              <w:bottom w:val="single" w:sz="4" w:space="0" w:color="002060"/>
            </w:tcBorders>
            <w:noWrap/>
            <w:vAlign w:val="bottom"/>
          </w:tcPr>
          <w:p w:rsidR="00E54916" w:rsidRPr="00652AAB" w:rsidRDefault="00E54916" w:rsidP="00652AAB">
            <w:pPr>
              <w:pStyle w:val="TableText"/>
              <w:rPr>
                <w:b/>
                <w:bCs/>
                <w:sz w:val="16"/>
                <w:szCs w:val="16"/>
              </w:rPr>
            </w:pPr>
            <w:r w:rsidRPr="00652AAB">
              <w:rPr>
                <w:b/>
                <w:bCs/>
                <w:sz w:val="16"/>
                <w:szCs w:val="16"/>
              </w:rPr>
              <w:t>End of year cash outcome for Agency</w:t>
            </w:r>
          </w:p>
        </w:tc>
        <w:tc>
          <w:tcPr>
            <w:tcW w:w="1341" w:type="dxa"/>
            <w:tcBorders>
              <w:top w:val="single" w:sz="4" w:space="0" w:color="002060"/>
              <w:bottom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0</w:t>
            </w:r>
          </w:p>
        </w:tc>
        <w:tc>
          <w:tcPr>
            <w:tcW w:w="1342" w:type="dxa"/>
            <w:tcBorders>
              <w:top w:val="single" w:sz="4" w:space="0" w:color="002060"/>
              <w:bottom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0</w:t>
            </w:r>
          </w:p>
        </w:tc>
        <w:tc>
          <w:tcPr>
            <w:tcW w:w="1341" w:type="dxa"/>
            <w:tcBorders>
              <w:top w:val="single" w:sz="4" w:space="0" w:color="002060"/>
              <w:bottom w:val="single" w:sz="4" w:space="0" w:color="002060"/>
              <w:right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0</w:t>
            </w:r>
          </w:p>
        </w:tc>
      </w:tr>
    </w:tbl>
    <w:p w:rsidR="00E54916" w:rsidRPr="00E54916" w:rsidRDefault="00E54916" w:rsidP="00E54916">
      <w:pPr>
        <w:rPr>
          <w:szCs w:val="20"/>
        </w:rPr>
      </w:pPr>
      <w:r w:rsidRPr="00E54916">
        <w:rPr>
          <w:szCs w:val="20"/>
        </w:rPr>
        <w:t>Since the Commonwealth has been required to provide additional cash to the Agency as a result of under-provision of host-jurisdiction in-kind services, the additional payment made by the host jurisdiction is taken into account in the Commonwealth’s financial contribution. At the end of the launch, the Commonwealth made contributions of $120 and the host jurisdiction made contributions of $180, resulting in a total contribution of $300.</w:t>
      </w:r>
    </w:p>
    <w:p w:rsidR="00E54916" w:rsidRPr="00E54916" w:rsidRDefault="000C65A6" w:rsidP="000C65A6">
      <w:pPr>
        <w:pStyle w:val="Heading2"/>
      </w:pPr>
      <w:r>
        <w:lastRenderedPageBreak/>
        <w:br/>
      </w:r>
      <w:r w:rsidR="00E54916" w:rsidRPr="00E54916">
        <w:t>Scenario 5 – net in-kind underspend over three years</w:t>
      </w:r>
    </w:p>
    <w:p w:rsidR="00E54916" w:rsidRPr="00E54916" w:rsidRDefault="00E54916" w:rsidP="00E54916">
      <w:pPr>
        <w:rPr>
          <w:szCs w:val="20"/>
        </w:rPr>
      </w:pPr>
      <w:r w:rsidRPr="00E54916">
        <w:rPr>
          <w:szCs w:val="20"/>
        </w:rPr>
        <w:t>This scenario models a net in-kind underspend over three years, involving:</w:t>
      </w:r>
    </w:p>
    <w:p w:rsidR="00E54916" w:rsidRPr="00E54916" w:rsidRDefault="00652AAB" w:rsidP="00652AAB">
      <w:pPr>
        <w:ind w:left="562" w:hanging="562"/>
        <w:rPr>
          <w:szCs w:val="20"/>
        </w:rPr>
      </w:pPr>
      <w:r>
        <w:rPr>
          <w:szCs w:val="20"/>
        </w:rPr>
        <w:t>1.</w:t>
      </w:r>
      <w:r>
        <w:rPr>
          <w:szCs w:val="20"/>
        </w:rPr>
        <w:tab/>
      </w:r>
      <w:r w:rsidR="00E54916" w:rsidRPr="00E54916">
        <w:rPr>
          <w:szCs w:val="20"/>
        </w:rPr>
        <w:t xml:space="preserve">Commonwealth in-kind expenditure of $10 per year in 2013-14 and 2014-15, compared to an expected Commonwealth in-kind expenditure of $20 per year; and </w:t>
      </w:r>
    </w:p>
    <w:p w:rsidR="00E54916" w:rsidRPr="00E54916" w:rsidRDefault="00652AAB" w:rsidP="00652AAB">
      <w:pPr>
        <w:spacing w:after="240"/>
        <w:ind w:left="562" w:hanging="562"/>
        <w:rPr>
          <w:szCs w:val="20"/>
        </w:rPr>
      </w:pPr>
      <w:r>
        <w:rPr>
          <w:szCs w:val="20"/>
        </w:rPr>
        <w:t>2.</w:t>
      </w:r>
      <w:r>
        <w:rPr>
          <w:szCs w:val="20"/>
        </w:rPr>
        <w:tab/>
      </w:r>
      <w:r w:rsidR="00E54916" w:rsidRPr="00E54916">
        <w:rPr>
          <w:szCs w:val="20"/>
        </w:rPr>
        <w:t>Host jurisdiction in-kind expenditure of $20 per year in 2013-14 and 2014-15, compared to an expected host jurisdiction in-kin</w:t>
      </w:r>
      <w:r>
        <w:rPr>
          <w:szCs w:val="20"/>
        </w:rPr>
        <w:t>d expenditure of $30 per year.</w:t>
      </w:r>
    </w:p>
    <w:tbl>
      <w:tblPr>
        <w:tblW w:w="5000" w:type="pct"/>
        <w:tblInd w:w="93" w:type="dxa"/>
        <w:tblLayout w:type="fixed"/>
        <w:tblLook w:val="00A0" w:firstRow="1" w:lastRow="0" w:firstColumn="1" w:lastColumn="0" w:noHBand="0" w:noVBand="0"/>
        <w:tblCaption w:val="Scenario 5 – net in-kind underspend over three years"/>
        <w:tblDescription w:val="This table shows estimated contribution and expenditure from 2013 to 2016."/>
      </w:tblPr>
      <w:tblGrid>
        <w:gridCol w:w="5265"/>
        <w:gridCol w:w="1340"/>
        <w:gridCol w:w="1340"/>
        <w:gridCol w:w="1341"/>
      </w:tblGrid>
      <w:tr w:rsidR="00E54916" w:rsidRPr="00652AAB" w:rsidTr="00652AAB">
        <w:trPr>
          <w:cantSplit/>
          <w:tblHeader/>
        </w:trPr>
        <w:tc>
          <w:tcPr>
            <w:tcW w:w="5402"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652AAB" w:rsidRDefault="00E54916" w:rsidP="00652AAB">
            <w:pPr>
              <w:pStyle w:val="TableHeading"/>
              <w:rPr>
                <w:sz w:val="16"/>
                <w:szCs w:val="16"/>
              </w:rPr>
            </w:pPr>
            <w:r w:rsidRPr="00652AAB">
              <w:rPr>
                <w:sz w:val="16"/>
                <w:szCs w:val="16"/>
              </w:rPr>
              <w:t>Summary of launch</w:t>
            </w:r>
          </w:p>
        </w:tc>
        <w:tc>
          <w:tcPr>
            <w:tcW w:w="1370"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652AAB" w:rsidRDefault="00E54916" w:rsidP="00652AAB">
            <w:pPr>
              <w:pStyle w:val="TableHeading"/>
              <w:jc w:val="right"/>
              <w:rPr>
                <w:bCs/>
                <w:sz w:val="16"/>
                <w:szCs w:val="16"/>
              </w:rPr>
            </w:pPr>
            <w:r w:rsidRPr="00652AAB">
              <w:rPr>
                <w:bCs/>
                <w:sz w:val="16"/>
                <w:szCs w:val="16"/>
              </w:rPr>
              <w:t>2013-14</w:t>
            </w:r>
          </w:p>
        </w:tc>
        <w:tc>
          <w:tcPr>
            <w:tcW w:w="1370"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652AAB" w:rsidRDefault="00E54916" w:rsidP="00652AAB">
            <w:pPr>
              <w:pStyle w:val="TableHeading"/>
              <w:jc w:val="right"/>
              <w:rPr>
                <w:bCs/>
                <w:sz w:val="16"/>
                <w:szCs w:val="16"/>
              </w:rPr>
            </w:pPr>
            <w:r w:rsidRPr="00652AAB">
              <w:rPr>
                <w:bCs/>
                <w:sz w:val="16"/>
                <w:szCs w:val="16"/>
              </w:rPr>
              <w:t>2014-15</w:t>
            </w:r>
          </w:p>
        </w:tc>
        <w:tc>
          <w:tcPr>
            <w:tcW w:w="1371"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652AAB" w:rsidRDefault="00E54916" w:rsidP="00652AAB">
            <w:pPr>
              <w:pStyle w:val="TableHeading"/>
              <w:jc w:val="right"/>
              <w:rPr>
                <w:bCs/>
                <w:sz w:val="16"/>
                <w:szCs w:val="16"/>
              </w:rPr>
            </w:pPr>
            <w:r w:rsidRPr="00652AAB">
              <w:rPr>
                <w:bCs/>
                <w:sz w:val="16"/>
                <w:szCs w:val="16"/>
              </w:rPr>
              <w:t>2015-16</w:t>
            </w:r>
          </w:p>
        </w:tc>
      </w:tr>
      <w:tr w:rsidR="00E54916" w:rsidRPr="00E54916" w:rsidTr="00652AAB">
        <w:trPr>
          <w:cantSplit/>
        </w:trPr>
        <w:tc>
          <w:tcPr>
            <w:tcW w:w="5402" w:type="dxa"/>
            <w:tcBorders>
              <w:top w:val="single" w:sz="6" w:space="0" w:color="auto"/>
              <w:left w:val="single" w:sz="4" w:space="0" w:color="002060"/>
              <w:bottom w:val="single" w:sz="4" w:space="0" w:color="auto"/>
            </w:tcBorders>
            <w:noWrap/>
          </w:tcPr>
          <w:p w:rsidR="00E54916" w:rsidRPr="00652AAB" w:rsidRDefault="00E54916" w:rsidP="00652AAB">
            <w:pPr>
              <w:pStyle w:val="TableText"/>
              <w:rPr>
                <w:b/>
                <w:bCs/>
                <w:sz w:val="16"/>
                <w:szCs w:val="16"/>
              </w:rPr>
            </w:pPr>
            <w:r w:rsidRPr="00652AAB">
              <w:rPr>
                <w:b/>
                <w:bCs/>
                <w:sz w:val="16"/>
                <w:szCs w:val="16"/>
              </w:rPr>
              <w:t>Agency cash balance - carry over from previous year</w:t>
            </w:r>
          </w:p>
        </w:tc>
        <w:tc>
          <w:tcPr>
            <w:tcW w:w="1370" w:type="dxa"/>
            <w:tcBorders>
              <w:top w:val="single" w:sz="6" w:space="0" w:color="auto"/>
              <w:bottom w:val="single" w:sz="4" w:space="0" w:color="auto"/>
            </w:tcBorders>
            <w:noWrap/>
            <w:vAlign w:val="bottom"/>
          </w:tcPr>
          <w:p w:rsidR="00E54916" w:rsidRPr="00652AAB" w:rsidRDefault="00E54916" w:rsidP="00652AAB">
            <w:pPr>
              <w:pStyle w:val="TableText"/>
              <w:jc w:val="right"/>
              <w:rPr>
                <w:b/>
                <w:bCs/>
                <w:sz w:val="16"/>
                <w:szCs w:val="16"/>
              </w:rPr>
            </w:pPr>
            <w:r w:rsidRPr="00652AAB">
              <w:rPr>
                <w:b/>
                <w:bCs/>
                <w:sz w:val="16"/>
                <w:szCs w:val="16"/>
              </w:rPr>
              <w:t>0</w:t>
            </w:r>
          </w:p>
        </w:tc>
        <w:tc>
          <w:tcPr>
            <w:tcW w:w="1370" w:type="dxa"/>
            <w:tcBorders>
              <w:top w:val="single" w:sz="6" w:space="0" w:color="auto"/>
              <w:bottom w:val="single" w:sz="4" w:space="0" w:color="auto"/>
            </w:tcBorders>
            <w:noWrap/>
            <w:vAlign w:val="bottom"/>
          </w:tcPr>
          <w:p w:rsidR="00E54916" w:rsidRPr="00652AAB" w:rsidRDefault="00E54916" w:rsidP="00652AAB">
            <w:pPr>
              <w:pStyle w:val="TableText"/>
              <w:jc w:val="right"/>
              <w:rPr>
                <w:b/>
                <w:bCs/>
                <w:sz w:val="16"/>
                <w:szCs w:val="16"/>
              </w:rPr>
            </w:pPr>
            <w:r w:rsidRPr="00652AAB">
              <w:rPr>
                <w:b/>
                <w:bCs/>
                <w:sz w:val="16"/>
                <w:szCs w:val="16"/>
              </w:rPr>
              <w:t>0</w:t>
            </w:r>
          </w:p>
        </w:tc>
        <w:tc>
          <w:tcPr>
            <w:tcW w:w="1371" w:type="dxa"/>
            <w:tcBorders>
              <w:top w:val="single" w:sz="6" w:space="0" w:color="auto"/>
              <w:bottom w:val="single" w:sz="4" w:space="0" w:color="auto"/>
              <w:right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0</w:t>
            </w:r>
          </w:p>
        </w:tc>
      </w:tr>
      <w:tr w:rsidR="00E54916" w:rsidRPr="00E54916" w:rsidTr="00652AAB">
        <w:trPr>
          <w:cantSplit/>
        </w:trPr>
        <w:tc>
          <w:tcPr>
            <w:tcW w:w="5402" w:type="dxa"/>
            <w:tcBorders>
              <w:left w:val="single" w:sz="4" w:space="0" w:color="002060"/>
            </w:tcBorders>
            <w:noWrap/>
          </w:tcPr>
          <w:p w:rsidR="00E54916" w:rsidRPr="00652AAB" w:rsidRDefault="00E54916" w:rsidP="00652AAB">
            <w:pPr>
              <w:pStyle w:val="TableText"/>
              <w:rPr>
                <w:b/>
                <w:bCs/>
                <w:sz w:val="16"/>
                <w:szCs w:val="16"/>
              </w:rPr>
            </w:pPr>
            <w:r w:rsidRPr="00652AAB">
              <w:rPr>
                <w:b/>
                <w:bCs/>
                <w:sz w:val="16"/>
                <w:szCs w:val="16"/>
              </w:rPr>
              <w:t>Beginning of the year actual cash contributions</w:t>
            </w:r>
          </w:p>
        </w:tc>
        <w:tc>
          <w:tcPr>
            <w:tcW w:w="1370" w:type="dxa"/>
            <w:noWrap/>
          </w:tcPr>
          <w:p w:rsidR="00E54916" w:rsidRPr="00652AAB" w:rsidRDefault="00E54916" w:rsidP="00652AAB">
            <w:pPr>
              <w:pStyle w:val="TableText"/>
              <w:jc w:val="right"/>
              <w:rPr>
                <w:bCs/>
                <w:sz w:val="16"/>
                <w:szCs w:val="16"/>
              </w:rPr>
            </w:pPr>
          </w:p>
        </w:tc>
        <w:tc>
          <w:tcPr>
            <w:tcW w:w="1370" w:type="dxa"/>
            <w:noWrap/>
          </w:tcPr>
          <w:p w:rsidR="00E54916" w:rsidRPr="00652AAB" w:rsidRDefault="00E54916" w:rsidP="00652AAB">
            <w:pPr>
              <w:pStyle w:val="TableText"/>
              <w:jc w:val="right"/>
              <w:rPr>
                <w:bCs/>
                <w:sz w:val="16"/>
                <w:szCs w:val="16"/>
              </w:rPr>
            </w:pPr>
          </w:p>
        </w:tc>
        <w:tc>
          <w:tcPr>
            <w:tcW w:w="1371" w:type="dxa"/>
            <w:tcBorders>
              <w:right w:val="single" w:sz="4" w:space="0" w:color="002060"/>
            </w:tcBorders>
            <w:noWrap/>
          </w:tcPr>
          <w:p w:rsidR="00E54916" w:rsidRPr="00652AAB" w:rsidRDefault="00E54916" w:rsidP="00652AAB">
            <w:pPr>
              <w:pStyle w:val="TableText"/>
              <w:jc w:val="right"/>
              <w:rPr>
                <w:bCs/>
                <w:sz w:val="16"/>
                <w:szCs w:val="16"/>
              </w:rPr>
            </w:pPr>
          </w:p>
        </w:tc>
      </w:tr>
      <w:tr w:rsidR="00E54916" w:rsidRPr="00E54916" w:rsidTr="00652AAB">
        <w:trPr>
          <w:cantSplit/>
        </w:trPr>
        <w:tc>
          <w:tcPr>
            <w:tcW w:w="5402" w:type="dxa"/>
            <w:tcBorders>
              <w:left w:val="single" w:sz="4" w:space="0" w:color="002060"/>
            </w:tcBorders>
            <w:noWrap/>
          </w:tcPr>
          <w:p w:rsidR="00E54916" w:rsidRPr="00652AAB" w:rsidRDefault="00E54916" w:rsidP="00652AAB">
            <w:pPr>
              <w:pStyle w:val="TableText"/>
              <w:rPr>
                <w:sz w:val="16"/>
                <w:szCs w:val="16"/>
              </w:rPr>
            </w:pPr>
            <w:r w:rsidRPr="00652AAB">
              <w:rPr>
                <w:sz w:val="16"/>
                <w:szCs w:val="16"/>
              </w:rPr>
              <w:t>Commonwealth scheduled cash contribution</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20</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20</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20</w:t>
            </w:r>
          </w:p>
        </w:tc>
      </w:tr>
      <w:tr w:rsidR="00E54916" w:rsidRPr="00E54916" w:rsidTr="00652AAB">
        <w:trPr>
          <w:cantSplit/>
        </w:trPr>
        <w:tc>
          <w:tcPr>
            <w:tcW w:w="5402" w:type="dxa"/>
            <w:tcBorders>
              <w:left w:val="single" w:sz="4" w:space="0" w:color="002060"/>
            </w:tcBorders>
            <w:noWrap/>
          </w:tcPr>
          <w:p w:rsidR="00E54916" w:rsidRPr="00652AAB" w:rsidRDefault="00E54916" w:rsidP="00652AAB">
            <w:pPr>
              <w:pStyle w:val="TableText"/>
              <w:rPr>
                <w:sz w:val="16"/>
                <w:szCs w:val="16"/>
              </w:rPr>
            </w:pPr>
            <w:r w:rsidRPr="00652AAB">
              <w:rPr>
                <w:sz w:val="16"/>
                <w:szCs w:val="16"/>
              </w:rPr>
              <w:t>State scheduled cash contribution</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30</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30</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30</w:t>
            </w: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sz w:val="16"/>
                <w:szCs w:val="16"/>
              </w:rPr>
            </w:pPr>
            <w:r w:rsidRPr="00652AAB">
              <w:rPr>
                <w:sz w:val="16"/>
                <w:szCs w:val="16"/>
              </w:rPr>
              <w:t>Additional State contribution for lower delivery of in-kind service in the previous year (S44)</w:t>
            </w:r>
          </w:p>
        </w:tc>
        <w:tc>
          <w:tcPr>
            <w:tcW w:w="1370" w:type="dxa"/>
            <w:noWrap/>
            <w:vAlign w:val="bottom"/>
          </w:tcPr>
          <w:p w:rsidR="00E54916" w:rsidRPr="00652AAB" w:rsidRDefault="00E54916" w:rsidP="00652AAB">
            <w:pPr>
              <w:pStyle w:val="TableText"/>
              <w:jc w:val="right"/>
              <w:rPr>
                <w:sz w:val="16"/>
                <w:szCs w:val="16"/>
              </w:rPr>
            </w:pP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0</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sz w:val="16"/>
                <w:szCs w:val="16"/>
              </w:rPr>
            </w:pPr>
            <w:r w:rsidRPr="00652AAB">
              <w:rPr>
                <w:sz w:val="16"/>
                <w:szCs w:val="16"/>
              </w:rPr>
              <w:t>Return of funding to the Commonwealth for lower State in-kind service provision (S44)</w:t>
            </w:r>
          </w:p>
        </w:tc>
        <w:tc>
          <w:tcPr>
            <w:tcW w:w="1370" w:type="dxa"/>
            <w:noWrap/>
            <w:vAlign w:val="bottom"/>
          </w:tcPr>
          <w:p w:rsidR="00E54916" w:rsidRPr="00652AAB" w:rsidRDefault="00E54916" w:rsidP="00652AAB">
            <w:pPr>
              <w:pStyle w:val="TableText"/>
              <w:jc w:val="right"/>
              <w:rPr>
                <w:sz w:val="16"/>
                <w:szCs w:val="16"/>
              </w:rPr>
            </w:pP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0</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sz w:val="16"/>
                <w:szCs w:val="16"/>
              </w:rPr>
            </w:pPr>
            <w:r w:rsidRPr="00652AAB">
              <w:rPr>
                <w:sz w:val="16"/>
                <w:szCs w:val="16"/>
              </w:rPr>
              <w:t>Adjustment for previous year’s cash underspend based on funding shares - Commonwealth (S49)</w:t>
            </w:r>
          </w:p>
        </w:tc>
        <w:tc>
          <w:tcPr>
            <w:tcW w:w="1370" w:type="dxa"/>
            <w:noWrap/>
            <w:vAlign w:val="bottom"/>
          </w:tcPr>
          <w:p w:rsidR="00E54916" w:rsidRPr="00652AAB" w:rsidRDefault="00E54916" w:rsidP="00652AAB">
            <w:pPr>
              <w:pStyle w:val="TableText"/>
              <w:jc w:val="right"/>
              <w:rPr>
                <w:sz w:val="16"/>
                <w:szCs w:val="16"/>
              </w:rPr>
            </w:pP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0</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sz w:val="16"/>
                <w:szCs w:val="16"/>
              </w:rPr>
            </w:pPr>
            <w:r w:rsidRPr="00652AAB">
              <w:rPr>
                <w:sz w:val="16"/>
                <w:szCs w:val="16"/>
              </w:rPr>
              <w:t>Adjustment for previous year’s cash underspend based on funding shares - States (S49)</w:t>
            </w:r>
          </w:p>
        </w:tc>
        <w:tc>
          <w:tcPr>
            <w:tcW w:w="1370" w:type="dxa"/>
            <w:noWrap/>
            <w:vAlign w:val="bottom"/>
          </w:tcPr>
          <w:p w:rsidR="00E54916" w:rsidRPr="00652AAB" w:rsidRDefault="00E54916" w:rsidP="00652AAB">
            <w:pPr>
              <w:pStyle w:val="TableText"/>
              <w:jc w:val="right"/>
              <w:rPr>
                <w:sz w:val="16"/>
                <w:szCs w:val="16"/>
              </w:rPr>
            </w:pP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0</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r>
      <w:tr w:rsidR="00E54916" w:rsidRPr="00E54916" w:rsidTr="00652AAB">
        <w:trPr>
          <w:cantSplit/>
        </w:trPr>
        <w:tc>
          <w:tcPr>
            <w:tcW w:w="5402" w:type="dxa"/>
            <w:tcBorders>
              <w:top w:val="single" w:sz="4" w:space="0" w:color="auto"/>
              <w:left w:val="single" w:sz="4" w:space="0" w:color="002060"/>
              <w:bottom w:val="single" w:sz="4" w:space="0" w:color="auto"/>
            </w:tcBorders>
            <w:noWrap/>
            <w:vAlign w:val="bottom"/>
          </w:tcPr>
          <w:p w:rsidR="00E54916" w:rsidRPr="00652AAB" w:rsidRDefault="00E54916" w:rsidP="00652AAB">
            <w:pPr>
              <w:pStyle w:val="TableText"/>
              <w:rPr>
                <w:b/>
                <w:bCs/>
                <w:sz w:val="16"/>
                <w:szCs w:val="16"/>
              </w:rPr>
            </w:pPr>
            <w:r w:rsidRPr="00652AAB">
              <w:rPr>
                <w:b/>
                <w:bCs/>
                <w:sz w:val="16"/>
                <w:szCs w:val="16"/>
              </w:rPr>
              <w:t>Agency cash at the beginning of the year</w:t>
            </w:r>
          </w:p>
        </w:tc>
        <w:tc>
          <w:tcPr>
            <w:tcW w:w="1370" w:type="dxa"/>
            <w:tcBorders>
              <w:top w:val="single" w:sz="4" w:space="0" w:color="auto"/>
              <w:bottom w:val="single" w:sz="4" w:space="0" w:color="auto"/>
            </w:tcBorders>
            <w:noWrap/>
            <w:vAlign w:val="bottom"/>
          </w:tcPr>
          <w:p w:rsidR="00E54916" w:rsidRPr="00652AAB" w:rsidRDefault="00E54916" w:rsidP="00652AAB">
            <w:pPr>
              <w:pStyle w:val="TableText"/>
              <w:jc w:val="right"/>
              <w:rPr>
                <w:b/>
                <w:bCs/>
                <w:sz w:val="16"/>
                <w:szCs w:val="16"/>
              </w:rPr>
            </w:pPr>
            <w:r w:rsidRPr="00652AAB">
              <w:rPr>
                <w:b/>
                <w:bCs/>
                <w:sz w:val="16"/>
                <w:szCs w:val="16"/>
              </w:rPr>
              <w:t>50</w:t>
            </w:r>
          </w:p>
        </w:tc>
        <w:tc>
          <w:tcPr>
            <w:tcW w:w="1370" w:type="dxa"/>
            <w:tcBorders>
              <w:top w:val="single" w:sz="4" w:space="0" w:color="auto"/>
              <w:bottom w:val="single" w:sz="4" w:space="0" w:color="auto"/>
            </w:tcBorders>
            <w:noWrap/>
            <w:vAlign w:val="bottom"/>
          </w:tcPr>
          <w:p w:rsidR="00E54916" w:rsidRPr="00652AAB" w:rsidRDefault="00E54916" w:rsidP="00652AAB">
            <w:pPr>
              <w:pStyle w:val="TableText"/>
              <w:jc w:val="right"/>
              <w:rPr>
                <w:b/>
                <w:bCs/>
                <w:sz w:val="16"/>
                <w:szCs w:val="16"/>
              </w:rPr>
            </w:pPr>
            <w:r w:rsidRPr="00652AAB">
              <w:rPr>
                <w:b/>
                <w:bCs/>
                <w:sz w:val="16"/>
                <w:szCs w:val="16"/>
              </w:rPr>
              <w:t>50</w:t>
            </w:r>
          </w:p>
        </w:tc>
        <w:tc>
          <w:tcPr>
            <w:tcW w:w="1371" w:type="dxa"/>
            <w:tcBorders>
              <w:top w:val="single" w:sz="4" w:space="0" w:color="auto"/>
              <w:bottom w:val="single" w:sz="4" w:space="0" w:color="auto"/>
              <w:right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50</w:t>
            </w: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b/>
                <w:bCs/>
                <w:sz w:val="16"/>
                <w:szCs w:val="16"/>
              </w:rPr>
            </w:pPr>
            <w:r w:rsidRPr="00652AAB">
              <w:rPr>
                <w:b/>
                <w:bCs/>
                <w:sz w:val="16"/>
                <w:szCs w:val="16"/>
              </w:rPr>
              <w:t>Actual expenditure during the year</w:t>
            </w:r>
          </w:p>
        </w:tc>
        <w:tc>
          <w:tcPr>
            <w:tcW w:w="1370" w:type="dxa"/>
            <w:noWrap/>
            <w:vAlign w:val="bottom"/>
          </w:tcPr>
          <w:p w:rsidR="00E54916" w:rsidRPr="00652AAB" w:rsidRDefault="00E54916" w:rsidP="00652AAB">
            <w:pPr>
              <w:pStyle w:val="TableText"/>
              <w:jc w:val="right"/>
              <w:rPr>
                <w:sz w:val="16"/>
                <w:szCs w:val="16"/>
              </w:rPr>
            </w:pPr>
          </w:p>
        </w:tc>
        <w:tc>
          <w:tcPr>
            <w:tcW w:w="1370" w:type="dxa"/>
            <w:noWrap/>
            <w:vAlign w:val="bottom"/>
          </w:tcPr>
          <w:p w:rsidR="00E54916" w:rsidRPr="00652AAB" w:rsidRDefault="00E54916" w:rsidP="00652AAB">
            <w:pPr>
              <w:pStyle w:val="TableText"/>
              <w:jc w:val="right"/>
              <w:rPr>
                <w:sz w:val="16"/>
                <w:szCs w:val="16"/>
              </w:rPr>
            </w:pP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sz w:val="16"/>
                <w:szCs w:val="16"/>
              </w:rPr>
            </w:pPr>
            <w:r w:rsidRPr="00652AAB">
              <w:rPr>
                <w:sz w:val="16"/>
                <w:szCs w:val="16"/>
              </w:rPr>
              <w:t xml:space="preserve">Cash </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-50</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-50</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-50</w:t>
            </w: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sz w:val="16"/>
                <w:szCs w:val="16"/>
              </w:rPr>
            </w:pPr>
            <w:r w:rsidRPr="00652AAB">
              <w:rPr>
                <w:sz w:val="16"/>
                <w:szCs w:val="16"/>
              </w:rPr>
              <w:t>Commonwealth in-kind</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-10</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-10</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-20</w:t>
            </w: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sz w:val="16"/>
                <w:szCs w:val="16"/>
              </w:rPr>
            </w:pPr>
            <w:r w:rsidRPr="00652AAB">
              <w:rPr>
                <w:sz w:val="16"/>
                <w:szCs w:val="16"/>
              </w:rPr>
              <w:t>State in-kind</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-20</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-20</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-30</w:t>
            </w: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b/>
                <w:bCs/>
                <w:sz w:val="16"/>
                <w:szCs w:val="16"/>
              </w:rPr>
            </w:pPr>
            <w:r w:rsidRPr="00652AAB">
              <w:rPr>
                <w:b/>
                <w:bCs/>
                <w:sz w:val="16"/>
                <w:szCs w:val="16"/>
              </w:rPr>
              <w:t>Total actual expenditure</w:t>
            </w:r>
          </w:p>
        </w:tc>
        <w:tc>
          <w:tcPr>
            <w:tcW w:w="1370" w:type="dxa"/>
            <w:noWrap/>
            <w:vAlign w:val="bottom"/>
          </w:tcPr>
          <w:p w:rsidR="00E54916" w:rsidRPr="00652AAB" w:rsidRDefault="00E54916" w:rsidP="00652AAB">
            <w:pPr>
              <w:pStyle w:val="TableText"/>
              <w:jc w:val="right"/>
              <w:rPr>
                <w:b/>
                <w:bCs/>
                <w:sz w:val="16"/>
                <w:szCs w:val="16"/>
              </w:rPr>
            </w:pPr>
            <w:r w:rsidRPr="00652AAB">
              <w:rPr>
                <w:b/>
                <w:bCs/>
                <w:sz w:val="16"/>
                <w:szCs w:val="16"/>
              </w:rPr>
              <w:t>-80</w:t>
            </w:r>
          </w:p>
        </w:tc>
        <w:tc>
          <w:tcPr>
            <w:tcW w:w="1370" w:type="dxa"/>
            <w:noWrap/>
            <w:vAlign w:val="bottom"/>
          </w:tcPr>
          <w:p w:rsidR="00E54916" w:rsidRPr="00652AAB" w:rsidRDefault="00E54916" w:rsidP="00652AAB">
            <w:pPr>
              <w:pStyle w:val="TableText"/>
              <w:jc w:val="right"/>
              <w:rPr>
                <w:b/>
                <w:bCs/>
                <w:sz w:val="16"/>
                <w:szCs w:val="16"/>
              </w:rPr>
            </w:pPr>
            <w:r w:rsidRPr="00652AAB">
              <w:rPr>
                <w:b/>
                <w:bCs/>
                <w:sz w:val="16"/>
                <w:szCs w:val="16"/>
              </w:rPr>
              <w:t>-80</w:t>
            </w:r>
          </w:p>
        </w:tc>
        <w:tc>
          <w:tcPr>
            <w:tcW w:w="1371" w:type="dxa"/>
            <w:tcBorders>
              <w:right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-100</w:t>
            </w:r>
          </w:p>
        </w:tc>
      </w:tr>
      <w:tr w:rsidR="00E54916" w:rsidRPr="00E54916" w:rsidTr="00652AAB">
        <w:trPr>
          <w:cantSplit/>
        </w:trPr>
        <w:tc>
          <w:tcPr>
            <w:tcW w:w="5402" w:type="dxa"/>
            <w:tcBorders>
              <w:left w:val="single" w:sz="4" w:space="0" w:color="002060"/>
              <w:bottom w:val="single" w:sz="4" w:space="0" w:color="002060"/>
            </w:tcBorders>
            <w:noWrap/>
            <w:vAlign w:val="bottom"/>
          </w:tcPr>
          <w:p w:rsidR="00E54916" w:rsidRPr="00652AAB" w:rsidRDefault="00E54916" w:rsidP="00652AAB">
            <w:pPr>
              <w:pStyle w:val="TableText"/>
              <w:rPr>
                <w:b/>
                <w:bCs/>
                <w:sz w:val="16"/>
                <w:szCs w:val="16"/>
              </w:rPr>
            </w:pPr>
            <w:r w:rsidRPr="00652AAB">
              <w:rPr>
                <w:b/>
                <w:bCs/>
                <w:sz w:val="16"/>
                <w:szCs w:val="16"/>
              </w:rPr>
              <w:t>Additional Commonwealth cash contribution to meet risk of cost overrun through increased client numbers, higher average care and support costs and  Agency’s cash flow risk (S18.b.iii)</w:t>
            </w:r>
          </w:p>
        </w:tc>
        <w:tc>
          <w:tcPr>
            <w:tcW w:w="1370" w:type="dxa"/>
            <w:tcBorders>
              <w:bottom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c>
          <w:tcPr>
            <w:tcW w:w="1370" w:type="dxa"/>
            <w:tcBorders>
              <w:bottom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c>
          <w:tcPr>
            <w:tcW w:w="1371" w:type="dxa"/>
            <w:tcBorders>
              <w:bottom w:val="single" w:sz="4" w:space="0" w:color="002060"/>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r>
      <w:tr w:rsidR="00E54916" w:rsidRPr="00E54916" w:rsidTr="00652AAB">
        <w:trPr>
          <w:cantSplit/>
        </w:trPr>
        <w:tc>
          <w:tcPr>
            <w:tcW w:w="5402" w:type="dxa"/>
            <w:tcBorders>
              <w:top w:val="single" w:sz="4" w:space="0" w:color="002060"/>
              <w:left w:val="single" w:sz="4" w:space="0" w:color="002060"/>
              <w:bottom w:val="single" w:sz="4" w:space="0" w:color="002060"/>
            </w:tcBorders>
            <w:noWrap/>
            <w:vAlign w:val="bottom"/>
          </w:tcPr>
          <w:p w:rsidR="00E54916" w:rsidRPr="00652AAB" w:rsidRDefault="00E54916" w:rsidP="00652AAB">
            <w:pPr>
              <w:pStyle w:val="TableText"/>
              <w:rPr>
                <w:b/>
                <w:bCs/>
                <w:sz w:val="16"/>
                <w:szCs w:val="16"/>
              </w:rPr>
            </w:pPr>
            <w:r w:rsidRPr="00652AAB">
              <w:rPr>
                <w:b/>
                <w:bCs/>
                <w:sz w:val="16"/>
                <w:szCs w:val="16"/>
              </w:rPr>
              <w:t>End of year cash outcome for Agency</w:t>
            </w:r>
          </w:p>
        </w:tc>
        <w:tc>
          <w:tcPr>
            <w:tcW w:w="1370" w:type="dxa"/>
            <w:tcBorders>
              <w:top w:val="single" w:sz="4" w:space="0" w:color="002060"/>
              <w:bottom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0</w:t>
            </w:r>
          </w:p>
        </w:tc>
        <w:tc>
          <w:tcPr>
            <w:tcW w:w="1370" w:type="dxa"/>
            <w:tcBorders>
              <w:top w:val="single" w:sz="4" w:space="0" w:color="002060"/>
              <w:bottom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0</w:t>
            </w:r>
          </w:p>
        </w:tc>
        <w:tc>
          <w:tcPr>
            <w:tcW w:w="1371" w:type="dxa"/>
            <w:tcBorders>
              <w:top w:val="single" w:sz="4" w:space="0" w:color="002060"/>
              <w:bottom w:val="single" w:sz="4" w:space="0" w:color="002060"/>
              <w:right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0</w:t>
            </w:r>
          </w:p>
        </w:tc>
      </w:tr>
    </w:tbl>
    <w:p w:rsidR="00E54916" w:rsidRPr="00E54916" w:rsidRDefault="00E54916" w:rsidP="00E54916">
      <w:pPr>
        <w:rPr>
          <w:szCs w:val="20"/>
        </w:rPr>
      </w:pPr>
      <w:r w:rsidRPr="00E54916">
        <w:rPr>
          <w:szCs w:val="20"/>
        </w:rPr>
        <w:t xml:space="preserve">At the end of the launch, the Commonwealth made total contributions of $100 and the host jurisdiction made total contributions of $160.  This is consistent with total expenditure of $260 over three years. </w:t>
      </w:r>
    </w:p>
    <w:p w:rsidR="00E54916" w:rsidRPr="00E54916" w:rsidRDefault="00E54916" w:rsidP="00E54916">
      <w:pPr>
        <w:rPr>
          <w:szCs w:val="20"/>
        </w:rPr>
      </w:pPr>
      <w:r w:rsidRPr="00E54916">
        <w:rPr>
          <w:szCs w:val="20"/>
        </w:rPr>
        <w:t>However, because the in-kind underspend are retained in-full by the relevant jurisdiction, the final funding shares have shifted.  The Commonwealth has contributed 38.5 per cent, instead of 40 per cent, while the host jurisdiction contributed 61.5 per cent, instead of 60 per cent.</w:t>
      </w:r>
    </w:p>
    <w:p w:rsidR="00E54916" w:rsidRPr="00E54916" w:rsidRDefault="00E54916" w:rsidP="00E54916">
      <w:pPr>
        <w:rPr>
          <w:szCs w:val="20"/>
        </w:rPr>
      </w:pPr>
      <w:r w:rsidRPr="00E54916">
        <w:rPr>
          <w:szCs w:val="20"/>
        </w:rPr>
        <w:t xml:space="preserve">Under this circumstance the Commonwealth will have to pay $4 to the host jurisdiction to re-establish the host jurisdiction and Commonwealth’s funding shares of 40 per cent and 60 per cent (or otherwise outlined in Schedules A – E). </w:t>
      </w:r>
    </w:p>
    <w:p w:rsidR="00E54916" w:rsidRPr="00E54916" w:rsidRDefault="00E54916" w:rsidP="000C65A6">
      <w:pPr>
        <w:pStyle w:val="Heading2"/>
      </w:pPr>
      <w:r w:rsidRPr="00E54916">
        <w:lastRenderedPageBreak/>
        <w:t>Scenario 6 – net underspend in both cash and in-kind - net transfer to state</w:t>
      </w:r>
    </w:p>
    <w:p w:rsidR="00E54916" w:rsidRPr="00E54916" w:rsidRDefault="00E54916" w:rsidP="00E54916">
      <w:pPr>
        <w:rPr>
          <w:szCs w:val="20"/>
        </w:rPr>
      </w:pPr>
      <w:r w:rsidRPr="00E54916">
        <w:rPr>
          <w:szCs w:val="20"/>
        </w:rPr>
        <w:t>This scenario models a net in-kind and cash underspend over three years, involving:</w:t>
      </w:r>
    </w:p>
    <w:p w:rsidR="00E54916" w:rsidRPr="00E54916" w:rsidRDefault="00652AAB" w:rsidP="00652AAB">
      <w:pPr>
        <w:ind w:left="562" w:hanging="562"/>
        <w:rPr>
          <w:szCs w:val="20"/>
        </w:rPr>
      </w:pPr>
      <w:r>
        <w:rPr>
          <w:szCs w:val="20"/>
        </w:rPr>
        <w:t>1.</w:t>
      </w:r>
      <w:r>
        <w:rPr>
          <w:szCs w:val="20"/>
        </w:rPr>
        <w:tab/>
      </w:r>
      <w:r w:rsidR="00E54916" w:rsidRPr="00E54916">
        <w:rPr>
          <w:szCs w:val="20"/>
        </w:rPr>
        <w:t>Cash expenditure reducing to $40 per year in 2013-14 and 2014-15, compared to an expected expenditure of $50 per year;</w:t>
      </w:r>
    </w:p>
    <w:p w:rsidR="00E54916" w:rsidRPr="00E54916" w:rsidRDefault="00652AAB" w:rsidP="00652AAB">
      <w:pPr>
        <w:ind w:left="562" w:hanging="562"/>
        <w:rPr>
          <w:szCs w:val="20"/>
        </w:rPr>
      </w:pPr>
      <w:r>
        <w:rPr>
          <w:szCs w:val="20"/>
        </w:rPr>
        <w:t>2.</w:t>
      </w:r>
      <w:r>
        <w:rPr>
          <w:szCs w:val="20"/>
        </w:rPr>
        <w:tab/>
      </w:r>
      <w:r w:rsidR="00E54916" w:rsidRPr="00E54916">
        <w:rPr>
          <w:szCs w:val="20"/>
        </w:rPr>
        <w:t>Commonwealth in-kind expenditure reducing to $10 per year in 2013-14 and 2014-15, compared to an expected Commonwealth in-kind expenditure of $20 per year; and</w:t>
      </w:r>
    </w:p>
    <w:p w:rsidR="00E54916" w:rsidRPr="00E54916" w:rsidRDefault="00652AAB" w:rsidP="00652AAB">
      <w:pPr>
        <w:spacing w:after="240"/>
        <w:ind w:left="562" w:hanging="562"/>
        <w:rPr>
          <w:szCs w:val="20"/>
        </w:rPr>
      </w:pPr>
      <w:r>
        <w:rPr>
          <w:szCs w:val="20"/>
        </w:rPr>
        <w:t>3.</w:t>
      </w:r>
      <w:r>
        <w:rPr>
          <w:szCs w:val="20"/>
        </w:rPr>
        <w:tab/>
      </w:r>
      <w:r w:rsidR="00E54916" w:rsidRPr="00E54916">
        <w:rPr>
          <w:szCs w:val="20"/>
        </w:rPr>
        <w:t>Host jurisdiction in-kind expenditure reducing to $20 per year in 2013-14 and 2014-15, compared to an expected host jurisdiction in-kind expenditure of $30 per year.</w:t>
      </w:r>
    </w:p>
    <w:tbl>
      <w:tblPr>
        <w:tblW w:w="5000" w:type="pct"/>
        <w:tblInd w:w="93" w:type="dxa"/>
        <w:tblLayout w:type="fixed"/>
        <w:tblLook w:val="00A0" w:firstRow="1" w:lastRow="0" w:firstColumn="1" w:lastColumn="0" w:noHBand="0" w:noVBand="0"/>
        <w:tblCaption w:val="Scenario 6 – net underspend in both cash and in-kind - net transfer to state"/>
        <w:tblDescription w:val="This table shows estimated contribution and expenditure from 2013 to 2016."/>
      </w:tblPr>
      <w:tblGrid>
        <w:gridCol w:w="5265"/>
        <w:gridCol w:w="1340"/>
        <w:gridCol w:w="1340"/>
        <w:gridCol w:w="1341"/>
      </w:tblGrid>
      <w:tr w:rsidR="00E54916" w:rsidRPr="00652AAB" w:rsidTr="00652AAB">
        <w:trPr>
          <w:cantSplit/>
          <w:tblHeader/>
        </w:trPr>
        <w:tc>
          <w:tcPr>
            <w:tcW w:w="5402"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652AAB" w:rsidRDefault="00E54916" w:rsidP="00652AAB">
            <w:pPr>
              <w:pStyle w:val="TableHeading"/>
              <w:rPr>
                <w:sz w:val="16"/>
                <w:szCs w:val="16"/>
              </w:rPr>
            </w:pPr>
            <w:r w:rsidRPr="00652AAB">
              <w:rPr>
                <w:sz w:val="16"/>
                <w:szCs w:val="16"/>
              </w:rPr>
              <w:t>Summary of launch</w:t>
            </w:r>
          </w:p>
        </w:tc>
        <w:tc>
          <w:tcPr>
            <w:tcW w:w="1370"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652AAB" w:rsidRDefault="00E54916" w:rsidP="00652AAB">
            <w:pPr>
              <w:pStyle w:val="TableHeading"/>
              <w:jc w:val="right"/>
              <w:rPr>
                <w:bCs/>
                <w:sz w:val="16"/>
                <w:szCs w:val="16"/>
              </w:rPr>
            </w:pPr>
            <w:r w:rsidRPr="00652AAB">
              <w:rPr>
                <w:bCs/>
                <w:sz w:val="16"/>
                <w:szCs w:val="16"/>
              </w:rPr>
              <w:t>2013-14</w:t>
            </w:r>
          </w:p>
        </w:tc>
        <w:tc>
          <w:tcPr>
            <w:tcW w:w="1370"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652AAB" w:rsidRDefault="00E54916" w:rsidP="00652AAB">
            <w:pPr>
              <w:pStyle w:val="TableHeading"/>
              <w:jc w:val="right"/>
              <w:rPr>
                <w:bCs/>
                <w:sz w:val="16"/>
                <w:szCs w:val="16"/>
              </w:rPr>
            </w:pPr>
            <w:r w:rsidRPr="00652AAB">
              <w:rPr>
                <w:bCs/>
                <w:sz w:val="16"/>
                <w:szCs w:val="16"/>
              </w:rPr>
              <w:t>2014-15</w:t>
            </w:r>
          </w:p>
        </w:tc>
        <w:tc>
          <w:tcPr>
            <w:tcW w:w="1371"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652AAB" w:rsidRDefault="00E54916" w:rsidP="00652AAB">
            <w:pPr>
              <w:pStyle w:val="TableHeading"/>
              <w:jc w:val="right"/>
              <w:rPr>
                <w:bCs/>
                <w:sz w:val="16"/>
                <w:szCs w:val="16"/>
              </w:rPr>
            </w:pPr>
            <w:r w:rsidRPr="00652AAB">
              <w:rPr>
                <w:bCs/>
                <w:sz w:val="16"/>
                <w:szCs w:val="16"/>
              </w:rPr>
              <w:t>2015-16</w:t>
            </w:r>
          </w:p>
        </w:tc>
      </w:tr>
      <w:tr w:rsidR="00E54916" w:rsidRPr="00E54916" w:rsidTr="00652AAB">
        <w:trPr>
          <w:cantSplit/>
        </w:trPr>
        <w:tc>
          <w:tcPr>
            <w:tcW w:w="5402" w:type="dxa"/>
            <w:tcBorders>
              <w:top w:val="single" w:sz="6" w:space="0" w:color="auto"/>
              <w:left w:val="single" w:sz="4" w:space="0" w:color="002060"/>
              <w:bottom w:val="single" w:sz="4" w:space="0" w:color="auto"/>
            </w:tcBorders>
            <w:noWrap/>
          </w:tcPr>
          <w:p w:rsidR="00E54916" w:rsidRPr="00652AAB" w:rsidRDefault="00E54916" w:rsidP="00652AAB">
            <w:pPr>
              <w:pStyle w:val="TableText"/>
              <w:rPr>
                <w:b/>
                <w:bCs/>
                <w:sz w:val="16"/>
                <w:szCs w:val="16"/>
              </w:rPr>
            </w:pPr>
            <w:r w:rsidRPr="00652AAB">
              <w:rPr>
                <w:b/>
                <w:bCs/>
                <w:sz w:val="16"/>
                <w:szCs w:val="16"/>
              </w:rPr>
              <w:t>Agency cash balance - carry over from previous year</w:t>
            </w:r>
          </w:p>
        </w:tc>
        <w:tc>
          <w:tcPr>
            <w:tcW w:w="1370" w:type="dxa"/>
            <w:tcBorders>
              <w:top w:val="single" w:sz="6" w:space="0" w:color="auto"/>
              <w:bottom w:val="single" w:sz="4" w:space="0" w:color="auto"/>
            </w:tcBorders>
            <w:noWrap/>
            <w:vAlign w:val="bottom"/>
          </w:tcPr>
          <w:p w:rsidR="00E54916" w:rsidRPr="00652AAB" w:rsidRDefault="00E54916" w:rsidP="00652AAB">
            <w:pPr>
              <w:pStyle w:val="TableText"/>
              <w:jc w:val="right"/>
              <w:rPr>
                <w:b/>
                <w:bCs/>
                <w:sz w:val="16"/>
                <w:szCs w:val="16"/>
              </w:rPr>
            </w:pPr>
            <w:r w:rsidRPr="00652AAB">
              <w:rPr>
                <w:b/>
                <w:bCs/>
                <w:sz w:val="16"/>
                <w:szCs w:val="16"/>
              </w:rPr>
              <w:t>0</w:t>
            </w:r>
          </w:p>
        </w:tc>
        <w:tc>
          <w:tcPr>
            <w:tcW w:w="1370" w:type="dxa"/>
            <w:tcBorders>
              <w:top w:val="single" w:sz="6" w:space="0" w:color="auto"/>
              <w:bottom w:val="single" w:sz="4" w:space="0" w:color="auto"/>
            </w:tcBorders>
            <w:noWrap/>
            <w:vAlign w:val="bottom"/>
          </w:tcPr>
          <w:p w:rsidR="00E54916" w:rsidRPr="00652AAB" w:rsidRDefault="00E54916" w:rsidP="00652AAB">
            <w:pPr>
              <w:pStyle w:val="TableText"/>
              <w:jc w:val="right"/>
              <w:rPr>
                <w:b/>
                <w:bCs/>
                <w:sz w:val="16"/>
                <w:szCs w:val="16"/>
              </w:rPr>
            </w:pPr>
            <w:r w:rsidRPr="00652AAB">
              <w:rPr>
                <w:b/>
                <w:bCs/>
                <w:sz w:val="16"/>
                <w:szCs w:val="16"/>
              </w:rPr>
              <w:t>10</w:t>
            </w:r>
          </w:p>
        </w:tc>
        <w:tc>
          <w:tcPr>
            <w:tcW w:w="1371" w:type="dxa"/>
            <w:tcBorders>
              <w:top w:val="single" w:sz="6" w:space="0" w:color="auto"/>
              <w:bottom w:val="single" w:sz="4" w:space="0" w:color="auto"/>
              <w:right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10</w:t>
            </w:r>
          </w:p>
        </w:tc>
      </w:tr>
      <w:tr w:rsidR="00E54916" w:rsidRPr="00E54916" w:rsidTr="00652AAB">
        <w:trPr>
          <w:cantSplit/>
        </w:trPr>
        <w:tc>
          <w:tcPr>
            <w:tcW w:w="5402" w:type="dxa"/>
            <w:tcBorders>
              <w:left w:val="single" w:sz="4" w:space="0" w:color="002060"/>
            </w:tcBorders>
            <w:noWrap/>
          </w:tcPr>
          <w:p w:rsidR="00E54916" w:rsidRPr="00652AAB" w:rsidRDefault="00E54916" w:rsidP="00652AAB">
            <w:pPr>
              <w:pStyle w:val="TableText"/>
              <w:rPr>
                <w:bCs/>
                <w:sz w:val="16"/>
                <w:szCs w:val="16"/>
              </w:rPr>
            </w:pPr>
            <w:r w:rsidRPr="00652AAB">
              <w:rPr>
                <w:bCs/>
                <w:sz w:val="16"/>
                <w:szCs w:val="16"/>
              </w:rPr>
              <w:t>Beginning of the year actual cash contributions</w:t>
            </w:r>
          </w:p>
        </w:tc>
        <w:tc>
          <w:tcPr>
            <w:tcW w:w="1370" w:type="dxa"/>
            <w:noWrap/>
            <w:vAlign w:val="bottom"/>
          </w:tcPr>
          <w:p w:rsidR="00E54916" w:rsidRPr="00652AAB" w:rsidRDefault="00E54916" w:rsidP="00652AAB">
            <w:pPr>
              <w:pStyle w:val="TableText"/>
              <w:jc w:val="right"/>
              <w:rPr>
                <w:bCs/>
                <w:sz w:val="16"/>
                <w:szCs w:val="16"/>
              </w:rPr>
            </w:pPr>
          </w:p>
        </w:tc>
        <w:tc>
          <w:tcPr>
            <w:tcW w:w="1370" w:type="dxa"/>
            <w:noWrap/>
            <w:vAlign w:val="bottom"/>
          </w:tcPr>
          <w:p w:rsidR="00E54916" w:rsidRPr="00652AAB" w:rsidRDefault="00E54916" w:rsidP="00652AAB">
            <w:pPr>
              <w:pStyle w:val="TableText"/>
              <w:jc w:val="right"/>
              <w:rPr>
                <w:bCs/>
                <w:sz w:val="16"/>
                <w:szCs w:val="16"/>
              </w:rPr>
            </w:pPr>
          </w:p>
        </w:tc>
        <w:tc>
          <w:tcPr>
            <w:tcW w:w="1371" w:type="dxa"/>
            <w:tcBorders>
              <w:right w:val="single" w:sz="4" w:space="0" w:color="002060"/>
            </w:tcBorders>
            <w:noWrap/>
            <w:vAlign w:val="bottom"/>
          </w:tcPr>
          <w:p w:rsidR="00E54916" w:rsidRPr="00652AAB" w:rsidRDefault="00E54916" w:rsidP="00652AAB">
            <w:pPr>
              <w:pStyle w:val="TableText"/>
              <w:jc w:val="right"/>
              <w:rPr>
                <w:bCs/>
                <w:sz w:val="16"/>
                <w:szCs w:val="16"/>
              </w:rPr>
            </w:pPr>
          </w:p>
        </w:tc>
      </w:tr>
      <w:tr w:rsidR="00E54916" w:rsidRPr="00E54916" w:rsidTr="00652AAB">
        <w:trPr>
          <w:cantSplit/>
        </w:trPr>
        <w:tc>
          <w:tcPr>
            <w:tcW w:w="5402" w:type="dxa"/>
            <w:tcBorders>
              <w:left w:val="single" w:sz="4" w:space="0" w:color="002060"/>
            </w:tcBorders>
            <w:noWrap/>
          </w:tcPr>
          <w:p w:rsidR="00E54916" w:rsidRPr="00652AAB" w:rsidRDefault="00E54916" w:rsidP="00652AAB">
            <w:pPr>
              <w:pStyle w:val="TableText"/>
              <w:rPr>
                <w:sz w:val="16"/>
                <w:szCs w:val="16"/>
              </w:rPr>
            </w:pPr>
            <w:r w:rsidRPr="00652AAB">
              <w:rPr>
                <w:sz w:val="16"/>
                <w:szCs w:val="16"/>
              </w:rPr>
              <w:t>Commonwealth scheduled cash contribution</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20</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20</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20</w:t>
            </w:r>
          </w:p>
        </w:tc>
      </w:tr>
      <w:tr w:rsidR="00E54916" w:rsidRPr="00E54916" w:rsidTr="00652AAB">
        <w:trPr>
          <w:cantSplit/>
        </w:trPr>
        <w:tc>
          <w:tcPr>
            <w:tcW w:w="5402" w:type="dxa"/>
            <w:tcBorders>
              <w:left w:val="single" w:sz="4" w:space="0" w:color="002060"/>
            </w:tcBorders>
            <w:noWrap/>
          </w:tcPr>
          <w:p w:rsidR="00E54916" w:rsidRPr="00652AAB" w:rsidRDefault="00E54916" w:rsidP="00652AAB">
            <w:pPr>
              <w:pStyle w:val="TableText"/>
              <w:rPr>
                <w:sz w:val="16"/>
                <w:szCs w:val="16"/>
              </w:rPr>
            </w:pPr>
            <w:r w:rsidRPr="00652AAB">
              <w:rPr>
                <w:sz w:val="16"/>
                <w:szCs w:val="16"/>
              </w:rPr>
              <w:t>State scheduled cash contribution</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30</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30</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30</w:t>
            </w: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sz w:val="16"/>
                <w:szCs w:val="16"/>
              </w:rPr>
            </w:pPr>
            <w:r w:rsidRPr="00652AAB">
              <w:rPr>
                <w:sz w:val="16"/>
                <w:szCs w:val="16"/>
              </w:rPr>
              <w:t>Additional State contribution for lower delivery of in-kind service in the previous year (S44)</w:t>
            </w:r>
          </w:p>
        </w:tc>
        <w:tc>
          <w:tcPr>
            <w:tcW w:w="1370" w:type="dxa"/>
            <w:noWrap/>
            <w:vAlign w:val="bottom"/>
          </w:tcPr>
          <w:p w:rsidR="00E54916" w:rsidRPr="00652AAB" w:rsidRDefault="00E54916" w:rsidP="00652AAB">
            <w:pPr>
              <w:pStyle w:val="TableText"/>
              <w:jc w:val="right"/>
              <w:rPr>
                <w:sz w:val="16"/>
                <w:szCs w:val="16"/>
              </w:rPr>
            </w:pP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0</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sz w:val="16"/>
                <w:szCs w:val="16"/>
              </w:rPr>
            </w:pPr>
            <w:r w:rsidRPr="00652AAB">
              <w:rPr>
                <w:sz w:val="16"/>
                <w:szCs w:val="16"/>
              </w:rPr>
              <w:t>Return of funding to the Commonwealth for lower State in-kind service provision (S44)</w:t>
            </w:r>
          </w:p>
        </w:tc>
        <w:tc>
          <w:tcPr>
            <w:tcW w:w="1370" w:type="dxa"/>
            <w:noWrap/>
            <w:vAlign w:val="bottom"/>
          </w:tcPr>
          <w:p w:rsidR="00E54916" w:rsidRPr="00652AAB" w:rsidRDefault="00E54916" w:rsidP="00652AAB">
            <w:pPr>
              <w:pStyle w:val="TableText"/>
              <w:jc w:val="right"/>
              <w:rPr>
                <w:sz w:val="16"/>
                <w:szCs w:val="16"/>
              </w:rPr>
            </w:pP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0</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sz w:val="16"/>
                <w:szCs w:val="16"/>
              </w:rPr>
            </w:pPr>
            <w:r w:rsidRPr="00652AAB">
              <w:rPr>
                <w:sz w:val="16"/>
                <w:szCs w:val="16"/>
              </w:rPr>
              <w:t>Adjustment for previous year’s cash underspend based on funding shares - Commonwealth (S49)</w:t>
            </w:r>
          </w:p>
        </w:tc>
        <w:tc>
          <w:tcPr>
            <w:tcW w:w="1370" w:type="dxa"/>
            <w:noWrap/>
            <w:vAlign w:val="bottom"/>
          </w:tcPr>
          <w:p w:rsidR="00E54916" w:rsidRPr="00652AAB" w:rsidRDefault="00E54916" w:rsidP="00652AAB">
            <w:pPr>
              <w:pStyle w:val="TableText"/>
              <w:jc w:val="right"/>
              <w:rPr>
                <w:sz w:val="16"/>
                <w:szCs w:val="16"/>
              </w:rPr>
            </w:pP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-4</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-4</w:t>
            </w: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sz w:val="16"/>
                <w:szCs w:val="16"/>
              </w:rPr>
            </w:pPr>
            <w:r w:rsidRPr="00652AAB">
              <w:rPr>
                <w:sz w:val="16"/>
                <w:szCs w:val="16"/>
              </w:rPr>
              <w:t>Adjustment for previous year’s cash underspend based on funding shares - States (S49)</w:t>
            </w:r>
          </w:p>
        </w:tc>
        <w:tc>
          <w:tcPr>
            <w:tcW w:w="1370" w:type="dxa"/>
            <w:noWrap/>
            <w:vAlign w:val="bottom"/>
          </w:tcPr>
          <w:p w:rsidR="00E54916" w:rsidRPr="00652AAB" w:rsidRDefault="00E54916" w:rsidP="00652AAB">
            <w:pPr>
              <w:pStyle w:val="TableText"/>
              <w:jc w:val="right"/>
              <w:rPr>
                <w:sz w:val="16"/>
                <w:szCs w:val="16"/>
              </w:rPr>
            </w:pP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-6</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-6</w:t>
            </w:r>
          </w:p>
        </w:tc>
      </w:tr>
      <w:tr w:rsidR="00E54916" w:rsidRPr="00E54916" w:rsidTr="00652AAB">
        <w:trPr>
          <w:cantSplit/>
        </w:trPr>
        <w:tc>
          <w:tcPr>
            <w:tcW w:w="5402" w:type="dxa"/>
            <w:tcBorders>
              <w:top w:val="single" w:sz="4" w:space="0" w:color="auto"/>
              <w:left w:val="single" w:sz="4" w:space="0" w:color="002060"/>
              <w:bottom w:val="single" w:sz="4" w:space="0" w:color="auto"/>
            </w:tcBorders>
            <w:noWrap/>
            <w:vAlign w:val="bottom"/>
          </w:tcPr>
          <w:p w:rsidR="00E54916" w:rsidRPr="00652AAB" w:rsidRDefault="00E54916" w:rsidP="00652AAB">
            <w:pPr>
              <w:pStyle w:val="TableText"/>
              <w:rPr>
                <w:b/>
                <w:bCs/>
                <w:sz w:val="16"/>
                <w:szCs w:val="16"/>
              </w:rPr>
            </w:pPr>
            <w:r w:rsidRPr="00652AAB">
              <w:rPr>
                <w:b/>
                <w:bCs/>
                <w:sz w:val="16"/>
                <w:szCs w:val="16"/>
              </w:rPr>
              <w:t>Agency cash at the beginning of the year</w:t>
            </w:r>
          </w:p>
        </w:tc>
        <w:tc>
          <w:tcPr>
            <w:tcW w:w="1370" w:type="dxa"/>
            <w:tcBorders>
              <w:top w:val="single" w:sz="4" w:space="0" w:color="auto"/>
              <w:bottom w:val="single" w:sz="4" w:space="0" w:color="auto"/>
            </w:tcBorders>
            <w:noWrap/>
            <w:vAlign w:val="bottom"/>
          </w:tcPr>
          <w:p w:rsidR="00E54916" w:rsidRPr="00652AAB" w:rsidRDefault="00E54916" w:rsidP="00652AAB">
            <w:pPr>
              <w:pStyle w:val="TableText"/>
              <w:jc w:val="right"/>
              <w:rPr>
                <w:b/>
                <w:bCs/>
                <w:sz w:val="16"/>
                <w:szCs w:val="16"/>
              </w:rPr>
            </w:pPr>
            <w:r w:rsidRPr="00652AAB">
              <w:rPr>
                <w:b/>
                <w:bCs/>
                <w:sz w:val="16"/>
                <w:szCs w:val="16"/>
              </w:rPr>
              <w:t>50</w:t>
            </w:r>
          </w:p>
        </w:tc>
        <w:tc>
          <w:tcPr>
            <w:tcW w:w="1370" w:type="dxa"/>
            <w:tcBorders>
              <w:top w:val="single" w:sz="4" w:space="0" w:color="auto"/>
              <w:bottom w:val="single" w:sz="4" w:space="0" w:color="auto"/>
            </w:tcBorders>
            <w:noWrap/>
            <w:vAlign w:val="bottom"/>
          </w:tcPr>
          <w:p w:rsidR="00E54916" w:rsidRPr="00652AAB" w:rsidRDefault="00E54916" w:rsidP="00652AAB">
            <w:pPr>
              <w:pStyle w:val="TableText"/>
              <w:jc w:val="right"/>
              <w:rPr>
                <w:b/>
                <w:bCs/>
                <w:sz w:val="16"/>
                <w:szCs w:val="16"/>
              </w:rPr>
            </w:pPr>
            <w:r w:rsidRPr="00652AAB">
              <w:rPr>
                <w:b/>
                <w:bCs/>
                <w:sz w:val="16"/>
                <w:szCs w:val="16"/>
              </w:rPr>
              <w:t>50</w:t>
            </w:r>
          </w:p>
        </w:tc>
        <w:tc>
          <w:tcPr>
            <w:tcW w:w="1371" w:type="dxa"/>
            <w:tcBorders>
              <w:top w:val="single" w:sz="4" w:space="0" w:color="auto"/>
              <w:bottom w:val="single" w:sz="4" w:space="0" w:color="auto"/>
              <w:right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50</w:t>
            </w: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b/>
                <w:bCs/>
                <w:sz w:val="16"/>
                <w:szCs w:val="16"/>
              </w:rPr>
            </w:pPr>
            <w:r w:rsidRPr="00652AAB">
              <w:rPr>
                <w:b/>
                <w:bCs/>
                <w:sz w:val="16"/>
                <w:szCs w:val="16"/>
              </w:rPr>
              <w:t>Actual expenditure during the year</w:t>
            </w:r>
          </w:p>
        </w:tc>
        <w:tc>
          <w:tcPr>
            <w:tcW w:w="1370" w:type="dxa"/>
            <w:noWrap/>
            <w:vAlign w:val="bottom"/>
          </w:tcPr>
          <w:p w:rsidR="00E54916" w:rsidRPr="00652AAB" w:rsidRDefault="00E54916" w:rsidP="00652AAB">
            <w:pPr>
              <w:pStyle w:val="TableText"/>
              <w:jc w:val="right"/>
              <w:rPr>
                <w:sz w:val="16"/>
                <w:szCs w:val="16"/>
              </w:rPr>
            </w:pPr>
          </w:p>
        </w:tc>
        <w:tc>
          <w:tcPr>
            <w:tcW w:w="1370" w:type="dxa"/>
            <w:noWrap/>
            <w:vAlign w:val="bottom"/>
          </w:tcPr>
          <w:p w:rsidR="00E54916" w:rsidRPr="00652AAB" w:rsidRDefault="00E54916" w:rsidP="00652AAB">
            <w:pPr>
              <w:pStyle w:val="TableText"/>
              <w:jc w:val="right"/>
              <w:rPr>
                <w:sz w:val="16"/>
                <w:szCs w:val="16"/>
              </w:rPr>
            </w:pP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sz w:val="16"/>
                <w:szCs w:val="16"/>
              </w:rPr>
            </w:pPr>
            <w:r w:rsidRPr="00652AAB">
              <w:rPr>
                <w:sz w:val="16"/>
                <w:szCs w:val="16"/>
              </w:rPr>
              <w:t xml:space="preserve">Cash </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-40</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-40</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-50</w:t>
            </w: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sz w:val="16"/>
                <w:szCs w:val="16"/>
              </w:rPr>
            </w:pPr>
            <w:r w:rsidRPr="00652AAB">
              <w:rPr>
                <w:sz w:val="16"/>
                <w:szCs w:val="16"/>
              </w:rPr>
              <w:t>Commonwealth in-kind</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-10</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-10</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-20</w:t>
            </w: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sz w:val="16"/>
                <w:szCs w:val="16"/>
              </w:rPr>
            </w:pPr>
            <w:r w:rsidRPr="00652AAB">
              <w:rPr>
                <w:sz w:val="16"/>
                <w:szCs w:val="16"/>
              </w:rPr>
              <w:t>State in-kind</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-20</w:t>
            </w:r>
          </w:p>
        </w:tc>
        <w:tc>
          <w:tcPr>
            <w:tcW w:w="1370" w:type="dxa"/>
            <w:noWrap/>
            <w:vAlign w:val="bottom"/>
          </w:tcPr>
          <w:p w:rsidR="00E54916" w:rsidRPr="00652AAB" w:rsidRDefault="00E54916" w:rsidP="00652AAB">
            <w:pPr>
              <w:pStyle w:val="TableText"/>
              <w:jc w:val="right"/>
              <w:rPr>
                <w:sz w:val="16"/>
                <w:szCs w:val="16"/>
              </w:rPr>
            </w:pPr>
            <w:r w:rsidRPr="00652AAB">
              <w:rPr>
                <w:sz w:val="16"/>
                <w:szCs w:val="16"/>
              </w:rPr>
              <w:t>-20</w:t>
            </w:r>
          </w:p>
        </w:tc>
        <w:tc>
          <w:tcPr>
            <w:tcW w:w="1371" w:type="dxa"/>
            <w:tcBorders>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-30</w:t>
            </w:r>
          </w:p>
        </w:tc>
      </w:tr>
      <w:tr w:rsidR="00E54916" w:rsidRPr="00E54916" w:rsidTr="00652AAB">
        <w:trPr>
          <w:cantSplit/>
        </w:trPr>
        <w:tc>
          <w:tcPr>
            <w:tcW w:w="5402" w:type="dxa"/>
            <w:tcBorders>
              <w:left w:val="single" w:sz="4" w:space="0" w:color="002060"/>
            </w:tcBorders>
            <w:noWrap/>
            <w:vAlign w:val="bottom"/>
          </w:tcPr>
          <w:p w:rsidR="00E54916" w:rsidRPr="00652AAB" w:rsidRDefault="00E54916" w:rsidP="00652AAB">
            <w:pPr>
              <w:pStyle w:val="TableText"/>
              <w:rPr>
                <w:b/>
                <w:bCs/>
                <w:sz w:val="16"/>
                <w:szCs w:val="16"/>
              </w:rPr>
            </w:pPr>
            <w:r w:rsidRPr="00652AAB">
              <w:rPr>
                <w:b/>
                <w:bCs/>
                <w:sz w:val="16"/>
                <w:szCs w:val="16"/>
              </w:rPr>
              <w:t>Total actual expenditure</w:t>
            </w:r>
          </w:p>
        </w:tc>
        <w:tc>
          <w:tcPr>
            <w:tcW w:w="1370" w:type="dxa"/>
            <w:noWrap/>
            <w:vAlign w:val="bottom"/>
          </w:tcPr>
          <w:p w:rsidR="00E54916" w:rsidRPr="00652AAB" w:rsidRDefault="00E54916" w:rsidP="00652AAB">
            <w:pPr>
              <w:pStyle w:val="TableText"/>
              <w:jc w:val="right"/>
              <w:rPr>
                <w:b/>
                <w:bCs/>
                <w:sz w:val="16"/>
                <w:szCs w:val="16"/>
              </w:rPr>
            </w:pPr>
            <w:r w:rsidRPr="00652AAB">
              <w:rPr>
                <w:b/>
                <w:bCs/>
                <w:sz w:val="16"/>
                <w:szCs w:val="16"/>
              </w:rPr>
              <w:t>-70</w:t>
            </w:r>
          </w:p>
        </w:tc>
        <w:tc>
          <w:tcPr>
            <w:tcW w:w="1370" w:type="dxa"/>
            <w:noWrap/>
            <w:vAlign w:val="bottom"/>
          </w:tcPr>
          <w:p w:rsidR="00E54916" w:rsidRPr="00652AAB" w:rsidRDefault="00E54916" w:rsidP="00652AAB">
            <w:pPr>
              <w:pStyle w:val="TableText"/>
              <w:jc w:val="right"/>
              <w:rPr>
                <w:b/>
                <w:bCs/>
                <w:sz w:val="16"/>
                <w:szCs w:val="16"/>
              </w:rPr>
            </w:pPr>
            <w:r w:rsidRPr="00652AAB">
              <w:rPr>
                <w:b/>
                <w:bCs/>
                <w:sz w:val="16"/>
                <w:szCs w:val="16"/>
              </w:rPr>
              <w:t>-70</w:t>
            </w:r>
          </w:p>
        </w:tc>
        <w:tc>
          <w:tcPr>
            <w:tcW w:w="1371" w:type="dxa"/>
            <w:tcBorders>
              <w:right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-100</w:t>
            </w:r>
          </w:p>
        </w:tc>
      </w:tr>
      <w:tr w:rsidR="00E54916" w:rsidRPr="00E54916" w:rsidTr="00652AAB">
        <w:trPr>
          <w:cantSplit/>
        </w:trPr>
        <w:tc>
          <w:tcPr>
            <w:tcW w:w="5402" w:type="dxa"/>
            <w:tcBorders>
              <w:left w:val="single" w:sz="4" w:space="0" w:color="002060"/>
              <w:bottom w:val="single" w:sz="4" w:space="0" w:color="002060"/>
            </w:tcBorders>
            <w:noWrap/>
            <w:vAlign w:val="bottom"/>
          </w:tcPr>
          <w:p w:rsidR="00E54916" w:rsidRPr="00652AAB" w:rsidRDefault="00E54916" w:rsidP="00652AAB">
            <w:pPr>
              <w:pStyle w:val="TableText"/>
              <w:rPr>
                <w:b/>
                <w:bCs/>
                <w:sz w:val="16"/>
                <w:szCs w:val="16"/>
              </w:rPr>
            </w:pPr>
            <w:r w:rsidRPr="00652AAB">
              <w:rPr>
                <w:b/>
                <w:bCs/>
                <w:sz w:val="16"/>
                <w:szCs w:val="16"/>
              </w:rPr>
              <w:t>Additional Commonwealth cash contribution to meet risk of cost overrun through increased client numbers, higher average care and support costs and  Agency’s cash flow risk (S18.b.iii)</w:t>
            </w:r>
          </w:p>
        </w:tc>
        <w:tc>
          <w:tcPr>
            <w:tcW w:w="1370" w:type="dxa"/>
            <w:tcBorders>
              <w:bottom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c>
          <w:tcPr>
            <w:tcW w:w="1370" w:type="dxa"/>
            <w:tcBorders>
              <w:bottom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c>
          <w:tcPr>
            <w:tcW w:w="1371" w:type="dxa"/>
            <w:tcBorders>
              <w:bottom w:val="single" w:sz="4" w:space="0" w:color="002060"/>
              <w:right w:val="single" w:sz="4" w:space="0" w:color="002060"/>
            </w:tcBorders>
            <w:noWrap/>
            <w:vAlign w:val="bottom"/>
          </w:tcPr>
          <w:p w:rsidR="00E54916" w:rsidRPr="00652AAB" w:rsidRDefault="00E54916" w:rsidP="00652AAB">
            <w:pPr>
              <w:pStyle w:val="TableText"/>
              <w:jc w:val="right"/>
              <w:rPr>
                <w:sz w:val="16"/>
                <w:szCs w:val="16"/>
              </w:rPr>
            </w:pPr>
            <w:r w:rsidRPr="00652AAB">
              <w:rPr>
                <w:sz w:val="16"/>
                <w:szCs w:val="16"/>
              </w:rPr>
              <w:t>0</w:t>
            </w:r>
          </w:p>
        </w:tc>
      </w:tr>
      <w:tr w:rsidR="00E54916" w:rsidRPr="00E54916" w:rsidTr="00652AAB">
        <w:trPr>
          <w:cantSplit/>
        </w:trPr>
        <w:tc>
          <w:tcPr>
            <w:tcW w:w="5402" w:type="dxa"/>
            <w:tcBorders>
              <w:top w:val="single" w:sz="4" w:space="0" w:color="002060"/>
              <w:left w:val="single" w:sz="4" w:space="0" w:color="002060"/>
              <w:bottom w:val="single" w:sz="4" w:space="0" w:color="002060"/>
            </w:tcBorders>
            <w:noWrap/>
            <w:vAlign w:val="bottom"/>
          </w:tcPr>
          <w:p w:rsidR="00E54916" w:rsidRPr="00652AAB" w:rsidRDefault="00E54916" w:rsidP="00652AAB">
            <w:pPr>
              <w:pStyle w:val="TableText"/>
              <w:rPr>
                <w:b/>
                <w:bCs/>
                <w:sz w:val="16"/>
                <w:szCs w:val="16"/>
              </w:rPr>
            </w:pPr>
            <w:r w:rsidRPr="00652AAB">
              <w:rPr>
                <w:b/>
                <w:bCs/>
                <w:sz w:val="16"/>
                <w:szCs w:val="16"/>
              </w:rPr>
              <w:t>End of year cash outcome for Agency</w:t>
            </w:r>
          </w:p>
        </w:tc>
        <w:tc>
          <w:tcPr>
            <w:tcW w:w="1370" w:type="dxa"/>
            <w:tcBorders>
              <w:top w:val="single" w:sz="4" w:space="0" w:color="002060"/>
              <w:bottom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10</w:t>
            </w:r>
          </w:p>
        </w:tc>
        <w:tc>
          <w:tcPr>
            <w:tcW w:w="1370" w:type="dxa"/>
            <w:tcBorders>
              <w:top w:val="single" w:sz="4" w:space="0" w:color="002060"/>
              <w:bottom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10</w:t>
            </w:r>
          </w:p>
        </w:tc>
        <w:tc>
          <w:tcPr>
            <w:tcW w:w="1371" w:type="dxa"/>
            <w:tcBorders>
              <w:top w:val="single" w:sz="4" w:space="0" w:color="002060"/>
              <w:bottom w:val="single" w:sz="4" w:space="0" w:color="002060"/>
              <w:right w:val="single" w:sz="4" w:space="0" w:color="002060"/>
            </w:tcBorders>
            <w:noWrap/>
            <w:vAlign w:val="bottom"/>
          </w:tcPr>
          <w:p w:rsidR="00E54916" w:rsidRPr="00652AAB" w:rsidRDefault="00E54916" w:rsidP="00652AAB">
            <w:pPr>
              <w:pStyle w:val="TableText"/>
              <w:jc w:val="right"/>
              <w:rPr>
                <w:b/>
                <w:bCs/>
                <w:sz w:val="16"/>
                <w:szCs w:val="16"/>
              </w:rPr>
            </w:pPr>
            <w:r w:rsidRPr="00652AAB">
              <w:rPr>
                <w:b/>
                <w:bCs/>
                <w:sz w:val="16"/>
                <w:szCs w:val="16"/>
              </w:rPr>
              <w:t>0</w:t>
            </w:r>
          </w:p>
        </w:tc>
      </w:tr>
    </w:tbl>
    <w:p w:rsidR="00E54916" w:rsidRPr="00E54916" w:rsidRDefault="00E54916" w:rsidP="00E54916">
      <w:pPr>
        <w:rPr>
          <w:szCs w:val="20"/>
        </w:rPr>
      </w:pPr>
      <w:r w:rsidRPr="00E54916">
        <w:rPr>
          <w:szCs w:val="20"/>
        </w:rPr>
        <w:t xml:space="preserve">At the end of the launch, the Commonwealth made total contributions of $92 and the host jurisdiction made total contributions of $148.  This is consistent with total expenditure of $240 over three years. </w:t>
      </w:r>
    </w:p>
    <w:p w:rsidR="00E54916" w:rsidRPr="00E54916" w:rsidRDefault="00E54916" w:rsidP="00E54916">
      <w:pPr>
        <w:rPr>
          <w:szCs w:val="20"/>
        </w:rPr>
      </w:pPr>
      <w:r w:rsidRPr="00E54916">
        <w:rPr>
          <w:szCs w:val="20"/>
        </w:rPr>
        <w:t xml:space="preserve">However, because the in-kind underspend is retained in-full by the relevant jurisdiction, the final funding shares have shifted to the Commonwealth contributing 38.3 per cent, while the host jurisdiction contributing 61.7 per cent.  </w:t>
      </w:r>
    </w:p>
    <w:p w:rsidR="00E54916" w:rsidRPr="00E54916" w:rsidRDefault="00E54916" w:rsidP="00E54916">
      <w:pPr>
        <w:rPr>
          <w:szCs w:val="20"/>
        </w:rPr>
      </w:pPr>
      <w:r w:rsidRPr="00E54916">
        <w:rPr>
          <w:szCs w:val="20"/>
        </w:rPr>
        <w:lastRenderedPageBreak/>
        <w:t xml:space="preserve">Under this circumstance, the Commonwealth would have to return $4 to the host jurisdiction to re-establish the host jurisdictions and Commonwealth’s funding shares of 40 per cent and 60 per cent (or otherwise outlined in Schedules A – E). </w:t>
      </w:r>
    </w:p>
    <w:p w:rsidR="00E54916" w:rsidRPr="00E54916" w:rsidRDefault="00E54916" w:rsidP="000C65A6">
      <w:pPr>
        <w:pStyle w:val="Heading2"/>
      </w:pPr>
      <w:r w:rsidRPr="00E54916">
        <w:t>Scenario 7 – net underspend in both cash and in-kind - net transfer to Commonwealth</w:t>
      </w:r>
    </w:p>
    <w:p w:rsidR="00E54916" w:rsidRPr="00E54916" w:rsidRDefault="00E54916" w:rsidP="00E54916">
      <w:pPr>
        <w:rPr>
          <w:szCs w:val="20"/>
        </w:rPr>
      </w:pPr>
      <w:r w:rsidRPr="00E54916">
        <w:rPr>
          <w:szCs w:val="20"/>
        </w:rPr>
        <w:t>This scenario models a net in-kind and cash underspend over three years, involving:</w:t>
      </w:r>
    </w:p>
    <w:p w:rsidR="00E54916" w:rsidRPr="00E54916" w:rsidRDefault="00652AAB" w:rsidP="00652AAB">
      <w:pPr>
        <w:ind w:left="562" w:hanging="562"/>
        <w:rPr>
          <w:szCs w:val="20"/>
        </w:rPr>
      </w:pPr>
      <w:r>
        <w:rPr>
          <w:szCs w:val="20"/>
        </w:rPr>
        <w:t>1.</w:t>
      </w:r>
      <w:r>
        <w:rPr>
          <w:szCs w:val="20"/>
        </w:rPr>
        <w:tab/>
      </w:r>
      <w:r w:rsidR="00E54916" w:rsidRPr="00E54916">
        <w:rPr>
          <w:szCs w:val="20"/>
        </w:rPr>
        <w:t>Cash expenditure reducing to $40 per year in 2013-14 and 2014-15, compared to an expected expenditure of $50 per year;</w:t>
      </w:r>
    </w:p>
    <w:p w:rsidR="00E54916" w:rsidRPr="00E54916" w:rsidRDefault="00652AAB" w:rsidP="00652AAB">
      <w:pPr>
        <w:ind w:left="562" w:hanging="562"/>
        <w:rPr>
          <w:szCs w:val="20"/>
        </w:rPr>
      </w:pPr>
      <w:r>
        <w:rPr>
          <w:szCs w:val="20"/>
        </w:rPr>
        <w:t>2.</w:t>
      </w:r>
      <w:r>
        <w:rPr>
          <w:szCs w:val="20"/>
        </w:rPr>
        <w:tab/>
      </w:r>
      <w:r w:rsidR="00E54916" w:rsidRPr="00E54916">
        <w:rPr>
          <w:szCs w:val="20"/>
        </w:rPr>
        <w:t>Commonwealth in-kind expenditure as expected at $20 per year; and</w:t>
      </w:r>
    </w:p>
    <w:p w:rsidR="00E54916" w:rsidRPr="00E54916" w:rsidRDefault="00652AAB" w:rsidP="00652AAB">
      <w:pPr>
        <w:spacing w:after="240"/>
        <w:ind w:left="562" w:hanging="562"/>
        <w:rPr>
          <w:szCs w:val="20"/>
        </w:rPr>
      </w:pPr>
      <w:r>
        <w:rPr>
          <w:szCs w:val="20"/>
        </w:rPr>
        <w:t>3.</w:t>
      </w:r>
      <w:r>
        <w:rPr>
          <w:szCs w:val="20"/>
        </w:rPr>
        <w:tab/>
      </w:r>
      <w:r w:rsidR="00E54916" w:rsidRPr="00E54916">
        <w:rPr>
          <w:szCs w:val="20"/>
        </w:rPr>
        <w:t>Host jurisdiction in-kind expenditure reducing to $20 per year in 2013-14 and 2014-15, compared to an expected host jurisdiction in-kind expenditure of $30 per year.</w:t>
      </w:r>
    </w:p>
    <w:tbl>
      <w:tblPr>
        <w:tblW w:w="5000" w:type="pct"/>
        <w:tblInd w:w="93" w:type="dxa"/>
        <w:tblLayout w:type="fixed"/>
        <w:tblLook w:val="00A0" w:firstRow="1" w:lastRow="0" w:firstColumn="1" w:lastColumn="0" w:noHBand="0" w:noVBand="0"/>
        <w:tblCaption w:val="Scenario 7 – net underspend in both cash and in-kind - net transfer to Commonwealth"/>
        <w:tblDescription w:val="This table shows estimated contribution and expenditure from 2013 to 2016."/>
      </w:tblPr>
      <w:tblGrid>
        <w:gridCol w:w="5265"/>
        <w:gridCol w:w="1340"/>
        <w:gridCol w:w="1340"/>
        <w:gridCol w:w="1341"/>
      </w:tblGrid>
      <w:tr w:rsidR="00E54916" w:rsidRPr="00487CDF" w:rsidTr="00487CDF">
        <w:trPr>
          <w:cantSplit/>
          <w:tblHeader/>
        </w:trPr>
        <w:tc>
          <w:tcPr>
            <w:tcW w:w="5402"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487CDF" w:rsidRDefault="00E54916" w:rsidP="00487CDF">
            <w:pPr>
              <w:pStyle w:val="TableHeading"/>
              <w:rPr>
                <w:sz w:val="16"/>
                <w:szCs w:val="16"/>
              </w:rPr>
            </w:pPr>
            <w:r w:rsidRPr="00487CDF">
              <w:rPr>
                <w:sz w:val="16"/>
                <w:szCs w:val="16"/>
              </w:rPr>
              <w:t>Summary of launch</w:t>
            </w:r>
          </w:p>
        </w:tc>
        <w:tc>
          <w:tcPr>
            <w:tcW w:w="1370"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487CDF" w:rsidRDefault="00E54916" w:rsidP="00487CDF">
            <w:pPr>
              <w:pStyle w:val="TableHeading"/>
              <w:jc w:val="right"/>
              <w:rPr>
                <w:bCs/>
                <w:sz w:val="16"/>
                <w:szCs w:val="16"/>
              </w:rPr>
            </w:pPr>
            <w:r w:rsidRPr="00487CDF">
              <w:rPr>
                <w:bCs/>
                <w:sz w:val="16"/>
                <w:szCs w:val="16"/>
              </w:rPr>
              <w:t>2013-14</w:t>
            </w:r>
          </w:p>
        </w:tc>
        <w:tc>
          <w:tcPr>
            <w:tcW w:w="1370"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487CDF" w:rsidRDefault="00E54916" w:rsidP="00487CDF">
            <w:pPr>
              <w:pStyle w:val="TableHeading"/>
              <w:jc w:val="right"/>
              <w:rPr>
                <w:bCs/>
                <w:sz w:val="16"/>
                <w:szCs w:val="16"/>
              </w:rPr>
            </w:pPr>
            <w:r w:rsidRPr="00487CDF">
              <w:rPr>
                <w:bCs/>
                <w:sz w:val="16"/>
                <w:szCs w:val="16"/>
              </w:rPr>
              <w:t>2014-15</w:t>
            </w:r>
          </w:p>
        </w:tc>
        <w:tc>
          <w:tcPr>
            <w:tcW w:w="1371"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487CDF" w:rsidRDefault="00E54916" w:rsidP="00487CDF">
            <w:pPr>
              <w:pStyle w:val="TableHeading"/>
              <w:jc w:val="right"/>
              <w:rPr>
                <w:bCs/>
                <w:sz w:val="16"/>
                <w:szCs w:val="16"/>
              </w:rPr>
            </w:pPr>
            <w:r w:rsidRPr="00487CDF">
              <w:rPr>
                <w:bCs/>
                <w:sz w:val="16"/>
                <w:szCs w:val="16"/>
              </w:rPr>
              <w:t>2015-16</w:t>
            </w:r>
          </w:p>
        </w:tc>
      </w:tr>
      <w:tr w:rsidR="00E54916" w:rsidRPr="00E54916" w:rsidTr="00487CDF">
        <w:trPr>
          <w:cantSplit/>
        </w:trPr>
        <w:tc>
          <w:tcPr>
            <w:tcW w:w="5402" w:type="dxa"/>
            <w:tcBorders>
              <w:top w:val="single" w:sz="6" w:space="0" w:color="auto"/>
              <w:left w:val="single" w:sz="4" w:space="0" w:color="002060"/>
              <w:bottom w:val="single" w:sz="4" w:space="0" w:color="auto"/>
            </w:tcBorders>
            <w:noWrap/>
          </w:tcPr>
          <w:p w:rsidR="00E54916" w:rsidRPr="00487CDF" w:rsidRDefault="00E54916" w:rsidP="00487CDF">
            <w:pPr>
              <w:pStyle w:val="TableText"/>
              <w:rPr>
                <w:b/>
                <w:bCs/>
                <w:sz w:val="16"/>
                <w:szCs w:val="16"/>
              </w:rPr>
            </w:pPr>
            <w:r w:rsidRPr="00487CDF">
              <w:rPr>
                <w:b/>
                <w:bCs/>
                <w:sz w:val="16"/>
                <w:szCs w:val="16"/>
              </w:rPr>
              <w:t>Agency cash balance - carry over from previous year</w:t>
            </w:r>
          </w:p>
        </w:tc>
        <w:tc>
          <w:tcPr>
            <w:tcW w:w="1370" w:type="dxa"/>
            <w:tcBorders>
              <w:top w:val="single" w:sz="6" w:space="0" w:color="auto"/>
              <w:bottom w:val="single" w:sz="4" w:space="0" w:color="auto"/>
            </w:tcBorders>
            <w:noWrap/>
            <w:vAlign w:val="bottom"/>
          </w:tcPr>
          <w:p w:rsidR="00E54916" w:rsidRPr="00487CDF" w:rsidRDefault="00E54916" w:rsidP="00487CDF">
            <w:pPr>
              <w:pStyle w:val="TableText"/>
              <w:jc w:val="right"/>
              <w:rPr>
                <w:b/>
                <w:bCs/>
                <w:sz w:val="16"/>
                <w:szCs w:val="16"/>
              </w:rPr>
            </w:pPr>
            <w:r w:rsidRPr="00487CDF">
              <w:rPr>
                <w:b/>
                <w:bCs/>
                <w:sz w:val="16"/>
                <w:szCs w:val="16"/>
              </w:rPr>
              <w:t>0</w:t>
            </w:r>
          </w:p>
        </w:tc>
        <w:tc>
          <w:tcPr>
            <w:tcW w:w="1370" w:type="dxa"/>
            <w:tcBorders>
              <w:top w:val="single" w:sz="6" w:space="0" w:color="auto"/>
              <w:bottom w:val="single" w:sz="4" w:space="0" w:color="auto"/>
            </w:tcBorders>
            <w:noWrap/>
            <w:vAlign w:val="bottom"/>
          </w:tcPr>
          <w:p w:rsidR="00E54916" w:rsidRPr="00487CDF" w:rsidRDefault="00E54916" w:rsidP="00487CDF">
            <w:pPr>
              <w:pStyle w:val="TableText"/>
              <w:jc w:val="right"/>
              <w:rPr>
                <w:b/>
                <w:bCs/>
                <w:sz w:val="16"/>
                <w:szCs w:val="16"/>
              </w:rPr>
            </w:pPr>
            <w:r w:rsidRPr="00487CDF">
              <w:rPr>
                <w:b/>
                <w:bCs/>
                <w:sz w:val="16"/>
                <w:szCs w:val="16"/>
              </w:rPr>
              <w:t>10</w:t>
            </w:r>
          </w:p>
        </w:tc>
        <w:tc>
          <w:tcPr>
            <w:tcW w:w="1371" w:type="dxa"/>
            <w:tcBorders>
              <w:top w:val="single" w:sz="6" w:space="0" w:color="auto"/>
              <w:bottom w:val="single" w:sz="4" w:space="0" w:color="auto"/>
              <w:right w:val="single" w:sz="4" w:space="0" w:color="002060"/>
            </w:tcBorders>
            <w:noWrap/>
            <w:vAlign w:val="bottom"/>
          </w:tcPr>
          <w:p w:rsidR="00E54916" w:rsidRPr="00487CDF" w:rsidRDefault="00E54916" w:rsidP="00487CDF">
            <w:pPr>
              <w:pStyle w:val="TableText"/>
              <w:jc w:val="right"/>
              <w:rPr>
                <w:b/>
                <w:bCs/>
                <w:sz w:val="16"/>
                <w:szCs w:val="16"/>
              </w:rPr>
            </w:pPr>
            <w:r w:rsidRPr="00487CDF">
              <w:rPr>
                <w:b/>
                <w:bCs/>
                <w:sz w:val="16"/>
                <w:szCs w:val="16"/>
              </w:rPr>
              <w:t>10</w:t>
            </w:r>
          </w:p>
        </w:tc>
      </w:tr>
      <w:tr w:rsidR="00E54916" w:rsidRPr="00E54916" w:rsidTr="00487CDF">
        <w:trPr>
          <w:cantSplit/>
        </w:trPr>
        <w:tc>
          <w:tcPr>
            <w:tcW w:w="5402" w:type="dxa"/>
            <w:tcBorders>
              <w:left w:val="single" w:sz="4" w:space="0" w:color="002060"/>
            </w:tcBorders>
            <w:noWrap/>
          </w:tcPr>
          <w:p w:rsidR="00E54916" w:rsidRPr="00487CDF" w:rsidRDefault="00E54916" w:rsidP="00487CDF">
            <w:pPr>
              <w:pStyle w:val="TableText"/>
              <w:rPr>
                <w:b/>
                <w:bCs/>
                <w:sz w:val="16"/>
                <w:szCs w:val="16"/>
              </w:rPr>
            </w:pPr>
            <w:r w:rsidRPr="00487CDF">
              <w:rPr>
                <w:b/>
                <w:bCs/>
                <w:sz w:val="16"/>
                <w:szCs w:val="16"/>
              </w:rPr>
              <w:t>Beginning of the year actual cash contributions</w:t>
            </w:r>
          </w:p>
        </w:tc>
        <w:tc>
          <w:tcPr>
            <w:tcW w:w="1370" w:type="dxa"/>
            <w:noWrap/>
            <w:vAlign w:val="bottom"/>
          </w:tcPr>
          <w:p w:rsidR="00E54916" w:rsidRPr="00487CDF" w:rsidRDefault="00E54916" w:rsidP="00487CDF">
            <w:pPr>
              <w:pStyle w:val="TableText"/>
              <w:jc w:val="right"/>
              <w:rPr>
                <w:bCs/>
                <w:sz w:val="16"/>
                <w:szCs w:val="16"/>
              </w:rPr>
            </w:pPr>
          </w:p>
        </w:tc>
        <w:tc>
          <w:tcPr>
            <w:tcW w:w="1370" w:type="dxa"/>
            <w:noWrap/>
            <w:vAlign w:val="bottom"/>
          </w:tcPr>
          <w:p w:rsidR="00E54916" w:rsidRPr="00487CDF" w:rsidRDefault="00E54916" w:rsidP="00487CDF">
            <w:pPr>
              <w:pStyle w:val="TableText"/>
              <w:jc w:val="right"/>
              <w:rPr>
                <w:bCs/>
                <w:sz w:val="16"/>
                <w:szCs w:val="16"/>
              </w:rPr>
            </w:pPr>
          </w:p>
        </w:tc>
        <w:tc>
          <w:tcPr>
            <w:tcW w:w="1371" w:type="dxa"/>
            <w:tcBorders>
              <w:right w:val="single" w:sz="4" w:space="0" w:color="002060"/>
            </w:tcBorders>
            <w:noWrap/>
            <w:vAlign w:val="bottom"/>
          </w:tcPr>
          <w:p w:rsidR="00E54916" w:rsidRPr="00487CDF" w:rsidRDefault="00E54916" w:rsidP="00487CDF">
            <w:pPr>
              <w:pStyle w:val="TableText"/>
              <w:jc w:val="right"/>
              <w:rPr>
                <w:bCs/>
                <w:sz w:val="16"/>
                <w:szCs w:val="16"/>
              </w:rPr>
            </w:pPr>
          </w:p>
        </w:tc>
      </w:tr>
      <w:tr w:rsidR="00E54916" w:rsidRPr="00E54916" w:rsidTr="00487CDF">
        <w:trPr>
          <w:cantSplit/>
        </w:trPr>
        <w:tc>
          <w:tcPr>
            <w:tcW w:w="5402" w:type="dxa"/>
            <w:tcBorders>
              <w:left w:val="single" w:sz="4" w:space="0" w:color="002060"/>
            </w:tcBorders>
            <w:noWrap/>
          </w:tcPr>
          <w:p w:rsidR="00E54916" w:rsidRPr="00487CDF" w:rsidRDefault="00E54916" w:rsidP="00487CDF">
            <w:pPr>
              <w:pStyle w:val="TableText"/>
              <w:rPr>
                <w:sz w:val="16"/>
                <w:szCs w:val="16"/>
              </w:rPr>
            </w:pPr>
            <w:r w:rsidRPr="00487CDF">
              <w:rPr>
                <w:sz w:val="16"/>
                <w:szCs w:val="16"/>
              </w:rPr>
              <w:t>Commonwealth scheduled cash contribution</w:t>
            </w:r>
          </w:p>
        </w:tc>
        <w:tc>
          <w:tcPr>
            <w:tcW w:w="1370" w:type="dxa"/>
            <w:noWrap/>
            <w:vAlign w:val="bottom"/>
          </w:tcPr>
          <w:p w:rsidR="00E54916" w:rsidRPr="00487CDF" w:rsidRDefault="00E54916" w:rsidP="00487CDF">
            <w:pPr>
              <w:pStyle w:val="TableText"/>
              <w:jc w:val="right"/>
              <w:rPr>
                <w:sz w:val="16"/>
                <w:szCs w:val="16"/>
              </w:rPr>
            </w:pPr>
            <w:r w:rsidRPr="00487CDF">
              <w:rPr>
                <w:sz w:val="16"/>
                <w:szCs w:val="16"/>
              </w:rPr>
              <w:t>20</w:t>
            </w:r>
          </w:p>
        </w:tc>
        <w:tc>
          <w:tcPr>
            <w:tcW w:w="1370" w:type="dxa"/>
            <w:noWrap/>
            <w:vAlign w:val="bottom"/>
          </w:tcPr>
          <w:p w:rsidR="00E54916" w:rsidRPr="00487CDF" w:rsidRDefault="00E54916" w:rsidP="00487CDF">
            <w:pPr>
              <w:pStyle w:val="TableText"/>
              <w:jc w:val="right"/>
              <w:rPr>
                <w:sz w:val="16"/>
                <w:szCs w:val="16"/>
              </w:rPr>
            </w:pPr>
            <w:r w:rsidRPr="00487CDF">
              <w:rPr>
                <w:sz w:val="16"/>
                <w:szCs w:val="16"/>
              </w:rPr>
              <w:t>20</w:t>
            </w:r>
          </w:p>
        </w:tc>
        <w:tc>
          <w:tcPr>
            <w:tcW w:w="1371" w:type="dxa"/>
            <w:tcBorders>
              <w:right w:val="single" w:sz="4" w:space="0" w:color="002060"/>
            </w:tcBorders>
            <w:noWrap/>
            <w:vAlign w:val="bottom"/>
          </w:tcPr>
          <w:p w:rsidR="00E54916" w:rsidRPr="00487CDF" w:rsidRDefault="00E54916" w:rsidP="00487CDF">
            <w:pPr>
              <w:pStyle w:val="TableText"/>
              <w:jc w:val="right"/>
              <w:rPr>
                <w:sz w:val="16"/>
                <w:szCs w:val="16"/>
              </w:rPr>
            </w:pPr>
            <w:r w:rsidRPr="00487CDF">
              <w:rPr>
                <w:sz w:val="16"/>
                <w:szCs w:val="16"/>
              </w:rPr>
              <w:t>20</w:t>
            </w:r>
          </w:p>
        </w:tc>
      </w:tr>
      <w:tr w:rsidR="00E54916" w:rsidRPr="00E54916" w:rsidTr="00487CDF">
        <w:trPr>
          <w:cantSplit/>
        </w:trPr>
        <w:tc>
          <w:tcPr>
            <w:tcW w:w="5402" w:type="dxa"/>
            <w:tcBorders>
              <w:left w:val="single" w:sz="4" w:space="0" w:color="002060"/>
            </w:tcBorders>
            <w:noWrap/>
          </w:tcPr>
          <w:p w:rsidR="00E54916" w:rsidRPr="00487CDF" w:rsidRDefault="00E54916" w:rsidP="00487CDF">
            <w:pPr>
              <w:pStyle w:val="TableText"/>
              <w:rPr>
                <w:sz w:val="16"/>
                <w:szCs w:val="16"/>
              </w:rPr>
            </w:pPr>
            <w:r w:rsidRPr="00487CDF">
              <w:rPr>
                <w:sz w:val="16"/>
                <w:szCs w:val="16"/>
              </w:rPr>
              <w:t>State scheduled cash contribution</w:t>
            </w:r>
          </w:p>
        </w:tc>
        <w:tc>
          <w:tcPr>
            <w:tcW w:w="1370" w:type="dxa"/>
            <w:noWrap/>
            <w:vAlign w:val="bottom"/>
          </w:tcPr>
          <w:p w:rsidR="00E54916" w:rsidRPr="00487CDF" w:rsidRDefault="00E54916" w:rsidP="00487CDF">
            <w:pPr>
              <w:pStyle w:val="TableText"/>
              <w:jc w:val="right"/>
              <w:rPr>
                <w:sz w:val="16"/>
                <w:szCs w:val="16"/>
              </w:rPr>
            </w:pPr>
            <w:r w:rsidRPr="00487CDF">
              <w:rPr>
                <w:sz w:val="16"/>
                <w:szCs w:val="16"/>
              </w:rPr>
              <w:t>30</w:t>
            </w:r>
          </w:p>
        </w:tc>
        <w:tc>
          <w:tcPr>
            <w:tcW w:w="1370" w:type="dxa"/>
            <w:noWrap/>
            <w:vAlign w:val="bottom"/>
          </w:tcPr>
          <w:p w:rsidR="00E54916" w:rsidRPr="00487CDF" w:rsidRDefault="00E54916" w:rsidP="00487CDF">
            <w:pPr>
              <w:pStyle w:val="TableText"/>
              <w:jc w:val="right"/>
              <w:rPr>
                <w:sz w:val="16"/>
                <w:szCs w:val="16"/>
              </w:rPr>
            </w:pPr>
            <w:r w:rsidRPr="00487CDF">
              <w:rPr>
                <w:sz w:val="16"/>
                <w:szCs w:val="16"/>
              </w:rPr>
              <w:t>30</w:t>
            </w:r>
          </w:p>
        </w:tc>
        <w:tc>
          <w:tcPr>
            <w:tcW w:w="1371" w:type="dxa"/>
            <w:tcBorders>
              <w:right w:val="single" w:sz="4" w:space="0" w:color="002060"/>
            </w:tcBorders>
            <w:noWrap/>
            <w:vAlign w:val="bottom"/>
          </w:tcPr>
          <w:p w:rsidR="00E54916" w:rsidRPr="00487CDF" w:rsidRDefault="00E54916" w:rsidP="00487CDF">
            <w:pPr>
              <w:pStyle w:val="TableText"/>
              <w:jc w:val="right"/>
              <w:rPr>
                <w:sz w:val="16"/>
                <w:szCs w:val="16"/>
              </w:rPr>
            </w:pPr>
            <w:r w:rsidRPr="00487CDF">
              <w:rPr>
                <w:sz w:val="16"/>
                <w:szCs w:val="16"/>
              </w:rPr>
              <w:t>30</w:t>
            </w:r>
          </w:p>
        </w:tc>
      </w:tr>
      <w:tr w:rsidR="00E54916" w:rsidRPr="00E54916" w:rsidTr="00487CDF">
        <w:trPr>
          <w:cantSplit/>
        </w:trPr>
        <w:tc>
          <w:tcPr>
            <w:tcW w:w="5402" w:type="dxa"/>
            <w:tcBorders>
              <w:left w:val="single" w:sz="4" w:space="0" w:color="002060"/>
            </w:tcBorders>
            <w:noWrap/>
            <w:vAlign w:val="bottom"/>
          </w:tcPr>
          <w:p w:rsidR="00E54916" w:rsidRPr="00487CDF" w:rsidRDefault="00E54916" w:rsidP="00487CDF">
            <w:pPr>
              <w:pStyle w:val="TableText"/>
              <w:rPr>
                <w:sz w:val="16"/>
                <w:szCs w:val="16"/>
              </w:rPr>
            </w:pPr>
            <w:r w:rsidRPr="00487CDF">
              <w:rPr>
                <w:sz w:val="16"/>
                <w:szCs w:val="16"/>
              </w:rPr>
              <w:t>Additional State contribution for lower delivery of in-kind service in the previous year (S44)</w:t>
            </w:r>
          </w:p>
        </w:tc>
        <w:tc>
          <w:tcPr>
            <w:tcW w:w="1370" w:type="dxa"/>
            <w:noWrap/>
            <w:vAlign w:val="bottom"/>
          </w:tcPr>
          <w:p w:rsidR="00E54916" w:rsidRPr="00487CDF" w:rsidRDefault="00E54916" w:rsidP="00487CDF">
            <w:pPr>
              <w:pStyle w:val="TableText"/>
              <w:jc w:val="right"/>
              <w:rPr>
                <w:sz w:val="16"/>
                <w:szCs w:val="16"/>
              </w:rPr>
            </w:pPr>
          </w:p>
        </w:tc>
        <w:tc>
          <w:tcPr>
            <w:tcW w:w="1370" w:type="dxa"/>
            <w:noWrap/>
            <w:vAlign w:val="bottom"/>
          </w:tcPr>
          <w:p w:rsidR="00E54916" w:rsidRPr="00487CDF" w:rsidRDefault="00E54916" w:rsidP="00487CDF">
            <w:pPr>
              <w:pStyle w:val="TableText"/>
              <w:jc w:val="right"/>
              <w:rPr>
                <w:sz w:val="16"/>
                <w:szCs w:val="16"/>
              </w:rPr>
            </w:pPr>
            <w:r w:rsidRPr="00487CDF">
              <w:rPr>
                <w:sz w:val="16"/>
                <w:szCs w:val="16"/>
              </w:rPr>
              <w:t>0</w:t>
            </w:r>
          </w:p>
        </w:tc>
        <w:tc>
          <w:tcPr>
            <w:tcW w:w="1371" w:type="dxa"/>
            <w:tcBorders>
              <w:right w:val="single" w:sz="4" w:space="0" w:color="002060"/>
            </w:tcBorders>
            <w:noWrap/>
            <w:vAlign w:val="bottom"/>
          </w:tcPr>
          <w:p w:rsidR="00E54916" w:rsidRPr="00487CDF" w:rsidRDefault="00E54916" w:rsidP="00487CDF">
            <w:pPr>
              <w:pStyle w:val="TableText"/>
              <w:jc w:val="right"/>
              <w:rPr>
                <w:sz w:val="16"/>
                <w:szCs w:val="16"/>
              </w:rPr>
            </w:pPr>
            <w:r w:rsidRPr="00487CDF">
              <w:rPr>
                <w:sz w:val="16"/>
                <w:szCs w:val="16"/>
              </w:rPr>
              <w:t>0</w:t>
            </w:r>
          </w:p>
        </w:tc>
      </w:tr>
      <w:tr w:rsidR="00E54916" w:rsidRPr="00E54916" w:rsidTr="00487CDF">
        <w:trPr>
          <w:cantSplit/>
        </w:trPr>
        <w:tc>
          <w:tcPr>
            <w:tcW w:w="5402" w:type="dxa"/>
            <w:tcBorders>
              <w:left w:val="single" w:sz="4" w:space="0" w:color="002060"/>
            </w:tcBorders>
            <w:noWrap/>
            <w:vAlign w:val="bottom"/>
          </w:tcPr>
          <w:p w:rsidR="00E54916" w:rsidRPr="00487CDF" w:rsidRDefault="00E54916" w:rsidP="00487CDF">
            <w:pPr>
              <w:pStyle w:val="TableText"/>
              <w:rPr>
                <w:sz w:val="16"/>
                <w:szCs w:val="16"/>
              </w:rPr>
            </w:pPr>
            <w:r w:rsidRPr="00487CDF">
              <w:rPr>
                <w:sz w:val="16"/>
                <w:szCs w:val="16"/>
              </w:rPr>
              <w:t>Return of funding to the Commonwealth for lower State in-kind service provision (S44)</w:t>
            </w:r>
          </w:p>
        </w:tc>
        <w:tc>
          <w:tcPr>
            <w:tcW w:w="1370" w:type="dxa"/>
            <w:noWrap/>
            <w:vAlign w:val="bottom"/>
          </w:tcPr>
          <w:p w:rsidR="00E54916" w:rsidRPr="00487CDF" w:rsidRDefault="00E54916" w:rsidP="00487CDF">
            <w:pPr>
              <w:pStyle w:val="TableText"/>
              <w:jc w:val="right"/>
              <w:rPr>
                <w:sz w:val="16"/>
                <w:szCs w:val="16"/>
              </w:rPr>
            </w:pPr>
          </w:p>
        </w:tc>
        <w:tc>
          <w:tcPr>
            <w:tcW w:w="1370" w:type="dxa"/>
            <w:noWrap/>
            <w:vAlign w:val="bottom"/>
          </w:tcPr>
          <w:p w:rsidR="00E54916" w:rsidRPr="00487CDF" w:rsidRDefault="00E54916" w:rsidP="00487CDF">
            <w:pPr>
              <w:pStyle w:val="TableText"/>
              <w:jc w:val="right"/>
              <w:rPr>
                <w:sz w:val="16"/>
                <w:szCs w:val="16"/>
              </w:rPr>
            </w:pPr>
            <w:r w:rsidRPr="00487CDF">
              <w:rPr>
                <w:sz w:val="16"/>
                <w:szCs w:val="16"/>
              </w:rPr>
              <w:t>0</w:t>
            </w:r>
          </w:p>
        </w:tc>
        <w:tc>
          <w:tcPr>
            <w:tcW w:w="1371" w:type="dxa"/>
            <w:tcBorders>
              <w:right w:val="single" w:sz="4" w:space="0" w:color="002060"/>
            </w:tcBorders>
            <w:noWrap/>
            <w:vAlign w:val="bottom"/>
          </w:tcPr>
          <w:p w:rsidR="00E54916" w:rsidRPr="00487CDF" w:rsidRDefault="00E54916" w:rsidP="00487CDF">
            <w:pPr>
              <w:pStyle w:val="TableText"/>
              <w:jc w:val="right"/>
              <w:rPr>
                <w:sz w:val="16"/>
                <w:szCs w:val="16"/>
              </w:rPr>
            </w:pPr>
            <w:r w:rsidRPr="00487CDF">
              <w:rPr>
                <w:sz w:val="16"/>
                <w:szCs w:val="16"/>
              </w:rPr>
              <w:t>0</w:t>
            </w:r>
          </w:p>
        </w:tc>
      </w:tr>
      <w:tr w:rsidR="00E54916" w:rsidRPr="00E54916" w:rsidTr="00487CDF">
        <w:trPr>
          <w:cantSplit/>
        </w:trPr>
        <w:tc>
          <w:tcPr>
            <w:tcW w:w="5402" w:type="dxa"/>
            <w:tcBorders>
              <w:left w:val="single" w:sz="4" w:space="0" w:color="002060"/>
            </w:tcBorders>
            <w:noWrap/>
            <w:vAlign w:val="bottom"/>
          </w:tcPr>
          <w:p w:rsidR="00E54916" w:rsidRPr="00487CDF" w:rsidRDefault="00E54916" w:rsidP="00487CDF">
            <w:pPr>
              <w:pStyle w:val="TableText"/>
              <w:rPr>
                <w:sz w:val="16"/>
                <w:szCs w:val="16"/>
              </w:rPr>
            </w:pPr>
            <w:r w:rsidRPr="00487CDF">
              <w:rPr>
                <w:sz w:val="16"/>
                <w:szCs w:val="16"/>
              </w:rPr>
              <w:t>Adjustment for previous year’s cash underspend based on funding shares - Commonwealth (S49)</w:t>
            </w:r>
          </w:p>
        </w:tc>
        <w:tc>
          <w:tcPr>
            <w:tcW w:w="1370" w:type="dxa"/>
            <w:noWrap/>
            <w:vAlign w:val="bottom"/>
          </w:tcPr>
          <w:p w:rsidR="00E54916" w:rsidRPr="00487CDF" w:rsidRDefault="00E54916" w:rsidP="00487CDF">
            <w:pPr>
              <w:pStyle w:val="TableText"/>
              <w:jc w:val="right"/>
              <w:rPr>
                <w:sz w:val="16"/>
                <w:szCs w:val="16"/>
              </w:rPr>
            </w:pPr>
          </w:p>
        </w:tc>
        <w:tc>
          <w:tcPr>
            <w:tcW w:w="1370" w:type="dxa"/>
            <w:noWrap/>
            <w:vAlign w:val="bottom"/>
          </w:tcPr>
          <w:p w:rsidR="00E54916" w:rsidRPr="00487CDF" w:rsidRDefault="00E54916" w:rsidP="00487CDF">
            <w:pPr>
              <w:pStyle w:val="TableText"/>
              <w:jc w:val="right"/>
              <w:rPr>
                <w:sz w:val="16"/>
                <w:szCs w:val="16"/>
              </w:rPr>
            </w:pPr>
            <w:r w:rsidRPr="00487CDF">
              <w:rPr>
                <w:sz w:val="16"/>
                <w:szCs w:val="16"/>
              </w:rPr>
              <w:t>-4</w:t>
            </w:r>
          </w:p>
        </w:tc>
        <w:tc>
          <w:tcPr>
            <w:tcW w:w="1371" w:type="dxa"/>
            <w:tcBorders>
              <w:right w:val="single" w:sz="4" w:space="0" w:color="002060"/>
            </w:tcBorders>
            <w:noWrap/>
            <w:vAlign w:val="bottom"/>
          </w:tcPr>
          <w:p w:rsidR="00E54916" w:rsidRPr="00487CDF" w:rsidRDefault="00E54916" w:rsidP="00487CDF">
            <w:pPr>
              <w:pStyle w:val="TableText"/>
              <w:jc w:val="right"/>
              <w:rPr>
                <w:sz w:val="16"/>
                <w:szCs w:val="16"/>
              </w:rPr>
            </w:pPr>
            <w:r w:rsidRPr="00487CDF">
              <w:rPr>
                <w:sz w:val="16"/>
                <w:szCs w:val="16"/>
              </w:rPr>
              <w:t>-4</w:t>
            </w:r>
          </w:p>
        </w:tc>
      </w:tr>
      <w:tr w:rsidR="00E54916" w:rsidRPr="00E54916" w:rsidTr="00487CDF">
        <w:trPr>
          <w:cantSplit/>
        </w:trPr>
        <w:tc>
          <w:tcPr>
            <w:tcW w:w="5402" w:type="dxa"/>
            <w:tcBorders>
              <w:left w:val="single" w:sz="4" w:space="0" w:color="002060"/>
            </w:tcBorders>
            <w:noWrap/>
            <w:vAlign w:val="bottom"/>
          </w:tcPr>
          <w:p w:rsidR="00E54916" w:rsidRPr="00487CDF" w:rsidRDefault="00E54916" w:rsidP="00487CDF">
            <w:pPr>
              <w:pStyle w:val="TableText"/>
              <w:rPr>
                <w:sz w:val="16"/>
                <w:szCs w:val="16"/>
              </w:rPr>
            </w:pPr>
            <w:r w:rsidRPr="00487CDF">
              <w:rPr>
                <w:sz w:val="16"/>
                <w:szCs w:val="16"/>
              </w:rPr>
              <w:t>Adjustment for previous year’s cash underspend based on funding shares - States (S49)</w:t>
            </w:r>
          </w:p>
        </w:tc>
        <w:tc>
          <w:tcPr>
            <w:tcW w:w="1370" w:type="dxa"/>
            <w:noWrap/>
            <w:vAlign w:val="bottom"/>
          </w:tcPr>
          <w:p w:rsidR="00E54916" w:rsidRPr="00487CDF" w:rsidRDefault="00E54916" w:rsidP="00487CDF">
            <w:pPr>
              <w:pStyle w:val="TableText"/>
              <w:jc w:val="right"/>
              <w:rPr>
                <w:sz w:val="16"/>
                <w:szCs w:val="16"/>
              </w:rPr>
            </w:pPr>
          </w:p>
        </w:tc>
        <w:tc>
          <w:tcPr>
            <w:tcW w:w="1370" w:type="dxa"/>
            <w:noWrap/>
            <w:vAlign w:val="bottom"/>
          </w:tcPr>
          <w:p w:rsidR="00E54916" w:rsidRPr="00487CDF" w:rsidRDefault="00E54916" w:rsidP="00487CDF">
            <w:pPr>
              <w:pStyle w:val="TableText"/>
              <w:jc w:val="right"/>
              <w:rPr>
                <w:sz w:val="16"/>
                <w:szCs w:val="16"/>
              </w:rPr>
            </w:pPr>
            <w:r w:rsidRPr="00487CDF">
              <w:rPr>
                <w:sz w:val="16"/>
                <w:szCs w:val="16"/>
              </w:rPr>
              <w:t>-6</w:t>
            </w:r>
          </w:p>
        </w:tc>
        <w:tc>
          <w:tcPr>
            <w:tcW w:w="1371" w:type="dxa"/>
            <w:tcBorders>
              <w:right w:val="single" w:sz="4" w:space="0" w:color="002060"/>
            </w:tcBorders>
            <w:noWrap/>
            <w:vAlign w:val="bottom"/>
          </w:tcPr>
          <w:p w:rsidR="00E54916" w:rsidRPr="00487CDF" w:rsidRDefault="00E54916" w:rsidP="00487CDF">
            <w:pPr>
              <w:pStyle w:val="TableText"/>
              <w:jc w:val="right"/>
              <w:rPr>
                <w:sz w:val="16"/>
                <w:szCs w:val="16"/>
              </w:rPr>
            </w:pPr>
            <w:r w:rsidRPr="00487CDF">
              <w:rPr>
                <w:sz w:val="16"/>
                <w:szCs w:val="16"/>
              </w:rPr>
              <w:t>-6</w:t>
            </w:r>
          </w:p>
        </w:tc>
      </w:tr>
      <w:tr w:rsidR="00E54916" w:rsidRPr="00E54916" w:rsidTr="00487CDF">
        <w:trPr>
          <w:cantSplit/>
        </w:trPr>
        <w:tc>
          <w:tcPr>
            <w:tcW w:w="5402" w:type="dxa"/>
            <w:tcBorders>
              <w:top w:val="single" w:sz="4" w:space="0" w:color="auto"/>
              <w:left w:val="single" w:sz="4" w:space="0" w:color="002060"/>
              <w:bottom w:val="single" w:sz="4" w:space="0" w:color="auto"/>
            </w:tcBorders>
            <w:noWrap/>
            <w:vAlign w:val="bottom"/>
          </w:tcPr>
          <w:p w:rsidR="00E54916" w:rsidRPr="00487CDF" w:rsidRDefault="00E54916" w:rsidP="00487CDF">
            <w:pPr>
              <w:pStyle w:val="TableText"/>
              <w:rPr>
                <w:b/>
                <w:bCs/>
                <w:sz w:val="16"/>
                <w:szCs w:val="16"/>
              </w:rPr>
            </w:pPr>
            <w:r w:rsidRPr="00487CDF">
              <w:rPr>
                <w:b/>
                <w:bCs/>
                <w:sz w:val="16"/>
                <w:szCs w:val="16"/>
              </w:rPr>
              <w:t>Agency cash at the beginning of the year</w:t>
            </w:r>
          </w:p>
        </w:tc>
        <w:tc>
          <w:tcPr>
            <w:tcW w:w="1370" w:type="dxa"/>
            <w:tcBorders>
              <w:top w:val="single" w:sz="4" w:space="0" w:color="auto"/>
              <w:bottom w:val="single" w:sz="4" w:space="0" w:color="auto"/>
            </w:tcBorders>
            <w:noWrap/>
            <w:vAlign w:val="bottom"/>
          </w:tcPr>
          <w:p w:rsidR="00E54916" w:rsidRPr="00487CDF" w:rsidRDefault="00E54916" w:rsidP="00487CDF">
            <w:pPr>
              <w:pStyle w:val="TableText"/>
              <w:jc w:val="right"/>
              <w:rPr>
                <w:b/>
                <w:bCs/>
                <w:sz w:val="16"/>
                <w:szCs w:val="16"/>
              </w:rPr>
            </w:pPr>
            <w:r w:rsidRPr="00487CDF">
              <w:rPr>
                <w:b/>
                <w:bCs/>
                <w:sz w:val="16"/>
                <w:szCs w:val="16"/>
              </w:rPr>
              <w:t>50</w:t>
            </w:r>
          </w:p>
        </w:tc>
        <w:tc>
          <w:tcPr>
            <w:tcW w:w="1370" w:type="dxa"/>
            <w:tcBorders>
              <w:top w:val="single" w:sz="4" w:space="0" w:color="auto"/>
              <w:bottom w:val="single" w:sz="4" w:space="0" w:color="auto"/>
            </w:tcBorders>
            <w:noWrap/>
            <w:vAlign w:val="bottom"/>
          </w:tcPr>
          <w:p w:rsidR="00E54916" w:rsidRPr="00487CDF" w:rsidRDefault="00E54916" w:rsidP="00487CDF">
            <w:pPr>
              <w:pStyle w:val="TableText"/>
              <w:jc w:val="right"/>
              <w:rPr>
                <w:b/>
                <w:bCs/>
                <w:sz w:val="16"/>
                <w:szCs w:val="16"/>
              </w:rPr>
            </w:pPr>
            <w:r w:rsidRPr="00487CDF">
              <w:rPr>
                <w:b/>
                <w:bCs/>
                <w:sz w:val="16"/>
                <w:szCs w:val="16"/>
              </w:rPr>
              <w:t>50</w:t>
            </w:r>
          </w:p>
        </w:tc>
        <w:tc>
          <w:tcPr>
            <w:tcW w:w="1371" w:type="dxa"/>
            <w:tcBorders>
              <w:top w:val="single" w:sz="4" w:space="0" w:color="auto"/>
              <w:bottom w:val="single" w:sz="4" w:space="0" w:color="auto"/>
              <w:right w:val="single" w:sz="4" w:space="0" w:color="002060"/>
            </w:tcBorders>
            <w:noWrap/>
            <w:vAlign w:val="bottom"/>
          </w:tcPr>
          <w:p w:rsidR="00E54916" w:rsidRPr="00487CDF" w:rsidRDefault="00E54916" w:rsidP="00487CDF">
            <w:pPr>
              <w:pStyle w:val="TableText"/>
              <w:jc w:val="right"/>
              <w:rPr>
                <w:b/>
                <w:bCs/>
                <w:sz w:val="16"/>
                <w:szCs w:val="16"/>
              </w:rPr>
            </w:pPr>
            <w:r w:rsidRPr="00487CDF">
              <w:rPr>
                <w:b/>
                <w:bCs/>
                <w:sz w:val="16"/>
                <w:szCs w:val="16"/>
              </w:rPr>
              <w:t>50</w:t>
            </w:r>
          </w:p>
        </w:tc>
      </w:tr>
      <w:tr w:rsidR="00E54916" w:rsidRPr="00E54916" w:rsidTr="00487CDF">
        <w:trPr>
          <w:cantSplit/>
        </w:trPr>
        <w:tc>
          <w:tcPr>
            <w:tcW w:w="5402" w:type="dxa"/>
            <w:tcBorders>
              <w:left w:val="single" w:sz="4" w:space="0" w:color="002060"/>
            </w:tcBorders>
            <w:noWrap/>
            <w:vAlign w:val="bottom"/>
          </w:tcPr>
          <w:p w:rsidR="00E54916" w:rsidRPr="00487CDF" w:rsidRDefault="00E54916" w:rsidP="00487CDF">
            <w:pPr>
              <w:pStyle w:val="TableText"/>
              <w:rPr>
                <w:b/>
                <w:bCs/>
                <w:sz w:val="16"/>
                <w:szCs w:val="16"/>
              </w:rPr>
            </w:pPr>
            <w:r w:rsidRPr="00487CDF">
              <w:rPr>
                <w:b/>
                <w:bCs/>
                <w:sz w:val="16"/>
                <w:szCs w:val="16"/>
              </w:rPr>
              <w:t>Actual expenditure during the year</w:t>
            </w:r>
          </w:p>
        </w:tc>
        <w:tc>
          <w:tcPr>
            <w:tcW w:w="1370" w:type="dxa"/>
            <w:noWrap/>
            <w:vAlign w:val="bottom"/>
          </w:tcPr>
          <w:p w:rsidR="00E54916" w:rsidRPr="00487CDF" w:rsidRDefault="00E54916" w:rsidP="00487CDF">
            <w:pPr>
              <w:pStyle w:val="TableText"/>
              <w:jc w:val="right"/>
              <w:rPr>
                <w:sz w:val="16"/>
                <w:szCs w:val="16"/>
              </w:rPr>
            </w:pPr>
          </w:p>
        </w:tc>
        <w:tc>
          <w:tcPr>
            <w:tcW w:w="1370" w:type="dxa"/>
            <w:noWrap/>
            <w:vAlign w:val="bottom"/>
          </w:tcPr>
          <w:p w:rsidR="00E54916" w:rsidRPr="00487CDF" w:rsidRDefault="00E54916" w:rsidP="00487CDF">
            <w:pPr>
              <w:pStyle w:val="TableText"/>
              <w:jc w:val="right"/>
              <w:rPr>
                <w:sz w:val="16"/>
                <w:szCs w:val="16"/>
              </w:rPr>
            </w:pPr>
          </w:p>
        </w:tc>
        <w:tc>
          <w:tcPr>
            <w:tcW w:w="1371" w:type="dxa"/>
            <w:tcBorders>
              <w:right w:val="single" w:sz="4" w:space="0" w:color="002060"/>
            </w:tcBorders>
            <w:noWrap/>
            <w:vAlign w:val="bottom"/>
          </w:tcPr>
          <w:p w:rsidR="00E54916" w:rsidRPr="00487CDF" w:rsidRDefault="00E54916" w:rsidP="00487CDF">
            <w:pPr>
              <w:pStyle w:val="TableText"/>
              <w:jc w:val="right"/>
              <w:rPr>
                <w:sz w:val="16"/>
                <w:szCs w:val="16"/>
              </w:rPr>
            </w:pPr>
          </w:p>
        </w:tc>
      </w:tr>
      <w:tr w:rsidR="00E54916" w:rsidRPr="00E54916" w:rsidTr="00487CDF">
        <w:trPr>
          <w:cantSplit/>
        </w:trPr>
        <w:tc>
          <w:tcPr>
            <w:tcW w:w="5402" w:type="dxa"/>
            <w:tcBorders>
              <w:left w:val="single" w:sz="4" w:space="0" w:color="002060"/>
            </w:tcBorders>
            <w:noWrap/>
            <w:vAlign w:val="bottom"/>
          </w:tcPr>
          <w:p w:rsidR="00E54916" w:rsidRPr="00487CDF" w:rsidRDefault="00E54916" w:rsidP="00487CDF">
            <w:pPr>
              <w:pStyle w:val="TableText"/>
              <w:rPr>
                <w:sz w:val="16"/>
                <w:szCs w:val="16"/>
              </w:rPr>
            </w:pPr>
            <w:r w:rsidRPr="00487CDF">
              <w:rPr>
                <w:sz w:val="16"/>
                <w:szCs w:val="16"/>
              </w:rPr>
              <w:t xml:space="preserve">Cash </w:t>
            </w:r>
          </w:p>
        </w:tc>
        <w:tc>
          <w:tcPr>
            <w:tcW w:w="1370" w:type="dxa"/>
            <w:noWrap/>
            <w:vAlign w:val="bottom"/>
          </w:tcPr>
          <w:p w:rsidR="00E54916" w:rsidRPr="00487CDF" w:rsidRDefault="00E54916" w:rsidP="00487CDF">
            <w:pPr>
              <w:pStyle w:val="TableText"/>
              <w:jc w:val="right"/>
              <w:rPr>
                <w:sz w:val="16"/>
                <w:szCs w:val="16"/>
              </w:rPr>
            </w:pPr>
            <w:r w:rsidRPr="00487CDF">
              <w:rPr>
                <w:sz w:val="16"/>
                <w:szCs w:val="16"/>
              </w:rPr>
              <w:t>-40</w:t>
            </w:r>
          </w:p>
        </w:tc>
        <w:tc>
          <w:tcPr>
            <w:tcW w:w="1370" w:type="dxa"/>
            <w:noWrap/>
            <w:vAlign w:val="bottom"/>
          </w:tcPr>
          <w:p w:rsidR="00E54916" w:rsidRPr="00487CDF" w:rsidRDefault="00E54916" w:rsidP="00487CDF">
            <w:pPr>
              <w:pStyle w:val="TableText"/>
              <w:jc w:val="right"/>
              <w:rPr>
                <w:sz w:val="16"/>
                <w:szCs w:val="16"/>
              </w:rPr>
            </w:pPr>
            <w:r w:rsidRPr="00487CDF">
              <w:rPr>
                <w:sz w:val="16"/>
                <w:szCs w:val="16"/>
              </w:rPr>
              <w:t>-40</w:t>
            </w:r>
          </w:p>
        </w:tc>
        <w:tc>
          <w:tcPr>
            <w:tcW w:w="1371" w:type="dxa"/>
            <w:tcBorders>
              <w:right w:val="single" w:sz="4" w:space="0" w:color="002060"/>
            </w:tcBorders>
            <w:noWrap/>
            <w:vAlign w:val="bottom"/>
          </w:tcPr>
          <w:p w:rsidR="00E54916" w:rsidRPr="00487CDF" w:rsidRDefault="00E54916" w:rsidP="00487CDF">
            <w:pPr>
              <w:pStyle w:val="TableText"/>
              <w:jc w:val="right"/>
              <w:rPr>
                <w:sz w:val="16"/>
                <w:szCs w:val="16"/>
              </w:rPr>
            </w:pPr>
            <w:r w:rsidRPr="00487CDF">
              <w:rPr>
                <w:sz w:val="16"/>
                <w:szCs w:val="16"/>
              </w:rPr>
              <w:t>-50</w:t>
            </w:r>
          </w:p>
        </w:tc>
      </w:tr>
      <w:tr w:rsidR="00E54916" w:rsidRPr="00E54916" w:rsidTr="00487CDF">
        <w:trPr>
          <w:cantSplit/>
        </w:trPr>
        <w:tc>
          <w:tcPr>
            <w:tcW w:w="5402" w:type="dxa"/>
            <w:tcBorders>
              <w:left w:val="single" w:sz="4" w:space="0" w:color="002060"/>
            </w:tcBorders>
            <w:noWrap/>
            <w:vAlign w:val="bottom"/>
          </w:tcPr>
          <w:p w:rsidR="00E54916" w:rsidRPr="00487CDF" w:rsidRDefault="00E54916" w:rsidP="00487CDF">
            <w:pPr>
              <w:pStyle w:val="TableText"/>
              <w:rPr>
                <w:sz w:val="16"/>
                <w:szCs w:val="16"/>
              </w:rPr>
            </w:pPr>
            <w:r w:rsidRPr="00487CDF">
              <w:rPr>
                <w:sz w:val="16"/>
                <w:szCs w:val="16"/>
              </w:rPr>
              <w:t>Commonwealth in-kind</w:t>
            </w:r>
          </w:p>
        </w:tc>
        <w:tc>
          <w:tcPr>
            <w:tcW w:w="1370" w:type="dxa"/>
            <w:noWrap/>
            <w:vAlign w:val="bottom"/>
          </w:tcPr>
          <w:p w:rsidR="00E54916" w:rsidRPr="00487CDF" w:rsidRDefault="00E54916" w:rsidP="00487CDF">
            <w:pPr>
              <w:pStyle w:val="TableText"/>
              <w:jc w:val="right"/>
              <w:rPr>
                <w:sz w:val="16"/>
                <w:szCs w:val="16"/>
              </w:rPr>
            </w:pPr>
            <w:r w:rsidRPr="00487CDF">
              <w:rPr>
                <w:sz w:val="16"/>
                <w:szCs w:val="16"/>
              </w:rPr>
              <w:t>-20</w:t>
            </w:r>
          </w:p>
        </w:tc>
        <w:tc>
          <w:tcPr>
            <w:tcW w:w="1370" w:type="dxa"/>
            <w:noWrap/>
            <w:vAlign w:val="bottom"/>
          </w:tcPr>
          <w:p w:rsidR="00E54916" w:rsidRPr="00487CDF" w:rsidRDefault="00E54916" w:rsidP="00487CDF">
            <w:pPr>
              <w:pStyle w:val="TableText"/>
              <w:jc w:val="right"/>
              <w:rPr>
                <w:sz w:val="16"/>
                <w:szCs w:val="16"/>
              </w:rPr>
            </w:pPr>
            <w:r w:rsidRPr="00487CDF">
              <w:rPr>
                <w:sz w:val="16"/>
                <w:szCs w:val="16"/>
              </w:rPr>
              <w:t>-20</w:t>
            </w:r>
          </w:p>
        </w:tc>
        <w:tc>
          <w:tcPr>
            <w:tcW w:w="1371" w:type="dxa"/>
            <w:tcBorders>
              <w:right w:val="single" w:sz="4" w:space="0" w:color="002060"/>
            </w:tcBorders>
            <w:noWrap/>
            <w:vAlign w:val="bottom"/>
          </w:tcPr>
          <w:p w:rsidR="00E54916" w:rsidRPr="00487CDF" w:rsidRDefault="00E54916" w:rsidP="00487CDF">
            <w:pPr>
              <w:pStyle w:val="TableText"/>
              <w:jc w:val="right"/>
              <w:rPr>
                <w:sz w:val="16"/>
                <w:szCs w:val="16"/>
              </w:rPr>
            </w:pPr>
            <w:r w:rsidRPr="00487CDF">
              <w:rPr>
                <w:sz w:val="16"/>
                <w:szCs w:val="16"/>
              </w:rPr>
              <w:t>-20</w:t>
            </w:r>
          </w:p>
        </w:tc>
      </w:tr>
      <w:tr w:rsidR="00E54916" w:rsidRPr="00E54916" w:rsidTr="00487CDF">
        <w:trPr>
          <w:cantSplit/>
        </w:trPr>
        <w:tc>
          <w:tcPr>
            <w:tcW w:w="5402" w:type="dxa"/>
            <w:tcBorders>
              <w:left w:val="single" w:sz="4" w:space="0" w:color="002060"/>
            </w:tcBorders>
            <w:noWrap/>
            <w:vAlign w:val="bottom"/>
          </w:tcPr>
          <w:p w:rsidR="00E54916" w:rsidRPr="00487CDF" w:rsidRDefault="00E54916" w:rsidP="00487CDF">
            <w:pPr>
              <w:pStyle w:val="TableText"/>
              <w:rPr>
                <w:sz w:val="16"/>
                <w:szCs w:val="16"/>
              </w:rPr>
            </w:pPr>
            <w:r w:rsidRPr="00487CDF">
              <w:rPr>
                <w:sz w:val="16"/>
                <w:szCs w:val="16"/>
              </w:rPr>
              <w:t>State in-kind</w:t>
            </w:r>
          </w:p>
        </w:tc>
        <w:tc>
          <w:tcPr>
            <w:tcW w:w="1370" w:type="dxa"/>
            <w:noWrap/>
            <w:vAlign w:val="bottom"/>
          </w:tcPr>
          <w:p w:rsidR="00E54916" w:rsidRPr="00487CDF" w:rsidRDefault="00E54916" w:rsidP="00487CDF">
            <w:pPr>
              <w:pStyle w:val="TableText"/>
              <w:jc w:val="right"/>
              <w:rPr>
                <w:sz w:val="16"/>
                <w:szCs w:val="16"/>
              </w:rPr>
            </w:pPr>
            <w:r w:rsidRPr="00487CDF">
              <w:rPr>
                <w:sz w:val="16"/>
                <w:szCs w:val="16"/>
              </w:rPr>
              <w:t>-20</w:t>
            </w:r>
          </w:p>
        </w:tc>
        <w:tc>
          <w:tcPr>
            <w:tcW w:w="1370" w:type="dxa"/>
            <w:noWrap/>
            <w:vAlign w:val="bottom"/>
          </w:tcPr>
          <w:p w:rsidR="00E54916" w:rsidRPr="00487CDF" w:rsidRDefault="00E54916" w:rsidP="00487CDF">
            <w:pPr>
              <w:pStyle w:val="TableText"/>
              <w:jc w:val="right"/>
              <w:rPr>
                <w:sz w:val="16"/>
                <w:szCs w:val="16"/>
              </w:rPr>
            </w:pPr>
            <w:r w:rsidRPr="00487CDF">
              <w:rPr>
                <w:sz w:val="16"/>
                <w:szCs w:val="16"/>
              </w:rPr>
              <w:t>-20</w:t>
            </w:r>
          </w:p>
        </w:tc>
        <w:tc>
          <w:tcPr>
            <w:tcW w:w="1371" w:type="dxa"/>
            <w:tcBorders>
              <w:right w:val="single" w:sz="4" w:space="0" w:color="002060"/>
            </w:tcBorders>
            <w:noWrap/>
            <w:vAlign w:val="bottom"/>
          </w:tcPr>
          <w:p w:rsidR="00E54916" w:rsidRPr="00487CDF" w:rsidRDefault="00E54916" w:rsidP="00487CDF">
            <w:pPr>
              <w:pStyle w:val="TableText"/>
              <w:jc w:val="right"/>
              <w:rPr>
                <w:sz w:val="16"/>
                <w:szCs w:val="16"/>
              </w:rPr>
            </w:pPr>
            <w:r w:rsidRPr="00487CDF">
              <w:rPr>
                <w:sz w:val="16"/>
                <w:szCs w:val="16"/>
              </w:rPr>
              <w:t>-30</w:t>
            </w:r>
          </w:p>
        </w:tc>
      </w:tr>
      <w:tr w:rsidR="00E54916" w:rsidRPr="00E54916" w:rsidTr="00487CDF">
        <w:trPr>
          <w:cantSplit/>
        </w:trPr>
        <w:tc>
          <w:tcPr>
            <w:tcW w:w="5402" w:type="dxa"/>
            <w:tcBorders>
              <w:left w:val="single" w:sz="4" w:space="0" w:color="002060"/>
            </w:tcBorders>
            <w:noWrap/>
            <w:vAlign w:val="bottom"/>
          </w:tcPr>
          <w:p w:rsidR="00E54916" w:rsidRPr="00487CDF" w:rsidRDefault="00E54916" w:rsidP="00487CDF">
            <w:pPr>
              <w:pStyle w:val="TableText"/>
              <w:rPr>
                <w:b/>
                <w:bCs/>
                <w:sz w:val="16"/>
                <w:szCs w:val="16"/>
              </w:rPr>
            </w:pPr>
            <w:r w:rsidRPr="00487CDF">
              <w:rPr>
                <w:b/>
                <w:bCs/>
                <w:sz w:val="16"/>
                <w:szCs w:val="16"/>
              </w:rPr>
              <w:t>Total actual expenditure</w:t>
            </w:r>
          </w:p>
        </w:tc>
        <w:tc>
          <w:tcPr>
            <w:tcW w:w="1370" w:type="dxa"/>
            <w:noWrap/>
            <w:vAlign w:val="bottom"/>
          </w:tcPr>
          <w:p w:rsidR="00E54916" w:rsidRPr="00487CDF" w:rsidRDefault="00E54916" w:rsidP="00487CDF">
            <w:pPr>
              <w:pStyle w:val="TableText"/>
              <w:jc w:val="right"/>
              <w:rPr>
                <w:b/>
                <w:bCs/>
                <w:sz w:val="16"/>
                <w:szCs w:val="16"/>
              </w:rPr>
            </w:pPr>
            <w:r w:rsidRPr="00487CDF">
              <w:rPr>
                <w:b/>
                <w:bCs/>
                <w:sz w:val="16"/>
                <w:szCs w:val="16"/>
              </w:rPr>
              <w:t>-70</w:t>
            </w:r>
          </w:p>
        </w:tc>
        <w:tc>
          <w:tcPr>
            <w:tcW w:w="1370" w:type="dxa"/>
            <w:noWrap/>
            <w:vAlign w:val="bottom"/>
          </w:tcPr>
          <w:p w:rsidR="00E54916" w:rsidRPr="00487CDF" w:rsidRDefault="00E54916" w:rsidP="00487CDF">
            <w:pPr>
              <w:pStyle w:val="TableText"/>
              <w:jc w:val="right"/>
              <w:rPr>
                <w:b/>
                <w:bCs/>
                <w:sz w:val="16"/>
                <w:szCs w:val="16"/>
              </w:rPr>
            </w:pPr>
            <w:r w:rsidRPr="00487CDF">
              <w:rPr>
                <w:b/>
                <w:bCs/>
                <w:sz w:val="16"/>
                <w:szCs w:val="16"/>
              </w:rPr>
              <w:t>-70</w:t>
            </w:r>
          </w:p>
        </w:tc>
        <w:tc>
          <w:tcPr>
            <w:tcW w:w="1371" w:type="dxa"/>
            <w:tcBorders>
              <w:right w:val="single" w:sz="4" w:space="0" w:color="002060"/>
            </w:tcBorders>
            <w:noWrap/>
            <w:vAlign w:val="bottom"/>
          </w:tcPr>
          <w:p w:rsidR="00E54916" w:rsidRPr="00487CDF" w:rsidRDefault="00E54916" w:rsidP="00487CDF">
            <w:pPr>
              <w:pStyle w:val="TableText"/>
              <w:jc w:val="right"/>
              <w:rPr>
                <w:b/>
                <w:bCs/>
                <w:sz w:val="16"/>
                <w:szCs w:val="16"/>
              </w:rPr>
            </w:pPr>
            <w:r w:rsidRPr="00487CDF">
              <w:rPr>
                <w:b/>
                <w:bCs/>
                <w:sz w:val="16"/>
                <w:szCs w:val="16"/>
              </w:rPr>
              <w:t>-100</w:t>
            </w:r>
          </w:p>
        </w:tc>
      </w:tr>
      <w:tr w:rsidR="00E54916" w:rsidRPr="00E54916" w:rsidTr="00487CDF">
        <w:trPr>
          <w:cantSplit/>
        </w:trPr>
        <w:tc>
          <w:tcPr>
            <w:tcW w:w="5402" w:type="dxa"/>
            <w:tcBorders>
              <w:left w:val="single" w:sz="4" w:space="0" w:color="002060"/>
              <w:bottom w:val="single" w:sz="4" w:space="0" w:color="002060"/>
            </w:tcBorders>
            <w:noWrap/>
            <w:vAlign w:val="bottom"/>
          </w:tcPr>
          <w:p w:rsidR="00E54916" w:rsidRPr="00487CDF" w:rsidRDefault="00E54916" w:rsidP="00487CDF">
            <w:pPr>
              <w:pStyle w:val="TableText"/>
              <w:rPr>
                <w:b/>
                <w:bCs/>
                <w:sz w:val="16"/>
                <w:szCs w:val="16"/>
              </w:rPr>
            </w:pPr>
            <w:r w:rsidRPr="00487CDF">
              <w:rPr>
                <w:b/>
                <w:bCs/>
                <w:sz w:val="16"/>
                <w:szCs w:val="16"/>
              </w:rPr>
              <w:t>Additional Commonwealth cash contribution to meet risk of cost overrun through increased client numbers, higher average care and support costs and  Agency’s cash flow risk (S18.b.iii)</w:t>
            </w:r>
          </w:p>
        </w:tc>
        <w:tc>
          <w:tcPr>
            <w:tcW w:w="1370" w:type="dxa"/>
            <w:tcBorders>
              <w:bottom w:val="single" w:sz="4" w:space="0" w:color="002060"/>
            </w:tcBorders>
            <w:noWrap/>
            <w:vAlign w:val="bottom"/>
          </w:tcPr>
          <w:p w:rsidR="00E54916" w:rsidRPr="00487CDF" w:rsidRDefault="00E54916" w:rsidP="00487CDF">
            <w:pPr>
              <w:pStyle w:val="TableText"/>
              <w:jc w:val="right"/>
              <w:rPr>
                <w:sz w:val="16"/>
                <w:szCs w:val="16"/>
              </w:rPr>
            </w:pPr>
            <w:r w:rsidRPr="00487CDF">
              <w:rPr>
                <w:sz w:val="16"/>
                <w:szCs w:val="16"/>
              </w:rPr>
              <w:t>0</w:t>
            </w:r>
          </w:p>
        </w:tc>
        <w:tc>
          <w:tcPr>
            <w:tcW w:w="1370" w:type="dxa"/>
            <w:tcBorders>
              <w:bottom w:val="single" w:sz="4" w:space="0" w:color="002060"/>
            </w:tcBorders>
            <w:noWrap/>
            <w:vAlign w:val="bottom"/>
          </w:tcPr>
          <w:p w:rsidR="00E54916" w:rsidRPr="00487CDF" w:rsidRDefault="00E54916" w:rsidP="00487CDF">
            <w:pPr>
              <w:pStyle w:val="TableText"/>
              <w:jc w:val="right"/>
              <w:rPr>
                <w:sz w:val="16"/>
                <w:szCs w:val="16"/>
              </w:rPr>
            </w:pPr>
            <w:r w:rsidRPr="00487CDF">
              <w:rPr>
                <w:sz w:val="16"/>
                <w:szCs w:val="16"/>
              </w:rPr>
              <w:t>0</w:t>
            </w:r>
          </w:p>
        </w:tc>
        <w:tc>
          <w:tcPr>
            <w:tcW w:w="1371" w:type="dxa"/>
            <w:tcBorders>
              <w:bottom w:val="single" w:sz="4" w:space="0" w:color="002060"/>
              <w:right w:val="single" w:sz="4" w:space="0" w:color="002060"/>
            </w:tcBorders>
            <w:noWrap/>
            <w:vAlign w:val="bottom"/>
          </w:tcPr>
          <w:p w:rsidR="00E54916" w:rsidRPr="00487CDF" w:rsidRDefault="00E54916" w:rsidP="00487CDF">
            <w:pPr>
              <w:pStyle w:val="TableText"/>
              <w:jc w:val="right"/>
              <w:rPr>
                <w:sz w:val="16"/>
                <w:szCs w:val="16"/>
              </w:rPr>
            </w:pPr>
            <w:r w:rsidRPr="00487CDF">
              <w:rPr>
                <w:sz w:val="16"/>
                <w:szCs w:val="16"/>
              </w:rPr>
              <w:t>0</w:t>
            </w:r>
          </w:p>
        </w:tc>
      </w:tr>
      <w:tr w:rsidR="00E54916" w:rsidRPr="00E54916" w:rsidTr="00487CDF">
        <w:trPr>
          <w:cantSplit/>
        </w:trPr>
        <w:tc>
          <w:tcPr>
            <w:tcW w:w="5402" w:type="dxa"/>
            <w:tcBorders>
              <w:top w:val="single" w:sz="4" w:space="0" w:color="002060"/>
              <w:left w:val="single" w:sz="4" w:space="0" w:color="002060"/>
              <w:bottom w:val="single" w:sz="4" w:space="0" w:color="002060"/>
            </w:tcBorders>
            <w:noWrap/>
            <w:vAlign w:val="bottom"/>
          </w:tcPr>
          <w:p w:rsidR="00E54916" w:rsidRPr="00487CDF" w:rsidRDefault="00E54916" w:rsidP="00487CDF">
            <w:pPr>
              <w:pStyle w:val="TableText"/>
              <w:rPr>
                <w:b/>
                <w:bCs/>
                <w:sz w:val="16"/>
                <w:szCs w:val="16"/>
              </w:rPr>
            </w:pPr>
            <w:r w:rsidRPr="00487CDF">
              <w:rPr>
                <w:b/>
                <w:bCs/>
                <w:sz w:val="16"/>
                <w:szCs w:val="16"/>
              </w:rPr>
              <w:t>End of year cash outcome for Agency</w:t>
            </w:r>
          </w:p>
        </w:tc>
        <w:tc>
          <w:tcPr>
            <w:tcW w:w="1370" w:type="dxa"/>
            <w:tcBorders>
              <w:top w:val="single" w:sz="4" w:space="0" w:color="002060"/>
              <w:bottom w:val="single" w:sz="4" w:space="0" w:color="002060"/>
            </w:tcBorders>
            <w:noWrap/>
            <w:vAlign w:val="bottom"/>
          </w:tcPr>
          <w:p w:rsidR="00E54916" w:rsidRPr="00487CDF" w:rsidRDefault="00E54916" w:rsidP="00487CDF">
            <w:pPr>
              <w:pStyle w:val="TableText"/>
              <w:jc w:val="right"/>
              <w:rPr>
                <w:b/>
                <w:bCs/>
                <w:sz w:val="16"/>
                <w:szCs w:val="16"/>
              </w:rPr>
            </w:pPr>
            <w:r w:rsidRPr="00487CDF">
              <w:rPr>
                <w:b/>
                <w:bCs/>
                <w:sz w:val="16"/>
                <w:szCs w:val="16"/>
              </w:rPr>
              <w:t>10</w:t>
            </w:r>
          </w:p>
        </w:tc>
        <w:tc>
          <w:tcPr>
            <w:tcW w:w="1370" w:type="dxa"/>
            <w:tcBorders>
              <w:top w:val="single" w:sz="4" w:space="0" w:color="002060"/>
              <w:bottom w:val="single" w:sz="4" w:space="0" w:color="002060"/>
            </w:tcBorders>
            <w:noWrap/>
            <w:vAlign w:val="bottom"/>
          </w:tcPr>
          <w:p w:rsidR="00E54916" w:rsidRPr="00487CDF" w:rsidRDefault="00E54916" w:rsidP="00487CDF">
            <w:pPr>
              <w:pStyle w:val="TableText"/>
              <w:jc w:val="right"/>
              <w:rPr>
                <w:b/>
                <w:bCs/>
                <w:sz w:val="16"/>
                <w:szCs w:val="16"/>
              </w:rPr>
            </w:pPr>
            <w:r w:rsidRPr="00487CDF">
              <w:rPr>
                <w:b/>
                <w:bCs/>
                <w:sz w:val="16"/>
                <w:szCs w:val="16"/>
              </w:rPr>
              <w:t>10</w:t>
            </w:r>
          </w:p>
        </w:tc>
        <w:tc>
          <w:tcPr>
            <w:tcW w:w="1371" w:type="dxa"/>
            <w:tcBorders>
              <w:top w:val="single" w:sz="4" w:space="0" w:color="002060"/>
              <w:bottom w:val="single" w:sz="4" w:space="0" w:color="002060"/>
              <w:right w:val="single" w:sz="4" w:space="0" w:color="002060"/>
            </w:tcBorders>
            <w:noWrap/>
            <w:vAlign w:val="bottom"/>
          </w:tcPr>
          <w:p w:rsidR="00E54916" w:rsidRPr="00487CDF" w:rsidRDefault="00E54916" w:rsidP="00487CDF">
            <w:pPr>
              <w:pStyle w:val="TableText"/>
              <w:jc w:val="right"/>
              <w:rPr>
                <w:b/>
                <w:bCs/>
                <w:sz w:val="16"/>
                <w:szCs w:val="16"/>
              </w:rPr>
            </w:pPr>
            <w:r w:rsidRPr="00487CDF">
              <w:rPr>
                <w:b/>
                <w:bCs/>
                <w:sz w:val="16"/>
                <w:szCs w:val="16"/>
              </w:rPr>
              <w:t>0</w:t>
            </w:r>
          </w:p>
        </w:tc>
      </w:tr>
    </w:tbl>
    <w:p w:rsidR="00E54916" w:rsidRPr="00E54916" w:rsidRDefault="00E54916" w:rsidP="00E54916">
      <w:pPr>
        <w:rPr>
          <w:szCs w:val="20"/>
        </w:rPr>
      </w:pPr>
      <w:r w:rsidRPr="00E54916">
        <w:rPr>
          <w:szCs w:val="20"/>
        </w:rPr>
        <w:t xml:space="preserve">At the end of the launch, the Commonwealth made total contributions of $112 and the host jurisdiction made total contributions of $148.  This is consistent with total expenditure of $260 over three years. </w:t>
      </w:r>
    </w:p>
    <w:p w:rsidR="00E54916" w:rsidRPr="00E54916" w:rsidRDefault="00E54916" w:rsidP="00E54916">
      <w:pPr>
        <w:rPr>
          <w:szCs w:val="20"/>
        </w:rPr>
      </w:pPr>
      <w:r w:rsidRPr="00E54916">
        <w:rPr>
          <w:szCs w:val="20"/>
        </w:rPr>
        <w:lastRenderedPageBreak/>
        <w:t xml:space="preserve">However, because the in-kind underspend is retained in-full by the relevant jurisdiction, the final funding shares have shifted to the Commonwealth contributing 43.1 per cent, while the host jurisdiction contributing 56.9 per cent.  </w:t>
      </w:r>
    </w:p>
    <w:p w:rsidR="009D1D25" w:rsidRDefault="00E54916" w:rsidP="00E54916">
      <w:pPr>
        <w:rPr>
          <w:szCs w:val="20"/>
        </w:rPr>
      </w:pPr>
      <w:r w:rsidRPr="00E54916">
        <w:rPr>
          <w:szCs w:val="20"/>
        </w:rPr>
        <w:t xml:space="preserve">Under this circumstance, the host jurisdiction would have to return $8 to the Commonwealth to re-establish the host </w:t>
      </w:r>
      <w:proofErr w:type="gramStart"/>
      <w:r w:rsidRPr="00E54916">
        <w:rPr>
          <w:szCs w:val="20"/>
        </w:rPr>
        <w:t>jurisdiction’s</w:t>
      </w:r>
      <w:proofErr w:type="gramEnd"/>
      <w:r w:rsidRPr="00E54916">
        <w:rPr>
          <w:szCs w:val="20"/>
        </w:rPr>
        <w:t xml:space="preserve"> and Commonwealth’s funding shares of 40 per cent and 60 per cent (or otherwise outlined in Schedules A – E). </w:t>
      </w:r>
    </w:p>
    <w:p w:rsidR="00E54916" w:rsidRPr="00E54916" w:rsidRDefault="00E54916" w:rsidP="000C65A6">
      <w:pPr>
        <w:pStyle w:val="Heading2"/>
      </w:pPr>
      <w:r w:rsidRPr="00E54916">
        <w:t>Scenario 8 – no cost variance over three years, in-kind and cash expenditure vary between years</w:t>
      </w:r>
    </w:p>
    <w:p w:rsidR="00E54916" w:rsidRPr="00E54916" w:rsidRDefault="00E54916" w:rsidP="00E54916">
      <w:pPr>
        <w:rPr>
          <w:szCs w:val="20"/>
        </w:rPr>
      </w:pPr>
      <w:r w:rsidRPr="00E54916">
        <w:rPr>
          <w:szCs w:val="20"/>
        </w:rPr>
        <w:t>This scenario models variations in cash and in-kind services between years, but with no variation to final three year costs, involving:</w:t>
      </w:r>
    </w:p>
    <w:p w:rsidR="00E54916" w:rsidRPr="00E54916" w:rsidRDefault="009D1D25" w:rsidP="009D1D25">
      <w:pPr>
        <w:ind w:left="562" w:hanging="562"/>
        <w:rPr>
          <w:szCs w:val="20"/>
        </w:rPr>
      </w:pPr>
      <w:r>
        <w:rPr>
          <w:szCs w:val="20"/>
        </w:rPr>
        <w:t>1.</w:t>
      </w:r>
      <w:r>
        <w:rPr>
          <w:szCs w:val="20"/>
        </w:rPr>
        <w:tab/>
      </w:r>
      <w:r w:rsidR="00E54916" w:rsidRPr="00E54916">
        <w:rPr>
          <w:szCs w:val="20"/>
        </w:rPr>
        <w:t>Cash expenditure reducing to $40 in 2013-14, rising to $80 in 2014-15 and then returning to $50 in 2015-16;</w:t>
      </w:r>
    </w:p>
    <w:p w:rsidR="00E54916" w:rsidRPr="00E54916" w:rsidRDefault="009D1D25" w:rsidP="009D1D25">
      <w:pPr>
        <w:ind w:left="562" w:hanging="562"/>
        <w:rPr>
          <w:szCs w:val="20"/>
        </w:rPr>
      </w:pPr>
      <w:r>
        <w:rPr>
          <w:szCs w:val="20"/>
        </w:rPr>
        <w:t>2.</w:t>
      </w:r>
      <w:r>
        <w:rPr>
          <w:szCs w:val="20"/>
        </w:rPr>
        <w:tab/>
      </w:r>
      <w:r w:rsidR="00E54916" w:rsidRPr="00E54916">
        <w:rPr>
          <w:szCs w:val="20"/>
        </w:rPr>
        <w:t>Commonwealth in-kind expenditure reducing to $10 per year in 2013-14 and then returning to $20 per year and onwards; and</w:t>
      </w:r>
    </w:p>
    <w:p w:rsidR="00E54916" w:rsidRPr="00E54916" w:rsidRDefault="009D1D25" w:rsidP="009D1D25">
      <w:pPr>
        <w:spacing w:after="240"/>
        <w:ind w:left="562" w:hanging="562"/>
        <w:rPr>
          <w:szCs w:val="20"/>
        </w:rPr>
      </w:pPr>
      <w:r>
        <w:rPr>
          <w:szCs w:val="20"/>
        </w:rPr>
        <w:t>3.</w:t>
      </w:r>
      <w:r>
        <w:rPr>
          <w:szCs w:val="20"/>
        </w:rPr>
        <w:tab/>
      </w:r>
      <w:r w:rsidR="00E54916" w:rsidRPr="00E54916">
        <w:rPr>
          <w:szCs w:val="20"/>
        </w:rPr>
        <w:t>Host jurisdiction in-kind expenditure reducing to $20 per year in 2013-14 and then returning to $30 per year and onwards.</w:t>
      </w:r>
    </w:p>
    <w:tbl>
      <w:tblPr>
        <w:tblW w:w="5000" w:type="pct"/>
        <w:tblInd w:w="93" w:type="dxa"/>
        <w:tblLayout w:type="fixed"/>
        <w:tblLook w:val="00A0" w:firstRow="1" w:lastRow="0" w:firstColumn="1" w:lastColumn="0" w:noHBand="0" w:noVBand="0"/>
        <w:tblCaption w:val="Scenario 8 – no cost variance over three years, in-kind and cash expenditure vary between years"/>
        <w:tblDescription w:val="This table shows estimated contribution and expenditure from 2013 to 2016."/>
      </w:tblPr>
      <w:tblGrid>
        <w:gridCol w:w="5265"/>
        <w:gridCol w:w="1340"/>
        <w:gridCol w:w="1340"/>
        <w:gridCol w:w="1341"/>
      </w:tblGrid>
      <w:tr w:rsidR="00E54916" w:rsidRPr="009D1D25" w:rsidTr="009D1D25">
        <w:trPr>
          <w:cantSplit/>
          <w:tblHeader/>
        </w:trPr>
        <w:tc>
          <w:tcPr>
            <w:tcW w:w="5402"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9D1D25" w:rsidRDefault="00E54916" w:rsidP="009D1D25">
            <w:pPr>
              <w:pStyle w:val="TableHeading"/>
              <w:rPr>
                <w:sz w:val="16"/>
                <w:szCs w:val="16"/>
              </w:rPr>
            </w:pPr>
            <w:r w:rsidRPr="009D1D25">
              <w:rPr>
                <w:sz w:val="16"/>
                <w:szCs w:val="16"/>
              </w:rPr>
              <w:t>Summary of launch</w:t>
            </w:r>
          </w:p>
        </w:tc>
        <w:tc>
          <w:tcPr>
            <w:tcW w:w="1370"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9D1D25" w:rsidRDefault="00E54916" w:rsidP="009D1D25">
            <w:pPr>
              <w:pStyle w:val="TableHeading"/>
              <w:jc w:val="right"/>
              <w:rPr>
                <w:bCs/>
                <w:sz w:val="16"/>
                <w:szCs w:val="16"/>
              </w:rPr>
            </w:pPr>
            <w:r w:rsidRPr="009D1D25">
              <w:rPr>
                <w:bCs/>
                <w:sz w:val="16"/>
                <w:szCs w:val="16"/>
              </w:rPr>
              <w:t>2013-14</w:t>
            </w:r>
          </w:p>
        </w:tc>
        <w:tc>
          <w:tcPr>
            <w:tcW w:w="1370"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9D1D25" w:rsidRDefault="00E54916" w:rsidP="009D1D25">
            <w:pPr>
              <w:pStyle w:val="TableHeading"/>
              <w:jc w:val="right"/>
              <w:rPr>
                <w:bCs/>
                <w:sz w:val="16"/>
                <w:szCs w:val="16"/>
              </w:rPr>
            </w:pPr>
            <w:r w:rsidRPr="009D1D25">
              <w:rPr>
                <w:bCs/>
                <w:sz w:val="16"/>
                <w:szCs w:val="16"/>
              </w:rPr>
              <w:t>2014-15</w:t>
            </w:r>
          </w:p>
        </w:tc>
        <w:tc>
          <w:tcPr>
            <w:tcW w:w="1371" w:type="dxa"/>
            <w:tcBorders>
              <w:top w:val="single" w:sz="6" w:space="0" w:color="auto"/>
              <w:left w:val="single" w:sz="4" w:space="0" w:color="002060"/>
              <w:bottom w:val="single" w:sz="6" w:space="0" w:color="auto"/>
              <w:right w:val="single" w:sz="4" w:space="0" w:color="002060"/>
            </w:tcBorders>
            <w:shd w:val="clear" w:color="auto" w:fill="auto"/>
            <w:noWrap/>
            <w:vAlign w:val="bottom"/>
          </w:tcPr>
          <w:p w:rsidR="00E54916" w:rsidRPr="009D1D25" w:rsidRDefault="00E54916" w:rsidP="009D1D25">
            <w:pPr>
              <w:pStyle w:val="TableHeading"/>
              <w:jc w:val="right"/>
              <w:rPr>
                <w:bCs/>
                <w:sz w:val="16"/>
                <w:szCs w:val="16"/>
              </w:rPr>
            </w:pPr>
            <w:r w:rsidRPr="009D1D25">
              <w:rPr>
                <w:bCs/>
                <w:sz w:val="16"/>
                <w:szCs w:val="16"/>
              </w:rPr>
              <w:t>2015-16</w:t>
            </w:r>
          </w:p>
        </w:tc>
      </w:tr>
      <w:tr w:rsidR="00E54916" w:rsidRPr="00E54916" w:rsidTr="009D1D25">
        <w:trPr>
          <w:cantSplit/>
        </w:trPr>
        <w:tc>
          <w:tcPr>
            <w:tcW w:w="5402" w:type="dxa"/>
            <w:tcBorders>
              <w:top w:val="single" w:sz="6" w:space="0" w:color="auto"/>
              <w:left w:val="single" w:sz="4" w:space="0" w:color="002060"/>
              <w:bottom w:val="single" w:sz="4" w:space="0" w:color="auto"/>
            </w:tcBorders>
            <w:noWrap/>
          </w:tcPr>
          <w:p w:rsidR="00E54916" w:rsidRPr="009D1D25" w:rsidRDefault="00E54916" w:rsidP="009D1D25">
            <w:pPr>
              <w:pStyle w:val="TableText"/>
              <w:rPr>
                <w:b/>
                <w:bCs/>
                <w:sz w:val="16"/>
                <w:szCs w:val="16"/>
              </w:rPr>
            </w:pPr>
            <w:r w:rsidRPr="009D1D25">
              <w:rPr>
                <w:b/>
                <w:bCs/>
                <w:sz w:val="16"/>
                <w:szCs w:val="16"/>
              </w:rPr>
              <w:t>Agency cash balance - carry over from previous year</w:t>
            </w:r>
          </w:p>
        </w:tc>
        <w:tc>
          <w:tcPr>
            <w:tcW w:w="1370" w:type="dxa"/>
            <w:tcBorders>
              <w:top w:val="single" w:sz="6" w:space="0" w:color="auto"/>
              <w:bottom w:val="single" w:sz="4" w:space="0" w:color="auto"/>
            </w:tcBorders>
            <w:noWrap/>
            <w:vAlign w:val="bottom"/>
          </w:tcPr>
          <w:p w:rsidR="00E54916" w:rsidRPr="009D1D25" w:rsidRDefault="00E54916" w:rsidP="009D1D25">
            <w:pPr>
              <w:pStyle w:val="TableText"/>
              <w:jc w:val="right"/>
              <w:rPr>
                <w:b/>
                <w:bCs/>
                <w:sz w:val="16"/>
                <w:szCs w:val="16"/>
              </w:rPr>
            </w:pPr>
            <w:r w:rsidRPr="009D1D25">
              <w:rPr>
                <w:b/>
                <w:bCs/>
                <w:sz w:val="16"/>
                <w:szCs w:val="16"/>
              </w:rPr>
              <w:t>0</w:t>
            </w:r>
          </w:p>
        </w:tc>
        <w:tc>
          <w:tcPr>
            <w:tcW w:w="1370" w:type="dxa"/>
            <w:tcBorders>
              <w:top w:val="single" w:sz="6" w:space="0" w:color="auto"/>
              <w:bottom w:val="single" w:sz="4" w:space="0" w:color="auto"/>
            </w:tcBorders>
            <w:noWrap/>
            <w:vAlign w:val="bottom"/>
          </w:tcPr>
          <w:p w:rsidR="00E54916" w:rsidRPr="009D1D25" w:rsidRDefault="00E54916" w:rsidP="009D1D25">
            <w:pPr>
              <w:pStyle w:val="TableText"/>
              <w:jc w:val="right"/>
              <w:rPr>
                <w:b/>
                <w:bCs/>
                <w:sz w:val="16"/>
                <w:szCs w:val="16"/>
              </w:rPr>
            </w:pPr>
            <w:r w:rsidRPr="009D1D25">
              <w:rPr>
                <w:b/>
                <w:bCs/>
                <w:sz w:val="16"/>
                <w:szCs w:val="16"/>
              </w:rPr>
              <w:t>10</w:t>
            </w:r>
          </w:p>
        </w:tc>
        <w:tc>
          <w:tcPr>
            <w:tcW w:w="1371" w:type="dxa"/>
            <w:tcBorders>
              <w:top w:val="single" w:sz="6" w:space="0" w:color="auto"/>
              <w:bottom w:val="single" w:sz="4" w:space="0" w:color="auto"/>
              <w:right w:val="single" w:sz="4" w:space="0" w:color="002060"/>
            </w:tcBorders>
            <w:noWrap/>
            <w:vAlign w:val="bottom"/>
          </w:tcPr>
          <w:p w:rsidR="00E54916" w:rsidRPr="009D1D25" w:rsidRDefault="00E54916" w:rsidP="009D1D25">
            <w:pPr>
              <w:pStyle w:val="TableText"/>
              <w:jc w:val="right"/>
              <w:rPr>
                <w:b/>
                <w:bCs/>
                <w:sz w:val="16"/>
                <w:szCs w:val="16"/>
              </w:rPr>
            </w:pPr>
            <w:r w:rsidRPr="009D1D25">
              <w:rPr>
                <w:b/>
                <w:bCs/>
                <w:sz w:val="16"/>
                <w:szCs w:val="16"/>
              </w:rPr>
              <w:t>0</w:t>
            </w:r>
          </w:p>
        </w:tc>
      </w:tr>
      <w:tr w:rsidR="00E54916" w:rsidRPr="00E54916" w:rsidTr="009D1D25">
        <w:trPr>
          <w:cantSplit/>
        </w:trPr>
        <w:tc>
          <w:tcPr>
            <w:tcW w:w="5402" w:type="dxa"/>
            <w:tcBorders>
              <w:left w:val="single" w:sz="4" w:space="0" w:color="002060"/>
            </w:tcBorders>
            <w:noWrap/>
          </w:tcPr>
          <w:p w:rsidR="00E54916" w:rsidRPr="009D1D25" w:rsidRDefault="00E54916" w:rsidP="009D1D25">
            <w:pPr>
              <w:pStyle w:val="TableText"/>
              <w:rPr>
                <w:b/>
                <w:bCs/>
                <w:sz w:val="16"/>
                <w:szCs w:val="16"/>
              </w:rPr>
            </w:pPr>
            <w:r w:rsidRPr="009D1D25">
              <w:rPr>
                <w:b/>
                <w:bCs/>
                <w:sz w:val="16"/>
                <w:szCs w:val="16"/>
              </w:rPr>
              <w:t>Beginning of the year actual cash contributions</w:t>
            </w:r>
          </w:p>
        </w:tc>
        <w:tc>
          <w:tcPr>
            <w:tcW w:w="1370" w:type="dxa"/>
            <w:noWrap/>
            <w:vAlign w:val="bottom"/>
          </w:tcPr>
          <w:p w:rsidR="00E54916" w:rsidRPr="009D1D25" w:rsidRDefault="00E54916" w:rsidP="009D1D25">
            <w:pPr>
              <w:pStyle w:val="TableText"/>
              <w:jc w:val="right"/>
              <w:rPr>
                <w:bCs/>
                <w:sz w:val="16"/>
                <w:szCs w:val="16"/>
              </w:rPr>
            </w:pPr>
          </w:p>
        </w:tc>
        <w:tc>
          <w:tcPr>
            <w:tcW w:w="1370" w:type="dxa"/>
            <w:noWrap/>
            <w:vAlign w:val="bottom"/>
          </w:tcPr>
          <w:p w:rsidR="00E54916" w:rsidRPr="009D1D25" w:rsidRDefault="00E54916" w:rsidP="009D1D25">
            <w:pPr>
              <w:pStyle w:val="TableText"/>
              <w:jc w:val="right"/>
              <w:rPr>
                <w:bCs/>
                <w:sz w:val="16"/>
                <w:szCs w:val="16"/>
              </w:rPr>
            </w:pPr>
          </w:p>
        </w:tc>
        <w:tc>
          <w:tcPr>
            <w:tcW w:w="1371" w:type="dxa"/>
            <w:tcBorders>
              <w:right w:val="single" w:sz="4" w:space="0" w:color="002060"/>
            </w:tcBorders>
            <w:noWrap/>
            <w:vAlign w:val="bottom"/>
          </w:tcPr>
          <w:p w:rsidR="00E54916" w:rsidRPr="009D1D25" w:rsidRDefault="00E54916" w:rsidP="009D1D25">
            <w:pPr>
              <w:pStyle w:val="TableText"/>
              <w:jc w:val="right"/>
              <w:rPr>
                <w:bCs/>
                <w:sz w:val="16"/>
                <w:szCs w:val="16"/>
              </w:rPr>
            </w:pPr>
          </w:p>
        </w:tc>
      </w:tr>
      <w:tr w:rsidR="00E54916" w:rsidRPr="00E54916" w:rsidTr="009D1D25">
        <w:trPr>
          <w:cantSplit/>
        </w:trPr>
        <w:tc>
          <w:tcPr>
            <w:tcW w:w="5402" w:type="dxa"/>
            <w:tcBorders>
              <w:left w:val="single" w:sz="4" w:space="0" w:color="002060"/>
            </w:tcBorders>
            <w:noWrap/>
          </w:tcPr>
          <w:p w:rsidR="00E54916" w:rsidRPr="009D1D25" w:rsidRDefault="00E54916" w:rsidP="009D1D25">
            <w:pPr>
              <w:pStyle w:val="TableText"/>
              <w:rPr>
                <w:sz w:val="16"/>
                <w:szCs w:val="16"/>
              </w:rPr>
            </w:pPr>
            <w:r w:rsidRPr="009D1D25">
              <w:rPr>
                <w:sz w:val="16"/>
                <w:szCs w:val="16"/>
              </w:rPr>
              <w:t>Commonwealth scheduled cash contribution</w:t>
            </w:r>
          </w:p>
        </w:tc>
        <w:tc>
          <w:tcPr>
            <w:tcW w:w="1370" w:type="dxa"/>
            <w:noWrap/>
            <w:vAlign w:val="bottom"/>
          </w:tcPr>
          <w:p w:rsidR="00E54916" w:rsidRPr="009D1D25" w:rsidRDefault="00E54916" w:rsidP="009D1D25">
            <w:pPr>
              <w:pStyle w:val="TableText"/>
              <w:jc w:val="right"/>
              <w:rPr>
                <w:sz w:val="16"/>
                <w:szCs w:val="16"/>
              </w:rPr>
            </w:pPr>
            <w:r w:rsidRPr="009D1D25">
              <w:rPr>
                <w:sz w:val="16"/>
                <w:szCs w:val="16"/>
              </w:rPr>
              <w:t>20</w:t>
            </w:r>
          </w:p>
        </w:tc>
        <w:tc>
          <w:tcPr>
            <w:tcW w:w="1370" w:type="dxa"/>
            <w:noWrap/>
            <w:vAlign w:val="bottom"/>
          </w:tcPr>
          <w:p w:rsidR="00E54916" w:rsidRPr="009D1D25" w:rsidRDefault="00E54916" w:rsidP="009D1D25">
            <w:pPr>
              <w:pStyle w:val="TableText"/>
              <w:jc w:val="right"/>
              <w:rPr>
                <w:sz w:val="16"/>
                <w:szCs w:val="16"/>
              </w:rPr>
            </w:pPr>
            <w:r w:rsidRPr="009D1D25">
              <w:rPr>
                <w:sz w:val="16"/>
                <w:szCs w:val="16"/>
              </w:rPr>
              <w:t>20</w:t>
            </w:r>
          </w:p>
        </w:tc>
        <w:tc>
          <w:tcPr>
            <w:tcW w:w="1371" w:type="dxa"/>
            <w:tcBorders>
              <w:right w:val="single" w:sz="4" w:space="0" w:color="002060"/>
            </w:tcBorders>
            <w:noWrap/>
            <w:vAlign w:val="bottom"/>
          </w:tcPr>
          <w:p w:rsidR="00E54916" w:rsidRPr="009D1D25" w:rsidRDefault="00E54916" w:rsidP="009D1D25">
            <w:pPr>
              <w:pStyle w:val="TableText"/>
              <w:jc w:val="right"/>
              <w:rPr>
                <w:sz w:val="16"/>
                <w:szCs w:val="16"/>
              </w:rPr>
            </w:pPr>
            <w:r w:rsidRPr="009D1D25">
              <w:rPr>
                <w:sz w:val="16"/>
                <w:szCs w:val="16"/>
              </w:rPr>
              <w:t>20</w:t>
            </w:r>
          </w:p>
        </w:tc>
      </w:tr>
      <w:tr w:rsidR="00E54916" w:rsidRPr="00E54916" w:rsidTr="009D1D25">
        <w:trPr>
          <w:cantSplit/>
        </w:trPr>
        <w:tc>
          <w:tcPr>
            <w:tcW w:w="5402" w:type="dxa"/>
            <w:tcBorders>
              <w:left w:val="single" w:sz="4" w:space="0" w:color="002060"/>
            </w:tcBorders>
            <w:noWrap/>
          </w:tcPr>
          <w:p w:rsidR="00E54916" w:rsidRPr="009D1D25" w:rsidRDefault="00E54916" w:rsidP="009D1D25">
            <w:pPr>
              <w:pStyle w:val="TableText"/>
              <w:rPr>
                <w:sz w:val="16"/>
                <w:szCs w:val="16"/>
              </w:rPr>
            </w:pPr>
            <w:r w:rsidRPr="009D1D25">
              <w:rPr>
                <w:sz w:val="16"/>
                <w:szCs w:val="16"/>
              </w:rPr>
              <w:t>State scheduled cash contribution</w:t>
            </w:r>
          </w:p>
        </w:tc>
        <w:tc>
          <w:tcPr>
            <w:tcW w:w="1370" w:type="dxa"/>
            <w:noWrap/>
            <w:vAlign w:val="bottom"/>
          </w:tcPr>
          <w:p w:rsidR="00E54916" w:rsidRPr="009D1D25" w:rsidRDefault="00E54916" w:rsidP="009D1D25">
            <w:pPr>
              <w:pStyle w:val="TableText"/>
              <w:jc w:val="right"/>
              <w:rPr>
                <w:sz w:val="16"/>
                <w:szCs w:val="16"/>
              </w:rPr>
            </w:pPr>
            <w:r w:rsidRPr="009D1D25">
              <w:rPr>
                <w:sz w:val="16"/>
                <w:szCs w:val="16"/>
              </w:rPr>
              <w:t>30</w:t>
            </w:r>
          </w:p>
        </w:tc>
        <w:tc>
          <w:tcPr>
            <w:tcW w:w="1370" w:type="dxa"/>
            <w:noWrap/>
            <w:vAlign w:val="bottom"/>
          </w:tcPr>
          <w:p w:rsidR="00E54916" w:rsidRPr="009D1D25" w:rsidRDefault="00E54916" w:rsidP="009D1D25">
            <w:pPr>
              <w:pStyle w:val="TableText"/>
              <w:jc w:val="right"/>
              <w:rPr>
                <w:sz w:val="16"/>
                <w:szCs w:val="16"/>
              </w:rPr>
            </w:pPr>
            <w:r w:rsidRPr="009D1D25">
              <w:rPr>
                <w:sz w:val="16"/>
                <w:szCs w:val="16"/>
              </w:rPr>
              <w:t>30</w:t>
            </w:r>
          </w:p>
        </w:tc>
        <w:tc>
          <w:tcPr>
            <w:tcW w:w="1371" w:type="dxa"/>
            <w:tcBorders>
              <w:right w:val="single" w:sz="4" w:space="0" w:color="002060"/>
            </w:tcBorders>
            <w:noWrap/>
            <w:vAlign w:val="bottom"/>
          </w:tcPr>
          <w:p w:rsidR="00E54916" w:rsidRPr="009D1D25" w:rsidRDefault="00E54916" w:rsidP="009D1D25">
            <w:pPr>
              <w:pStyle w:val="TableText"/>
              <w:jc w:val="right"/>
              <w:rPr>
                <w:sz w:val="16"/>
                <w:szCs w:val="16"/>
              </w:rPr>
            </w:pPr>
            <w:r w:rsidRPr="009D1D25">
              <w:rPr>
                <w:sz w:val="16"/>
                <w:szCs w:val="16"/>
              </w:rPr>
              <w:t>30</w:t>
            </w:r>
          </w:p>
        </w:tc>
      </w:tr>
      <w:tr w:rsidR="00E54916" w:rsidRPr="00E54916" w:rsidTr="009D1D25">
        <w:trPr>
          <w:cantSplit/>
        </w:trPr>
        <w:tc>
          <w:tcPr>
            <w:tcW w:w="5402" w:type="dxa"/>
            <w:tcBorders>
              <w:left w:val="single" w:sz="4" w:space="0" w:color="002060"/>
            </w:tcBorders>
            <w:noWrap/>
            <w:vAlign w:val="bottom"/>
          </w:tcPr>
          <w:p w:rsidR="00E54916" w:rsidRPr="009D1D25" w:rsidRDefault="00E54916" w:rsidP="009D1D25">
            <w:pPr>
              <w:pStyle w:val="TableText"/>
              <w:rPr>
                <w:sz w:val="16"/>
                <w:szCs w:val="16"/>
              </w:rPr>
            </w:pPr>
            <w:r w:rsidRPr="009D1D25">
              <w:rPr>
                <w:sz w:val="16"/>
                <w:szCs w:val="16"/>
              </w:rPr>
              <w:t>Additional State contribution for lower delivery of in-kind service in the previous year (S44)</w:t>
            </w:r>
          </w:p>
        </w:tc>
        <w:tc>
          <w:tcPr>
            <w:tcW w:w="1370" w:type="dxa"/>
            <w:noWrap/>
            <w:vAlign w:val="bottom"/>
          </w:tcPr>
          <w:p w:rsidR="00E54916" w:rsidRPr="009D1D25" w:rsidRDefault="00E54916" w:rsidP="009D1D25">
            <w:pPr>
              <w:pStyle w:val="TableText"/>
              <w:jc w:val="right"/>
              <w:rPr>
                <w:sz w:val="16"/>
                <w:szCs w:val="16"/>
              </w:rPr>
            </w:pPr>
          </w:p>
        </w:tc>
        <w:tc>
          <w:tcPr>
            <w:tcW w:w="1370" w:type="dxa"/>
            <w:noWrap/>
            <w:vAlign w:val="bottom"/>
          </w:tcPr>
          <w:p w:rsidR="00E54916" w:rsidRPr="009D1D25" w:rsidRDefault="00E54916" w:rsidP="009D1D25">
            <w:pPr>
              <w:pStyle w:val="TableText"/>
              <w:jc w:val="right"/>
              <w:rPr>
                <w:sz w:val="16"/>
                <w:szCs w:val="16"/>
              </w:rPr>
            </w:pPr>
            <w:r w:rsidRPr="009D1D25">
              <w:rPr>
                <w:sz w:val="16"/>
                <w:szCs w:val="16"/>
              </w:rPr>
              <w:t>0</w:t>
            </w:r>
          </w:p>
        </w:tc>
        <w:tc>
          <w:tcPr>
            <w:tcW w:w="1371" w:type="dxa"/>
            <w:tcBorders>
              <w:right w:val="single" w:sz="4" w:space="0" w:color="002060"/>
            </w:tcBorders>
            <w:noWrap/>
            <w:vAlign w:val="bottom"/>
          </w:tcPr>
          <w:p w:rsidR="00E54916" w:rsidRPr="009D1D25" w:rsidRDefault="00E54916" w:rsidP="009D1D25">
            <w:pPr>
              <w:pStyle w:val="TableText"/>
              <w:jc w:val="right"/>
              <w:rPr>
                <w:sz w:val="16"/>
                <w:szCs w:val="16"/>
              </w:rPr>
            </w:pPr>
            <w:r w:rsidRPr="009D1D25">
              <w:rPr>
                <w:sz w:val="16"/>
                <w:szCs w:val="16"/>
              </w:rPr>
              <w:t>0</w:t>
            </w:r>
          </w:p>
        </w:tc>
      </w:tr>
      <w:tr w:rsidR="00E54916" w:rsidRPr="00E54916" w:rsidTr="009D1D25">
        <w:trPr>
          <w:cantSplit/>
        </w:trPr>
        <w:tc>
          <w:tcPr>
            <w:tcW w:w="5402" w:type="dxa"/>
            <w:tcBorders>
              <w:left w:val="single" w:sz="4" w:space="0" w:color="002060"/>
            </w:tcBorders>
            <w:noWrap/>
            <w:vAlign w:val="bottom"/>
          </w:tcPr>
          <w:p w:rsidR="00E54916" w:rsidRPr="009D1D25" w:rsidRDefault="00E54916" w:rsidP="009D1D25">
            <w:pPr>
              <w:pStyle w:val="TableText"/>
              <w:rPr>
                <w:sz w:val="16"/>
                <w:szCs w:val="16"/>
              </w:rPr>
            </w:pPr>
            <w:r w:rsidRPr="009D1D25">
              <w:rPr>
                <w:sz w:val="16"/>
                <w:szCs w:val="16"/>
              </w:rPr>
              <w:t>Return of funding to the Commonwealth for lower State in-kind service provision (S44)</w:t>
            </w:r>
          </w:p>
        </w:tc>
        <w:tc>
          <w:tcPr>
            <w:tcW w:w="1370" w:type="dxa"/>
            <w:noWrap/>
            <w:vAlign w:val="bottom"/>
          </w:tcPr>
          <w:p w:rsidR="00E54916" w:rsidRPr="009D1D25" w:rsidRDefault="00E54916" w:rsidP="009D1D25">
            <w:pPr>
              <w:pStyle w:val="TableText"/>
              <w:jc w:val="right"/>
              <w:rPr>
                <w:sz w:val="16"/>
                <w:szCs w:val="16"/>
              </w:rPr>
            </w:pPr>
          </w:p>
        </w:tc>
        <w:tc>
          <w:tcPr>
            <w:tcW w:w="1370" w:type="dxa"/>
            <w:noWrap/>
            <w:vAlign w:val="bottom"/>
          </w:tcPr>
          <w:p w:rsidR="00E54916" w:rsidRPr="009D1D25" w:rsidRDefault="00E54916" w:rsidP="009D1D25">
            <w:pPr>
              <w:pStyle w:val="TableText"/>
              <w:jc w:val="right"/>
              <w:rPr>
                <w:sz w:val="16"/>
                <w:szCs w:val="16"/>
              </w:rPr>
            </w:pPr>
            <w:r w:rsidRPr="009D1D25">
              <w:rPr>
                <w:sz w:val="16"/>
                <w:szCs w:val="16"/>
              </w:rPr>
              <w:t>0</w:t>
            </w:r>
          </w:p>
        </w:tc>
        <w:tc>
          <w:tcPr>
            <w:tcW w:w="1371" w:type="dxa"/>
            <w:tcBorders>
              <w:right w:val="single" w:sz="4" w:space="0" w:color="002060"/>
            </w:tcBorders>
            <w:noWrap/>
            <w:vAlign w:val="bottom"/>
          </w:tcPr>
          <w:p w:rsidR="00E54916" w:rsidRPr="009D1D25" w:rsidRDefault="00E54916" w:rsidP="009D1D25">
            <w:pPr>
              <w:pStyle w:val="TableText"/>
              <w:jc w:val="right"/>
              <w:rPr>
                <w:sz w:val="16"/>
                <w:szCs w:val="16"/>
              </w:rPr>
            </w:pPr>
            <w:r w:rsidRPr="009D1D25">
              <w:rPr>
                <w:sz w:val="16"/>
                <w:szCs w:val="16"/>
              </w:rPr>
              <w:t>0</w:t>
            </w:r>
          </w:p>
        </w:tc>
      </w:tr>
      <w:tr w:rsidR="00E54916" w:rsidRPr="00E54916" w:rsidTr="009D1D25">
        <w:trPr>
          <w:cantSplit/>
        </w:trPr>
        <w:tc>
          <w:tcPr>
            <w:tcW w:w="5402" w:type="dxa"/>
            <w:tcBorders>
              <w:left w:val="single" w:sz="4" w:space="0" w:color="002060"/>
            </w:tcBorders>
            <w:noWrap/>
            <w:vAlign w:val="bottom"/>
          </w:tcPr>
          <w:p w:rsidR="00E54916" w:rsidRPr="009D1D25" w:rsidRDefault="00E54916" w:rsidP="009D1D25">
            <w:pPr>
              <w:pStyle w:val="TableText"/>
              <w:rPr>
                <w:sz w:val="16"/>
                <w:szCs w:val="16"/>
              </w:rPr>
            </w:pPr>
            <w:r w:rsidRPr="009D1D25">
              <w:rPr>
                <w:sz w:val="16"/>
                <w:szCs w:val="16"/>
              </w:rPr>
              <w:t>Adjustment for previous year’s cash underspend based on funding shares - Commonwealth (S49)</w:t>
            </w:r>
          </w:p>
        </w:tc>
        <w:tc>
          <w:tcPr>
            <w:tcW w:w="1370" w:type="dxa"/>
            <w:noWrap/>
            <w:vAlign w:val="bottom"/>
          </w:tcPr>
          <w:p w:rsidR="00E54916" w:rsidRPr="009D1D25" w:rsidRDefault="00E54916" w:rsidP="009D1D25">
            <w:pPr>
              <w:pStyle w:val="TableText"/>
              <w:jc w:val="right"/>
              <w:rPr>
                <w:sz w:val="16"/>
                <w:szCs w:val="16"/>
              </w:rPr>
            </w:pPr>
          </w:p>
        </w:tc>
        <w:tc>
          <w:tcPr>
            <w:tcW w:w="1370" w:type="dxa"/>
            <w:noWrap/>
            <w:vAlign w:val="bottom"/>
          </w:tcPr>
          <w:p w:rsidR="00E54916" w:rsidRPr="009D1D25" w:rsidRDefault="00E54916" w:rsidP="009D1D25">
            <w:pPr>
              <w:pStyle w:val="TableText"/>
              <w:jc w:val="right"/>
              <w:rPr>
                <w:sz w:val="16"/>
                <w:szCs w:val="16"/>
              </w:rPr>
            </w:pPr>
            <w:r w:rsidRPr="009D1D25">
              <w:rPr>
                <w:sz w:val="16"/>
                <w:szCs w:val="16"/>
              </w:rPr>
              <w:t>-4</w:t>
            </w:r>
          </w:p>
        </w:tc>
        <w:tc>
          <w:tcPr>
            <w:tcW w:w="1371" w:type="dxa"/>
            <w:tcBorders>
              <w:right w:val="single" w:sz="4" w:space="0" w:color="002060"/>
            </w:tcBorders>
            <w:noWrap/>
            <w:vAlign w:val="bottom"/>
          </w:tcPr>
          <w:p w:rsidR="00E54916" w:rsidRPr="009D1D25" w:rsidRDefault="00E54916" w:rsidP="009D1D25">
            <w:pPr>
              <w:pStyle w:val="TableText"/>
              <w:jc w:val="right"/>
              <w:rPr>
                <w:sz w:val="16"/>
                <w:szCs w:val="16"/>
              </w:rPr>
            </w:pPr>
            <w:r w:rsidRPr="009D1D25">
              <w:rPr>
                <w:sz w:val="16"/>
                <w:szCs w:val="16"/>
              </w:rPr>
              <w:t>0</w:t>
            </w:r>
          </w:p>
        </w:tc>
      </w:tr>
      <w:tr w:rsidR="00E54916" w:rsidRPr="00E54916" w:rsidTr="009D1D25">
        <w:trPr>
          <w:cantSplit/>
        </w:trPr>
        <w:tc>
          <w:tcPr>
            <w:tcW w:w="5402" w:type="dxa"/>
            <w:tcBorders>
              <w:left w:val="single" w:sz="4" w:space="0" w:color="002060"/>
            </w:tcBorders>
            <w:noWrap/>
            <w:vAlign w:val="bottom"/>
          </w:tcPr>
          <w:p w:rsidR="00E54916" w:rsidRPr="009D1D25" w:rsidRDefault="00E54916" w:rsidP="009D1D25">
            <w:pPr>
              <w:pStyle w:val="TableText"/>
              <w:rPr>
                <w:sz w:val="16"/>
                <w:szCs w:val="16"/>
              </w:rPr>
            </w:pPr>
            <w:r w:rsidRPr="009D1D25">
              <w:rPr>
                <w:sz w:val="16"/>
                <w:szCs w:val="16"/>
              </w:rPr>
              <w:t>Adjustment for previous year’s cash underspend based on funding shares - States (S49)</w:t>
            </w:r>
          </w:p>
        </w:tc>
        <w:tc>
          <w:tcPr>
            <w:tcW w:w="1370" w:type="dxa"/>
            <w:noWrap/>
            <w:vAlign w:val="bottom"/>
          </w:tcPr>
          <w:p w:rsidR="00E54916" w:rsidRPr="009D1D25" w:rsidRDefault="00E54916" w:rsidP="009D1D25">
            <w:pPr>
              <w:pStyle w:val="TableText"/>
              <w:jc w:val="right"/>
              <w:rPr>
                <w:sz w:val="16"/>
                <w:szCs w:val="16"/>
              </w:rPr>
            </w:pPr>
          </w:p>
        </w:tc>
        <w:tc>
          <w:tcPr>
            <w:tcW w:w="1370" w:type="dxa"/>
            <w:noWrap/>
            <w:vAlign w:val="bottom"/>
          </w:tcPr>
          <w:p w:rsidR="00E54916" w:rsidRPr="009D1D25" w:rsidRDefault="00E54916" w:rsidP="009D1D25">
            <w:pPr>
              <w:pStyle w:val="TableText"/>
              <w:jc w:val="right"/>
              <w:rPr>
                <w:sz w:val="16"/>
                <w:szCs w:val="16"/>
              </w:rPr>
            </w:pPr>
            <w:r w:rsidRPr="009D1D25">
              <w:rPr>
                <w:sz w:val="16"/>
                <w:szCs w:val="16"/>
              </w:rPr>
              <w:t>-6</w:t>
            </w:r>
          </w:p>
        </w:tc>
        <w:tc>
          <w:tcPr>
            <w:tcW w:w="1371" w:type="dxa"/>
            <w:tcBorders>
              <w:right w:val="single" w:sz="4" w:space="0" w:color="002060"/>
            </w:tcBorders>
            <w:noWrap/>
            <w:vAlign w:val="bottom"/>
          </w:tcPr>
          <w:p w:rsidR="00E54916" w:rsidRPr="009D1D25" w:rsidRDefault="00E54916" w:rsidP="009D1D25">
            <w:pPr>
              <w:pStyle w:val="TableText"/>
              <w:jc w:val="right"/>
              <w:rPr>
                <w:sz w:val="16"/>
                <w:szCs w:val="16"/>
              </w:rPr>
            </w:pPr>
            <w:r w:rsidRPr="009D1D25">
              <w:rPr>
                <w:sz w:val="16"/>
                <w:szCs w:val="16"/>
              </w:rPr>
              <w:t>0</w:t>
            </w:r>
          </w:p>
        </w:tc>
      </w:tr>
      <w:tr w:rsidR="00E54916" w:rsidRPr="00E54916" w:rsidTr="009D1D25">
        <w:trPr>
          <w:cantSplit/>
        </w:trPr>
        <w:tc>
          <w:tcPr>
            <w:tcW w:w="5402" w:type="dxa"/>
            <w:tcBorders>
              <w:top w:val="single" w:sz="4" w:space="0" w:color="auto"/>
              <w:left w:val="single" w:sz="4" w:space="0" w:color="002060"/>
              <w:bottom w:val="single" w:sz="4" w:space="0" w:color="auto"/>
            </w:tcBorders>
            <w:noWrap/>
            <w:vAlign w:val="bottom"/>
          </w:tcPr>
          <w:p w:rsidR="00E54916" w:rsidRPr="009D1D25" w:rsidRDefault="00E54916" w:rsidP="009D1D25">
            <w:pPr>
              <w:pStyle w:val="TableText"/>
              <w:rPr>
                <w:b/>
                <w:bCs/>
                <w:sz w:val="16"/>
                <w:szCs w:val="16"/>
              </w:rPr>
            </w:pPr>
            <w:r w:rsidRPr="009D1D25">
              <w:rPr>
                <w:b/>
                <w:bCs/>
                <w:sz w:val="16"/>
                <w:szCs w:val="16"/>
              </w:rPr>
              <w:t>Agency cash at the beginning of the year</w:t>
            </w:r>
          </w:p>
        </w:tc>
        <w:tc>
          <w:tcPr>
            <w:tcW w:w="1370" w:type="dxa"/>
            <w:tcBorders>
              <w:top w:val="single" w:sz="4" w:space="0" w:color="auto"/>
              <w:bottom w:val="single" w:sz="4" w:space="0" w:color="auto"/>
            </w:tcBorders>
            <w:noWrap/>
            <w:vAlign w:val="bottom"/>
          </w:tcPr>
          <w:p w:rsidR="00E54916" w:rsidRPr="009D1D25" w:rsidRDefault="00E54916" w:rsidP="009D1D25">
            <w:pPr>
              <w:pStyle w:val="TableText"/>
              <w:jc w:val="right"/>
              <w:rPr>
                <w:b/>
                <w:bCs/>
                <w:sz w:val="16"/>
                <w:szCs w:val="16"/>
              </w:rPr>
            </w:pPr>
            <w:r w:rsidRPr="009D1D25">
              <w:rPr>
                <w:b/>
                <w:bCs/>
                <w:sz w:val="16"/>
                <w:szCs w:val="16"/>
              </w:rPr>
              <w:t>50</w:t>
            </w:r>
          </w:p>
        </w:tc>
        <w:tc>
          <w:tcPr>
            <w:tcW w:w="1370" w:type="dxa"/>
            <w:tcBorders>
              <w:top w:val="single" w:sz="4" w:space="0" w:color="auto"/>
              <w:bottom w:val="single" w:sz="4" w:space="0" w:color="auto"/>
            </w:tcBorders>
            <w:noWrap/>
            <w:vAlign w:val="bottom"/>
          </w:tcPr>
          <w:p w:rsidR="00E54916" w:rsidRPr="009D1D25" w:rsidRDefault="00E54916" w:rsidP="009D1D25">
            <w:pPr>
              <w:pStyle w:val="TableText"/>
              <w:jc w:val="right"/>
              <w:rPr>
                <w:b/>
                <w:bCs/>
                <w:sz w:val="16"/>
                <w:szCs w:val="16"/>
              </w:rPr>
            </w:pPr>
            <w:r w:rsidRPr="009D1D25">
              <w:rPr>
                <w:b/>
                <w:bCs/>
                <w:sz w:val="16"/>
                <w:szCs w:val="16"/>
              </w:rPr>
              <w:t>50</w:t>
            </w:r>
          </w:p>
        </w:tc>
        <w:tc>
          <w:tcPr>
            <w:tcW w:w="1371" w:type="dxa"/>
            <w:tcBorders>
              <w:top w:val="single" w:sz="4" w:space="0" w:color="auto"/>
              <w:bottom w:val="single" w:sz="4" w:space="0" w:color="auto"/>
              <w:right w:val="single" w:sz="4" w:space="0" w:color="002060"/>
            </w:tcBorders>
            <w:noWrap/>
            <w:vAlign w:val="bottom"/>
          </w:tcPr>
          <w:p w:rsidR="00E54916" w:rsidRPr="009D1D25" w:rsidRDefault="00E54916" w:rsidP="009D1D25">
            <w:pPr>
              <w:pStyle w:val="TableText"/>
              <w:jc w:val="right"/>
              <w:rPr>
                <w:b/>
                <w:bCs/>
                <w:sz w:val="16"/>
                <w:szCs w:val="16"/>
              </w:rPr>
            </w:pPr>
            <w:r w:rsidRPr="009D1D25">
              <w:rPr>
                <w:b/>
                <w:bCs/>
                <w:sz w:val="16"/>
                <w:szCs w:val="16"/>
              </w:rPr>
              <w:t>50</w:t>
            </w:r>
          </w:p>
        </w:tc>
      </w:tr>
      <w:tr w:rsidR="00E54916" w:rsidRPr="00E54916" w:rsidTr="009D1D25">
        <w:trPr>
          <w:cantSplit/>
        </w:trPr>
        <w:tc>
          <w:tcPr>
            <w:tcW w:w="5402" w:type="dxa"/>
            <w:tcBorders>
              <w:left w:val="single" w:sz="4" w:space="0" w:color="002060"/>
            </w:tcBorders>
            <w:noWrap/>
            <w:vAlign w:val="bottom"/>
          </w:tcPr>
          <w:p w:rsidR="00E54916" w:rsidRPr="009D1D25" w:rsidRDefault="00E54916" w:rsidP="009D1D25">
            <w:pPr>
              <w:pStyle w:val="TableText"/>
              <w:rPr>
                <w:b/>
                <w:bCs/>
                <w:sz w:val="16"/>
                <w:szCs w:val="16"/>
              </w:rPr>
            </w:pPr>
            <w:r w:rsidRPr="009D1D25">
              <w:rPr>
                <w:b/>
                <w:bCs/>
                <w:sz w:val="16"/>
                <w:szCs w:val="16"/>
              </w:rPr>
              <w:t>Actual expenditure during the year</w:t>
            </w:r>
          </w:p>
        </w:tc>
        <w:tc>
          <w:tcPr>
            <w:tcW w:w="1370" w:type="dxa"/>
            <w:noWrap/>
            <w:vAlign w:val="bottom"/>
          </w:tcPr>
          <w:p w:rsidR="00E54916" w:rsidRPr="009D1D25" w:rsidRDefault="00E54916" w:rsidP="009D1D25">
            <w:pPr>
              <w:pStyle w:val="TableText"/>
              <w:jc w:val="right"/>
              <w:rPr>
                <w:sz w:val="16"/>
                <w:szCs w:val="16"/>
              </w:rPr>
            </w:pPr>
          </w:p>
        </w:tc>
        <w:tc>
          <w:tcPr>
            <w:tcW w:w="1370" w:type="dxa"/>
            <w:noWrap/>
            <w:vAlign w:val="bottom"/>
          </w:tcPr>
          <w:p w:rsidR="00E54916" w:rsidRPr="009D1D25" w:rsidRDefault="00E54916" w:rsidP="009D1D25">
            <w:pPr>
              <w:pStyle w:val="TableText"/>
              <w:jc w:val="right"/>
              <w:rPr>
                <w:sz w:val="16"/>
                <w:szCs w:val="16"/>
              </w:rPr>
            </w:pPr>
          </w:p>
        </w:tc>
        <w:tc>
          <w:tcPr>
            <w:tcW w:w="1371" w:type="dxa"/>
            <w:tcBorders>
              <w:right w:val="single" w:sz="4" w:space="0" w:color="002060"/>
            </w:tcBorders>
            <w:noWrap/>
            <w:vAlign w:val="bottom"/>
          </w:tcPr>
          <w:p w:rsidR="00E54916" w:rsidRPr="009D1D25" w:rsidRDefault="00E54916" w:rsidP="009D1D25">
            <w:pPr>
              <w:pStyle w:val="TableText"/>
              <w:jc w:val="right"/>
              <w:rPr>
                <w:sz w:val="16"/>
                <w:szCs w:val="16"/>
              </w:rPr>
            </w:pPr>
          </w:p>
        </w:tc>
      </w:tr>
      <w:tr w:rsidR="00E54916" w:rsidRPr="00E54916" w:rsidTr="009D1D25">
        <w:trPr>
          <w:cantSplit/>
        </w:trPr>
        <w:tc>
          <w:tcPr>
            <w:tcW w:w="5402" w:type="dxa"/>
            <w:tcBorders>
              <w:left w:val="single" w:sz="4" w:space="0" w:color="002060"/>
            </w:tcBorders>
            <w:noWrap/>
            <w:vAlign w:val="bottom"/>
          </w:tcPr>
          <w:p w:rsidR="00E54916" w:rsidRPr="009D1D25" w:rsidRDefault="00E54916" w:rsidP="009D1D25">
            <w:pPr>
              <w:pStyle w:val="TableText"/>
              <w:rPr>
                <w:sz w:val="16"/>
                <w:szCs w:val="16"/>
              </w:rPr>
            </w:pPr>
            <w:r w:rsidRPr="009D1D25">
              <w:rPr>
                <w:sz w:val="16"/>
                <w:szCs w:val="16"/>
              </w:rPr>
              <w:t xml:space="preserve">Cash </w:t>
            </w:r>
          </w:p>
        </w:tc>
        <w:tc>
          <w:tcPr>
            <w:tcW w:w="1370" w:type="dxa"/>
            <w:noWrap/>
            <w:vAlign w:val="bottom"/>
          </w:tcPr>
          <w:p w:rsidR="00E54916" w:rsidRPr="009D1D25" w:rsidRDefault="00E54916" w:rsidP="009D1D25">
            <w:pPr>
              <w:pStyle w:val="TableText"/>
              <w:jc w:val="right"/>
              <w:rPr>
                <w:sz w:val="16"/>
                <w:szCs w:val="16"/>
              </w:rPr>
            </w:pPr>
          </w:p>
        </w:tc>
        <w:tc>
          <w:tcPr>
            <w:tcW w:w="1370" w:type="dxa"/>
            <w:noWrap/>
            <w:vAlign w:val="bottom"/>
          </w:tcPr>
          <w:p w:rsidR="00E54916" w:rsidRPr="009D1D25" w:rsidRDefault="00E54916" w:rsidP="009D1D25">
            <w:pPr>
              <w:pStyle w:val="TableText"/>
              <w:jc w:val="right"/>
              <w:rPr>
                <w:sz w:val="16"/>
                <w:szCs w:val="16"/>
              </w:rPr>
            </w:pPr>
          </w:p>
        </w:tc>
        <w:tc>
          <w:tcPr>
            <w:tcW w:w="1371" w:type="dxa"/>
            <w:tcBorders>
              <w:right w:val="single" w:sz="4" w:space="0" w:color="002060"/>
            </w:tcBorders>
            <w:noWrap/>
            <w:vAlign w:val="bottom"/>
          </w:tcPr>
          <w:p w:rsidR="00E54916" w:rsidRPr="009D1D25" w:rsidRDefault="00E54916" w:rsidP="009D1D25">
            <w:pPr>
              <w:pStyle w:val="TableText"/>
              <w:jc w:val="right"/>
              <w:rPr>
                <w:sz w:val="16"/>
                <w:szCs w:val="16"/>
              </w:rPr>
            </w:pPr>
          </w:p>
        </w:tc>
      </w:tr>
      <w:tr w:rsidR="00E54916" w:rsidRPr="00E54916" w:rsidTr="009D1D25">
        <w:trPr>
          <w:cantSplit/>
        </w:trPr>
        <w:tc>
          <w:tcPr>
            <w:tcW w:w="5402" w:type="dxa"/>
            <w:tcBorders>
              <w:left w:val="single" w:sz="4" w:space="0" w:color="002060"/>
            </w:tcBorders>
            <w:noWrap/>
            <w:vAlign w:val="bottom"/>
          </w:tcPr>
          <w:p w:rsidR="00E54916" w:rsidRPr="009D1D25" w:rsidRDefault="00E54916" w:rsidP="009D1D25">
            <w:pPr>
              <w:pStyle w:val="TableText"/>
              <w:rPr>
                <w:sz w:val="16"/>
                <w:szCs w:val="16"/>
              </w:rPr>
            </w:pPr>
            <w:r w:rsidRPr="009D1D25">
              <w:rPr>
                <w:sz w:val="16"/>
                <w:szCs w:val="16"/>
              </w:rPr>
              <w:t>Commonwealth in-kind</w:t>
            </w:r>
          </w:p>
        </w:tc>
        <w:tc>
          <w:tcPr>
            <w:tcW w:w="1370" w:type="dxa"/>
            <w:noWrap/>
            <w:vAlign w:val="bottom"/>
          </w:tcPr>
          <w:p w:rsidR="00E54916" w:rsidRPr="009D1D25" w:rsidRDefault="00E54916" w:rsidP="009D1D25">
            <w:pPr>
              <w:pStyle w:val="TableText"/>
              <w:jc w:val="right"/>
              <w:rPr>
                <w:sz w:val="16"/>
                <w:szCs w:val="16"/>
              </w:rPr>
            </w:pPr>
            <w:r w:rsidRPr="009D1D25">
              <w:rPr>
                <w:sz w:val="16"/>
                <w:szCs w:val="16"/>
              </w:rPr>
              <w:t>-40</w:t>
            </w:r>
          </w:p>
        </w:tc>
        <w:tc>
          <w:tcPr>
            <w:tcW w:w="1370" w:type="dxa"/>
            <w:noWrap/>
            <w:vAlign w:val="bottom"/>
          </w:tcPr>
          <w:p w:rsidR="00E54916" w:rsidRPr="009D1D25" w:rsidRDefault="00E54916" w:rsidP="009D1D25">
            <w:pPr>
              <w:pStyle w:val="TableText"/>
              <w:jc w:val="right"/>
              <w:rPr>
                <w:sz w:val="16"/>
                <w:szCs w:val="16"/>
              </w:rPr>
            </w:pPr>
            <w:r w:rsidRPr="009D1D25">
              <w:rPr>
                <w:sz w:val="16"/>
                <w:szCs w:val="16"/>
              </w:rPr>
              <w:t>-80</w:t>
            </w:r>
          </w:p>
        </w:tc>
        <w:tc>
          <w:tcPr>
            <w:tcW w:w="1371" w:type="dxa"/>
            <w:tcBorders>
              <w:right w:val="single" w:sz="4" w:space="0" w:color="002060"/>
            </w:tcBorders>
            <w:noWrap/>
            <w:vAlign w:val="bottom"/>
          </w:tcPr>
          <w:p w:rsidR="00E54916" w:rsidRPr="009D1D25" w:rsidRDefault="00E54916" w:rsidP="009D1D25">
            <w:pPr>
              <w:pStyle w:val="TableText"/>
              <w:jc w:val="right"/>
              <w:rPr>
                <w:sz w:val="16"/>
                <w:szCs w:val="16"/>
              </w:rPr>
            </w:pPr>
            <w:r w:rsidRPr="009D1D25">
              <w:rPr>
                <w:sz w:val="16"/>
                <w:szCs w:val="16"/>
              </w:rPr>
              <w:t>-50</w:t>
            </w:r>
          </w:p>
        </w:tc>
      </w:tr>
      <w:tr w:rsidR="00E54916" w:rsidRPr="00E54916" w:rsidTr="009D1D25">
        <w:trPr>
          <w:cantSplit/>
        </w:trPr>
        <w:tc>
          <w:tcPr>
            <w:tcW w:w="5402" w:type="dxa"/>
            <w:tcBorders>
              <w:left w:val="single" w:sz="4" w:space="0" w:color="002060"/>
            </w:tcBorders>
            <w:noWrap/>
            <w:vAlign w:val="bottom"/>
          </w:tcPr>
          <w:p w:rsidR="00E54916" w:rsidRPr="009D1D25" w:rsidRDefault="00E54916" w:rsidP="009D1D25">
            <w:pPr>
              <w:pStyle w:val="TableText"/>
              <w:rPr>
                <w:sz w:val="16"/>
                <w:szCs w:val="16"/>
              </w:rPr>
            </w:pPr>
            <w:r w:rsidRPr="009D1D25">
              <w:rPr>
                <w:sz w:val="16"/>
                <w:szCs w:val="16"/>
              </w:rPr>
              <w:t>State in-kind</w:t>
            </w:r>
          </w:p>
        </w:tc>
        <w:tc>
          <w:tcPr>
            <w:tcW w:w="1370" w:type="dxa"/>
            <w:noWrap/>
            <w:vAlign w:val="bottom"/>
          </w:tcPr>
          <w:p w:rsidR="00E54916" w:rsidRPr="009D1D25" w:rsidRDefault="00E54916" w:rsidP="009D1D25">
            <w:pPr>
              <w:pStyle w:val="TableText"/>
              <w:jc w:val="right"/>
              <w:rPr>
                <w:sz w:val="16"/>
                <w:szCs w:val="16"/>
              </w:rPr>
            </w:pPr>
            <w:r w:rsidRPr="009D1D25">
              <w:rPr>
                <w:sz w:val="16"/>
                <w:szCs w:val="16"/>
              </w:rPr>
              <w:t>-10</w:t>
            </w:r>
          </w:p>
        </w:tc>
        <w:tc>
          <w:tcPr>
            <w:tcW w:w="1370" w:type="dxa"/>
            <w:noWrap/>
            <w:vAlign w:val="bottom"/>
          </w:tcPr>
          <w:p w:rsidR="00E54916" w:rsidRPr="009D1D25" w:rsidRDefault="00E54916" w:rsidP="009D1D25">
            <w:pPr>
              <w:pStyle w:val="TableText"/>
              <w:jc w:val="right"/>
              <w:rPr>
                <w:sz w:val="16"/>
                <w:szCs w:val="16"/>
              </w:rPr>
            </w:pPr>
            <w:r w:rsidRPr="009D1D25">
              <w:rPr>
                <w:sz w:val="16"/>
                <w:szCs w:val="16"/>
              </w:rPr>
              <w:t>-20</w:t>
            </w:r>
          </w:p>
        </w:tc>
        <w:tc>
          <w:tcPr>
            <w:tcW w:w="1371" w:type="dxa"/>
            <w:tcBorders>
              <w:right w:val="single" w:sz="4" w:space="0" w:color="002060"/>
            </w:tcBorders>
            <w:noWrap/>
            <w:vAlign w:val="bottom"/>
          </w:tcPr>
          <w:p w:rsidR="00E54916" w:rsidRPr="009D1D25" w:rsidRDefault="00E54916" w:rsidP="009D1D25">
            <w:pPr>
              <w:pStyle w:val="TableText"/>
              <w:jc w:val="right"/>
              <w:rPr>
                <w:sz w:val="16"/>
                <w:szCs w:val="16"/>
              </w:rPr>
            </w:pPr>
            <w:r w:rsidRPr="009D1D25">
              <w:rPr>
                <w:sz w:val="16"/>
                <w:szCs w:val="16"/>
              </w:rPr>
              <w:t>-20</w:t>
            </w:r>
          </w:p>
        </w:tc>
      </w:tr>
      <w:tr w:rsidR="00E54916" w:rsidRPr="00E54916" w:rsidTr="009D1D25">
        <w:trPr>
          <w:cantSplit/>
        </w:trPr>
        <w:tc>
          <w:tcPr>
            <w:tcW w:w="5402" w:type="dxa"/>
            <w:tcBorders>
              <w:left w:val="single" w:sz="4" w:space="0" w:color="002060"/>
            </w:tcBorders>
            <w:noWrap/>
            <w:vAlign w:val="bottom"/>
          </w:tcPr>
          <w:p w:rsidR="00E54916" w:rsidRPr="009D1D25" w:rsidRDefault="00E54916" w:rsidP="009D1D25">
            <w:pPr>
              <w:pStyle w:val="TableText"/>
              <w:rPr>
                <w:b/>
                <w:bCs/>
                <w:sz w:val="16"/>
                <w:szCs w:val="16"/>
              </w:rPr>
            </w:pPr>
            <w:r w:rsidRPr="009D1D25">
              <w:rPr>
                <w:b/>
                <w:bCs/>
                <w:sz w:val="16"/>
                <w:szCs w:val="16"/>
              </w:rPr>
              <w:t>Total actual expenditure</w:t>
            </w:r>
          </w:p>
        </w:tc>
        <w:tc>
          <w:tcPr>
            <w:tcW w:w="1370" w:type="dxa"/>
            <w:noWrap/>
            <w:vAlign w:val="bottom"/>
          </w:tcPr>
          <w:p w:rsidR="00E54916" w:rsidRPr="009D1D25" w:rsidRDefault="00E54916" w:rsidP="009D1D25">
            <w:pPr>
              <w:pStyle w:val="TableText"/>
              <w:jc w:val="right"/>
              <w:rPr>
                <w:sz w:val="16"/>
                <w:szCs w:val="16"/>
              </w:rPr>
            </w:pPr>
            <w:r w:rsidRPr="009D1D25">
              <w:rPr>
                <w:sz w:val="16"/>
                <w:szCs w:val="16"/>
              </w:rPr>
              <w:t>-20</w:t>
            </w:r>
          </w:p>
        </w:tc>
        <w:tc>
          <w:tcPr>
            <w:tcW w:w="1370" w:type="dxa"/>
            <w:noWrap/>
            <w:vAlign w:val="bottom"/>
          </w:tcPr>
          <w:p w:rsidR="00E54916" w:rsidRPr="009D1D25" w:rsidRDefault="00E54916" w:rsidP="009D1D25">
            <w:pPr>
              <w:pStyle w:val="TableText"/>
              <w:jc w:val="right"/>
              <w:rPr>
                <w:sz w:val="16"/>
                <w:szCs w:val="16"/>
              </w:rPr>
            </w:pPr>
            <w:r w:rsidRPr="009D1D25">
              <w:rPr>
                <w:sz w:val="16"/>
                <w:szCs w:val="16"/>
              </w:rPr>
              <w:t>-30</w:t>
            </w:r>
          </w:p>
        </w:tc>
        <w:tc>
          <w:tcPr>
            <w:tcW w:w="1371" w:type="dxa"/>
            <w:tcBorders>
              <w:right w:val="single" w:sz="4" w:space="0" w:color="002060"/>
            </w:tcBorders>
            <w:noWrap/>
            <w:vAlign w:val="bottom"/>
          </w:tcPr>
          <w:p w:rsidR="00E54916" w:rsidRPr="009D1D25" w:rsidRDefault="00E54916" w:rsidP="009D1D25">
            <w:pPr>
              <w:pStyle w:val="TableText"/>
              <w:jc w:val="right"/>
              <w:rPr>
                <w:sz w:val="16"/>
                <w:szCs w:val="16"/>
              </w:rPr>
            </w:pPr>
            <w:r w:rsidRPr="009D1D25">
              <w:rPr>
                <w:sz w:val="16"/>
                <w:szCs w:val="16"/>
              </w:rPr>
              <w:t>-30</w:t>
            </w:r>
          </w:p>
        </w:tc>
      </w:tr>
      <w:tr w:rsidR="00E54916" w:rsidRPr="00E54916" w:rsidTr="009D1D25">
        <w:trPr>
          <w:cantSplit/>
        </w:trPr>
        <w:tc>
          <w:tcPr>
            <w:tcW w:w="5402" w:type="dxa"/>
            <w:tcBorders>
              <w:left w:val="single" w:sz="4" w:space="0" w:color="002060"/>
            </w:tcBorders>
            <w:noWrap/>
            <w:vAlign w:val="bottom"/>
          </w:tcPr>
          <w:p w:rsidR="00E54916" w:rsidRPr="009D1D25" w:rsidRDefault="00E54916" w:rsidP="009D1D25">
            <w:pPr>
              <w:pStyle w:val="TableText"/>
              <w:rPr>
                <w:sz w:val="16"/>
                <w:szCs w:val="16"/>
              </w:rPr>
            </w:pPr>
          </w:p>
        </w:tc>
        <w:tc>
          <w:tcPr>
            <w:tcW w:w="1370" w:type="dxa"/>
            <w:noWrap/>
            <w:vAlign w:val="bottom"/>
          </w:tcPr>
          <w:p w:rsidR="00E54916" w:rsidRPr="009D1D25" w:rsidRDefault="00E54916" w:rsidP="009D1D25">
            <w:pPr>
              <w:pStyle w:val="TableText"/>
              <w:jc w:val="right"/>
              <w:rPr>
                <w:b/>
                <w:bCs/>
                <w:sz w:val="16"/>
                <w:szCs w:val="16"/>
              </w:rPr>
            </w:pPr>
            <w:r w:rsidRPr="009D1D25">
              <w:rPr>
                <w:b/>
                <w:bCs/>
                <w:sz w:val="16"/>
                <w:szCs w:val="16"/>
              </w:rPr>
              <w:t>-70</w:t>
            </w:r>
          </w:p>
        </w:tc>
        <w:tc>
          <w:tcPr>
            <w:tcW w:w="1370" w:type="dxa"/>
            <w:noWrap/>
            <w:vAlign w:val="bottom"/>
          </w:tcPr>
          <w:p w:rsidR="00E54916" w:rsidRPr="009D1D25" w:rsidRDefault="00E54916" w:rsidP="009D1D25">
            <w:pPr>
              <w:pStyle w:val="TableText"/>
              <w:jc w:val="right"/>
              <w:rPr>
                <w:b/>
                <w:bCs/>
                <w:sz w:val="16"/>
                <w:szCs w:val="16"/>
              </w:rPr>
            </w:pPr>
            <w:r w:rsidRPr="009D1D25">
              <w:rPr>
                <w:b/>
                <w:bCs/>
                <w:sz w:val="16"/>
                <w:szCs w:val="16"/>
              </w:rPr>
              <w:t>-130</w:t>
            </w:r>
          </w:p>
        </w:tc>
        <w:tc>
          <w:tcPr>
            <w:tcW w:w="1371" w:type="dxa"/>
            <w:tcBorders>
              <w:right w:val="single" w:sz="4" w:space="0" w:color="002060"/>
            </w:tcBorders>
            <w:noWrap/>
            <w:vAlign w:val="bottom"/>
          </w:tcPr>
          <w:p w:rsidR="00E54916" w:rsidRPr="009D1D25" w:rsidRDefault="00E54916" w:rsidP="009D1D25">
            <w:pPr>
              <w:pStyle w:val="TableText"/>
              <w:jc w:val="right"/>
              <w:rPr>
                <w:b/>
                <w:bCs/>
                <w:sz w:val="16"/>
                <w:szCs w:val="16"/>
              </w:rPr>
            </w:pPr>
            <w:r w:rsidRPr="009D1D25">
              <w:rPr>
                <w:b/>
                <w:bCs/>
                <w:sz w:val="16"/>
                <w:szCs w:val="16"/>
              </w:rPr>
              <w:t>-100</w:t>
            </w:r>
          </w:p>
        </w:tc>
      </w:tr>
      <w:tr w:rsidR="00E54916" w:rsidRPr="00E54916" w:rsidTr="009D1D25">
        <w:trPr>
          <w:cantSplit/>
        </w:trPr>
        <w:tc>
          <w:tcPr>
            <w:tcW w:w="5402" w:type="dxa"/>
            <w:tcBorders>
              <w:left w:val="single" w:sz="4" w:space="0" w:color="002060"/>
              <w:bottom w:val="single" w:sz="4" w:space="0" w:color="002060"/>
            </w:tcBorders>
            <w:noWrap/>
            <w:vAlign w:val="bottom"/>
          </w:tcPr>
          <w:p w:rsidR="00E54916" w:rsidRPr="009D1D25" w:rsidRDefault="00E54916" w:rsidP="009D1D25">
            <w:pPr>
              <w:pStyle w:val="TableText"/>
              <w:rPr>
                <w:b/>
                <w:bCs/>
                <w:sz w:val="16"/>
                <w:szCs w:val="16"/>
              </w:rPr>
            </w:pPr>
            <w:r w:rsidRPr="009D1D25">
              <w:rPr>
                <w:b/>
                <w:bCs/>
                <w:sz w:val="16"/>
                <w:szCs w:val="16"/>
              </w:rPr>
              <w:t>Additional Commonwealth cash contribution to meet risk of cost overrun through increased client numbers, higher average care and support costs and  Agency’s cash flow risk (S18.b.iii)</w:t>
            </w:r>
          </w:p>
        </w:tc>
        <w:tc>
          <w:tcPr>
            <w:tcW w:w="1370" w:type="dxa"/>
            <w:tcBorders>
              <w:bottom w:val="single" w:sz="4" w:space="0" w:color="002060"/>
            </w:tcBorders>
            <w:noWrap/>
            <w:vAlign w:val="bottom"/>
          </w:tcPr>
          <w:p w:rsidR="00E54916" w:rsidRPr="009D1D25" w:rsidRDefault="00E54916" w:rsidP="009D1D25">
            <w:pPr>
              <w:pStyle w:val="TableText"/>
              <w:jc w:val="right"/>
              <w:rPr>
                <w:sz w:val="16"/>
                <w:szCs w:val="16"/>
              </w:rPr>
            </w:pPr>
            <w:r w:rsidRPr="009D1D25">
              <w:rPr>
                <w:sz w:val="16"/>
                <w:szCs w:val="16"/>
              </w:rPr>
              <w:t>0</w:t>
            </w:r>
          </w:p>
        </w:tc>
        <w:tc>
          <w:tcPr>
            <w:tcW w:w="1370" w:type="dxa"/>
            <w:tcBorders>
              <w:bottom w:val="single" w:sz="4" w:space="0" w:color="002060"/>
            </w:tcBorders>
            <w:noWrap/>
            <w:vAlign w:val="bottom"/>
          </w:tcPr>
          <w:p w:rsidR="00E54916" w:rsidRPr="009D1D25" w:rsidRDefault="00E54916" w:rsidP="009D1D25">
            <w:pPr>
              <w:pStyle w:val="TableText"/>
              <w:jc w:val="right"/>
              <w:rPr>
                <w:sz w:val="16"/>
                <w:szCs w:val="16"/>
              </w:rPr>
            </w:pPr>
            <w:r w:rsidRPr="009D1D25">
              <w:rPr>
                <w:sz w:val="16"/>
                <w:szCs w:val="16"/>
              </w:rPr>
              <w:t>30</w:t>
            </w:r>
          </w:p>
        </w:tc>
        <w:tc>
          <w:tcPr>
            <w:tcW w:w="1371" w:type="dxa"/>
            <w:tcBorders>
              <w:bottom w:val="single" w:sz="4" w:space="0" w:color="002060"/>
              <w:right w:val="single" w:sz="4" w:space="0" w:color="002060"/>
            </w:tcBorders>
            <w:noWrap/>
            <w:vAlign w:val="bottom"/>
          </w:tcPr>
          <w:p w:rsidR="00E54916" w:rsidRPr="009D1D25" w:rsidRDefault="00E54916" w:rsidP="009D1D25">
            <w:pPr>
              <w:pStyle w:val="TableText"/>
              <w:jc w:val="right"/>
              <w:rPr>
                <w:sz w:val="16"/>
                <w:szCs w:val="16"/>
              </w:rPr>
            </w:pPr>
            <w:r w:rsidRPr="009D1D25">
              <w:rPr>
                <w:sz w:val="16"/>
                <w:szCs w:val="16"/>
              </w:rPr>
              <w:t>0</w:t>
            </w:r>
          </w:p>
        </w:tc>
      </w:tr>
      <w:tr w:rsidR="00E54916" w:rsidRPr="00E54916" w:rsidTr="009D1D25">
        <w:trPr>
          <w:cantSplit/>
        </w:trPr>
        <w:tc>
          <w:tcPr>
            <w:tcW w:w="5402" w:type="dxa"/>
            <w:tcBorders>
              <w:top w:val="single" w:sz="4" w:space="0" w:color="002060"/>
              <w:left w:val="single" w:sz="4" w:space="0" w:color="002060"/>
              <w:bottom w:val="single" w:sz="4" w:space="0" w:color="002060"/>
            </w:tcBorders>
            <w:noWrap/>
            <w:vAlign w:val="bottom"/>
          </w:tcPr>
          <w:p w:rsidR="00E54916" w:rsidRPr="009D1D25" w:rsidRDefault="00E54916" w:rsidP="009D1D25">
            <w:pPr>
              <w:pStyle w:val="TableText"/>
              <w:rPr>
                <w:b/>
                <w:bCs/>
                <w:sz w:val="16"/>
                <w:szCs w:val="16"/>
              </w:rPr>
            </w:pPr>
            <w:r w:rsidRPr="009D1D25">
              <w:rPr>
                <w:b/>
                <w:bCs/>
                <w:sz w:val="16"/>
                <w:szCs w:val="16"/>
              </w:rPr>
              <w:t>End of year cash outcome for Agency</w:t>
            </w:r>
          </w:p>
        </w:tc>
        <w:tc>
          <w:tcPr>
            <w:tcW w:w="1370" w:type="dxa"/>
            <w:tcBorders>
              <w:top w:val="single" w:sz="4" w:space="0" w:color="002060"/>
              <w:bottom w:val="single" w:sz="4" w:space="0" w:color="002060"/>
            </w:tcBorders>
            <w:noWrap/>
            <w:vAlign w:val="bottom"/>
          </w:tcPr>
          <w:p w:rsidR="00E54916" w:rsidRPr="009D1D25" w:rsidRDefault="00E54916" w:rsidP="009D1D25">
            <w:pPr>
              <w:pStyle w:val="TableText"/>
              <w:jc w:val="right"/>
              <w:rPr>
                <w:b/>
                <w:bCs/>
                <w:sz w:val="16"/>
                <w:szCs w:val="16"/>
              </w:rPr>
            </w:pPr>
            <w:r w:rsidRPr="009D1D25">
              <w:rPr>
                <w:b/>
                <w:bCs/>
                <w:sz w:val="16"/>
                <w:szCs w:val="16"/>
              </w:rPr>
              <w:t>10</w:t>
            </w:r>
          </w:p>
        </w:tc>
        <w:tc>
          <w:tcPr>
            <w:tcW w:w="1370" w:type="dxa"/>
            <w:tcBorders>
              <w:top w:val="single" w:sz="4" w:space="0" w:color="002060"/>
              <w:bottom w:val="single" w:sz="4" w:space="0" w:color="002060"/>
            </w:tcBorders>
            <w:noWrap/>
            <w:vAlign w:val="bottom"/>
          </w:tcPr>
          <w:p w:rsidR="00E54916" w:rsidRPr="009D1D25" w:rsidRDefault="00E54916" w:rsidP="009D1D25">
            <w:pPr>
              <w:pStyle w:val="TableText"/>
              <w:jc w:val="right"/>
              <w:rPr>
                <w:b/>
                <w:bCs/>
                <w:sz w:val="16"/>
                <w:szCs w:val="16"/>
              </w:rPr>
            </w:pPr>
            <w:r w:rsidRPr="009D1D25">
              <w:rPr>
                <w:b/>
                <w:bCs/>
                <w:sz w:val="16"/>
                <w:szCs w:val="16"/>
              </w:rPr>
              <w:t>0</w:t>
            </w:r>
          </w:p>
        </w:tc>
        <w:tc>
          <w:tcPr>
            <w:tcW w:w="1371" w:type="dxa"/>
            <w:tcBorders>
              <w:top w:val="single" w:sz="4" w:space="0" w:color="002060"/>
              <w:bottom w:val="single" w:sz="4" w:space="0" w:color="002060"/>
              <w:right w:val="single" w:sz="4" w:space="0" w:color="002060"/>
            </w:tcBorders>
            <w:noWrap/>
            <w:vAlign w:val="bottom"/>
          </w:tcPr>
          <w:p w:rsidR="00E54916" w:rsidRPr="009D1D25" w:rsidRDefault="00E54916" w:rsidP="009D1D25">
            <w:pPr>
              <w:pStyle w:val="TableText"/>
              <w:jc w:val="right"/>
              <w:rPr>
                <w:b/>
                <w:bCs/>
                <w:sz w:val="16"/>
                <w:szCs w:val="16"/>
              </w:rPr>
            </w:pPr>
            <w:r w:rsidRPr="009D1D25">
              <w:rPr>
                <w:b/>
                <w:bCs/>
                <w:sz w:val="16"/>
                <w:szCs w:val="16"/>
              </w:rPr>
              <w:t>0</w:t>
            </w:r>
          </w:p>
        </w:tc>
      </w:tr>
    </w:tbl>
    <w:p w:rsidR="00E54916" w:rsidRPr="00E54916" w:rsidRDefault="00E54916" w:rsidP="00E54916">
      <w:pPr>
        <w:rPr>
          <w:szCs w:val="20"/>
        </w:rPr>
      </w:pPr>
      <w:r w:rsidRPr="00E54916">
        <w:rPr>
          <w:szCs w:val="20"/>
        </w:rPr>
        <w:lastRenderedPageBreak/>
        <w:t xml:space="preserve">At the end of launch, the Commonwealth made total contributions of $136 and the host jurisdiction made total contributions of $164.  This is consistent with total expenditure of $300.  </w:t>
      </w:r>
    </w:p>
    <w:p w:rsidR="00E54916" w:rsidRPr="00E54916" w:rsidRDefault="00E54916" w:rsidP="00E54916">
      <w:pPr>
        <w:rPr>
          <w:szCs w:val="20"/>
        </w:rPr>
      </w:pPr>
      <w:r w:rsidRPr="00E54916">
        <w:rPr>
          <w:szCs w:val="20"/>
        </w:rPr>
        <w:t>However, because the Commonwealth takes on 100 per cent of upside risk in any given year, but any underspends in any given year is proportionally shared, the Commonwealth’s total contribution is $16 higher than estimated.  The host jurisdiction’s total contribution on the other hand is $16 lower.</w:t>
      </w:r>
    </w:p>
    <w:p w:rsidR="00E54916" w:rsidRPr="00E54916" w:rsidRDefault="00E54916" w:rsidP="00E54916">
      <w:pPr>
        <w:rPr>
          <w:szCs w:val="20"/>
        </w:rPr>
      </w:pPr>
      <w:r w:rsidRPr="00E54916">
        <w:rPr>
          <w:szCs w:val="20"/>
        </w:rPr>
        <w:t>Under this circumstance, section 52 of this Agreement would be triggered:</w:t>
      </w:r>
    </w:p>
    <w:p w:rsidR="00E54916" w:rsidRPr="00E54916" w:rsidRDefault="00E54916" w:rsidP="009D1D25">
      <w:pPr>
        <w:ind w:left="562"/>
        <w:rPr>
          <w:i/>
          <w:szCs w:val="20"/>
        </w:rPr>
      </w:pPr>
      <w:r w:rsidRPr="00E54916">
        <w:rPr>
          <w:i/>
          <w:szCs w:val="20"/>
        </w:rPr>
        <w:t>If at the end of 2015-16, total three year costs equals or exceeds total three year funding and the host jurisdiction’s actual total contribution is less than that jurisdiction’s total NDIS commitment, as outlined in Schedules A – E, the host jurisdiction will provide a payment to the Commonwealth for the difference.</w:t>
      </w:r>
    </w:p>
    <w:p w:rsidR="00415A02" w:rsidRDefault="00E54916" w:rsidP="00E54916">
      <w:pPr>
        <w:rPr>
          <w:szCs w:val="20"/>
        </w:rPr>
      </w:pPr>
      <w:r w:rsidRPr="00E54916">
        <w:rPr>
          <w:szCs w:val="20"/>
        </w:rPr>
        <w:t>The host jurisdiction would have to return $16 to the Commonwealth.</w:t>
      </w:r>
    </w:p>
    <w:sectPr w:rsidR="00415A02" w:rsidSect="0036785F">
      <w:headerReference w:type="default" r:id="rId10"/>
      <w:footerReference w:type="default" r:id="rId11"/>
      <w:pgSz w:w="11906" w:h="16838" w:code="9"/>
      <w:pgMar w:top="1418" w:right="1418" w:bottom="1418" w:left="1418" w:header="1418" w:footer="141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F4E" w:rsidRDefault="00740F4E" w:rsidP="007C5428">
      <w:r>
        <w:separator/>
      </w:r>
    </w:p>
  </w:endnote>
  <w:endnote w:type="continuationSeparator" w:id="0">
    <w:p w:rsidR="00740F4E" w:rsidRDefault="00740F4E"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14" w:rsidRDefault="00BF1514" w:rsidP="009136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1514" w:rsidRDefault="00BF1514" w:rsidP="003022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14" w:rsidRDefault="00BF1514" w:rsidP="0005266B">
    <w:pPr>
      <w:pStyle w:val="Footer"/>
      <w:spacing w:before="0" w:line="2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14" w:rsidRDefault="00BF1514" w:rsidP="009136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65A6">
      <w:rPr>
        <w:rStyle w:val="PageNumber"/>
        <w:noProof/>
      </w:rPr>
      <w:t>24</w:t>
    </w:r>
    <w:r>
      <w:rPr>
        <w:rStyle w:val="PageNumber"/>
      </w:rPr>
      <w:fldChar w:fldCharType="end"/>
    </w:r>
  </w:p>
  <w:p w:rsidR="00BF1514" w:rsidRDefault="00BF1514" w:rsidP="003022B1">
    <w:pPr>
      <w:pStyle w:val="Footer"/>
      <w:spacing w:before="0" w:line="20" w:lineRule="exac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F4E" w:rsidRDefault="00740F4E" w:rsidP="007C5428">
      <w:r>
        <w:separator/>
      </w:r>
    </w:p>
  </w:footnote>
  <w:footnote w:type="continuationSeparator" w:id="0">
    <w:p w:rsidR="00740F4E" w:rsidRDefault="00740F4E" w:rsidP="007C5428">
      <w:r>
        <w:continuationSeparator/>
      </w:r>
    </w:p>
  </w:footnote>
  <w:footnote w:id="1">
    <w:p w:rsidR="00BF1514" w:rsidRPr="00415A02" w:rsidRDefault="00BF1514" w:rsidP="00E54916">
      <w:pPr>
        <w:pStyle w:val="FootnoteText"/>
        <w:rPr>
          <w:rFonts w:ascii="Verdana" w:hAnsi="Verdana"/>
        </w:rPr>
      </w:pPr>
      <w:r w:rsidRPr="00415A02">
        <w:rPr>
          <w:rStyle w:val="FootnoteReference"/>
          <w:rFonts w:ascii="Verdana" w:hAnsi="Verdana"/>
        </w:rPr>
        <w:footnoteRef/>
      </w:r>
      <w:r w:rsidRPr="00415A02">
        <w:rPr>
          <w:rFonts w:ascii="Verdana" w:hAnsi="Verdana"/>
        </w:rPr>
        <w:t xml:space="preserve"> </w:t>
      </w:r>
      <w:r w:rsidRPr="00415A02">
        <w:rPr>
          <w:rFonts w:ascii="Verdana" w:hAnsi="Verdana" w:cs="Calibri"/>
        </w:rPr>
        <w:t xml:space="preserve">The Council of Australian Governments (COAG) agreed to the </w:t>
      </w:r>
      <w:proofErr w:type="spellStart"/>
      <w:r w:rsidRPr="00415A02">
        <w:rPr>
          <w:rFonts w:ascii="Verdana" w:hAnsi="Verdana" w:cs="Calibri"/>
        </w:rPr>
        <w:t>pubic</w:t>
      </w:r>
      <w:proofErr w:type="spellEnd"/>
      <w:r w:rsidRPr="00415A02">
        <w:rPr>
          <w:rFonts w:ascii="Verdana" w:hAnsi="Verdana" w:cs="Calibri"/>
        </w:rPr>
        <w:t xml:space="preserve"> release of these high-level principles on 13 April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14" w:rsidRPr="007A5BC3" w:rsidRDefault="00BF1514" w:rsidP="008E10A3">
    <w:pPr>
      <w:pStyle w:val="Header"/>
      <w:wordWrap w:val="0"/>
      <w:spacing w:afterLines="100" w:after="240"/>
      <w:jc w:val="right"/>
      <w:rPr>
        <w:lang w:eastAsia="zh-CN"/>
      </w:rPr>
    </w:pPr>
    <w:r w:rsidRPr="007A5BC3">
      <w:rPr>
        <w:lang w:eastAsia="zh-CN"/>
      </w:rPr>
      <w:t>Intergovernmental Agreement for the National Disability Insurance Scheme (NDIS) Launch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1">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2">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3">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4">
    <w:nsid w:val="3CC74D33"/>
    <w:multiLevelType w:val="multilevel"/>
    <w:tmpl w:val="EA5E96EA"/>
    <w:lvl w:ilvl="0">
      <w:start w:val="1"/>
      <w:numFmt w:val="decimal"/>
      <w:lvlText w:val="%1."/>
      <w:lvlJc w:val="left"/>
      <w:pPr>
        <w:ind w:left="369" w:hanging="369"/>
      </w:pPr>
      <w:rPr>
        <w:rFonts w:ascii="Calibri" w:hAnsi="Calibri" w:cs="Times New Roman" w:hint="default"/>
        <w:sz w:val="22"/>
      </w:rPr>
    </w:lvl>
    <w:lvl w:ilvl="1">
      <w:start w:val="1"/>
      <w:numFmt w:val="lowerLetter"/>
      <w:lvlText w:val="%2."/>
      <w:lvlJc w:val="left"/>
      <w:pPr>
        <w:ind w:left="737" w:hanging="368"/>
      </w:pPr>
      <w:rPr>
        <w:rFonts w:cs="Times New Roman" w:hint="default"/>
      </w:rPr>
    </w:lvl>
    <w:lvl w:ilvl="2">
      <w:start w:val="1"/>
      <w:numFmt w:val="lowerRoman"/>
      <w:lvlText w:val="%3."/>
      <w:lvlJc w:val="left"/>
      <w:pPr>
        <w:ind w:left="1106" w:hanging="369"/>
      </w:pPr>
      <w:rPr>
        <w:rFonts w:cs="Times New Roman" w:hint="default"/>
      </w:rPr>
    </w:lvl>
    <w:lvl w:ilvl="3">
      <w:start w:val="1"/>
      <w:numFmt w:val="none"/>
      <w:lvlText w:val=""/>
      <w:lvlJc w:val="left"/>
      <w:pPr>
        <w:ind w:left="1111" w:hanging="5"/>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431969A2"/>
    <w:multiLevelType w:val="multilevel"/>
    <w:tmpl w:val="EA5E96EA"/>
    <w:lvl w:ilvl="0">
      <w:start w:val="1"/>
      <w:numFmt w:val="decimal"/>
      <w:lvlText w:val="%1."/>
      <w:lvlJc w:val="left"/>
      <w:pPr>
        <w:ind w:left="369" w:hanging="369"/>
      </w:pPr>
      <w:rPr>
        <w:rFonts w:ascii="Calibri" w:hAnsi="Calibri" w:cs="Times New Roman" w:hint="default"/>
        <w:sz w:val="22"/>
      </w:rPr>
    </w:lvl>
    <w:lvl w:ilvl="1">
      <w:start w:val="1"/>
      <w:numFmt w:val="lowerLetter"/>
      <w:lvlText w:val="%2."/>
      <w:lvlJc w:val="left"/>
      <w:pPr>
        <w:ind w:left="737" w:hanging="368"/>
      </w:pPr>
      <w:rPr>
        <w:rFonts w:cs="Times New Roman" w:hint="default"/>
      </w:rPr>
    </w:lvl>
    <w:lvl w:ilvl="2">
      <w:start w:val="1"/>
      <w:numFmt w:val="lowerRoman"/>
      <w:lvlText w:val="%3."/>
      <w:lvlJc w:val="left"/>
      <w:pPr>
        <w:ind w:left="1106" w:hanging="369"/>
      </w:pPr>
      <w:rPr>
        <w:rFonts w:cs="Times New Roman" w:hint="default"/>
      </w:rPr>
    </w:lvl>
    <w:lvl w:ilvl="3">
      <w:start w:val="1"/>
      <w:numFmt w:val="none"/>
      <w:lvlText w:val=""/>
      <w:lvlJc w:val="left"/>
      <w:pPr>
        <w:ind w:left="1111" w:hanging="5"/>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48AD5B68"/>
    <w:multiLevelType w:val="hybridMultilevel"/>
    <w:tmpl w:val="B2F88C46"/>
    <w:lvl w:ilvl="0" w:tplc="495487EE">
      <w:start w:val="1"/>
      <w:numFmt w:val="decimal"/>
      <w:lvlText w:val="%1."/>
      <w:lvlJc w:val="left"/>
      <w:pPr>
        <w:ind w:left="720" w:hanging="360"/>
      </w:pPr>
      <w:rPr>
        <w:rFonts w:cs="Times New Roman"/>
      </w:rPr>
    </w:lvl>
    <w:lvl w:ilvl="1" w:tplc="0402312A">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nsid w:val="59B70749"/>
    <w:multiLevelType w:val="multilevel"/>
    <w:tmpl w:val="03786CE8"/>
    <w:lvl w:ilvl="0">
      <w:start w:val="1"/>
      <w:numFmt w:val="lowerLetter"/>
      <w:lvlRestart w:val="0"/>
      <w:lvlText w:val="(%1)"/>
      <w:lvlJc w:val="left"/>
      <w:pPr>
        <w:tabs>
          <w:tab w:val="num" w:pos="1134"/>
        </w:tabs>
        <w:ind w:left="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8">
    <w:nsid w:val="5CFB40AF"/>
    <w:multiLevelType w:val="multilevel"/>
    <w:tmpl w:val="84320490"/>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608C2DBC"/>
    <w:multiLevelType w:val="multilevel"/>
    <w:tmpl w:val="0C09000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62BB5A4B"/>
    <w:multiLevelType w:val="multilevel"/>
    <w:tmpl w:val="8610A022"/>
    <w:lvl w:ilvl="0">
      <w:start w:val="1"/>
      <w:numFmt w:val="bullet"/>
      <w:lvlText w:val="•"/>
      <w:lvlJc w:val="left"/>
      <w:pPr>
        <w:tabs>
          <w:tab w:val="num" w:pos="567"/>
        </w:tabs>
        <w:ind w:left="567" w:hanging="567"/>
      </w:pPr>
      <w:rPr>
        <w:rFonts w:ascii="Times New Roman" w:hAnsi="Times New Roman"/>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69215D77"/>
    <w:multiLevelType w:val="multilevel"/>
    <w:tmpl w:val="84320490"/>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703166CF"/>
    <w:multiLevelType w:val="hybridMultilevel"/>
    <w:tmpl w:val="BF6AF32C"/>
    <w:lvl w:ilvl="0" w:tplc="73CCF9E4">
      <w:start w:val="1"/>
      <w:numFmt w:val="bullet"/>
      <w:lvlText w:val=""/>
      <w:lvlJc w:val="left"/>
      <w:pPr>
        <w:ind w:left="360" w:hanging="360"/>
      </w:pPr>
      <w:rPr>
        <w:rFonts w:ascii="Wingdings" w:hAnsi="Wingdings" w:hint="default"/>
      </w:rPr>
    </w:lvl>
    <w:lvl w:ilvl="1" w:tplc="16C6EC2A">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78854AAC"/>
    <w:multiLevelType w:val="hybridMultilevel"/>
    <w:tmpl w:val="C2E6678A"/>
    <w:lvl w:ilvl="0" w:tplc="14D6AD6C">
      <w:start w:val="1"/>
      <w:numFmt w:val="decimal"/>
      <w:pStyle w:val="Normalnumbered"/>
      <w:lvlText w:val="%1."/>
      <w:lvlJc w:val="left"/>
      <w:pPr>
        <w:tabs>
          <w:tab w:val="num" w:pos="567"/>
        </w:tabs>
        <w:ind w:left="567" w:hanging="567"/>
      </w:pPr>
      <w:rPr>
        <w:rFonts w:cs="Times New Roman" w:hint="default"/>
        <w:b w:val="0"/>
        <w:i w:val="0"/>
        <w:sz w:val="24"/>
        <w:szCs w:val="24"/>
      </w:rPr>
    </w:lvl>
    <w:lvl w:ilvl="1" w:tplc="BFC220B2">
      <w:start w:val="1"/>
      <w:numFmt w:val="lowerLetter"/>
      <w:lvlText w:val="%2."/>
      <w:lvlJc w:val="left"/>
      <w:pPr>
        <w:tabs>
          <w:tab w:val="num" w:pos="1440"/>
        </w:tabs>
        <w:ind w:left="1440" w:hanging="360"/>
      </w:pPr>
      <w:rPr>
        <w:rFonts w:cs="Times New Roman"/>
        <w:i w:val="0"/>
        <w:color w:val="auto"/>
      </w:rPr>
    </w:lvl>
    <w:lvl w:ilvl="2" w:tplc="BA001336">
      <w:start w:val="1"/>
      <w:numFmt w:val="lowerRoman"/>
      <w:lvlText w:val="%3."/>
      <w:lvlJc w:val="right"/>
      <w:pPr>
        <w:tabs>
          <w:tab w:val="num" w:pos="2165"/>
        </w:tabs>
        <w:ind w:left="2165" w:hanging="180"/>
      </w:pPr>
      <w:rPr>
        <w:rFonts w:cs="Times New Roman"/>
      </w:rPr>
    </w:lvl>
    <w:lvl w:ilvl="3" w:tplc="71A8C832" w:tentative="1">
      <w:start w:val="1"/>
      <w:numFmt w:val="decimal"/>
      <w:lvlText w:val="%4."/>
      <w:lvlJc w:val="left"/>
      <w:pPr>
        <w:tabs>
          <w:tab w:val="num" w:pos="2880"/>
        </w:tabs>
        <w:ind w:left="2880" w:hanging="360"/>
      </w:pPr>
      <w:rPr>
        <w:rFonts w:cs="Times New Roman"/>
      </w:rPr>
    </w:lvl>
    <w:lvl w:ilvl="4" w:tplc="D868CC20" w:tentative="1">
      <w:start w:val="1"/>
      <w:numFmt w:val="lowerLetter"/>
      <w:lvlText w:val="%5."/>
      <w:lvlJc w:val="left"/>
      <w:pPr>
        <w:tabs>
          <w:tab w:val="num" w:pos="3600"/>
        </w:tabs>
        <w:ind w:left="3600" w:hanging="360"/>
      </w:pPr>
      <w:rPr>
        <w:rFonts w:cs="Times New Roman"/>
      </w:rPr>
    </w:lvl>
    <w:lvl w:ilvl="5" w:tplc="69181354" w:tentative="1">
      <w:start w:val="1"/>
      <w:numFmt w:val="lowerRoman"/>
      <w:lvlText w:val="%6."/>
      <w:lvlJc w:val="right"/>
      <w:pPr>
        <w:tabs>
          <w:tab w:val="num" w:pos="4320"/>
        </w:tabs>
        <w:ind w:left="4320" w:hanging="180"/>
      </w:pPr>
      <w:rPr>
        <w:rFonts w:cs="Times New Roman"/>
      </w:rPr>
    </w:lvl>
    <w:lvl w:ilvl="6" w:tplc="C50CD902" w:tentative="1">
      <w:start w:val="1"/>
      <w:numFmt w:val="decimal"/>
      <w:lvlText w:val="%7."/>
      <w:lvlJc w:val="left"/>
      <w:pPr>
        <w:tabs>
          <w:tab w:val="num" w:pos="5040"/>
        </w:tabs>
        <w:ind w:left="5040" w:hanging="360"/>
      </w:pPr>
      <w:rPr>
        <w:rFonts w:cs="Times New Roman"/>
      </w:rPr>
    </w:lvl>
    <w:lvl w:ilvl="7" w:tplc="AC6C431C" w:tentative="1">
      <w:start w:val="1"/>
      <w:numFmt w:val="lowerLetter"/>
      <w:lvlText w:val="%8."/>
      <w:lvlJc w:val="left"/>
      <w:pPr>
        <w:tabs>
          <w:tab w:val="num" w:pos="5760"/>
        </w:tabs>
        <w:ind w:left="5760" w:hanging="360"/>
      </w:pPr>
      <w:rPr>
        <w:rFonts w:cs="Times New Roman"/>
      </w:rPr>
    </w:lvl>
    <w:lvl w:ilvl="8" w:tplc="FF6EBBB8"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0"/>
  </w:num>
  <w:num w:numId="5">
    <w:abstractNumId w:val="9"/>
  </w:num>
  <w:num w:numId="6">
    <w:abstractNumId w:val="13"/>
  </w:num>
  <w:num w:numId="7">
    <w:abstractNumId w:val="15"/>
  </w:num>
  <w:num w:numId="8">
    <w:abstractNumId w:val="8"/>
  </w:num>
  <w:num w:numId="9">
    <w:abstractNumId w:val="12"/>
  </w:num>
  <w:num w:numId="10">
    <w:abstractNumId w:val="14"/>
  </w:num>
  <w:num w:numId="11">
    <w:abstractNumId w:val="6"/>
  </w:num>
  <w:num w:numId="12">
    <w:abstractNumId w:val="10"/>
  </w:num>
  <w:num w:numId="13">
    <w:abstractNumId w:val="4"/>
  </w:num>
  <w:num w:numId="14">
    <w:abstractNumId w:val="5"/>
  </w:num>
  <w:num w:numId="15">
    <w:abstractNumId w:val="7"/>
  </w:num>
  <w:num w:numId="1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9B4"/>
    <w:rsid w:val="00002399"/>
    <w:rsid w:val="0000634F"/>
    <w:rsid w:val="00021798"/>
    <w:rsid w:val="00021C22"/>
    <w:rsid w:val="000337AD"/>
    <w:rsid w:val="000429C1"/>
    <w:rsid w:val="0005266B"/>
    <w:rsid w:val="00062D51"/>
    <w:rsid w:val="000754BA"/>
    <w:rsid w:val="0007752B"/>
    <w:rsid w:val="000831CB"/>
    <w:rsid w:val="00090A5C"/>
    <w:rsid w:val="000A1B3E"/>
    <w:rsid w:val="000C1A3F"/>
    <w:rsid w:val="000C65A6"/>
    <w:rsid w:val="000D101F"/>
    <w:rsid w:val="000D5768"/>
    <w:rsid w:val="000D787D"/>
    <w:rsid w:val="000E6E62"/>
    <w:rsid w:val="0012161F"/>
    <w:rsid w:val="00132880"/>
    <w:rsid w:val="00133E5C"/>
    <w:rsid w:val="00136A48"/>
    <w:rsid w:val="00140123"/>
    <w:rsid w:val="0015743B"/>
    <w:rsid w:val="001725DC"/>
    <w:rsid w:val="00185735"/>
    <w:rsid w:val="0019533A"/>
    <w:rsid w:val="001C1F52"/>
    <w:rsid w:val="001D0E61"/>
    <w:rsid w:val="001E5CE3"/>
    <w:rsid w:val="0020392F"/>
    <w:rsid w:val="00206DFD"/>
    <w:rsid w:val="002303AC"/>
    <w:rsid w:val="00240F69"/>
    <w:rsid w:val="0024639A"/>
    <w:rsid w:val="00252A02"/>
    <w:rsid w:val="002560C6"/>
    <w:rsid w:val="00256242"/>
    <w:rsid w:val="00266F99"/>
    <w:rsid w:val="00276D0F"/>
    <w:rsid w:val="00295EA5"/>
    <w:rsid w:val="002B29F0"/>
    <w:rsid w:val="003022B1"/>
    <w:rsid w:val="00311F71"/>
    <w:rsid w:val="00343274"/>
    <w:rsid w:val="00352C1D"/>
    <w:rsid w:val="0035403C"/>
    <w:rsid w:val="0036590E"/>
    <w:rsid w:val="0036785F"/>
    <w:rsid w:val="00383D3F"/>
    <w:rsid w:val="003B586C"/>
    <w:rsid w:val="003B61FD"/>
    <w:rsid w:val="003E1947"/>
    <w:rsid w:val="003E3B1E"/>
    <w:rsid w:val="00415A02"/>
    <w:rsid w:val="00426913"/>
    <w:rsid w:val="00435D2A"/>
    <w:rsid w:val="00441BCC"/>
    <w:rsid w:val="004528A0"/>
    <w:rsid w:val="00470846"/>
    <w:rsid w:val="00475726"/>
    <w:rsid w:val="00487CDF"/>
    <w:rsid w:val="004914B4"/>
    <w:rsid w:val="004A0D41"/>
    <w:rsid w:val="004B7A1F"/>
    <w:rsid w:val="004C1ECF"/>
    <w:rsid w:val="004C7C9D"/>
    <w:rsid w:val="004E72DE"/>
    <w:rsid w:val="004E7A7F"/>
    <w:rsid w:val="00506883"/>
    <w:rsid w:val="0051059A"/>
    <w:rsid w:val="00541A85"/>
    <w:rsid w:val="005549E1"/>
    <w:rsid w:val="00571304"/>
    <w:rsid w:val="00583E41"/>
    <w:rsid w:val="005C0BBC"/>
    <w:rsid w:val="005C2550"/>
    <w:rsid w:val="005E399C"/>
    <w:rsid w:val="005F0A45"/>
    <w:rsid w:val="005F7A63"/>
    <w:rsid w:val="00610340"/>
    <w:rsid w:val="00633822"/>
    <w:rsid w:val="00642AA0"/>
    <w:rsid w:val="00642B20"/>
    <w:rsid w:val="00650CDD"/>
    <w:rsid w:val="00652AAB"/>
    <w:rsid w:val="00666A99"/>
    <w:rsid w:val="00684101"/>
    <w:rsid w:val="006A266B"/>
    <w:rsid w:val="006A674B"/>
    <w:rsid w:val="006C0C13"/>
    <w:rsid w:val="006D1E68"/>
    <w:rsid w:val="006E7A89"/>
    <w:rsid w:val="0071332A"/>
    <w:rsid w:val="007244DE"/>
    <w:rsid w:val="00737F9E"/>
    <w:rsid w:val="00740F4E"/>
    <w:rsid w:val="007A5BC3"/>
    <w:rsid w:val="007B1210"/>
    <w:rsid w:val="007C5428"/>
    <w:rsid w:val="007D7C2E"/>
    <w:rsid w:val="007D7E29"/>
    <w:rsid w:val="007E3C6F"/>
    <w:rsid w:val="007E6713"/>
    <w:rsid w:val="00806DF4"/>
    <w:rsid w:val="00811AFC"/>
    <w:rsid w:val="00815EE7"/>
    <w:rsid w:val="00816B25"/>
    <w:rsid w:val="00827A89"/>
    <w:rsid w:val="00862D74"/>
    <w:rsid w:val="00871048"/>
    <w:rsid w:val="008954A8"/>
    <w:rsid w:val="008A513B"/>
    <w:rsid w:val="008C1A5C"/>
    <w:rsid w:val="008C6644"/>
    <w:rsid w:val="008E0B44"/>
    <w:rsid w:val="008E10A3"/>
    <w:rsid w:val="008F7ABB"/>
    <w:rsid w:val="009119B4"/>
    <w:rsid w:val="00913606"/>
    <w:rsid w:val="009200D5"/>
    <w:rsid w:val="0092079A"/>
    <w:rsid w:val="00923EDD"/>
    <w:rsid w:val="00986217"/>
    <w:rsid w:val="00992E7F"/>
    <w:rsid w:val="009A6686"/>
    <w:rsid w:val="009B3C54"/>
    <w:rsid w:val="009D1D25"/>
    <w:rsid w:val="00A011A0"/>
    <w:rsid w:val="00A012FA"/>
    <w:rsid w:val="00A042B8"/>
    <w:rsid w:val="00A56904"/>
    <w:rsid w:val="00A57D9F"/>
    <w:rsid w:val="00A622D6"/>
    <w:rsid w:val="00A6378F"/>
    <w:rsid w:val="00A75397"/>
    <w:rsid w:val="00A8189C"/>
    <w:rsid w:val="00A9029C"/>
    <w:rsid w:val="00A92BE3"/>
    <w:rsid w:val="00AA1AAA"/>
    <w:rsid w:val="00AB22A3"/>
    <w:rsid w:val="00AB6FC9"/>
    <w:rsid w:val="00AE157B"/>
    <w:rsid w:val="00AE78CA"/>
    <w:rsid w:val="00B003DB"/>
    <w:rsid w:val="00B234F1"/>
    <w:rsid w:val="00B53DCB"/>
    <w:rsid w:val="00B71D2D"/>
    <w:rsid w:val="00BA2C3B"/>
    <w:rsid w:val="00BB12C2"/>
    <w:rsid w:val="00BD2B98"/>
    <w:rsid w:val="00BD4016"/>
    <w:rsid w:val="00BE74C5"/>
    <w:rsid w:val="00BF1514"/>
    <w:rsid w:val="00C03908"/>
    <w:rsid w:val="00C25DC1"/>
    <w:rsid w:val="00C32AA4"/>
    <w:rsid w:val="00C74B40"/>
    <w:rsid w:val="00CB3B31"/>
    <w:rsid w:val="00CD24CF"/>
    <w:rsid w:val="00CD6502"/>
    <w:rsid w:val="00CE2056"/>
    <w:rsid w:val="00CE4238"/>
    <w:rsid w:val="00CE6873"/>
    <w:rsid w:val="00D064FA"/>
    <w:rsid w:val="00D06AE5"/>
    <w:rsid w:val="00D17FB9"/>
    <w:rsid w:val="00D33D07"/>
    <w:rsid w:val="00D46245"/>
    <w:rsid w:val="00D46F34"/>
    <w:rsid w:val="00D5026B"/>
    <w:rsid w:val="00D55CB4"/>
    <w:rsid w:val="00D61035"/>
    <w:rsid w:val="00D64EC6"/>
    <w:rsid w:val="00D730A3"/>
    <w:rsid w:val="00D768EF"/>
    <w:rsid w:val="00D826D4"/>
    <w:rsid w:val="00D83CBA"/>
    <w:rsid w:val="00D87800"/>
    <w:rsid w:val="00D96F42"/>
    <w:rsid w:val="00DA5253"/>
    <w:rsid w:val="00DA6871"/>
    <w:rsid w:val="00DB0446"/>
    <w:rsid w:val="00DB1FB3"/>
    <w:rsid w:val="00DB79D8"/>
    <w:rsid w:val="00DD6227"/>
    <w:rsid w:val="00DE333C"/>
    <w:rsid w:val="00E1353B"/>
    <w:rsid w:val="00E461AB"/>
    <w:rsid w:val="00E54916"/>
    <w:rsid w:val="00E7159E"/>
    <w:rsid w:val="00E7487E"/>
    <w:rsid w:val="00E77ED5"/>
    <w:rsid w:val="00E86060"/>
    <w:rsid w:val="00EA2090"/>
    <w:rsid w:val="00EA209E"/>
    <w:rsid w:val="00EB1509"/>
    <w:rsid w:val="00EB7437"/>
    <w:rsid w:val="00EE1BC1"/>
    <w:rsid w:val="00EE2CA5"/>
    <w:rsid w:val="00F10E1B"/>
    <w:rsid w:val="00F35BBB"/>
    <w:rsid w:val="00F43FB5"/>
    <w:rsid w:val="00F6511D"/>
    <w:rsid w:val="00F7615A"/>
    <w:rsid w:val="00F966A7"/>
    <w:rsid w:val="00FB2FA7"/>
    <w:rsid w:val="00FC4C9F"/>
    <w:rsid w:val="00FF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BE3"/>
    <w:pPr>
      <w:spacing w:before="240"/>
    </w:pPr>
    <w:rPr>
      <w:rFonts w:ascii="Verdana" w:hAnsi="Verdana"/>
      <w:szCs w:val="24"/>
      <w:lang w:val="en-AU" w:eastAsia="en-AU"/>
    </w:rPr>
  </w:style>
  <w:style w:type="paragraph" w:styleId="Heading1">
    <w:name w:val="heading 1"/>
    <w:basedOn w:val="Normal"/>
    <w:next w:val="Normal"/>
    <w:link w:val="Heading1Char"/>
    <w:qFormat/>
    <w:rsid w:val="00D17FB9"/>
    <w:pPr>
      <w:keepNext/>
      <w:spacing w:after="60"/>
      <w:outlineLvl w:val="0"/>
    </w:pPr>
    <w:rPr>
      <w:rFonts w:cs="Arial"/>
      <w:b/>
      <w:bCs/>
      <w:kern w:val="32"/>
      <w:sz w:val="32"/>
      <w:szCs w:val="32"/>
    </w:rPr>
  </w:style>
  <w:style w:type="paragraph" w:styleId="Heading2">
    <w:name w:val="heading 2"/>
    <w:basedOn w:val="Normal"/>
    <w:next w:val="Title"/>
    <w:link w:val="Heading2Char"/>
    <w:qFormat/>
    <w:rsid w:val="000C65A6"/>
    <w:pPr>
      <w:outlineLvl w:val="1"/>
    </w:pPr>
    <w:rPr>
      <w:b/>
    </w:rPr>
  </w:style>
  <w:style w:type="paragraph" w:styleId="Heading3">
    <w:name w:val="heading 3"/>
    <w:basedOn w:val="Heading2"/>
    <w:next w:val="Normal"/>
    <w:link w:val="Heading3Char"/>
    <w:qFormat/>
    <w:rsid w:val="000337AD"/>
    <w:pPr>
      <w:outlineLvl w:val="2"/>
    </w:pPr>
    <w:rPr>
      <w:bCs/>
      <w:sz w:val="24"/>
      <w:szCs w:val="26"/>
    </w:rPr>
  </w:style>
  <w:style w:type="paragraph" w:styleId="Heading4">
    <w:name w:val="heading 4"/>
    <w:basedOn w:val="Normal"/>
    <w:next w:val="Normal"/>
    <w:link w:val="Heading4Char"/>
    <w:qFormat/>
    <w:rsid w:val="000337AD"/>
    <w:pPr>
      <w:keepNext/>
      <w:numPr>
        <w:ilvl w:val="3"/>
        <w:numId w:val="5"/>
      </w:numPr>
      <w:spacing w:after="60"/>
      <w:outlineLvl w:val="3"/>
    </w:pPr>
    <w:rPr>
      <w:b/>
      <w:bCs/>
    </w:rPr>
  </w:style>
  <w:style w:type="paragraph" w:styleId="Heading5">
    <w:name w:val="heading 5"/>
    <w:basedOn w:val="Normal"/>
    <w:next w:val="Normal"/>
    <w:link w:val="Heading5Char"/>
    <w:qFormat/>
    <w:rsid w:val="007E6713"/>
    <w:pPr>
      <w:spacing w:after="60"/>
      <w:outlineLvl w:val="4"/>
    </w:pPr>
    <w:rPr>
      <w:b/>
      <w:bCs/>
      <w:iCs/>
      <w:szCs w:val="20"/>
    </w:rPr>
  </w:style>
  <w:style w:type="paragraph" w:styleId="Heading6">
    <w:name w:val="heading 6"/>
    <w:basedOn w:val="Normal"/>
    <w:next w:val="Normal"/>
    <w:link w:val="Heading6Char"/>
    <w:qFormat/>
    <w:rsid w:val="002560C6"/>
    <w:pPr>
      <w:numPr>
        <w:ilvl w:val="5"/>
        <w:numId w:val="6"/>
      </w:numPr>
      <w:spacing w:after="60"/>
      <w:outlineLvl w:val="5"/>
    </w:pPr>
    <w:rPr>
      <w:b/>
      <w:bCs/>
      <w:sz w:val="22"/>
      <w:szCs w:val="22"/>
    </w:rPr>
  </w:style>
  <w:style w:type="paragraph" w:styleId="Heading7">
    <w:name w:val="heading 7"/>
    <w:basedOn w:val="Normal"/>
    <w:next w:val="Normal"/>
    <w:link w:val="Heading7Char"/>
    <w:qFormat/>
    <w:rsid w:val="002560C6"/>
    <w:pPr>
      <w:numPr>
        <w:ilvl w:val="6"/>
        <w:numId w:val="6"/>
      </w:numPr>
      <w:spacing w:after="60"/>
      <w:outlineLvl w:val="6"/>
    </w:pPr>
  </w:style>
  <w:style w:type="paragraph" w:styleId="Heading8">
    <w:name w:val="heading 8"/>
    <w:basedOn w:val="Normal"/>
    <w:next w:val="Normal"/>
    <w:link w:val="Heading8Char"/>
    <w:qFormat/>
    <w:rsid w:val="002560C6"/>
    <w:pPr>
      <w:numPr>
        <w:ilvl w:val="7"/>
        <w:numId w:val="6"/>
      </w:numPr>
      <w:spacing w:after="60"/>
      <w:outlineLvl w:val="7"/>
    </w:pPr>
    <w:rPr>
      <w:i/>
      <w:iCs/>
    </w:rPr>
  </w:style>
  <w:style w:type="paragraph" w:styleId="Heading9">
    <w:name w:val="heading 9"/>
    <w:basedOn w:val="Normal"/>
    <w:next w:val="Normal"/>
    <w:link w:val="Heading9Char"/>
    <w:qFormat/>
    <w:rsid w:val="002560C6"/>
    <w:pPr>
      <w:numPr>
        <w:ilvl w:val="8"/>
        <w:numId w:val="6"/>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3606"/>
    <w:rPr>
      <w:rFonts w:ascii="Verdana" w:eastAsia="SimSun" w:hAnsi="Verdana" w:cs="Arial"/>
      <w:b/>
      <w:bCs/>
      <w:kern w:val="32"/>
      <w:sz w:val="32"/>
      <w:szCs w:val="32"/>
      <w:lang w:val="en-AU" w:eastAsia="en-AU" w:bidi="ar-SA"/>
    </w:rPr>
  </w:style>
  <w:style w:type="paragraph" w:styleId="Title">
    <w:name w:val="Title"/>
    <w:basedOn w:val="Normal"/>
    <w:qFormat/>
    <w:rsid w:val="00E7159E"/>
    <w:pPr>
      <w:spacing w:before="2400" w:after="60"/>
      <w:jc w:val="center"/>
      <w:outlineLvl w:val="0"/>
    </w:pPr>
    <w:rPr>
      <w:rFonts w:cs="Arial"/>
      <w:b/>
      <w:bCs/>
      <w:caps/>
      <w:kern w:val="28"/>
      <w:sz w:val="32"/>
      <w:szCs w:val="32"/>
    </w:rPr>
  </w:style>
  <w:style w:type="character" w:customStyle="1" w:styleId="Heading2Char">
    <w:name w:val="Heading 2 Char"/>
    <w:link w:val="Heading2"/>
    <w:rsid w:val="000C65A6"/>
    <w:rPr>
      <w:rFonts w:ascii="Verdana" w:hAnsi="Verdana"/>
      <w:b/>
      <w:szCs w:val="24"/>
      <w:lang w:val="en-AU" w:eastAsia="en-AU"/>
    </w:rPr>
  </w:style>
  <w:style w:type="character" w:customStyle="1" w:styleId="Heading3Char">
    <w:name w:val="Heading 3 Char"/>
    <w:link w:val="Heading3"/>
    <w:semiHidden/>
    <w:rsid w:val="00913606"/>
    <w:rPr>
      <w:rFonts w:ascii="Verdana" w:eastAsia="SimSun" w:hAnsi="Verdana" w:cs="Arial"/>
      <w:b/>
      <w:iCs/>
      <w:sz w:val="24"/>
      <w:szCs w:val="26"/>
      <w:lang w:val="en-AU" w:eastAsia="en-AU" w:bidi="ar-SA"/>
    </w:rPr>
  </w:style>
  <w:style w:type="character" w:customStyle="1" w:styleId="Heading4Char">
    <w:name w:val="Heading 4 Char"/>
    <w:link w:val="Heading4"/>
    <w:semiHidden/>
    <w:rsid w:val="00913606"/>
    <w:rPr>
      <w:rFonts w:ascii="Verdana" w:eastAsia="SimSun" w:hAnsi="Verdana"/>
      <w:b/>
      <w:bCs/>
      <w:szCs w:val="24"/>
      <w:lang w:val="en-AU" w:eastAsia="en-AU" w:bidi="ar-SA"/>
    </w:rPr>
  </w:style>
  <w:style w:type="character" w:customStyle="1" w:styleId="Heading5Char">
    <w:name w:val="Heading 5 Char"/>
    <w:link w:val="Heading5"/>
    <w:semiHidden/>
    <w:rsid w:val="00913606"/>
    <w:rPr>
      <w:rFonts w:ascii="Verdana" w:eastAsia="SimSun" w:hAnsi="Verdana"/>
      <w:b/>
      <w:bCs/>
      <w:iCs/>
      <w:lang w:val="en-AU" w:eastAsia="en-AU" w:bidi="ar-SA"/>
    </w:rPr>
  </w:style>
  <w:style w:type="character" w:customStyle="1" w:styleId="Heading6Char">
    <w:name w:val="Heading 6 Char"/>
    <w:link w:val="Heading6"/>
    <w:semiHidden/>
    <w:rsid w:val="00913606"/>
    <w:rPr>
      <w:rFonts w:ascii="Verdana" w:eastAsia="SimSun" w:hAnsi="Verdana"/>
      <w:b/>
      <w:bCs/>
      <w:sz w:val="22"/>
      <w:szCs w:val="22"/>
      <w:lang w:val="en-AU" w:eastAsia="en-AU" w:bidi="ar-SA"/>
    </w:rPr>
  </w:style>
  <w:style w:type="character" w:customStyle="1" w:styleId="Heading7Char">
    <w:name w:val="Heading 7 Char"/>
    <w:link w:val="Heading7"/>
    <w:semiHidden/>
    <w:rsid w:val="00913606"/>
    <w:rPr>
      <w:rFonts w:ascii="Verdana" w:eastAsia="SimSun" w:hAnsi="Verdana"/>
      <w:szCs w:val="24"/>
      <w:lang w:val="en-AU" w:eastAsia="en-AU" w:bidi="ar-SA"/>
    </w:rPr>
  </w:style>
  <w:style w:type="character" w:customStyle="1" w:styleId="Heading8Char">
    <w:name w:val="Heading 8 Char"/>
    <w:link w:val="Heading8"/>
    <w:semiHidden/>
    <w:rsid w:val="00913606"/>
    <w:rPr>
      <w:rFonts w:ascii="Verdana" w:eastAsia="SimSun" w:hAnsi="Verdana"/>
      <w:i/>
      <w:iCs/>
      <w:szCs w:val="24"/>
      <w:lang w:val="en-AU" w:eastAsia="en-AU" w:bidi="ar-SA"/>
    </w:rPr>
  </w:style>
  <w:style w:type="character" w:customStyle="1" w:styleId="Heading9Char">
    <w:name w:val="Heading 9 Char"/>
    <w:link w:val="Heading9"/>
    <w:semiHidden/>
    <w:rsid w:val="00913606"/>
    <w:rPr>
      <w:rFonts w:ascii="Arial" w:eastAsia="SimSun" w:hAnsi="Arial" w:cs="Arial"/>
      <w:sz w:val="22"/>
      <w:szCs w:val="22"/>
      <w:lang w:val="en-AU" w:eastAsia="en-AU" w:bidi="ar-SA"/>
    </w:rPr>
  </w:style>
  <w:style w:type="character" w:customStyle="1" w:styleId="Hints">
    <w:name w:val="Hints"/>
    <w:basedOn w:val="DefaultParagraphFont"/>
    <w:rsid w:val="0024639A"/>
    <w:rPr>
      <w:noProof/>
      <w:color w:val="FF0000"/>
    </w:rPr>
  </w:style>
  <w:style w:type="paragraph" w:styleId="Header">
    <w:name w:val="header"/>
    <w:basedOn w:val="Normal"/>
    <w:link w:val="HeaderChar"/>
    <w:rsid w:val="00FC4C9F"/>
    <w:pPr>
      <w:tabs>
        <w:tab w:val="center" w:pos="4153"/>
        <w:tab w:val="right" w:pos="8306"/>
      </w:tabs>
      <w:spacing w:before="0"/>
    </w:pPr>
    <w:rPr>
      <w:i/>
      <w:sz w:val="16"/>
    </w:rPr>
  </w:style>
  <w:style w:type="character" w:customStyle="1" w:styleId="HeaderChar">
    <w:name w:val="Header Char"/>
    <w:link w:val="Header"/>
    <w:rsid w:val="00913606"/>
    <w:rPr>
      <w:rFonts w:ascii="Verdana" w:eastAsia="SimSun" w:hAnsi="Verdana"/>
      <w:i/>
      <w:sz w:val="16"/>
      <w:szCs w:val="24"/>
      <w:lang w:val="en-AU" w:eastAsia="en-AU" w:bidi="ar-SA"/>
    </w:rPr>
  </w:style>
  <w:style w:type="table" w:styleId="TableGrid">
    <w:name w:val="Table Grid"/>
    <w:basedOn w:val="TableNormal"/>
    <w:rsid w:val="007C5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semiHidden/>
    <w:rsid w:val="00276D0F"/>
    <w:pPr>
      <w:tabs>
        <w:tab w:val="right" w:leader="dot" w:pos="9061"/>
      </w:tabs>
    </w:pPr>
    <w:rPr>
      <w:b/>
    </w:rPr>
  </w:style>
  <w:style w:type="paragraph" w:styleId="TOC2">
    <w:name w:val="toc 2"/>
    <w:basedOn w:val="Normal"/>
    <w:autoRedefine/>
    <w:semiHidden/>
    <w:rsid w:val="00276D0F"/>
    <w:pPr>
      <w:tabs>
        <w:tab w:val="right" w:leader="dot" w:pos="9061"/>
      </w:tabs>
      <w:spacing w:before="0"/>
      <w:ind w:left="567"/>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Title"/>
    <w:rsid w:val="00FC4C9F"/>
    <w:pPr>
      <w:jc w:val="center"/>
    </w:pPr>
  </w:style>
  <w:style w:type="paragraph" w:customStyle="1" w:styleId="FigureCaption">
    <w:name w:val="Figure Caption"/>
    <w:basedOn w:val="Normal"/>
    <w:next w:val="Normal"/>
    <w:rsid w:val="00FC4C9F"/>
    <w:pPr>
      <w:keepNext/>
      <w:spacing w:after="240"/>
    </w:pPr>
    <w:rPr>
      <w:b/>
    </w:rPr>
  </w:style>
  <w:style w:type="paragraph" w:customStyle="1" w:styleId="SectionHeading">
    <w:name w:val="Section Heading"/>
    <w:basedOn w:val="Normal"/>
    <w:next w:val="Heading2"/>
    <w:rsid w:val="00FC4C9F"/>
    <w:rPr>
      <w:b/>
      <w:sz w:val="24"/>
    </w:rPr>
  </w:style>
  <w:style w:type="paragraph" w:styleId="Footer">
    <w:name w:val="footer"/>
    <w:basedOn w:val="Normal"/>
    <w:link w:val="FooterChar"/>
    <w:rsid w:val="00FC4C9F"/>
    <w:pPr>
      <w:tabs>
        <w:tab w:val="center" w:pos="4153"/>
        <w:tab w:val="right" w:pos="8306"/>
      </w:tabs>
    </w:pPr>
    <w:rPr>
      <w:sz w:val="16"/>
    </w:rPr>
  </w:style>
  <w:style w:type="character" w:customStyle="1" w:styleId="FooterChar">
    <w:name w:val="Footer Char"/>
    <w:link w:val="Footer"/>
    <w:rsid w:val="00913606"/>
    <w:rPr>
      <w:rFonts w:ascii="Verdana" w:eastAsia="SimSun" w:hAnsi="Verdana"/>
      <w:sz w:val="16"/>
      <w:szCs w:val="24"/>
      <w:lang w:val="en-AU" w:eastAsia="en-AU" w:bidi="ar-SA"/>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3"/>
      </w:numPr>
    </w:pPr>
  </w:style>
  <w:style w:type="paragraph" w:styleId="ListNumber2">
    <w:name w:val="List Number 2"/>
    <w:basedOn w:val="Normal"/>
    <w:rsid w:val="00FC4C9F"/>
    <w:pPr>
      <w:numPr>
        <w:numId w:val="4"/>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rsid w:val="0007752B"/>
  </w:style>
  <w:style w:type="character" w:styleId="PageNumber">
    <w:name w:val="page number"/>
    <w:basedOn w:val="DefaultParagraphFont"/>
    <w:rsid w:val="003022B1"/>
  </w:style>
  <w:style w:type="paragraph" w:styleId="TOC3">
    <w:name w:val="toc 3"/>
    <w:basedOn w:val="TOC2"/>
    <w:next w:val="Normal"/>
    <w:autoRedefine/>
    <w:semiHidden/>
    <w:rsid w:val="004E7A7F"/>
    <w:pPr>
      <w:tabs>
        <w:tab w:val="clear" w:pos="9061"/>
        <w:tab w:val="right" w:leader="dot" w:pos="9060"/>
      </w:tabs>
      <w:ind w:left="1138"/>
    </w:pPr>
  </w:style>
  <w:style w:type="paragraph" w:customStyle="1" w:styleId="Footnote">
    <w:name w:val="Footnote"/>
    <w:next w:val="Normal"/>
    <w:rsid w:val="0020392F"/>
    <w:pPr>
      <w:spacing w:before="60" w:after="60"/>
    </w:pPr>
    <w:rPr>
      <w:rFonts w:ascii="Verdana" w:hAnsi="Verdana" w:cs="Arial"/>
      <w:bCs/>
      <w:kern w:val="28"/>
      <w:sz w:val="16"/>
      <w:szCs w:val="16"/>
      <w:lang w:val="en-AU" w:eastAsia="en-AU"/>
    </w:rPr>
  </w:style>
  <w:style w:type="paragraph" w:styleId="TOC4">
    <w:name w:val="toc 4"/>
    <w:basedOn w:val="TOC3"/>
    <w:next w:val="Normal"/>
    <w:autoRedefine/>
    <w:unhideWhenUsed/>
    <w:rsid w:val="004E7A7F"/>
    <w:pPr>
      <w:ind w:left="3053" w:hanging="1339"/>
    </w:pPr>
    <w:rPr>
      <w:rFonts w:eastAsia="Verdana"/>
      <w:kern w:val="28"/>
    </w:rPr>
  </w:style>
  <w:style w:type="paragraph" w:styleId="TOC5">
    <w:name w:val="toc 5"/>
    <w:basedOn w:val="Normal"/>
    <w:next w:val="Normal"/>
    <w:unhideWhenUsed/>
    <w:rsid w:val="00A92BE3"/>
    <w:pPr>
      <w:keepLines/>
      <w:tabs>
        <w:tab w:val="right" w:leader="dot" w:pos="7088"/>
      </w:tabs>
      <w:spacing w:before="40"/>
      <w:ind w:left="2098" w:right="567" w:hanging="680"/>
    </w:pPr>
    <w:rPr>
      <w:rFonts w:ascii="Times New Roman" w:eastAsia="Times New Roman" w:hAnsi="Times New Roman"/>
      <w:kern w:val="28"/>
      <w:sz w:val="18"/>
      <w:szCs w:val="20"/>
    </w:rPr>
  </w:style>
  <w:style w:type="paragraph" w:styleId="TOC6">
    <w:name w:val="toc 6"/>
    <w:basedOn w:val="Normal"/>
    <w:next w:val="Normal"/>
    <w:unhideWhenUsed/>
    <w:rsid w:val="00A92BE3"/>
    <w:pPr>
      <w:keepLines/>
      <w:tabs>
        <w:tab w:val="right" w:pos="7088"/>
      </w:tabs>
      <w:spacing w:before="120"/>
      <w:ind w:left="1344" w:right="567" w:hanging="1344"/>
    </w:pPr>
    <w:rPr>
      <w:rFonts w:ascii="Times New Roman" w:eastAsia="Times New Roman" w:hAnsi="Times New Roman"/>
      <w:b/>
      <w:kern w:val="28"/>
      <w:sz w:val="24"/>
      <w:szCs w:val="20"/>
    </w:rPr>
  </w:style>
  <w:style w:type="paragraph" w:styleId="TOC7">
    <w:name w:val="toc 7"/>
    <w:basedOn w:val="Normal"/>
    <w:next w:val="Normal"/>
    <w:unhideWhenUsed/>
    <w:rsid w:val="00A92BE3"/>
    <w:pPr>
      <w:keepLines/>
      <w:tabs>
        <w:tab w:val="right" w:pos="7088"/>
      </w:tabs>
      <w:spacing w:before="120"/>
      <w:ind w:left="1253" w:right="567" w:hanging="828"/>
    </w:pPr>
    <w:rPr>
      <w:rFonts w:ascii="Times New Roman" w:eastAsia="Times New Roman" w:hAnsi="Times New Roman"/>
      <w:kern w:val="28"/>
      <w:sz w:val="24"/>
      <w:szCs w:val="20"/>
    </w:rPr>
  </w:style>
  <w:style w:type="paragraph" w:styleId="TOC8">
    <w:name w:val="toc 8"/>
    <w:basedOn w:val="Normal"/>
    <w:next w:val="Normal"/>
    <w:unhideWhenUsed/>
    <w:rsid w:val="00A92BE3"/>
    <w:pPr>
      <w:keepLines/>
      <w:tabs>
        <w:tab w:val="right" w:pos="7088"/>
      </w:tabs>
      <w:spacing w:before="80"/>
      <w:ind w:left="1900" w:right="567" w:hanging="1049"/>
    </w:pPr>
    <w:rPr>
      <w:rFonts w:ascii="Times New Roman" w:eastAsia="Times New Roman" w:hAnsi="Times New Roman"/>
      <w:kern w:val="28"/>
      <w:szCs w:val="20"/>
    </w:rPr>
  </w:style>
  <w:style w:type="paragraph" w:styleId="TOC9">
    <w:name w:val="toc 9"/>
    <w:basedOn w:val="Normal"/>
    <w:next w:val="Normal"/>
    <w:unhideWhenUsed/>
    <w:rsid w:val="00A92BE3"/>
    <w:pPr>
      <w:keepLines/>
      <w:tabs>
        <w:tab w:val="right" w:pos="7088"/>
      </w:tabs>
      <w:spacing w:before="80"/>
      <w:ind w:left="851" w:right="567"/>
    </w:pPr>
    <w:rPr>
      <w:rFonts w:ascii="Times New Roman" w:eastAsia="Times New Roman" w:hAnsi="Times New Roman"/>
      <w:i/>
      <w:kern w:val="28"/>
      <w:szCs w:val="20"/>
    </w:rPr>
  </w:style>
  <w:style w:type="paragraph" w:styleId="CommentText">
    <w:name w:val="annotation text"/>
    <w:basedOn w:val="Normal"/>
    <w:link w:val="CommentTextChar"/>
    <w:semiHidden/>
    <w:unhideWhenUsed/>
    <w:rsid w:val="00913606"/>
    <w:pPr>
      <w:spacing w:before="0" w:line="260" w:lineRule="atLeast"/>
    </w:pPr>
    <w:rPr>
      <w:rFonts w:ascii="Times New Roman" w:eastAsia="Calibri" w:hAnsi="Times New Roman"/>
      <w:szCs w:val="20"/>
      <w:lang w:eastAsia="en-US"/>
    </w:rPr>
  </w:style>
  <w:style w:type="character" w:customStyle="1" w:styleId="CommentTextChar">
    <w:name w:val="Comment Text Char"/>
    <w:link w:val="CommentText"/>
    <w:semiHidden/>
    <w:rsid w:val="00913606"/>
    <w:rPr>
      <w:rFonts w:eastAsia="Calibri"/>
      <w:lang w:val="en-AU" w:eastAsia="en-US" w:bidi="ar-SA"/>
    </w:rPr>
  </w:style>
  <w:style w:type="paragraph" w:styleId="EndnoteText">
    <w:name w:val="endnote text"/>
    <w:basedOn w:val="Normal"/>
    <w:link w:val="EndnoteTextChar"/>
    <w:semiHidden/>
    <w:unhideWhenUsed/>
    <w:rsid w:val="00913606"/>
    <w:pPr>
      <w:spacing w:before="0"/>
    </w:pPr>
    <w:rPr>
      <w:rFonts w:ascii="Calibri" w:hAnsi="Calibri" w:cs="Calibri"/>
      <w:szCs w:val="20"/>
      <w:lang w:eastAsia="en-US"/>
    </w:rPr>
  </w:style>
  <w:style w:type="character" w:customStyle="1" w:styleId="EndnoteTextChar">
    <w:name w:val="Endnote Text Char"/>
    <w:link w:val="EndnoteText"/>
    <w:semiHidden/>
    <w:rsid w:val="00913606"/>
    <w:rPr>
      <w:rFonts w:ascii="Calibri" w:eastAsia="SimSun" w:hAnsi="Calibri" w:cs="Calibri"/>
      <w:lang w:val="en-AU" w:eastAsia="en-US" w:bidi="ar-SA"/>
    </w:rPr>
  </w:style>
  <w:style w:type="paragraph" w:styleId="BalloonText">
    <w:name w:val="Balloon Text"/>
    <w:basedOn w:val="Normal"/>
    <w:link w:val="BalloonTextChar"/>
    <w:semiHidden/>
    <w:unhideWhenUsed/>
    <w:rsid w:val="00913606"/>
    <w:pPr>
      <w:spacing w:before="0"/>
    </w:pPr>
    <w:rPr>
      <w:rFonts w:ascii="Tahoma" w:hAnsi="Tahoma" w:cs="Tahoma"/>
      <w:sz w:val="16"/>
      <w:szCs w:val="16"/>
      <w:lang w:eastAsia="en-US"/>
    </w:rPr>
  </w:style>
  <w:style w:type="character" w:customStyle="1" w:styleId="BalloonTextChar">
    <w:name w:val="Balloon Text Char"/>
    <w:link w:val="BalloonText"/>
    <w:semiHidden/>
    <w:rsid w:val="00913606"/>
    <w:rPr>
      <w:rFonts w:ascii="Tahoma" w:eastAsia="SimSun" w:hAnsi="Tahoma" w:cs="Tahoma"/>
      <w:sz w:val="16"/>
      <w:szCs w:val="16"/>
      <w:lang w:val="en-AU" w:eastAsia="en-US" w:bidi="ar-SA"/>
    </w:rPr>
  </w:style>
  <w:style w:type="character" w:styleId="Hyperlink">
    <w:name w:val="Hyperlink"/>
    <w:basedOn w:val="DefaultParagraphFont"/>
    <w:rsid w:val="00816B25"/>
    <w:rPr>
      <w:color w:val="0000FF"/>
      <w:u w:val="single"/>
    </w:rPr>
  </w:style>
  <w:style w:type="paragraph" w:customStyle="1" w:styleId="Normalnumbered">
    <w:name w:val="Normal numbered"/>
    <w:basedOn w:val="Normal"/>
    <w:link w:val="NormalnumberedChar"/>
    <w:rsid w:val="00E54916"/>
    <w:pPr>
      <w:numPr>
        <w:numId w:val="7"/>
      </w:numPr>
      <w:spacing w:before="0" w:after="240" w:line="260" w:lineRule="exact"/>
      <w:jc w:val="both"/>
    </w:pPr>
    <w:rPr>
      <w:rFonts w:ascii="Corbel" w:eastAsia="Calibri" w:hAnsi="Corbel"/>
      <w:color w:val="000000"/>
      <w:sz w:val="23"/>
      <w:szCs w:val="20"/>
      <w:lang w:val="en-US"/>
    </w:rPr>
  </w:style>
  <w:style w:type="character" w:customStyle="1" w:styleId="NormalnumberedChar">
    <w:name w:val="Normal numbered Char"/>
    <w:link w:val="Normalnumbered"/>
    <w:locked/>
    <w:rsid w:val="00E54916"/>
    <w:rPr>
      <w:rFonts w:ascii="Corbel" w:eastAsia="Calibri" w:hAnsi="Corbel"/>
      <w:color w:val="000000"/>
      <w:sz w:val="23"/>
      <w:lang w:val="en-US" w:eastAsia="en-AU" w:bidi="ar-SA"/>
    </w:rPr>
  </w:style>
  <w:style w:type="paragraph" w:styleId="CommentSubject">
    <w:name w:val="annotation subject"/>
    <w:basedOn w:val="CommentText"/>
    <w:next w:val="CommentText"/>
    <w:link w:val="CommentSubjectChar"/>
    <w:semiHidden/>
    <w:rsid w:val="00E54916"/>
    <w:pPr>
      <w:spacing w:after="240" w:line="240" w:lineRule="auto"/>
      <w:jc w:val="both"/>
    </w:pPr>
    <w:rPr>
      <w:rFonts w:ascii="Corbel" w:hAnsi="Corbel"/>
      <w:b/>
      <w:bCs/>
      <w:color w:val="000000"/>
      <w:lang w:val="en-US" w:eastAsia="en-AU"/>
    </w:rPr>
  </w:style>
  <w:style w:type="character" w:customStyle="1" w:styleId="CommentSubjectChar">
    <w:name w:val="Comment Subject Char"/>
    <w:link w:val="CommentSubject"/>
    <w:semiHidden/>
    <w:locked/>
    <w:rsid w:val="00E54916"/>
    <w:rPr>
      <w:rFonts w:ascii="Corbel" w:eastAsia="Calibri" w:hAnsi="Corbel"/>
      <w:b/>
      <w:bCs/>
      <w:color w:val="000000"/>
      <w:lang w:val="en-US" w:eastAsia="en-AU" w:bidi="ar-SA"/>
    </w:rPr>
  </w:style>
  <w:style w:type="paragraph" w:styleId="FootnoteText">
    <w:name w:val="footnote text"/>
    <w:basedOn w:val="Normal"/>
    <w:link w:val="FootnoteTextChar"/>
    <w:semiHidden/>
    <w:rsid w:val="00E54916"/>
    <w:pPr>
      <w:spacing w:before="0"/>
      <w:jc w:val="both"/>
    </w:pPr>
    <w:rPr>
      <w:rFonts w:ascii="Corbel" w:eastAsia="Calibri" w:hAnsi="Corbel"/>
      <w:color w:val="000000"/>
      <w:szCs w:val="20"/>
      <w:lang w:val="en-US"/>
    </w:rPr>
  </w:style>
  <w:style w:type="character" w:customStyle="1" w:styleId="FootnoteTextChar">
    <w:name w:val="Footnote Text Char"/>
    <w:link w:val="FootnoteText"/>
    <w:semiHidden/>
    <w:locked/>
    <w:rsid w:val="00E54916"/>
    <w:rPr>
      <w:rFonts w:ascii="Corbel" w:eastAsia="Calibri" w:hAnsi="Corbel"/>
      <w:color w:val="000000"/>
      <w:lang w:val="en-US" w:eastAsia="en-AU" w:bidi="ar-SA"/>
    </w:rPr>
  </w:style>
  <w:style w:type="character" w:styleId="FootnoteReference">
    <w:name w:val="footnote reference"/>
    <w:basedOn w:val="DefaultParagraphFont"/>
    <w:semiHidden/>
    <w:rsid w:val="00E54916"/>
    <w:rPr>
      <w:vertAlign w:val="superscript"/>
    </w:rPr>
  </w:style>
  <w:style w:type="paragraph" w:styleId="Revision">
    <w:name w:val="Revision"/>
    <w:hidden/>
    <w:semiHidden/>
    <w:rsid w:val="00E54916"/>
    <w:rPr>
      <w:rFonts w:ascii="Corbel" w:eastAsia="Calibri" w:hAnsi="Corbel"/>
      <w:color w:val="000000"/>
      <w:sz w:val="23"/>
      <w:lang w:val="en-AU" w:eastAsia="en-AU"/>
    </w:rPr>
  </w:style>
  <w:style w:type="paragraph" w:customStyle="1" w:styleId="Default">
    <w:name w:val="Default"/>
    <w:rsid w:val="00E54916"/>
    <w:pPr>
      <w:autoSpaceDE w:val="0"/>
      <w:autoSpaceDN w:val="0"/>
      <w:adjustRightInd w:val="0"/>
    </w:pPr>
    <w:rPr>
      <w:rFonts w:ascii="Calibri" w:eastAsia="Times New Roman" w:hAnsi="Calibri" w:cs="Calibri"/>
      <w:color w:val="000000"/>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BE3"/>
    <w:pPr>
      <w:spacing w:before="240"/>
    </w:pPr>
    <w:rPr>
      <w:rFonts w:ascii="Verdana" w:hAnsi="Verdana"/>
      <w:szCs w:val="24"/>
      <w:lang w:val="en-AU" w:eastAsia="en-AU"/>
    </w:rPr>
  </w:style>
  <w:style w:type="paragraph" w:styleId="Heading1">
    <w:name w:val="heading 1"/>
    <w:basedOn w:val="Normal"/>
    <w:next w:val="Normal"/>
    <w:link w:val="Heading1Char"/>
    <w:qFormat/>
    <w:rsid w:val="00D17FB9"/>
    <w:pPr>
      <w:keepNext/>
      <w:spacing w:after="60"/>
      <w:outlineLvl w:val="0"/>
    </w:pPr>
    <w:rPr>
      <w:rFonts w:cs="Arial"/>
      <w:b/>
      <w:bCs/>
      <w:kern w:val="32"/>
      <w:sz w:val="32"/>
      <w:szCs w:val="32"/>
    </w:rPr>
  </w:style>
  <w:style w:type="paragraph" w:styleId="Heading2">
    <w:name w:val="heading 2"/>
    <w:basedOn w:val="Normal"/>
    <w:next w:val="Title"/>
    <w:link w:val="Heading2Char"/>
    <w:qFormat/>
    <w:rsid w:val="000C65A6"/>
    <w:pPr>
      <w:outlineLvl w:val="1"/>
    </w:pPr>
    <w:rPr>
      <w:b/>
    </w:rPr>
  </w:style>
  <w:style w:type="paragraph" w:styleId="Heading3">
    <w:name w:val="heading 3"/>
    <w:basedOn w:val="Heading2"/>
    <w:next w:val="Normal"/>
    <w:link w:val="Heading3Char"/>
    <w:qFormat/>
    <w:rsid w:val="000337AD"/>
    <w:pPr>
      <w:outlineLvl w:val="2"/>
    </w:pPr>
    <w:rPr>
      <w:bCs/>
      <w:sz w:val="24"/>
      <w:szCs w:val="26"/>
    </w:rPr>
  </w:style>
  <w:style w:type="paragraph" w:styleId="Heading4">
    <w:name w:val="heading 4"/>
    <w:basedOn w:val="Normal"/>
    <w:next w:val="Normal"/>
    <w:link w:val="Heading4Char"/>
    <w:qFormat/>
    <w:rsid w:val="000337AD"/>
    <w:pPr>
      <w:keepNext/>
      <w:numPr>
        <w:ilvl w:val="3"/>
        <w:numId w:val="5"/>
      </w:numPr>
      <w:spacing w:after="60"/>
      <w:outlineLvl w:val="3"/>
    </w:pPr>
    <w:rPr>
      <w:b/>
      <w:bCs/>
    </w:rPr>
  </w:style>
  <w:style w:type="paragraph" w:styleId="Heading5">
    <w:name w:val="heading 5"/>
    <w:basedOn w:val="Normal"/>
    <w:next w:val="Normal"/>
    <w:link w:val="Heading5Char"/>
    <w:qFormat/>
    <w:rsid w:val="007E6713"/>
    <w:pPr>
      <w:spacing w:after="60"/>
      <w:outlineLvl w:val="4"/>
    </w:pPr>
    <w:rPr>
      <w:b/>
      <w:bCs/>
      <w:iCs/>
      <w:szCs w:val="20"/>
    </w:rPr>
  </w:style>
  <w:style w:type="paragraph" w:styleId="Heading6">
    <w:name w:val="heading 6"/>
    <w:basedOn w:val="Normal"/>
    <w:next w:val="Normal"/>
    <w:link w:val="Heading6Char"/>
    <w:qFormat/>
    <w:rsid w:val="002560C6"/>
    <w:pPr>
      <w:numPr>
        <w:ilvl w:val="5"/>
        <w:numId w:val="6"/>
      </w:numPr>
      <w:spacing w:after="60"/>
      <w:outlineLvl w:val="5"/>
    </w:pPr>
    <w:rPr>
      <w:b/>
      <w:bCs/>
      <w:sz w:val="22"/>
      <w:szCs w:val="22"/>
    </w:rPr>
  </w:style>
  <w:style w:type="paragraph" w:styleId="Heading7">
    <w:name w:val="heading 7"/>
    <w:basedOn w:val="Normal"/>
    <w:next w:val="Normal"/>
    <w:link w:val="Heading7Char"/>
    <w:qFormat/>
    <w:rsid w:val="002560C6"/>
    <w:pPr>
      <w:numPr>
        <w:ilvl w:val="6"/>
        <w:numId w:val="6"/>
      </w:numPr>
      <w:spacing w:after="60"/>
      <w:outlineLvl w:val="6"/>
    </w:pPr>
  </w:style>
  <w:style w:type="paragraph" w:styleId="Heading8">
    <w:name w:val="heading 8"/>
    <w:basedOn w:val="Normal"/>
    <w:next w:val="Normal"/>
    <w:link w:val="Heading8Char"/>
    <w:qFormat/>
    <w:rsid w:val="002560C6"/>
    <w:pPr>
      <w:numPr>
        <w:ilvl w:val="7"/>
        <w:numId w:val="6"/>
      </w:numPr>
      <w:spacing w:after="60"/>
      <w:outlineLvl w:val="7"/>
    </w:pPr>
    <w:rPr>
      <w:i/>
      <w:iCs/>
    </w:rPr>
  </w:style>
  <w:style w:type="paragraph" w:styleId="Heading9">
    <w:name w:val="heading 9"/>
    <w:basedOn w:val="Normal"/>
    <w:next w:val="Normal"/>
    <w:link w:val="Heading9Char"/>
    <w:qFormat/>
    <w:rsid w:val="002560C6"/>
    <w:pPr>
      <w:numPr>
        <w:ilvl w:val="8"/>
        <w:numId w:val="6"/>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3606"/>
    <w:rPr>
      <w:rFonts w:ascii="Verdana" w:eastAsia="SimSun" w:hAnsi="Verdana" w:cs="Arial"/>
      <w:b/>
      <w:bCs/>
      <w:kern w:val="32"/>
      <w:sz w:val="32"/>
      <w:szCs w:val="32"/>
      <w:lang w:val="en-AU" w:eastAsia="en-AU" w:bidi="ar-SA"/>
    </w:rPr>
  </w:style>
  <w:style w:type="paragraph" w:styleId="Title">
    <w:name w:val="Title"/>
    <w:basedOn w:val="Normal"/>
    <w:qFormat/>
    <w:rsid w:val="00E7159E"/>
    <w:pPr>
      <w:spacing w:before="2400" w:after="60"/>
      <w:jc w:val="center"/>
      <w:outlineLvl w:val="0"/>
    </w:pPr>
    <w:rPr>
      <w:rFonts w:cs="Arial"/>
      <w:b/>
      <w:bCs/>
      <w:caps/>
      <w:kern w:val="28"/>
      <w:sz w:val="32"/>
      <w:szCs w:val="32"/>
    </w:rPr>
  </w:style>
  <w:style w:type="character" w:customStyle="1" w:styleId="Heading2Char">
    <w:name w:val="Heading 2 Char"/>
    <w:link w:val="Heading2"/>
    <w:rsid w:val="000C65A6"/>
    <w:rPr>
      <w:rFonts w:ascii="Verdana" w:hAnsi="Verdana"/>
      <w:b/>
      <w:szCs w:val="24"/>
      <w:lang w:val="en-AU" w:eastAsia="en-AU"/>
    </w:rPr>
  </w:style>
  <w:style w:type="character" w:customStyle="1" w:styleId="Heading3Char">
    <w:name w:val="Heading 3 Char"/>
    <w:link w:val="Heading3"/>
    <w:semiHidden/>
    <w:rsid w:val="00913606"/>
    <w:rPr>
      <w:rFonts w:ascii="Verdana" w:eastAsia="SimSun" w:hAnsi="Verdana" w:cs="Arial"/>
      <w:b/>
      <w:iCs/>
      <w:sz w:val="24"/>
      <w:szCs w:val="26"/>
      <w:lang w:val="en-AU" w:eastAsia="en-AU" w:bidi="ar-SA"/>
    </w:rPr>
  </w:style>
  <w:style w:type="character" w:customStyle="1" w:styleId="Heading4Char">
    <w:name w:val="Heading 4 Char"/>
    <w:link w:val="Heading4"/>
    <w:semiHidden/>
    <w:rsid w:val="00913606"/>
    <w:rPr>
      <w:rFonts w:ascii="Verdana" w:eastAsia="SimSun" w:hAnsi="Verdana"/>
      <w:b/>
      <w:bCs/>
      <w:szCs w:val="24"/>
      <w:lang w:val="en-AU" w:eastAsia="en-AU" w:bidi="ar-SA"/>
    </w:rPr>
  </w:style>
  <w:style w:type="character" w:customStyle="1" w:styleId="Heading5Char">
    <w:name w:val="Heading 5 Char"/>
    <w:link w:val="Heading5"/>
    <w:semiHidden/>
    <w:rsid w:val="00913606"/>
    <w:rPr>
      <w:rFonts w:ascii="Verdana" w:eastAsia="SimSun" w:hAnsi="Verdana"/>
      <w:b/>
      <w:bCs/>
      <w:iCs/>
      <w:lang w:val="en-AU" w:eastAsia="en-AU" w:bidi="ar-SA"/>
    </w:rPr>
  </w:style>
  <w:style w:type="character" w:customStyle="1" w:styleId="Heading6Char">
    <w:name w:val="Heading 6 Char"/>
    <w:link w:val="Heading6"/>
    <w:semiHidden/>
    <w:rsid w:val="00913606"/>
    <w:rPr>
      <w:rFonts w:ascii="Verdana" w:eastAsia="SimSun" w:hAnsi="Verdana"/>
      <w:b/>
      <w:bCs/>
      <w:sz w:val="22"/>
      <w:szCs w:val="22"/>
      <w:lang w:val="en-AU" w:eastAsia="en-AU" w:bidi="ar-SA"/>
    </w:rPr>
  </w:style>
  <w:style w:type="character" w:customStyle="1" w:styleId="Heading7Char">
    <w:name w:val="Heading 7 Char"/>
    <w:link w:val="Heading7"/>
    <w:semiHidden/>
    <w:rsid w:val="00913606"/>
    <w:rPr>
      <w:rFonts w:ascii="Verdana" w:eastAsia="SimSun" w:hAnsi="Verdana"/>
      <w:szCs w:val="24"/>
      <w:lang w:val="en-AU" w:eastAsia="en-AU" w:bidi="ar-SA"/>
    </w:rPr>
  </w:style>
  <w:style w:type="character" w:customStyle="1" w:styleId="Heading8Char">
    <w:name w:val="Heading 8 Char"/>
    <w:link w:val="Heading8"/>
    <w:semiHidden/>
    <w:rsid w:val="00913606"/>
    <w:rPr>
      <w:rFonts w:ascii="Verdana" w:eastAsia="SimSun" w:hAnsi="Verdana"/>
      <w:i/>
      <w:iCs/>
      <w:szCs w:val="24"/>
      <w:lang w:val="en-AU" w:eastAsia="en-AU" w:bidi="ar-SA"/>
    </w:rPr>
  </w:style>
  <w:style w:type="character" w:customStyle="1" w:styleId="Heading9Char">
    <w:name w:val="Heading 9 Char"/>
    <w:link w:val="Heading9"/>
    <w:semiHidden/>
    <w:rsid w:val="00913606"/>
    <w:rPr>
      <w:rFonts w:ascii="Arial" w:eastAsia="SimSun" w:hAnsi="Arial" w:cs="Arial"/>
      <w:sz w:val="22"/>
      <w:szCs w:val="22"/>
      <w:lang w:val="en-AU" w:eastAsia="en-AU" w:bidi="ar-SA"/>
    </w:rPr>
  </w:style>
  <w:style w:type="character" w:customStyle="1" w:styleId="Hints">
    <w:name w:val="Hints"/>
    <w:basedOn w:val="DefaultParagraphFont"/>
    <w:rsid w:val="0024639A"/>
    <w:rPr>
      <w:noProof/>
      <w:color w:val="FF0000"/>
    </w:rPr>
  </w:style>
  <w:style w:type="paragraph" w:styleId="Header">
    <w:name w:val="header"/>
    <w:basedOn w:val="Normal"/>
    <w:link w:val="HeaderChar"/>
    <w:rsid w:val="00FC4C9F"/>
    <w:pPr>
      <w:tabs>
        <w:tab w:val="center" w:pos="4153"/>
        <w:tab w:val="right" w:pos="8306"/>
      </w:tabs>
      <w:spacing w:before="0"/>
    </w:pPr>
    <w:rPr>
      <w:i/>
      <w:sz w:val="16"/>
    </w:rPr>
  </w:style>
  <w:style w:type="character" w:customStyle="1" w:styleId="HeaderChar">
    <w:name w:val="Header Char"/>
    <w:link w:val="Header"/>
    <w:rsid w:val="00913606"/>
    <w:rPr>
      <w:rFonts w:ascii="Verdana" w:eastAsia="SimSun" w:hAnsi="Verdana"/>
      <w:i/>
      <w:sz w:val="16"/>
      <w:szCs w:val="24"/>
      <w:lang w:val="en-AU" w:eastAsia="en-AU" w:bidi="ar-SA"/>
    </w:rPr>
  </w:style>
  <w:style w:type="table" w:styleId="TableGrid">
    <w:name w:val="Table Grid"/>
    <w:basedOn w:val="TableNormal"/>
    <w:rsid w:val="007C5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semiHidden/>
    <w:rsid w:val="00276D0F"/>
    <w:pPr>
      <w:tabs>
        <w:tab w:val="right" w:leader="dot" w:pos="9061"/>
      </w:tabs>
    </w:pPr>
    <w:rPr>
      <w:b/>
    </w:rPr>
  </w:style>
  <w:style w:type="paragraph" w:styleId="TOC2">
    <w:name w:val="toc 2"/>
    <w:basedOn w:val="Normal"/>
    <w:autoRedefine/>
    <w:semiHidden/>
    <w:rsid w:val="00276D0F"/>
    <w:pPr>
      <w:tabs>
        <w:tab w:val="right" w:leader="dot" w:pos="9061"/>
      </w:tabs>
      <w:spacing w:before="0"/>
      <w:ind w:left="567"/>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Title"/>
    <w:rsid w:val="00FC4C9F"/>
    <w:pPr>
      <w:jc w:val="center"/>
    </w:pPr>
  </w:style>
  <w:style w:type="paragraph" w:customStyle="1" w:styleId="FigureCaption">
    <w:name w:val="Figure Caption"/>
    <w:basedOn w:val="Normal"/>
    <w:next w:val="Normal"/>
    <w:rsid w:val="00FC4C9F"/>
    <w:pPr>
      <w:keepNext/>
      <w:spacing w:after="240"/>
    </w:pPr>
    <w:rPr>
      <w:b/>
    </w:rPr>
  </w:style>
  <w:style w:type="paragraph" w:customStyle="1" w:styleId="SectionHeading">
    <w:name w:val="Section Heading"/>
    <w:basedOn w:val="Normal"/>
    <w:next w:val="Heading2"/>
    <w:rsid w:val="00FC4C9F"/>
    <w:rPr>
      <w:b/>
      <w:sz w:val="24"/>
    </w:rPr>
  </w:style>
  <w:style w:type="paragraph" w:styleId="Footer">
    <w:name w:val="footer"/>
    <w:basedOn w:val="Normal"/>
    <w:link w:val="FooterChar"/>
    <w:rsid w:val="00FC4C9F"/>
    <w:pPr>
      <w:tabs>
        <w:tab w:val="center" w:pos="4153"/>
        <w:tab w:val="right" w:pos="8306"/>
      </w:tabs>
    </w:pPr>
    <w:rPr>
      <w:sz w:val="16"/>
    </w:rPr>
  </w:style>
  <w:style w:type="character" w:customStyle="1" w:styleId="FooterChar">
    <w:name w:val="Footer Char"/>
    <w:link w:val="Footer"/>
    <w:rsid w:val="00913606"/>
    <w:rPr>
      <w:rFonts w:ascii="Verdana" w:eastAsia="SimSun" w:hAnsi="Verdana"/>
      <w:sz w:val="16"/>
      <w:szCs w:val="24"/>
      <w:lang w:val="en-AU" w:eastAsia="en-AU" w:bidi="ar-SA"/>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3"/>
      </w:numPr>
    </w:pPr>
  </w:style>
  <w:style w:type="paragraph" w:styleId="ListNumber2">
    <w:name w:val="List Number 2"/>
    <w:basedOn w:val="Normal"/>
    <w:rsid w:val="00FC4C9F"/>
    <w:pPr>
      <w:numPr>
        <w:numId w:val="4"/>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rsid w:val="0007752B"/>
  </w:style>
  <w:style w:type="character" w:styleId="PageNumber">
    <w:name w:val="page number"/>
    <w:basedOn w:val="DefaultParagraphFont"/>
    <w:rsid w:val="003022B1"/>
  </w:style>
  <w:style w:type="paragraph" w:styleId="TOC3">
    <w:name w:val="toc 3"/>
    <w:basedOn w:val="TOC2"/>
    <w:next w:val="Normal"/>
    <w:autoRedefine/>
    <w:semiHidden/>
    <w:rsid w:val="004E7A7F"/>
    <w:pPr>
      <w:tabs>
        <w:tab w:val="clear" w:pos="9061"/>
        <w:tab w:val="right" w:leader="dot" w:pos="9060"/>
      </w:tabs>
      <w:ind w:left="1138"/>
    </w:pPr>
  </w:style>
  <w:style w:type="paragraph" w:customStyle="1" w:styleId="Footnote">
    <w:name w:val="Footnote"/>
    <w:next w:val="Normal"/>
    <w:rsid w:val="0020392F"/>
    <w:pPr>
      <w:spacing w:before="60" w:after="60"/>
    </w:pPr>
    <w:rPr>
      <w:rFonts w:ascii="Verdana" w:hAnsi="Verdana" w:cs="Arial"/>
      <w:bCs/>
      <w:kern w:val="28"/>
      <w:sz w:val="16"/>
      <w:szCs w:val="16"/>
      <w:lang w:val="en-AU" w:eastAsia="en-AU"/>
    </w:rPr>
  </w:style>
  <w:style w:type="paragraph" w:styleId="TOC4">
    <w:name w:val="toc 4"/>
    <w:basedOn w:val="TOC3"/>
    <w:next w:val="Normal"/>
    <w:autoRedefine/>
    <w:unhideWhenUsed/>
    <w:rsid w:val="004E7A7F"/>
    <w:pPr>
      <w:ind w:left="3053" w:hanging="1339"/>
    </w:pPr>
    <w:rPr>
      <w:rFonts w:eastAsia="Verdana"/>
      <w:kern w:val="28"/>
    </w:rPr>
  </w:style>
  <w:style w:type="paragraph" w:styleId="TOC5">
    <w:name w:val="toc 5"/>
    <w:basedOn w:val="Normal"/>
    <w:next w:val="Normal"/>
    <w:unhideWhenUsed/>
    <w:rsid w:val="00A92BE3"/>
    <w:pPr>
      <w:keepLines/>
      <w:tabs>
        <w:tab w:val="right" w:leader="dot" w:pos="7088"/>
      </w:tabs>
      <w:spacing w:before="40"/>
      <w:ind w:left="2098" w:right="567" w:hanging="680"/>
    </w:pPr>
    <w:rPr>
      <w:rFonts w:ascii="Times New Roman" w:eastAsia="Times New Roman" w:hAnsi="Times New Roman"/>
      <w:kern w:val="28"/>
      <w:sz w:val="18"/>
      <w:szCs w:val="20"/>
    </w:rPr>
  </w:style>
  <w:style w:type="paragraph" w:styleId="TOC6">
    <w:name w:val="toc 6"/>
    <w:basedOn w:val="Normal"/>
    <w:next w:val="Normal"/>
    <w:unhideWhenUsed/>
    <w:rsid w:val="00A92BE3"/>
    <w:pPr>
      <w:keepLines/>
      <w:tabs>
        <w:tab w:val="right" w:pos="7088"/>
      </w:tabs>
      <w:spacing w:before="120"/>
      <w:ind w:left="1344" w:right="567" w:hanging="1344"/>
    </w:pPr>
    <w:rPr>
      <w:rFonts w:ascii="Times New Roman" w:eastAsia="Times New Roman" w:hAnsi="Times New Roman"/>
      <w:b/>
      <w:kern w:val="28"/>
      <w:sz w:val="24"/>
      <w:szCs w:val="20"/>
    </w:rPr>
  </w:style>
  <w:style w:type="paragraph" w:styleId="TOC7">
    <w:name w:val="toc 7"/>
    <w:basedOn w:val="Normal"/>
    <w:next w:val="Normal"/>
    <w:unhideWhenUsed/>
    <w:rsid w:val="00A92BE3"/>
    <w:pPr>
      <w:keepLines/>
      <w:tabs>
        <w:tab w:val="right" w:pos="7088"/>
      </w:tabs>
      <w:spacing w:before="120"/>
      <w:ind w:left="1253" w:right="567" w:hanging="828"/>
    </w:pPr>
    <w:rPr>
      <w:rFonts w:ascii="Times New Roman" w:eastAsia="Times New Roman" w:hAnsi="Times New Roman"/>
      <w:kern w:val="28"/>
      <w:sz w:val="24"/>
      <w:szCs w:val="20"/>
    </w:rPr>
  </w:style>
  <w:style w:type="paragraph" w:styleId="TOC8">
    <w:name w:val="toc 8"/>
    <w:basedOn w:val="Normal"/>
    <w:next w:val="Normal"/>
    <w:unhideWhenUsed/>
    <w:rsid w:val="00A92BE3"/>
    <w:pPr>
      <w:keepLines/>
      <w:tabs>
        <w:tab w:val="right" w:pos="7088"/>
      </w:tabs>
      <w:spacing w:before="80"/>
      <w:ind w:left="1900" w:right="567" w:hanging="1049"/>
    </w:pPr>
    <w:rPr>
      <w:rFonts w:ascii="Times New Roman" w:eastAsia="Times New Roman" w:hAnsi="Times New Roman"/>
      <w:kern w:val="28"/>
      <w:szCs w:val="20"/>
    </w:rPr>
  </w:style>
  <w:style w:type="paragraph" w:styleId="TOC9">
    <w:name w:val="toc 9"/>
    <w:basedOn w:val="Normal"/>
    <w:next w:val="Normal"/>
    <w:unhideWhenUsed/>
    <w:rsid w:val="00A92BE3"/>
    <w:pPr>
      <w:keepLines/>
      <w:tabs>
        <w:tab w:val="right" w:pos="7088"/>
      </w:tabs>
      <w:spacing w:before="80"/>
      <w:ind w:left="851" w:right="567"/>
    </w:pPr>
    <w:rPr>
      <w:rFonts w:ascii="Times New Roman" w:eastAsia="Times New Roman" w:hAnsi="Times New Roman"/>
      <w:i/>
      <w:kern w:val="28"/>
      <w:szCs w:val="20"/>
    </w:rPr>
  </w:style>
  <w:style w:type="paragraph" w:styleId="CommentText">
    <w:name w:val="annotation text"/>
    <w:basedOn w:val="Normal"/>
    <w:link w:val="CommentTextChar"/>
    <w:semiHidden/>
    <w:unhideWhenUsed/>
    <w:rsid w:val="00913606"/>
    <w:pPr>
      <w:spacing w:before="0" w:line="260" w:lineRule="atLeast"/>
    </w:pPr>
    <w:rPr>
      <w:rFonts w:ascii="Times New Roman" w:eastAsia="Calibri" w:hAnsi="Times New Roman"/>
      <w:szCs w:val="20"/>
      <w:lang w:eastAsia="en-US"/>
    </w:rPr>
  </w:style>
  <w:style w:type="character" w:customStyle="1" w:styleId="CommentTextChar">
    <w:name w:val="Comment Text Char"/>
    <w:link w:val="CommentText"/>
    <w:semiHidden/>
    <w:rsid w:val="00913606"/>
    <w:rPr>
      <w:rFonts w:eastAsia="Calibri"/>
      <w:lang w:val="en-AU" w:eastAsia="en-US" w:bidi="ar-SA"/>
    </w:rPr>
  </w:style>
  <w:style w:type="paragraph" w:styleId="EndnoteText">
    <w:name w:val="endnote text"/>
    <w:basedOn w:val="Normal"/>
    <w:link w:val="EndnoteTextChar"/>
    <w:semiHidden/>
    <w:unhideWhenUsed/>
    <w:rsid w:val="00913606"/>
    <w:pPr>
      <w:spacing w:before="0"/>
    </w:pPr>
    <w:rPr>
      <w:rFonts w:ascii="Calibri" w:hAnsi="Calibri" w:cs="Calibri"/>
      <w:szCs w:val="20"/>
      <w:lang w:eastAsia="en-US"/>
    </w:rPr>
  </w:style>
  <w:style w:type="character" w:customStyle="1" w:styleId="EndnoteTextChar">
    <w:name w:val="Endnote Text Char"/>
    <w:link w:val="EndnoteText"/>
    <w:semiHidden/>
    <w:rsid w:val="00913606"/>
    <w:rPr>
      <w:rFonts w:ascii="Calibri" w:eastAsia="SimSun" w:hAnsi="Calibri" w:cs="Calibri"/>
      <w:lang w:val="en-AU" w:eastAsia="en-US" w:bidi="ar-SA"/>
    </w:rPr>
  </w:style>
  <w:style w:type="paragraph" w:styleId="BalloonText">
    <w:name w:val="Balloon Text"/>
    <w:basedOn w:val="Normal"/>
    <w:link w:val="BalloonTextChar"/>
    <w:semiHidden/>
    <w:unhideWhenUsed/>
    <w:rsid w:val="00913606"/>
    <w:pPr>
      <w:spacing w:before="0"/>
    </w:pPr>
    <w:rPr>
      <w:rFonts w:ascii="Tahoma" w:hAnsi="Tahoma" w:cs="Tahoma"/>
      <w:sz w:val="16"/>
      <w:szCs w:val="16"/>
      <w:lang w:eastAsia="en-US"/>
    </w:rPr>
  </w:style>
  <w:style w:type="character" w:customStyle="1" w:styleId="BalloonTextChar">
    <w:name w:val="Balloon Text Char"/>
    <w:link w:val="BalloonText"/>
    <w:semiHidden/>
    <w:rsid w:val="00913606"/>
    <w:rPr>
      <w:rFonts w:ascii="Tahoma" w:eastAsia="SimSun" w:hAnsi="Tahoma" w:cs="Tahoma"/>
      <w:sz w:val="16"/>
      <w:szCs w:val="16"/>
      <w:lang w:val="en-AU" w:eastAsia="en-US" w:bidi="ar-SA"/>
    </w:rPr>
  </w:style>
  <w:style w:type="character" w:styleId="Hyperlink">
    <w:name w:val="Hyperlink"/>
    <w:basedOn w:val="DefaultParagraphFont"/>
    <w:rsid w:val="00816B25"/>
    <w:rPr>
      <w:color w:val="0000FF"/>
      <w:u w:val="single"/>
    </w:rPr>
  </w:style>
  <w:style w:type="paragraph" w:customStyle="1" w:styleId="Normalnumbered">
    <w:name w:val="Normal numbered"/>
    <w:basedOn w:val="Normal"/>
    <w:link w:val="NormalnumberedChar"/>
    <w:rsid w:val="00E54916"/>
    <w:pPr>
      <w:numPr>
        <w:numId w:val="7"/>
      </w:numPr>
      <w:spacing w:before="0" w:after="240" w:line="260" w:lineRule="exact"/>
      <w:jc w:val="both"/>
    </w:pPr>
    <w:rPr>
      <w:rFonts w:ascii="Corbel" w:eastAsia="Calibri" w:hAnsi="Corbel"/>
      <w:color w:val="000000"/>
      <w:sz w:val="23"/>
      <w:szCs w:val="20"/>
      <w:lang w:val="en-US"/>
    </w:rPr>
  </w:style>
  <w:style w:type="character" w:customStyle="1" w:styleId="NormalnumberedChar">
    <w:name w:val="Normal numbered Char"/>
    <w:link w:val="Normalnumbered"/>
    <w:locked/>
    <w:rsid w:val="00E54916"/>
    <w:rPr>
      <w:rFonts w:ascii="Corbel" w:eastAsia="Calibri" w:hAnsi="Corbel"/>
      <w:color w:val="000000"/>
      <w:sz w:val="23"/>
      <w:lang w:val="en-US" w:eastAsia="en-AU" w:bidi="ar-SA"/>
    </w:rPr>
  </w:style>
  <w:style w:type="paragraph" w:styleId="CommentSubject">
    <w:name w:val="annotation subject"/>
    <w:basedOn w:val="CommentText"/>
    <w:next w:val="CommentText"/>
    <w:link w:val="CommentSubjectChar"/>
    <w:semiHidden/>
    <w:rsid w:val="00E54916"/>
    <w:pPr>
      <w:spacing w:after="240" w:line="240" w:lineRule="auto"/>
      <w:jc w:val="both"/>
    </w:pPr>
    <w:rPr>
      <w:rFonts w:ascii="Corbel" w:hAnsi="Corbel"/>
      <w:b/>
      <w:bCs/>
      <w:color w:val="000000"/>
      <w:lang w:val="en-US" w:eastAsia="en-AU"/>
    </w:rPr>
  </w:style>
  <w:style w:type="character" w:customStyle="1" w:styleId="CommentSubjectChar">
    <w:name w:val="Comment Subject Char"/>
    <w:link w:val="CommentSubject"/>
    <w:semiHidden/>
    <w:locked/>
    <w:rsid w:val="00E54916"/>
    <w:rPr>
      <w:rFonts w:ascii="Corbel" w:eastAsia="Calibri" w:hAnsi="Corbel"/>
      <w:b/>
      <w:bCs/>
      <w:color w:val="000000"/>
      <w:lang w:val="en-US" w:eastAsia="en-AU" w:bidi="ar-SA"/>
    </w:rPr>
  </w:style>
  <w:style w:type="paragraph" w:styleId="FootnoteText">
    <w:name w:val="footnote text"/>
    <w:basedOn w:val="Normal"/>
    <w:link w:val="FootnoteTextChar"/>
    <w:semiHidden/>
    <w:rsid w:val="00E54916"/>
    <w:pPr>
      <w:spacing w:before="0"/>
      <w:jc w:val="both"/>
    </w:pPr>
    <w:rPr>
      <w:rFonts w:ascii="Corbel" w:eastAsia="Calibri" w:hAnsi="Corbel"/>
      <w:color w:val="000000"/>
      <w:szCs w:val="20"/>
      <w:lang w:val="en-US"/>
    </w:rPr>
  </w:style>
  <w:style w:type="character" w:customStyle="1" w:styleId="FootnoteTextChar">
    <w:name w:val="Footnote Text Char"/>
    <w:link w:val="FootnoteText"/>
    <w:semiHidden/>
    <w:locked/>
    <w:rsid w:val="00E54916"/>
    <w:rPr>
      <w:rFonts w:ascii="Corbel" w:eastAsia="Calibri" w:hAnsi="Corbel"/>
      <w:color w:val="000000"/>
      <w:lang w:val="en-US" w:eastAsia="en-AU" w:bidi="ar-SA"/>
    </w:rPr>
  </w:style>
  <w:style w:type="character" w:styleId="FootnoteReference">
    <w:name w:val="footnote reference"/>
    <w:basedOn w:val="DefaultParagraphFont"/>
    <w:semiHidden/>
    <w:rsid w:val="00E54916"/>
    <w:rPr>
      <w:vertAlign w:val="superscript"/>
    </w:rPr>
  </w:style>
  <w:style w:type="paragraph" w:styleId="Revision">
    <w:name w:val="Revision"/>
    <w:hidden/>
    <w:semiHidden/>
    <w:rsid w:val="00E54916"/>
    <w:rPr>
      <w:rFonts w:ascii="Corbel" w:eastAsia="Calibri" w:hAnsi="Corbel"/>
      <w:color w:val="000000"/>
      <w:sz w:val="23"/>
      <w:lang w:val="en-AU" w:eastAsia="en-AU"/>
    </w:rPr>
  </w:style>
  <w:style w:type="paragraph" w:customStyle="1" w:styleId="Default">
    <w:name w:val="Default"/>
    <w:rsid w:val="00E54916"/>
    <w:pPr>
      <w:autoSpaceDE w:val="0"/>
      <w:autoSpaceDN w:val="0"/>
      <w:adjustRightInd w:val="0"/>
    </w:pPr>
    <w:rPr>
      <w:rFonts w:ascii="Calibri" w:eastAsia="Times New Roman"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gli\Desktop\2012060%20-%20FAhCSIA\Templates\DAFF%20report%20template%20-%20no%20number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DAFF report template - no numbering</Template>
  <TotalTime>6</TotalTime>
  <Pages>38</Pages>
  <Words>12793</Words>
  <Characters>69539</Characters>
  <Application>Microsoft Office Word</Application>
  <DocSecurity>4</DocSecurity>
  <Lines>579</Lines>
  <Paragraphs>164</Paragraphs>
  <ScaleCrop>false</ScaleCrop>
  <HeadingPairs>
    <vt:vector size="2" baseType="variant">
      <vt:variant>
        <vt:lpstr>Title</vt:lpstr>
      </vt:variant>
      <vt:variant>
        <vt:i4>1</vt:i4>
      </vt:variant>
    </vt:vector>
  </HeadingPairs>
  <TitlesOfParts>
    <vt:vector size="1" baseType="lpstr">
      <vt:lpstr>INTERGOVERNMENTAL AGREEMENT FOR THE NATIONAL DISABILITY INSURANCE SCHEME (NDIS) LAUNCH</vt:lpstr>
    </vt:vector>
  </TitlesOfParts>
  <Company>FaHCSIA</Company>
  <LinksUpToDate>false</LinksUpToDate>
  <CharactersWithSpaces>82168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INTERGOVERNMENTAL AGREEMENT FOR THE NATIONAL DISABILITY INSURANCE SCHEME (NDIS) LAUNCH</dc:title>
  <dc:creator>WETHERELL, Shayn-Amber</dc:creator>
  <cp:lastModifiedBy>HOOPER, Darrell</cp:lastModifiedBy>
  <cp:revision>2</cp:revision>
  <cp:lastPrinted>1900-12-31T14:00:00Z</cp:lastPrinted>
  <dcterms:created xsi:type="dcterms:W3CDTF">2013-06-06T03:47:00Z</dcterms:created>
  <dcterms:modified xsi:type="dcterms:W3CDTF">2013-06-06T03:47:00Z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